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A1" w:rsidRPr="00CC6129" w:rsidRDefault="00B722A1" w:rsidP="0010680C">
      <w:pPr>
        <w:snapToGrid w:val="0"/>
        <w:spacing w:after="0" w:line="360" w:lineRule="auto"/>
        <w:jc w:val="both"/>
        <w:rPr>
          <w:rFonts w:ascii="Book Antiqua" w:hAnsi="Book Antiqua"/>
          <w:b/>
          <w:bCs/>
          <w:sz w:val="24"/>
          <w:szCs w:val="24"/>
          <w:lang w:val="en-US"/>
        </w:rPr>
      </w:pPr>
      <w:r w:rsidRPr="00CC6129">
        <w:rPr>
          <w:rFonts w:ascii="Book Antiqua" w:hAnsi="Book Antiqua"/>
          <w:b/>
          <w:bCs/>
          <w:sz w:val="24"/>
          <w:szCs w:val="24"/>
          <w:lang w:val="en-US"/>
        </w:rPr>
        <w:t xml:space="preserve">Name of </w:t>
      </w:r>
      <w:r w:rsidRPr="00CC6129">
        <w:rPr>
          <w:rFonts w:ascii="Book Antiqua" w:hAnsi="Book Antiqua"/>
          <w:b/>
          <w:bCs/>
          <w:caps/>
          <w:sz w:val="24"/>
          <w:szCs w:val="24"/>
          <w:lang w:val="en-US"/>
        </w:rPr>
        <w:t>j</w:t>
      </w:r>
      <w:r w:rsidRPr="00CC6129">
        <w:rPr>
          <w:rFonts w:ascii="Book Antiqua" w:hAnsi="Book Antiqua"/>
          <w:b/>
          <w:bCs/>
          <w:sz w:val="24"/>
          <w:szCs w:val="24"/>
          <w:lang w:val="en-US"/>
        </w:rPr>
        <w:t xml:space="preserve">ournal: </w:t>
      </w:r>
      <w:r w:rsidRPr="00CC6129">
        <w:rPr>
          <w:rFonts w:ascii="Book Antiqua" w:hAnsi="Book Antiqua"/>
          <w:b/>
          <w:bCs/>
          <w:i/>
          <w:sz w:val="24"/>
          <w:szCs w:val="24"/>
          <w:lang w:val="en-US"/>
        </w:rPr>
        <w:t>World Journal of Gastroenterology</w:t>
      </w:r>
    </w:p>
    <w:p w:rsidR="00D658DD" w:rsidRPr="00CC6129" w:rsidRDefault="00AE38CC" w:rsidP="0010680C">
      <w:pPr>
        <w:snapToGrid w:val="0"/>
        <w:spacing w:after="0" w:line="360" w:lineRule="auto"/>
        <w:jc w:val="both"/>
        <w:rPr>
          <w:rFonts w:ascii="Book Antiqua" w:hAnsi="Book Antiqua"/>
          <w:b/>
          <w:bCs/>
          <w:sz w:val="24"/>
          <w:szCs w:val="24"/>
          <w:lang w:val="en-US" w:eastAsia="zh-CN"/>
        </w:rPr>
      </w:pPr>
      <w:bookmarkStart w:id="0" w:name="OLE_LINK485"/>
      <w:bookmarkStart w:id="1" w:name="OLE_LINK486"/>
      <w:bookmarkStart w:id="2" w:name="OLE_LINK661"/>
      <w:bookmarkStart w:id="3" w:name="OLE_LINK768"/>
      <w:r w:rsidRPr="00CC6129">
        <w:rPr>
          <w:rFonts w:ascii="Book Antiqua" w:hAnsi="Book Antiqua" w:cs="Times New Roman"/>
          <w:b/>
          <w:sz w:val="24"/>
          <w:szCs w:val="24"/>
          <w:highlight w:val="white"/>
          <w:lang w:val="en-US" w:eastAsia="zh-CN"/>
        </w:rPr>
        <w:t>Manuscript NO:</w:t>
      </w:r>
      <w:bookmarkEnd w:id="0"/>
      <w:bookmarkEnd w:id="1"/>
      <w:bookmarkEnd w:id="2"/>
      <w:bookmarkEnd w:id="3"/>
      <w:r w:rsidR="005021E3" w:rsidRPr="00CC6129">
        <w:rPr>
          <w:rFonts w:ascii="Book Antiqua" w:hAnsi="Book Antiqua"/>
          <w:b/>
          <w:bCs/>
          <w:sz w:val="24"/>
          <w:szCs w:val="24"/>
          <w:lang w:val="en-US"/>
        </w:rPr>
        <w:t xml:space="preserve"> 33102</w:t>
      </w:r>
    </w:p>
    <w:p w:rsidR="00CC6129" w:rsidRDefault="00B722A1" w:rsidP="0010680C">
      <w:pPr>
        <w:snapToGrid w:val="0"/>
        <w:spacing w:after="0" w:line="360" w:lineRule="auto"/>
        <w:jc w:val="both"/>
        <w:rPr>
          <w:rFonts w:ascii="Book Antiqua" w:hAnsi="Book Antiqua"/>
          <w:b/>
          <w:bCs/>
          <w:sz w:val="24"/>
          <w:szCs w:val="24"/>
          <w:lang w:val="en-US" w:eastAsia="zh-CN"/>
        </w:rPr>
      </w:pPr>
      <w:r w:rsidRPr="00CC6129">
        <w:rPr>
          <w:rFonts w:ascii="Book Antiqua" w:hAnsi="Book Antiqua"/>
          <w:b/>
          <w:bCs/>
          <w:sz w:val="24"/>
          <w:szCs w:val="24"/>
          <w:lang w:val="en-US"/>
        </w:rPr>
        <w:t xml:space="preserve">Manuscript Type: </w:t>
      </w:r>
      <w:r w:rsidR="00CC6129" w:rsidRPr="00CC6129">
        <w:rPr>
          <w:rFonts w:ascii="Book Antiqua" w:hAnsi="Book Antiqua"/>
          <w:b/>
          <w:bCs/>
          <w:sz w:val="24"/>
          <w:szCs w:val="24"/>
          <w:lang w:val="en-US"/>
        </w:rPr>
        <w:t>ORIGINAL ARTICLE</w:t>
      </w:r>
    </w:p>
    <w:p w:rsidR="00CC6129" w:rsidRDefault="00CC6129" w:rsidP="0010680C">
      <w:pPr>
        <w:snapToGrid w:val="0"/>
        <w:spacing w:after="0" w:line="360" w:lineRule="auto"/>
        <w:jc w:val="both"/>
        <w:rPr>
          <w:rFonts w:ascii="Book Antiqua" w:hAnsi="Book Antiqua"/>
          <w:b/>
          <w:bCs/>
          <w:sz w:val="24"/>
          <w:szCs w:val="24"/>
          <w:lang w:val="en-US" w:eastAsia="zh-CN"/>
        </w:rPr>
      </w:pPr>
    </w:p>
    <w:p w:rsidR="00B722A1" w:rsidRPr="00CC6129" w:rsidRDefault="00B722A1" w:rsidP="0010680C">
      <w:pPr>
        <w:snapToGrid w:val="0"/>
        <w:spacing w:after="0" w:line="360" w:lineRule="auto"/>
        <w:jc w:val="both"/>
        <w:rPr>
          <w:rFonts w:ascii="Book Antiqua" w:hAnsi="Book Antiqua"/>
          <w:b/>
          <w:bCs/>
          <w:i/>
          <w:sz w:val="24"/>
          <w:szCs w:val="24"/>
          <w:lang w:val="en-US" w:eastAsia="zh-CN"/>
        </w:rPr>
      </w:pPr>
      <w:r w:rsidRPr="00CC6129">
        <w:rPr>
          <w:rFonts w:ascii="Book Antiqua" w:hAnsi="Book Antiqua"/>
          <w:b/>
          <w:bCs/>
          <w:i/>
          <w:sz w:val="24"/>
          <w:szCs w:val="24"/>
          <w:lang w:val="en-US"/>
        </w:rPr>
        <w:t>Retrospective Cohort Study</w:t>
      </w:r>
    </w:p>
    <w:p w:rsidR="00B722A1" w:rsidRPr="00CC6129" w:rsidRDefault="00B722A1" w:rsidP="0010680C">
      <w:pPr>
        <w:snapToGrid w:val="0"/>
        <w:spacing w:after="0" w:line="360" w:lineRule="auto"/>
        <w:jc w:val="both"/>
        <w:rPr>
          <w:rFonts w:ascii="Book Antiqua" w:hAnsi="Book Antiqua"/>
          <w:b/>
          <w:bCs/>
          <w:sz w:val="24"/>
          <w:szCs w:val="24"/>
          <w:lang w:val="en-US"/>
        </w:rPr>
      </w:pPr>
      <w:r w:rsidRPr="00CC6129">
        <w:rPr>
          <w:rFonts w:ascii="Book Antiqua" w:hAnsi="Book Antiqua"/>
          <w:b/>
          <w:bCs/>
          <w:sz w:val="24"/>
          <w:szCs w:val="24"/>
          <w:lang w:val="en-US"/>
        </w:rPr>
        <w:t>Clinical significance of glycemic parameters on venous thromboembolism risk prediction in gastrointestinal cancer</w:t>
      </w:r>
    </w:p>
    <w:p w:rsidR="00097697" w:rsidRPr="00CC6129" w:rsidRDefault="00097697" w:rsidP="0010680C">
      <w:pPr>
        <w:snapToGrid w:val="0"/>
        <w:spacing w:after="0" w:line="360" w:lineRule="auto"/>
        <w:jc w:val="both"/>
        <w:rPr>
          <w:rFonts w:ascii="Book Antiqua" w:hAnsi="Book Antiqua"/>
          <w:b/>
          <w:bCs/>
          <w:sz w:val="24"/>
          <w:szCs w:val="24"/>
          <w:lang w:val="en-US" w:eastAsia="zh-CN"/>
        </w:rPr>
      </w:pPr>
    </w:p>
    <w:p w:rsidR="00B722A1" w:rsidRPr="00CC6129" w:rsidRDefault="00975C23" w:rsidP="0010680C">
      <w:pPr>
        <w:snapToGrid w:val="0"/>
        <w:spacing w:after="0" w:line="360" w:lineRule="auto"/>
        <w:ind w:left="1418" w:hanging="1418"/>
        <w:jc w:val="both"/>
        <w:rPr>
          <w:rFonts w:ascii="Book Antiqua" w:hAnsi="Book Antiqua"/>
          <w:b/>
          <w:sz w:val="24"/>
          <w:szCs w:val="24"/>
        </w:rPr>
      </w:pPr>
      <w:r w:rsidRPr="00CC6129">
        <w:rPr>
          <w:rFonts w:ascii="Book Antiqua" w:hAnsi="Book Antiqua"/>
          <w:sz w:val="24"/>
          <w:szCs w:val="24"/>
        </w:rPr>
        <w:t>Guadagni</w:t>
      </w:r>
      <w:r w:rsidR="00B722A1" w:rsidRPr="00CC6129">
        <w:rPr>
          <w:rFonts w:ascii="Book Antiqua" w:hAnsi="Book Antiqua"/>
          <w:sz w:val="24"/>
          <w:szCs w:val="24"/>
        </w:rPr>
        <w:t xml:space="preserve"> </w:t>
      </w:r>
      <w:r w:rsidRPr="00CC6129">
        <w:rPr>
          <w:rFonts w:ascii="Book Antiqua" w:hAnsi="Book Antiqua"/>
          <w:sz w:val="24"/>
          <w:szCs w:val="24"/>
        </w:rPr>
        <w:t>F</w:t>
      </w:r>
      <w:r w:rsidR="00B722A1" w:rsidRPr="00CC6129">
        <w:rPr>
          <w:rFonts w:ascii="Book Antiqua" w:hAnsi="Book Antiqua"/>
          <w:sz w:val="24"/>
          <w:szCs w:val="24"/>
        </w:rPr>
        <w:t xml:space="preserve"> </w:t>
      </w:r>
      <w:r w:rsidR="00B722A1" w:rsidRPr="00CC6129">
        <w:rPr>
          <w:rFonts w:ascii="Book Antiqua" w:hAnsi="Book Antiqua"/>
          <w:i/>
          <w:sz w:val="24"/>
          <w:szCs w:val="24"/>
        </w:rPr>
        <w:t>et al</w:t>
      </w:r>
      <w:r w:rsidR="00B722A1" w:rsidRPr="00CC6129">
        <w:rPr>
          <w:rFonts w:ascii="Book Antiqua" w:hAnsi="Book Antiqua"/>
          <w:sz w:val="24"/>
          <w:szCs w:val="24"/>
        </w:rPr>
        <w:t>.</w:t>
      </w:r>
      <w:r w:rsidR="0010680C">
        <w:rPr>
          <w:rFonts w:ascii="Book Antiqua" w:hAnsi="Book Antiqua"/>
          <w:sz w:val="24"/>
          <w:szCs w:val="24"/>
        </w:rPr>
        <w:t xml:space="preserve"> </w:t>
      </w:r>
      <w:r w:rsidR="00B722A1" w:rsidRPr="00CC6129">
        <w:rPr>
          <w:rFonts w:ascii="Book Antiqua" w:hAnsi="Book Antiqua"/>
          <w:sz w:val="24"/>
          <w:szCs w:val="24"/>
        </w:rPr>
        <w:t xml:space="preserve">Glycemic indexes </w:t>
      </w:r>
      <w:r w:rsidR="00CC6129">
        <w:rPr>
          <w:rFonts w:ascii="Book Antiqua" w:hAnsi="Book Antiqua" w:hint="eastAsia"/>
          <w:sz w:val="24"/>
          <w:szCs w:val="24"/>
          <w:lang w:eastAsia="zh-CN"/>
        </w:rPr>
        <w:t xml:space="preserve">and </w:t>
      </w:r>
      <w:r w:rsidR="00B722A1" w:rsidRPr="00CC6129">
        <w:rPr>
          <w:rFonts w:ascii="Book Antiqua" w:hAnsi="Book Antiqua"/>
          <w:sz w:val="24"/>
          <w:szCs w:val="24"/>
        </w:rPr>
        <w:t>VTE risk in GI cancer</w:t>
      </w:r>
    </w:p>
    <w:p w:rsidR="00B722A1" w:rsidRPr="00CC6129" w:rsidRDefault="00B722A1" w:rsidP="0010680C">
      <w:pPr>
        <w:snapToGrid w:val="0"/>
        <w:spacing w:after="0" w:line="360" w:lineRule="auto"/>
        <w:jc w:val="both"/>
        <w:rPr>
          <w:rFonts w:ascii="Book Antiqua" w:hAnsi="Book Antiqua"/>
          <w:b/>
          <w:sz w:val="24"/>
          <w:szCs w:val="24"/>
        </w:rPr>
      </w:pPr>
    </w:p>
    <w:p w:rsidR="00B722A1" w:rsidRPr="00D87414" w:rsidRDefault="00AD3739" w:rsidP="0010680C">
      <w:pPr>
        <w:snapToGrid w:val="0"/>
        <w:spacing w:after="0" w:line="360" w:lineRule="auto"/>
        <w:jc w:val="both"/>
        <w:rPr>
          <w:rFonts w:ascii="Book Antiqua" w:hAnsi="Book Antiqua"/>
          <w:sz w:val="24"/>
          <w:szCs w:val="24"/>
        </w:rPr>
      </w:pPr>
      <w:r w:rsidRPr="00D87414">
        <w:rPr>
          <w:rFonts w:ascii="Book Antiqua" w:hAnsi="Book Antiqua"/>
          <w:sz w:val="24"/>
          <w:szCs w:val="24"/>
        </w:rPr>
        <w:t xml:space="preserve">Fiorella Guadagni, </w:t>
      </w:r>
      <w:r w:rsidR="000E0BDD" w:rsidRPr="00D87414">
        <w:rPr>
          <w:rFonts w:ascii="Book Antiqua" w:hAnsi="Book Antiqua"/>
          <w:sz w:val="24"/>
          <w:szCs w:val="24"/>
        </w:rPr>
        <w:t xml:space="preserve">Silvia Riondino, </w:t>
      </w:r>
      <w:r w:rsidR="00B722A1" w:rsidRPr="00D87414">
        <w:rPr>
          <w:rFonts w:ascii="Book Antiqua" w:hAnsi="Book Antiqua"/>
          <w:sz w:val="24"/>
          <w:szCs w:val="24"/>
        </w:rPr>
        <w:t xml:space="preserve">Vincenzo Formica, </w:t>
      </w:r>
      <w:r w:rsidR="001A4E47" w:rsidRPr="00D87414">
        <w:rPr>
          <w:rFonts w:ascii="Book Antiqua" w:hAnsi="Book Antiqua"/>
          <w:sz w:val="24"/>
          <w:szCs w:val="24"/>
        </w:rPr>
        <w:t xml:space="preserve">Girolamo Del Monte, </w:t>
      </w:r>
      <w:r w:rsidR="00413385" w:rsidRPr="00D87414">
        <w:rPr>
          <w:rFonts w:ascii="Book Antiqua" w:hAnsi="Book Antiqua"/>
          <w:sz w:val="24"/>
          <w:szCs w:val="24"/>
        </w:rPr>
        <w:t xml:space="preserve">Anna Maria Morelli, </w:t>
      </w:r>
      <w:r w:rsidR="00B722A1" w:rsidRPr="00D87414">
        <w:rPr>
          <w:rFonts w:ascii="Book Antiqua" w:hAnsi="Book Antiqua"/>
          <w:sz w:val="24"/>
          <w:szCs w:val="24"/>
        </w:rPr>
        <w:t xml:space="preserve">Jessica Lucchetti, Antonella Spila, Roberta D’Alessandro, </w:t>
      </w:r>
      <w:r w:rsidRPr="00D87414">
        <w:rPr>
          <w:rFonts w:ascii="Book Antiqua" w:hAnsi="Book Antiqua"/>
          <w:sz w:val="24"/>
          <w:szCs w:val="24"/>
        </w:rPr>
        <w:t xml:space="preserve">David Della-Morte, </w:t>
      </w:r>
      <w:r w:rsidR="000E0BDD" w:rsidRPr="00D87414">
        <w:rPr>
          <w:rFonts w:ascii="Book Antiqua" w:hAnsi="Book Antiqua"/>
          <w:sz w:val="24"/>
          <w:szCs w:val="24"/>
        </w:rPr>
        <w:t xml:space="preserve">Patrizia Ferroni, </w:t>
      </w:r>
      <w:r w:rsidR="00B722A1" w:rsidRPr="00D87414">
        <w:rPr>
          <w:rFonts w:ascii="Book Antiqua" w:hAnsi="Book Antiqua"/>
          <w:sz w:val="24"/>
          <w:szCs w:val="24"/>
        </w:rPr>
        <w:t>Mario Roselli</w:t>
      </w:r>
    </w:p>
    <w:p w:rsidR="00B722A1" w:rsidRPr="00CC6129" w:rsidRDefault="00B722A1" w:rsidP="0010680C">
      <w:pPr>
        <w:snapToGrid w:val="0"/>
        <w:spacing w:after="0" w:line="360" w:lineRule="auto"/>
        <w:jc w:val="both"/>
        <w:rPr>
          <w:rFonts w:ascii="Book Antiqua" w:hAnsi="Book Antiqua"/>
          <w:sz w:val="24"/>
          <w:szCs w:val="24"/>
        </w:rPr>
      </w:pPr>
    </w:p>
    <w:p w:rsidR="00B722A1" w:rsidRPr="00CC6129" w:rsidRDefault="00975C23" w:rsidP="0010680C">
      <w:pPr>
        <w:snapToGrid w:val="0"/>
        <w:spacing w:after="0" w:line="360" w:lineRule="auto"/>
        <w:jc w:val="both"/>
        <w:rPr>
          <w:rFonts w:ascii="Book Antiqua" w:hAnsi="Book Antiqua"/>
          <w:sz w:val="24"/>
          <w:szCs w:val="24"/>
        </w:rPr>
      </w:pPr>
      <w:r w:rsidRPr="00CC6129">
        <w:rPr>
          <w:rFonts w:ascii="Book Antiqua" w:hAnsi="Book Antiqua"/>
          <w:b/>
          <w:sz w:val="24"/>
          <w:szCs w:val="24"/>
        </w:rPr>
        <w:t>Fiorella Guadagni</w:t>
      </w:r>
      <w:r w:rsidRPr="00CC6129">
        <w:rPr>
          <w:rFonts w:ascii="Book Antiqua" w:hAnsi="Book Antiqua"/>
          <w:sz w:val="24"/>
          <w:szCs w:val="24"/>
        </w:rPr>
        <w:t xml:space="preserve">, </w:t>
      </w:r>
      <w:r w:rsidRPr="00CC6129">
        <w:rPr>
          <w:rFonts w:ascii="Book Antiqua" w:hAnsi="Book Antiqua"/>
          <w:b/>
          <w:sz w:val="24"/>
          <w:szCs w:val="24"/>
        </w:rPr>
        <w:t xml:space="preserve">David Della-Morte, </w:t>
      </w:r>
      <w:r w:rsidR="000E0BDD" w:rsidRPr="00CC6129">
        <w:rPr>
          <w:rFonts w:ascii="Book Antiqua" w:hAnsi="Book Antiqua"/>
          <w:b/>
          <w:sz w:val="24"/>
          <w:szCs w:val="24"/>
        </w:rPr>
        <w:t xml:space="preserve">Patrizia Ferroni, </w:t>
      </w:r>
      <w:r w:rsidR="00B722A1" w:rsidRPr="00CC6129">
        <w:rPr>
          <w:rFonts w:ascii="Book Antiqua" w:hAnsi="Book Antiqua"/>
          <w:sz w:val="24"/>
          <w:szCs w:val="24"/>
        </w:rPr>
        <w:t>San Raffaele Roma Open University, 00166 Rome, Italy</w:t>
      </w:r>
    </w:p>
    <w:p w:rsidR="00B722A1" w:rsidRPr="00CC6129" w:rsidRDefault="00B722A1" w:rsidP="0010680C">
      <w:pPr>
        <w:snapToGrid w:val="0"/>
        <w:spacing w:after="0" w:line="360" w:lineRule="auto"/>
        <w:jc w:val="both"/>
        <w:rPr>
          <w:rFonts w:ascii="Book Antiqua" w:hAnsi="Book Antiqua"/>
          <w:sz w:val="24"/>
          <w:szCs w:val="24"/>
        </w:rPr>
      </w:pPr>
    </w:p>
    <w:p w:rsidR="00B722A1" w:rsidRPr="00CC6129" w:rsidRDefault="00975C23" w:rsidP="0010680C">
      <w:pPr>
        <w:snapToGrid w:val="0"/>
        <w:spacing w:after="0" w:line="360" w:lineRule="auto"/>
        <w:jc w:val="both"/>
        <w:rPr>
          <w:rFonts w:ascii="Book Antiqua" w:hAnsi="Book Antiqua"/>
          <w:sz w:val="24"/>
          <w:szCs w:val="24"/>
        </w:rPr>
      </w:pPr>
      <w:r w:rsidRPr="00CC6129">
        <w:rPr>
          <w:rFonts w:ascii="Book Antiqua" w:hAnsi="Book Antiqua"/>
          <w:b/>
          <w:sz w:val="24"/>
          <w:szCs w:val="24"/>
        </w:rPr>
        <w:t>Fiorella Guadagni</w:t>
      </w:r>
      <w:r w:rsidRPr="00CC6129">
        <w:rPr>
          <w:rFonts w:ascii="Book Antiqua" w:hAnsi="Book Antiqua"/>
          <w:sz w:val="24"/>
          <w:szCs w:val="24"/>
        </w:rPr>
        <w:t xml:space="preserve">, </w:t>
      </w:r>
      <w:r w:rsidR="00B722A1" w:rsidRPr="00CC6129">
        <w:rPr>
          <w:rFonts w:ascii="Book Antiqua" w:hAnsi="Book Antiqua"/>
          <w:b/>
          <w:sz w:val="24"/>
          <w:szCs w:val="24"/>
        </w:rPr>
        <w:t xml:space="preserve">Antonella Spila, Roberta D’Alessandro, Silvia Riondino, </w:t>
      </w:r>
      <w:r w:rsidR="000E0BDD" w:rsidRPr="00CC6129">
        <w:rPr>
          <w:rFonts w:ascii="Book Antiqua" w:hAnsi="Book Antiqua"/>
          <w:b/>
          <w:sz w:val="24"/>
          <w:szCs w:val="24"/>
        </w:rPr>
        <w:t xml:space="preserve">Patrizia Ferroni, </w:t>
      </w:r>
      <w:r w:rsidR="00B722A1" w:rsidRPr="00CC6129">
        <w:rPr>
          <w:rFonts w:ascii="Book Antiqua" w:hAnsi="Book Antiqua"/>
          <w:sz w:val="24"/>
          <w:szCs w:val="24"/>
        </w:rPr>
        <w:t>Interinstitutional Multidisciplinary Biobank, IRCCS San Raffaele Pisana, 00166 Rome, Italy</w:t>
      </w:r>
    </w:p>
    <w:p w:rsidR="00B722A1" w:rsidRPr="00CC6129" w:rsidRDefault="00B722A1" w:rsidP="0010680C">
      <w:pPr>
        <w:snapToGrid w:val="0"/>
        <w:spacing w:after="0" w:line="360" w:lineRule="auto"/>
        <w:jc w:val="both"/>
        <w:rPr>
          <w:rFonts w:ascii="Book Antiqua" w:hAnsi="Book Antiqua"/>
          <w:sz w:val="24"/>
          <w:szCs w:val="24"/>
        </w:rPr>
      </w:pPr>
    </w:p>
    <w:p w:rsidR="00B722A1" w:rsidRPr="00CC6129" w:rsidRDefault="000E0BDD" w:rsidP="0010680C">
      <w:pPr>
        <w:snapToGrid w:val="0"/>
        <w:spacing w:after="0" w:line="360" w:lineRule="auto"/>
        <w:jc w:val="both"/>
        <w:rPr>
          <w:rFonts w:ascii="Book Antiqua" w:hAnsi="Book Antiqua"/>
          <w:sz w:val="24"/>
          <w:szCs w:val="24"/>
        </w:rPr>
      </w:pPr>
      <w:r w:rsidRPr="00CC6129">
        <w:rPr>
          <w:rFonts w:ascii="Book Antiqua" w:hAnsi="Book Antiqua"/>
          <w:b/>
          <w:sz w:val="24"/>
          <w:szCs w:val="24"/>
        </w:rPr>
        <w:t xml:space="preserve">Silvia Riondino, </w:t>
      </w:r>
      <w:r w:rsidR="00B722A1" w:rsidRPr="00CC6129">
        <w:rPr>
          <w:rFonts w:ascii="Book Antiqua" w:hAnsi="Book Antiqua"/>
          <w:b/>
          <w:sz w:val="24"/>
          <w:szCs w:val="24"/>
        </w:rPr>
        <w:t xml:space="preserve">Vincenzo Formica, Jessica Lucchetti, </w:t>
      </w:r>
      <w:r w:rsidR="00413385" w:rsidRPr="00CC6129">
        <w:rPr>
          <w:rFonts w:ascii="Book Antiqua" w:hAnsi="Book Antiqua"/>
          <w:b/>
          <w:sz w:val="24"/>
          <w:szCs w:val="24"/>
        </w:rPr>
        <w:t xml:space="preserve">Anna Maria Morelli, </w:t>
      </w:r>
      <w:r w:rsidR="00B722A1" w:rsidRPr="00CC6129">
        <w:rPr>
          <w:rFonts w:ascii="Book Antiqua" w:hAnsi="Book Antiqua"/>
          <w:b/>
          <w:sz w:val="24"/>
          <w:szCs w:val="24"/>
        </w:rPr>
        <w:t>Mario Roselli,</w:t>
      </w:r>
      <w:r w:rsidR="00B722A1" w:rsidRPr="00CC6129">
        <w:rPr>
          <w:rFonts w:ascii="Book Antiqua" w:hAnsi="Book Antiqua"/>
          <w:sz w:val="24"/>
          <w:szCs w:val="24"/>
        </w:rPr>
        <w:t xml:space="preserve"> Department of Systems Medicine, Medical Oncology Unit, Tor Vergata Clinical Center, University of Rome Tor Vergata, 00133</w:t>
      </w:r>
      <w:r w:rsidR="00CD450D">
        <w:rPr>
          <w:rFonts w:ascii="Book Antiqua" w:hAnsi="Book Antiqua" w:hint="eastAsia"/>
          <w:sz w:val="24"/>
          <w:szCs w:val="24"/>
          <w:lang w:eastAsia="zh-CN"/>
        </w:rPr>
        <w:t xml:space="preserve"> </w:t>
      </w:r>
      <w:r w:rsidR="00B722A1" w:rsidRPr="00CC6129">
        <w:rPr>
          <w:rFonts w:ascii="Book Antiqua" w:hAnsi="Book Antiqua"/>
          <w:sz w:val="24"/>
          <w:szCs w:val="24"/>
        </w:rPr>
        <w:t>Rome, Italy</w:t>
      </w:r>
    </w:p>
    <w:p w:rsidR="001A4E47" w:rsidRPr="00CD450D" w:rsidRDefault="001A4E47" w:rsidP="0010680C">
      <w:pPr>
        <w:snapToGrid w:val="0"/>
        <w:spacing w:after="0" w:line="360" w:lineRule="auto"/>
        <w:jc w:val="both"/>
        <w:rPr>
          <w:rFonts w:ascii="Book Antiqua" w:hAnsi="Book Antiqua"/>
          <w:sz w:val="24"/>
          <w:szCs w:val="24"/>
        </w:rPr>
      </w:pPr>
    </w:p>
    <w:p w:rsidR="001A4E47" w:rsidRPr="00CC6129" w:rsidRDefault="001A4E47" w:rsidP="0010680C">
      <w:pPr>
        <w:snapToGrid w:val="0"/>
        <w:spacing w:after="0" w:line="360" w:lineRule="auto"/>
        <w:jc w:val="both"/>
        <w:rPr>
          <w:rFonts w:ascii="Book Antiqua" w:hAnsi="Book Antiqua"/>
          <w:sz w:val="24"/>
          <w:szCs w:val="24"/>
          <w:vertAlign w:val="superscript"/>
        </w:rPr>
      </w:pPr>
      <w:r w:rsidRPr="00CC6129">
        <w:rPr>
          <w:rFonts w:ascii="Book Antiqua" w:hAnsi="Book Antiqua"/>
          <w:b/>
          <w:sz w:val="24"/>
          <w:szCs w:val="24"/>
        </w:rPr>
        <w:t>Girolamo Del Monte,</w:t>
      </w:r>
      <w:r w:rsidRPr="00CC6129">
        <w:rPr>
          <w:rFonts w:ascii="Book Antiqua" w:hAnsi="Book Antiqua"/>
          <w:sz w:val="24"/>
          <w:szCs w:val="24"/>
        </w:rPr>
        <w:t xml:space="preserve"> Department of Palliative Care, San Raffaele Cassino, Clinical Center, 03043 Cassino, Italy</w:t>
      </w:r>
    </w:p>
    <w:p w:rsidR="00B722A1" w:rsidRPr="00CC6129" w:rsidRDefault="00B722A1" w:rsidP="0010680C">
      <w:pPr>
        <w:snapToGrid w:val="0"/>
        <w:spacing w:after="0" w:line="360" w:lineRule="auto"/>
        <w:jc w:val="both"/>
        <w:rPr>
          <w:rFonts w:ascii="Book Antiqua" w:hAnsi="Book Antiqua"/>
          <w:sz w:val="24"/>
          <w:szCs w:val="24"/>
        </w:rPr>
      </w:pPr>
    </w:p>
    <w:p w:rsidR="00B722A1" w:rsidRPr="00CC6129" w:rsidRDefault="00B722A1" w:rsidP="0010680C">
      <w:pPr>
        <w:snapToGrid w:val="0"/>
        <w:spacing w:after="0" w:line="360" w:lineRule="auto"/>
        <w:jc w:val="both"/>
        <w:rPr>
          <w:rFonts w:ascii="Book Antiqua" w:hAnsi="Book Antiqua"/>
          <w:sz w:val="24"/>
          <w:szCs w:val="24"/>
          <w:vertAlign w:val="superscript"/>
          <w:lang w:val="en-US"/>
        </w:rPr>
      </w:pPr>
      <w:r w:rsidRPr="00CC6129">
        <w:rPr>
          <w:rFonts w:ascii="Book Antiqua" w:hAnsi="Book Antiqua"/>
          <w:b/>
          <w:sz w:val="24"/>
          <w:szCs w:val="24"/>
          <w:lang w:val="en-US"/>
        </w:rPr>
        <w:t>David Della-Morte,</w:t>
      </w:r>
      <w:r w:rsidR="00CC6129">
        <w:rPr>
          <w:rFonts w:ascii="Book Antiqua" w:hAnsi="Book Antiqua" w:hint="eastAsia"/>
          <w:sz w:val="24"/>
          <w:szCs w:val="24"/>
          <w:lang w:val="en-US" w:eastAsia="zh-CN"/>
        </w:rPr>
        <w:t xml:space="preserve"> </w:t>
      </w:r>
      <w:r w:rsidRPr="00CC6129">
        <w:rPr>
          <w:rFonts w:ascii="Book Antiqua" w:hAnsi="Book Antiqua"/>
          <w:sz w:val="24"/>
          <w:szCs w:val="24"/>
          <w:lang w:val="en-US"/>
        </w:rPr>
        <w:t>Department of Systems Medicine, University of Rome Tor Vergata, 00133</w:t>
      </w:r>
      <w:r w:rsidR="00CD450D">
        <w:rPr>
          <w:rFonts w:ascii="Book Antiqua" w:hAnsi="Book Antiqua" w:hint="eastAsia"/>
          <w:sz w:val="24"/>
          <w:szCs w:val="24"/>
          <w:lang w:val="en-US" w:eastAsia="zh-CN"/>
        </w:rPr>
        <w:t xml:space="preserve"> </w:t>
      </w:r>
      <w:r w:rsidRPr="00CC6129">
        <w:rPr>
          <w:rFonts w:ascii="Book Antiqua" w:hAnsi="Book Antiqua"/>
          <w:sz w:val="24"/>
          <w:szCs w:val="24"/>
          <w:lang w:val="en-US"/>
        </w:rPr>
        <w:t>Rome, Italy</w:t>
      </w:r>
    </w:p>
    <w:p w:rsidR="00097697" w:rsidRPr="00CC6129" w:rsidRDefault="00097697" w:rsidP="0010680C">
      <w:pPr>
        <w:snapToGrid w:val="0"/>
        <w:spacing w:after="0" w:line="360" w:lineRule="auto"/>
        <w:jc w:val="both"/>
        <w:rPr>
          <w:rFonts w:ascii="Book Antiqua" w:hAnsi="Book Antiqua"/>
          <w:b/>
          <w:bCs/>
          <w:sz w:val="24"/>
          <w:szCs w:val="24"/>
          <w:lang w:val="en-US" w:eastAsia="zh-CN"/>
        </w:rPr>
      </w:pPr>
    </w:p>
    <w:p w:rsidR="00B722A1" w:rsidRPr="00CC6129" w:rsidRDefault="00B722A1" w:rsidP="0010680C">
      <w:pPr>
        <w:snapToGrid w:val="0"/>
        <w:spacing w:after="0" w:line="360" w:lineRule="auto"/>
        <w:jc w:val="both"/>
        <w:rPr>
          <w:rFonts w:ascii="Book Antiqua" w:hAnsi="Book Antiqua"/>
          <w:b/>
          <w:bCs/>
          <w:sz w:val="24"/>
          <w:szCs w:val="24"/>
          <w:lang w:val="en-US" w:eastAsia="zh-CN"/>
        </w:rPr>
      </w:pPr>
      <w:r w:rsidRPr="00CC6129">
        <w:rPr>
          <w:rFonts w:ascii="Book Antiqua" w:hAnsi="Book Antiqua"/>
          <w:b/>
          <w:bCs/>
          <w:sz w:val="24"/>
          <w:szCs w:val="24"/>
          <w:lang w:val="en-US"/>
        </w:rPr>
        <w:lastRenderedPageBreak/>
        <w:t>Author contributions</w:t>
      </w:r>
      <w:r w:rsidR="00CC6129">
        <w:rPr>
          <w:rFonts w:ascii="Book Antiqua" w:hAnsi="Book Antiqua" w:hint="eastAsia"/>
          <w:b/>
          <w:bCs/>
          <w:sz w:val="24"/>
          <w:szCs w:val="24"/>
          <w:lang w:val="en-US" w:eastAsia="zh-CN"/>
        </w:rPr>
        <w:t xml:space="preserve">: </w:t>
      </w:r>
      <w:r w:rsidR="00AD3739" w:rsidRPr="00CC6129">
        <w:rPr>
          <w:rFonts w:ascii="Book Antiqua" w:hAnsi="Book Antiqua"/>
          <w:bCs/>
          <w:sz w:val="24"/>
          <w:szCs w:val="24"/>
          <w:lang w:val="en-US"/>
        </w:rPr>
        <w:t xml:space="preserve">Guadagni F, Ferroni P </w:t>
      </w:r>
      <w:r w:rsidRPr="00CC6129">
        <w:rPr>
          <w:rFonts w:ascii="Book Antiqua" w:hAnsi="Book Antiqua"/>
          <w:bCs/>
          <w:sz w:val="24"/>
          <w:szCs w:val="24"/>
          <w:lang w:val="en-US"/>
        </w:rPr>
        <w:t xml:space="preserve">and Roselli M designed the study, analyzed the data and wrote the paper; </w:t>
      </w:r>
      <w:r w:rsidR="001A4E47" w:rsidRPr="00CC6129">
        <w:rPr>
          <w:rFonts w:ascii="Book Antiqua" w:hAnsi="Book Antiqua"/>
          <w:bCs/>
          <w:sz w:val="24"/>
          <w:szCs w:val="24"/>
          <w:lang w:val="en-US"/>
        </w:rPr>
        <w:t xml:space="preserve">Riondino S and Della-Morte D analyzed the data and wrote the paper; </w:t>
      </w:r>
      <w:r w:rsidRPr="00CC6129">
        <w:rPr>
          <w:rFonts w:ascii="Book Antiqua" w:hAnsi="Book Antiqua"/>
          <w:bCs/>
          <w:sz w:val="24"/>
          <w:szCs w:val="24"/>
          <w:lang w:val="en-US"/>
        </w:rPr>
        <w:t xml:space="preserve">Formica V, </w:t>
      </w:r>
      <w:r w:rsidR="001A4E47" w:rsidRPr="00CC6129">
        <w:rPr>
          <w:rFonts w:ascii="Book Antiqua" w:hAnsi="Book Antiqua"/>
          <w:bCs/>
          <w:sz w:val="24"/>
          <w:szCs w:val="24"/>
          <w:lang w:val="en-US"/>
        </w:rPr>
        <w:t xml:space="preserve">Del Monte G, </w:t>
      </w:r>
      <w:r w:rsidR="00413385" w:rsidRPr="00CC6129">
        <w:rPr>
          <w:rFonts w:ascii="Book Antiqua" w:hAnsi="Book Antiqua"/>
          <w:sz w:val="24"/>
          <w:szCs w:val="24"/>
          <w:lang w:val="en-US"/>
        </w:rPr>
        <w:t>Morelli AM</w:t>
      </w:r>
      <w:r w:rsidR="00CC6129">
        <w:rPr>
          <w:rFonts w:ascii="Book Antiqua" w:hAnsi="Book Antiqua" w:hint="eastAsia"/>
          <w:sz w:val="24"/>
          <w:szCs w:val="24"/>
          <w:lang w:val="en-US" w:eastAsia="zh-CN"/>
        </w:rPr>
        <w:t xml:space="preserve"> and </w:t>
      </w:r>
      <w:r w:rsidRPr="00CC6129">
        <w:rPr>
          <w:rFonts w:ascii="Book Antiqua" w:hAnsi="Book Antiqua"/>
          <w:bCs/>
          <w:sz w:val="24"/>
          <w:szCs w:val="24"/>
          <w:lang w:val="en-US"/>
        </w:rPr>
        <w:t>Lucchetti J enrolled the patients and collected clinical data;</w:t>
      </w:r>
      <w:r w:rsidR="0010680C">
        <w:rPr>
          <w:rFonts w:ascii="Book Antiqua" w:hAnsi="Book Antiqua"/>
          <w:bCs/>
          <w:sz w:val="24"/>
          <w:szCs w:val="24"/>
          <w:lang w:val="en-US"/>
        </w:rPr>
        <w:t xml:space="preserve"> </w:t>
      </w:r>
      <w:r w:rsidRPr="00CC6129">
        <w:rPr>
          <w:rFonts w:ascii="Book Antiqua" w:hAnsi="Book Antiqua"/>
          <w:bCs/>
          <w:sz w:val="24"/>
          <w:szCs w:val="24"/>
          <w:lang w:val="en-US"/>
        </w:rPr>
        <w:t xml:space="preserve">Spila A </w:t>
      </w:r>
      <w:r w:rsidR="001A4E47" w:rsidRPr="00CC6129">
        <w:rPr>
          <w:rFonts w:ascii="Book Antiqua" w:hAnsi="Book Antiqua"/>
          <w:bCs/>
          <w:sz w:val="24"/>
          <w:szCs w:val="24"/>
          <w:lang w:val="en-US"/>
        </w:rPr>
        <w:t xml:space="preserve">and </w:t>
      </w:r>
      <w:r w:rsidRPr="00CC6129">
        <w:rPr>
          <w:rFonts w:ascii="Book Antiqua" w:hAnsi="Book Antiqua"/>
          <w:bCs/>
          <w:sz w:val="24"/>
          <w:szCs w:val="24"/>
          <w:lang w:val="en-US"/>
        </w:rPr>
        <w:t xml:space="preserve">D’Alessandro </w:t>
      </w:r>
      <w:r w:rsidR="001A4E47" w:rsidRPr="00CC6129">
        <w:rPr>
          <w:rFonts w:ascii="Book Antiqua" w:hAnsi="Book Antiqua"/>
          <w:bCs/>
          <w:sz w:val="24"/>
          <w:szCs w:val="24"/>
          <w:lang w:val="en-US"/>
        </w:rPr>
        <w:t xml:space="preserve">R performed the assays and collected laboratory data; </w:t>
      </w:r>
      <w:r w:rsidRPr="00CC6129">
        <w:rPr>
          <w:rFonts w:ascii="Book Antiqua" w:hAnsi="Book Antiqua"/>
          <w:bCs/>
          <w:sz w:val="24"/>
          <w:szCs w:val="24"/>
          <w:lang w:val="en-US"/>
        </w:rPr>
        <w:t>all authors have read and approved the final version to be published.</w:t>
      </w:r>
      <w:r w:rsidR="0010680C">
        <w:rPr>
          <w:rFonts w:ascii="Book Antiqua" w:hAnsi="Book Antiqua"/>
          <w:bCs/>
          <w:sz w:val="24"/>
          <w:szCs w:val="24"/>
          <w:lang w:val="en-US"/>
        </w:rPr>
        <w:t xml:space="preserve"> </w:t>
      </w:r>
      <w:r w:rsidR="00AD3739" w:rsidRPr="00CC6129">
        <w:rPr>
          <w:rFonts w:ascii="Book Antiqua" w:hAnsi="Book Antiqua"/>
          <w:bCs/>
          <w:sz w:val="24"/>
          <w:szCs w:val="24"/>
          <w:lang w:val="en-US"/>
        </w:rPr>
        <w:t>Ferroni P</w:t>
      </w:r>
      <w:r w:rsidR="000E0BDD" w:rsidRPr="00CC6129">
        <w:rPr>
          <w:rFonts w:ascii="Book Antiqua" w:hAnsi="Book Antiqua"/>
          <w:bCs/>
          <w:sz w:val="24"/>
          <w:szCs w:val="24"/>
          <w:lang w:val="en-US"/>
        </w:rPr>
        <w:t xml:space="preserve"> and Roselli M</w:t>
      </w:r>
      <w:r w:rsidRPr="00CC6129">
        <w:rPr>
          <w:rFonts w:ascii="Book Antiqua" w:hAnsi="Book Antiqua"/>
          <w:bCs/>
          <w:sz w:val="24"/>
          <w:szCs w:val="24"/>
          <w:lang w:val="en-US"/>
        </w:rPr>
        <w:t xml:space="preserve"> are co-</w:t>
      </w:r>
      <w:r w:rsidR="000E0BDD" w:rsidRPr="00CC6129">
        <w:rPr>
          <w:rFonts w:ascii="Book Antiqua" w:hAnsi="Book Antiqua"/>
          <w:bCs/>
          <w:sz w:val="24"/>
          <w:szCs w:val="24"/>
          <w:lang w:val="en-US"/>
        </w:rPr>
        <w:t>senior</w:t>
      </w:r>
      <w:r w:rsidRPr="00CC6129">
        <w:rPr>
          <w:rFonts w:ascii="Book Antiqua" w:hAnsi="Book Antiqua"/>
          <w:bCs/>
          <w:sz w:val="24"/>
          <w:szCs w:val="24"/>
          <w:lang w:val="en-US"/>
        </w:rPr>
        <w:t xml:space="preserve"> authors for equal contribution.</w:t>
      </w:r>
    </w:p>
    <w:p w:rsidR="00B722A1" w:rsidRPr="00CC6129" w:rsidRDefault="00B722A1" w:rsidP="0010680C">
      <w:pPr>
        <w:snapToGrid w:val="0"/>
        <w:spacing w:after="0" w:line="360" w:lineRule="auto"/>
        <w:jc w:val="both"/>
        <w:rPr>
          <w:rFonts w:ascii="Book Antiqua" w:hAnsi="Book Antiqua"/>
          <w:b/>
          <w:bCs/>
          <w:sz w:val="24"/>
          <w:szCs w:val="24"/>
          <w:lang w:val="en-US"/>
        </w:rPr>
      </w:pPr>
    </w:p>
    <w:p w:rsidR="00B722A1" w:rsidRPr="00CC6129" w:rsidRDefault="00B722A1" w:rsidP="0010680C">
      <w:pPr>
        <w:snapToGrid w:val="0"/>
        <w:spacing w:after="0" w:line="360" w:lineRule="auto"/>
        <w:jc w:val="both"/>
        <w:rPr>
          <w:rFonts w:ascii="Book Antiqua" w:hAnsi="Book Antiqua"/>
          <w:b/>
          <w:bCs/>
          <w:sz w:val="24"/>
          <w:szCs w:val="24"/>
          <w:lang w:val="en-US"/>
        </w:rPr>
      </w:pPr>
      <w:r w:rsidRPr="00CC6129">
        <w:rPr>
          <w:rFonts w:ascii="Book Antiqua" w:hAnsi="Book Antiqua"/>
          <w:b/>
          <w:bCs/>
          <w:sz w:val="24"/>
          <w:szCs w:val="24"/>
          <w:lang w:val="en-US"/>
        </w:rPr>
        <w:t>Insti</w:t>
      </w:r>
      <w:r w:rsidR="00CC6129">
        <w:rPr>
          <w:rFonts w:ascii="Book Antiqua" w:hAnsi="Book Antiqua"/>
          <w:b/>
          <w:bCs/>
          <w:sz w:val="24"/>
          <w:szCs w:val="24"/>
          <w:lang w:val="en-US"/>
        </w:rPr>
        <w:t>tutional review board statement</w:t>
      </w:r>
      <w:r w:rsidR="00CC6129">
        <w:rPr>
          <w:rFonts w:ascii="Book Antiqua" w:hAnsi="Book Antiqua" w:hint="eastAsia"/>
          <w:b/>
          <w:bCs/>
          <w:sz w:val="24"/>
          <w:szCs w:val="24"/>
          <w:lang w:val="en-US" w:eastAsia="zh-CN"/>
        </w:rPr>
        <w:t xml:space="preserve">: </w:t>
      </w:r>
      <w:r w:rsidRPr="00CC6129">
        <w:rPr>
          <w:rFonts w:ascii="Book Antiqua" w:hAnsi="Book Antiqua"/>
          <w:bCs/>
          <w:sz w:val="24"/>
          <w:szCs w:val="24"/>
          <w:lang w:val="en-US"/>
        </w:rPr>
        <w:t>The study was reviewed and approved by the Scientific Institute for Research, Hospitalization and Health Care San Raffaele Pisana and by the Tor Vergata University Institutional Review Boards.</w:t>
      </w:r>
    </w:p>
    <w:p w:rsidR="00B722A1" w:rsidRPr="00CC6129" w:rsidRDefault="00B722A1" w:rsidP="0010680C">
      <w:pPr>
        <w:snapToGrid w:val="0"/>
        <w:spacing w:after="0" w:line="360" w:lineRule="auto"/>
        <w:jc w:val="both"/>
        <w:rPr>
          <w:rFonts w:ascii="Book Antiqua" w:hAnsi="Book Antiqua"/>
          <w:b/>
          <w:bCs/>
          <w:sz w:val="24"/>
          <w:szCs w:val="24"/>
          <w:lang w:val="en-US"/>
        </w:rPr>
      </w:pPr>
    </w:p>
    <w:p w:rsidR="00B722A1" w:rsidRPr="00CC6129" w:rsidRDefault="00AE38CC" w:rsidP="0010680C">
      <w:pPr>
        <w:snapToGrid w:val="0"/>
        <w:spacing w:after="0" w:line="360" w:lineRule="auto"/>
        <w:jc w:val="both"/>
        <w:rPr>
          <w:rFonts w:ascii="Book Antiqua" w:hAnsi="Book Antiqua"/>
          <w:b/>
          <w:bCs/>
          <w:sz w:val="24"/>
          <w:szCs w:val="24"/>
          <w:lang w:val="en-US"/>
        </w:rPr>
      </w:pPr>
      <w:r w:rsidRPr="00CC6129">
        <w:rPr>
          <w:rFonts w:ascii="Book Antiqua" w:hAnsi="Book Antiqua"/>
          <w:b/>
          <w:bCs/>
          <w:sz w:val="24"/>
          <w:szCs w:val="24"/>
          <w:lang w:val="en-US"/>
        </w:rPr>
        <w:t>Informed consent statement</w:t>
      </w:r>
      <w:r w:rsidRPr="00CC6129">
        <w:rPr>
          <w:rFonts w:ascii="Book Antiqua" w:hAnsi="Book Antiqua"/>
          <w:b/>
          <w:bCs/>
          <w:sz w:val="24"/>
          <w:szCs w:val="24"/>
          <w:lang w:val="en-US" w:eastAsia="zh-CN"/>
        </w:rPr>
        <w:t xml:space="preserve">: </w:t>
      </w:r>
      <w:r w:rsidR="00B722A1" w:rsidRPr="00CC6129">
        <w:rPr>
          <w:rFonts w:ascii="Book Antiqua" w:hAnsi="Book Antiqua"/>
          <w:bCs/>
          <w:sz w:val="24"/>
          <w:szCs w:val="24"/>
          <w:lang w:val="en-US"/>
        </w:rPr>
        <w:t>All study participants or their legal guardian provided informed written consent about personal and medical data collection prior to study enrolment.</w:t>
      </w:r>
    </w:p>
    <w:p w:rsidR="00B722A1" w:rsidRPr="00CC6129" w:rsidRDefault="00B722A1" w:rsidP="0010680C">
      <w:pPr>
        <w:snapToGrid w:val="0"/>
        <w:spacing w:after="0" w:line="360" w:lineRule="auto"/>
        <w:jc w:val="both"/>
        <w:rPr>
          <w:rFonts w:ascii="Book Antiqua" w:hAnsi="Book Antiqua"/>
          <w:b/>
          <w:bCs/>
          <w:sz w:val="24"/>
          <w:szCs w:val="24"/>
          <w:lang w:val="en-US"/>
        </w:rPr>
      </w:pPr>
    </w:p>
    <w:p w:rsidR="00B722A1" w:rsidRPr="00CC6129" w:rsidRDefault="00AE38CC" w:rsidP="0010680C">
      <w:pPr>
        <w:snapToGrid w:val="0"/>
        <w:spacing w:after="0" w:line="360" w:lineRule="auto"/>
        <w:jc w:val="both"/>
        <w:rPr>
          <w:rFonts w:ascii="Book Antiqua" w:hAnsi="Book Antiqua"/>
          <w:b/>
          <w:bCs/>
          <w:sz w:val="24"/>
          <w:szCs w:val="24"/>
          <w:lang w:val="en-US"/>
        </w:rPr>
      </w:pPr>
      <w:r w:rsidRPr="00CC6129">
        <w:rPr>
          <w:rFonts w:ascii="Book Antiqua" w:hAnsi="Book Antiqua"/>
          <w:b/>
          <w:bCs/>
          <w:sz w:val="24"/>
          <w:szCs w:val="24"/>
          <w:lang w:val="en-US"/>
        </w:rPr>
        <w:t>Conflict-of-interest statement</w:t>
      </w:r>
      <w:r w:rsidRPr="00CC6129">
        <w:rPr>
          <w:rFonts w:ascii="Book Antiqua" w:hAnsi="Book Antiqua"/>
          <w:b/>
          <w:bCs/>
          <w:sz w:val="24"/>
          <w:szCs w:val="24"/>
          <w:lang w:val="en-US" w:eastAsia="zh-CN"/>
        </w:rPr>
        <w:t xml:space="preserve">: </w:t>
      </w:r>
      <w:r w:rsidR="00B722A1" w:rsidRPr="00CC6129">
        <w:rPr>
          <w:rFonts w:ascii="Book Antiqua" w:hAnsi="Book Antiqua"/>
          <w:bCs/>
          <w:sz w:val="24"/>
          <w:szCs w:val="24"/>
          <w:lang w:val="en-US"/>
        </w:rPr>
        <w:t>All the Authors have no conflict of interest related to the manuscript.</w:t>
      </w:r>
    </w:p>
    <w:p w:rsidR="00B722A1" w:rsidRPr="00CC6129" w:rsidRDefault="00B722A1" w:rsidP="0010680C">
      <w:pPr>
        <w:snapToGrid w:val="0"/>
        <w:spacing w:after="0" w:line="360" w:lineRule="auto"/>
        <w:jc w:val="both"/>
        <w:rPr>
          <w:rFonts w:ascii="Book Antiqua" w:hAnsi="Book Antiqua"/>
          <w:bCs/>
          <w:sz w:val="24"/>
          <w:szCs w:val="24"/>
          <w:lang w:val="en-US"/>
        </w:rPr>
      </w:pPr>
    </w:p>
    <w:p w:rsidR="00B722A1" w:rsidRPr="00CC6129" w:rsidRDefault="00AE38CC" w:rsidP="0010680C">
      <w:pPr>
        <w:snapToGrid w:val="0"/>
        <w:spacing w:after="0" w:line="360" w:lineRule="auto"/>
        <w:jc w:val="both"/>
        <w:rPr>
          <w:rFonts w:ascii="Book Antiqua" w:hAnsi="Book Antiqua"/>
          <w:b/>
          <w:bCs/>
          <w:sz w:val="24"/>
          <w:szCs w:val="24"/>
          <w:lang w:val="en-US"/>
        </w:rPr>
      </w:pPr>
      <w:r w:rsidRPr="00CC6129">
        <w:rPr>
          <w:rFonts w:ascii="Book Antiqua" w:hAnsi="Book Antiqua"/>
          <w:b/>
          <w:bCs/>
          <w:sz w:val="24"/>
          <w:szCs w:val="24"/>
          <w:lang w:val="en-US"/>
        </w:rPr>
        <w:t>Data sharing statement</w:t>
      </w:r>
      <w:r w:rsidRPr="00CC6129">
        <w:rPr>
          <w:rFonts w:ascii="Book Antiqua" w:hAnsi="Book Antiqua"/>
          <w:b/>
          <w:bCs/>
          <w:sz w:val="24"/>
          <w:szCs w:val="24"/>
          <w:lang w:val="en-US" w:eastAsia="zh-CN"/>
        </w:rPr>
        <w:t xml:space="preserve">: </w:t>
      </w:r>
      <w:r w:rsidR="00097697" w:rsidRPr="00CC6129">
        <w:rPr>
          <w:rFonts w:ascii="Book Antiqua" w:hAnsi="Book Antiqua"/>
          <w:bCs/>
          <w:sz w:val="24"/>
          <w:szCs w:val="24"/>
          <w:lang w:val="en-US"/>
        </w:rPr>
        <w:t>No additional data are available.</w:t>
      </w:r>
    </w:p>
    <w:p w:rsidR="00B722A1" w:rsidRPr="00CC6129" w:rsidRDefault="00B722A1" w:rsidP="0010680C">
      <w:pPr>
        <w:snapToGrid w:val="0"/>
        <w:spacing w:after="0" w:line="360" w:lineRule="auto"/>
        <w:jc w:val="both"/>
        <w:rPr>
          <w:rFonts w:ascii="Book Antiqua" w:hAnsi="Book Antiqua"/>
          <w:sz w:val="24"/>
          <w:szCs w:val="24"/>
          <w:lang w:val="en-US"/>
        </w:rPr>
      </w:pPr>
    </w:p>
    <w:p w:rsidR="00CC6129" w:rsidRPr="00005305" w:rsidRDefault="00CC6129" w:rsidP="0010680C">
      <w:pPr>
        <w:pStyle w:val="1"/>
        <w:snapToGrid w:val="0"/>
        <w:spacing w:line="360" w:lineRule="auto"/>
        <w:jc w:val="both"/>
        <w:rPr>
          <w:rFonts w:ascii="Book Antiqua" w:hAnsi="Book Antiqua" w:cs="Times New Roman"/>
          <w:bCs/>
          <w:color w:val="auto"/>
          <w:sz w:val="24"/>
          <w:highlight w:val="white"/>
          <w:lang w:val="en-US"/>
        </w:rPr>
      </w:pPr>
      <w:bookmarkStart w:id="4" w:name="OLE_LINK734"/>
      <w:bookmarkStart w:id="5" w:name="OLE_LINK441"/>
      <w:bookmarkStart w:id="6" w:name="OLE_LINK442"/>
      <w:bookmarkStart w:id="7" w:name="OLE_LINK1032"/>
      <w:bookmarkStart w:id="8" w:name="OLE_LINK1232"/>
      <w:bookmarkStart w:id="9"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0" w:name="OLE_LINK479"/>
      <w:bookmarkStart w:id="11" w:name="OLE_LINK496"/>
      <w:bookmarkStart w:id="12" w:name="OLE_LINK506"/>
      <w:bookmarkStart w:id="13"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4"/>
      <w:bookmarkEnd w:id="10"/>
      <w:bookmarkEnd w:id="11"/>
      <w:bookmarkEnd w:id="12"/>
      <w:bookmarkEnd w:id="13"/>
    </w:p>
    <w:bookmarkEnd w:id="5"/>
    <w:bookmarkEnd w:id="6"/>
    <w:bookmarkEnd w:id="7"/>
    <w:bookmarkEnd w:id="8"/>
    <w:bookmarkEnd w:id="9"/>
    <w:p w:rsidR="00CC6129" w:rsidRDefault="00CC6129" w:rsidP="0010680C">
      <w:pPr>
        <w:pStyle w:val="1"/>
        <w:snapToGrid w:val="0"/>
        <w:spacing w:line="360" w:lineRule="auto"/>
        <w:jc w:val="both"/>
        <w:rPr>
          <w:rFonts w:ascii="Book Antiqua" w:hAnsi="Book Antiqua" w:cs="Times New Roman"/>
          <w:b/>
          <w:bCs/>
          <w:color w:val="FF0000"/>
          <w:sz w:val="24"/>
          <w:highlight w:val="white"/>
          <w:lang w:val="en-US" w:eastAsia="zh-CN"/>
        </w:rPr>
      </w:pPr>
    </w:p>
    <w:p w:rsidR="00CC6129" w:rsidRDefault="00CC6129" w:rsidP="0010680C">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rsidR="00E54801" w:rsidRPr="00CC6129" w:rsidRDefault="00E54801" w:rsidP="0010680C">
      <w:pPr>
        <w:snapToGrid w:val="0"/>
        <w:spacing w:after="0" w:line="360" w:lineRule="auto"/>
        <w:jc w:val="both"/>
        <w:rPr>
          <w:rFonts w:ascii="Book Antiqua" w:hAnsi="Book Antiqua"/>
          <w:sz w:val="24"/>
          <w:szCs w:val="24"/>
          <w:lang w:val="en-US" w:eastAsia="zh-CN"/>
        </w:rPr>
      </w:pPr>
    </w:p>
    <w:p w:rsidR="00B722A1" w:rsidRPr="00CC6129" w:rsidRDefault="00B722A1" w:rsidP="0010680C">
      <w:pPr>
        <w:snapToGrid w:val="0"/>
        <w:spacing w:after="0" w:line="360" w:lineRule="auto"/>
        <w:jc w:val="both"/>
        <w:rPr>
          <w:rFonts w:ascii="Book Antiqua" w:hAnsi="Book Antiqua"/>
          <w:sz w:val="24"/>
          <w:szCs w:val="24"/>
        </w:rPr>
      </w:pPr>
      <w:r w:rsidRPr="00CC6129">
        <w:rPr>
          <w:rFonts w:ascii="Book Antiqua" w:hAnsi="Book Antiqua"/>
          <w:b/>
          <w:sz w:val="24"/>
          <w:szCs w:val="24"/>
        </w:rPr>
        <w:lastRenderedPageBreak/>
        <w:t>Correspondence to:</w:t>
      </w:r>
      <w:r w:rsidR="0010680C">
        <w:rPr>
          <w:rFonts w:ascii="Book Antiqua" w:hAnsi="Book Antiqua"/>
          <w:b/>
          <w:sz w:val="24"/>
          <w:szCs w:val="24"/>
        </w:rPr>
        <w:t xml:space="preserve"> </w:t>
      </w:r>
      <w:r w:rsidR="00CC6129" w:rsidRPr="00CC6129">
        <w:rPr>
          <w:rFonts w:ascii="Book Antiqua" w:hAnsi="Book Antiqua"/>
          <w:b/>
          <w:sz w:val="24"/>
          <w:szCs w:val="24"/>
        </w:rPr>
        <w:t>Patrizia Ferroni, MD, PhD</w:t>
      </w:r>
      <w:r w:rsidRPr="00CC6129">
        <w:rPr>
          <w:rFonts w:ascii="Book Antiqua" w:hAnsi="Book Antiqua"/>
          <w:b/>
          <w:sz w:val="24"/>
          <w:szCs w:val="24"/>
        </w:rPr>
        <w:t xml:space="preserve">, </w:t>
      </w:r>
      <w:r w:rsidRPr="00CC6129">
        <w:rPr>
          <w:rFonts w:ascii="Book Antiqua" w:hAnsi="Book Antiqua"/>
          <w:sz w:val="24"/>
          <w:szCs w:val="24"/>
        </w:rPr>
        <w:t>San Raffaele Roma Open University, IRCCS San Raffaele Pisana, Via di Val C</w:t>
      </w:r>
      <w:r w:rsidR="00CC6129">
        <w:rPr>
          <w:rFonts w:ascii="Book Antiqua" w:hAnsi="Book Antiqua"/>
          <w:sz w:val="24"/>
          <w:szCs w:val="24"/>
        </w:rPr>
        <w:t>annuta 247, 00166</w:t>
      </w:r>
      <w:r w:rsidR="00CC6129">
        <w:rPr>
          <w:rFonts w:ascii="Book Antiqua" w:hAnsi="Book Antiqua" w:hint="eastAsia"/>
          <w:sz w:val="24"/>
          <w:szCs w:val="24"/>
          <w:lang w:eastAsia="zh-CN"/>
        </w:rPr>
        <w:t xml:space="preserve"> </w:t>
      </w:r>
      <w:r w:rsidR="00CC6129">
        <w:rPr>
          <w:rFonts w:ascii="Book Antiqua" w:hAnsi="Book Antiqua"/>
          <w:sz w:val="24"/>
          <w:szCs w:val="24"/>
        </w:rPr>
        <w:t>Rome, Italy.</w:t>
      </w:r>
      <w:r w:rsidR="00CC6129">
        <w:rPr>
          <w:rFonts w:ascii="Book Antiqua" w:hAnsi="Book Antiqua" w:hint="eastAsia"/>
          <w:sz w:val="24"/>
          <w:szCs w:val="24"/>
          <w:lang w:eastAsia="zh-CN"/>
        </w:rPr>
        <w:t xml:space="preserve"> </w:t>
      </w:r>
      <w:hyperlink r:id="rId9" w:history="1">
        <w:r w:rsidR="00211641" w:rsidRPr="00CC6129">
          <w:rPr>
            <w:rStyle w:val="Hyperlink"/>
            <w:rFonts w:ascii="Book Antiqua" w:hAnsi="Book Antiqua"/>
            <w:color w:val="auto"/>
            <w:sz w:val="24"/>
            <w:szCs w:val="24"/>
            <w:lang w:val="en-US"/>
          </w:rPr>
          <w:t>patrizia.ferroni@sanraffaele.it</w:t>
        </w:r>
      </w:hyperlink>
      <w:r w:rsidRPr="00CC6129">
        <w:rPr>
          <w:rFonts w:ascii="Book Antiqua" w:hAnsi="Book Antiqua"/>
          <w:sz w:val="24"/>
          <w:szCs w:val="24"/>
          <w:lang w:val="en-US"/>
        </w:rPr>
        <w:t xml:space="preserve"> </w:t>
      </w:r>
    </w:p>
    <w:p w:rsidR="00B722A1" w:rsidRPr="00CC6129" w:rsidRDefault="00B722A1" w:rsidP="0010680C">
      <w:pPr>
        <w:snapToGrid w:val="0"/>
        <w:spacing w:after="0" w:line="360" w:lineRule="auto"/>
        <w:jc w:val="both"/>
        <w:rPr>
          <w:rFonts w:ascii="Book Antiqua" w:hAnsi="Book Antiqua"/>
          <w:sz w:val="24"/>
          <w:szCs w:val="24"/>
          <w:lang w:val="en-US"/>
        </w:rPr>
      </w:pPr>
      <w:r w:rsidRPr="00CC6129">
        <w:rPr>
          <w:rFonts w:ascii="Book Antiqua" w:hAnsi="Book Antiqua"/>
          <w:b/>
          <w:sz w:val="24"/>
          <w:szCs w:val="24"/>
          <w:lang w:val="en-US"/>
        </w:rPr>
        <w:t>Telephone</w:t>
      </w:r>
      <w:r w:rsidR="00AE38CC" w:rsidRPr="00CC6129">
        <w:rPr>
          <w:rFonts w:ascii="Book Antiqua" w:hAnsi="Book Antiqua"/>
          <w:b/>
          <w:sz w:val="24"/>
          <w:szCs w:val="24"/>
          <w:lang w:val="en-US" w:eastAsia="zh-CN"/>
        </w:rPr>
        <w:t>:</w:t>
      </w:r>
      <w:r w:rsidR="00CC6129">
        <w:rPr>
          <w:rFonts w:ascii="Book Antiqua" w:hAnsi="Book Antiqua" w:hint="eastAsia"/>
          <w:b/>
          <w:sz w:val="24"/>
          <w:szCs w:val="24"/>
          <w:lang w:val="en-US" w:eastAsia="zh-CN"/>
        </w:rPr>
        <w:t xml:space="preserve"> </w:t>
      </w:r>
      <w:r w:rsidRPr="00CC6129">
        <w:rPr>
          <w:rFonts w:ascii="Book Antiqua" w:hAnsi="Book Antiqua"/>
          <w:sz w:val="24"/>
          <w:szCs w:val="24"/>
          <w:lang w:val="en-US"/>
        </w:rPr>
        <w:t>+39</w:t>
      </w:r>
      <w:r w:rsidR="00CC6129">
        <w:rPr>
          <w:rFonts w:ascii="Book Antiqua" w:hAnsi="Book Antiqua" w:hint="eastAsia"/>
          <w:sz w:val="24"/>
          <w:szCs w:val="24"/>
          <w:lang w:val="en-US" w:eastAsia="zh-CN"/>
        </w:rPr>
        <w:t>-</w:t>
      </w:r>
      <w:r w:rsidRPr="00CC6129">
        <w:rPr>
          <w:rFonts w:ascii="Book Antiqua" w:hAnsi="Book Antiqua"/>
          <w:sz w:val="24"/>
          <w:szCs w:val="24"/>
          <w:lang w:val="en-US"/>
        </w:rPr>
        <w:t>6</w:t>
      </w:r>
      <w:r w:rsidR="00CC6129">
        <w:rPr>
          <w:rFonts w:ascii="Book Antiqua" w:hAnsi="Book Antiqua" w:hint="eastAsia"/>
          <w:sz w:val="24"/>
          <w:szCs w:val="24"/>
          <w:lang w:val="en-US" w:eastAsia="zh-CN"/>
        </w:rPr>
        <w:t>-</w:t>
      </w:r>
      <w:r w:rsidRPr="00CC6129">
        <w:rPr>
          <w:rFonts w:ascii="Book Antiqua" w:hAnsi="Book Antiqua"/>
          <w:sz w:val="24"/>
          <w:szCs w:val="24"/>
          <w:lang w:val="en-US"/>
        </w:rPr>
        <w:t>52253733</w:t>
      </w:r>
    </w:p>
    <w:p w:rsidR="00B722A1" w:rsidRPr="00CC6129" w:rsidRDefault="00B722A1" w:rsidP="0010680C">
      <w:pPr>
        <w:snapToGrid w:val="0"/>
        <w:spacing w:after="0" w:line="360" w:lineRule="auto"/>
        <w:jc w:val="both"/>
        <w:rPr>
          <w:rFonts w:ascii="Book Antiqua" w:hAnsi="Book Antiqua"/>
          <w:sz w:val="24"/>
          <w:szCs w:val="24"/>
          <w:lang w:val="en-US"/>
        </w:rPr>
      </w:pPr>
      <w:r w:rsidRPr="00CC6129">
        <w:rPr>
          <w:rFonts w:ascii="Book Antiqua" w:hAnsi="Book Antiqua"/>
          <w:b/>
          <w:sz w:val="24"/>
          <w:szCs w:val="24"/>
          <w:lang w:val="en-US"/>
        </w:rPr>
        <w:t>Fax:</w:t>
      </w:r>
      <w:r w:rsidR="00CC6129" w:rsidRPr="00CC6129">
        <w:rPr>
          <w:rFonts w:ascii="Book Antiqua" w:hAnsi="Book Antiqua" w:hint="eastAsia"/>
          <w:b/>
          <w:sz w:val="24"/>
          <w:szCs w:val="24"/>
          <w:lang w:val="en-US" w:eastAsia="zh-CN"/>
        </w:rPr>
        <w:t xml:space="preserve"> </w:t>
      </w:r>
      <w:r w:rsidRPr="00CC6129">
        <w:rPr>
          <w:rFonts w:ascii="Book Antiqua" w:hAnsi="Book Antiqua"/>
          <w:sz w:val="24"/>
          <w:szCs w:val="24"/>
          <w:lang w:val="en-US"/>
        </w:rPr>
        <w:t>+39</w:t>
      </w:r>
      <w:r w:rsidR="00CC6129">
        <w:rPr>
          <w:rFonts w:ascii="Book Antiqua" w:hAnsi="Book Antiqua" w:hint="eastAsia"/>
          <w:sz w:val="24"/>
          <w:szCs w:val="24"/>
          <w:lang w:val="en-US" w:eastAsia="zh-CN"/>
        </w:rPr>
        <w:t>-</w:t>
      </w:r>
      <w:r w:rsidRPr="00CC6129">
        <w:rPr>
          <w:rFonts w:ascii="Book Antiqua" w:hAnsi="Book Antiqua"/>
          <w:sz w:val="24"/>
          <w:szCs w:val="24"/>
          <w:lang w:val="en-US"/>
        </w:rPr>
        <w:t>6</w:t>
      </w:r>
      <w:r w:rsidR="00CC6129">
        <w:rPr>
          <w:rFonts w:ascii="Book Antiqua" w:hAnsi="Book Antiqua" w:hint="eastAsia"/>
          <w:sz w:val="24"/>
          <w:szCs w:val="24"/>
          <w:lang w:val="en-US" w:eastAsia="zh-CN"/>
        </w:rPr>
        <w:t>-</w:t>
      </w:r>
      <w:r w:rsidRPr="00CC6129">
        <w:rPr>
          <w:rFonts w:ascii="Book Antiqua" w:hAnsi="Book Antiqua"/>
          <w:sz w:val="24"/>
          <w:szCs w:val="24"/>
          <w:lang w:val="en-US"/>
        </w:rPr>
        <w:t>52255668</w:t>
      </w:r>
    </w:p>
    <w:p w:rsidR="00097697" w:rsidRDefault="00097697" w:rsidP="0010680C">
      <w:pPr>
        <w:snapToGrid w:val="0"/>
        <w:spacing w:after="0" w:line="360" w:lineRule="auto"/>
        <w:jc w:val="both"/>
        <w:rPr>
          <w:rFonts w:ascii="Book Antiqua" w:hAnsi="Book Antiqua"/>
          <w:sz w:val="24"/>
          <w:szCs w:val="24"/>
          <w:lang w:val="en-US" w:eastAsia="zh-CN"/>
        </w:rPr>
      </w:pPr>
    </w:p>
    <w:p w:rsidR="00CC6129" w:rsidRPr="00CC6129" w:rsidRDefault="00CC6129" w:rsidP="0010680C">
      <w:pPr>
        <w:snapToGrid w:val="0"/>
        <w:spacing w:after="0" w:line="360" w:lineRule="auto"/>
        <w:jc w:val="both"/>
        <w:rPr>
          <w:rFonts w:ascii="Book Antiqua" w:eastAsia="SimSun" w:hAnsi="Book Antiqua" w:cs="SimSun"/>
          <w:b/>
          <w:sz w:val="24"/>
          <w:szCs w:val="24"/>
          <w:lang w:val="en-US" w:eastAsia="zh-CN"/>
        </w:rPr>
      </w:pPr>
      <w:r w:rsidRPr="00CC6129">
        <w:rPr>
          <w:rFonts w:ascii="Book Antiqua" w:eastAsia="SimSun" w:hAnsi="Book Antiqua" w:cs="SimSun"/>
          <w:b/>
          <w:sz w:val="24"/>
          <w:szCs w:val="24"/>
          <w:lang w:val="en-US" w:eastAsia="zh-CN"/>
        </w:rPr>
        <w:t>Received:</w:t>
      </w:r>
      <w:r w:rsidRPr="00CC6129">
        <w:rPr>
          <w:rFonts w:ascii="Book Antiqua" w:eastAsia="SimSun" w:hAnsi="Book Antiqua" w:cs="SimSun" w:hint="eastAsia"/>
          <w:sz w:val="24"/>
          <w:szCs w:val="24"/>
          <w:lang w:val="en-US" w:eastAsia="zh-CN"/>
        </w:rPr>
        <w:t xml:space="preserve"> January 28, 2017</w:t>
      </w:r>
    </w:p>
    <w:p w:rsidR="00CC6129" w:rsidRPr="00CC6129" w:rsidRDefault="00CC6129" w:rsidP="0010680C">
      <w:pPr>
        <w:snapToGrid w:val="0"/>
        <w:spacing w:after="0" w:line="360" w:lineRule="auto"/>
        <w:jc w:val="both"/>
        <w:rPr>
          <w:rFonts w:ascii="Book Antiqua" w:eastAsia="SimSun" w:hAnsi="Book Antiqua" w:cs="SimSun"/>
          <w:b/>
          <w:sz w:val="24"/>
          <w:szCs w:val="24"/>
          <w:lang w:val="en-US" w:eastAsia="zh-CN"/>
        </w:rPr>
      </w:pPr>
      <w:r w:rsidRPr="00CC6129">
        <w:rPr>
          <w:rFonts w:ascii="Book Antiqua" w:eastAsia="SimSun" w:hAnsi="Book Antiqua" w:cs="SimSun"/>
          <w:b/>
          <w:sz w:val="24"/>
          <w:szCs w:val="24"/>
          <w:lang w:val="en-US" w:eastAsia="zh-CN"/>
        </w:rPr>
        <w:t>Peer-review started:</w:t>
      </w:r>
      <w:r>
        <w:rPr>
          <w:rFonts w:ascii="Book Antiqua" w:eastAsia="SimSun" w:hAnsi="Book Antiqua" w:cs="SimSun" w:hint="eastAsia"/>
          <w:b/>
          <w:sz w:val="24"/>
          <w:szCs w:val="24"/>
          <w:lang w:val="en-US" w:eastAsia="zh-CN"/>
        </w:rPr>
        <w:t xml:space="preserve"> </w:t>
      </w:r>
      <w:r w:rsidRPr="00CC6129">
        <w:rPr>
          <w:rFonts w:ascii="Book Antiqua" w:eastAsia="SimSun" w:hAnsi="Book Antiqua" w:cs="SimSun" w:hint="eastAsia"/>
          <w:sz w:val="24"/>
          <w:szCs w:val="24"/>
          <w:lang w:val="en-US" w:eastAsia="zh-CN"/>
        </w:rPr>
        <w:t>February 9, 2017</w:t>
      </w:r>
    </w:p>
    <w:p w:rsidR="00CC6129" w:rsidRPr="00CC6129" w:rsidRDefault="00CC6129" w:rsidP="0010680C">
      <w:pPr>
        <w:snapToGrid w:val="0"/>
        <w:spacing w:after="0" w:line="360" w:lineRule="auto"/>
        <w:jc w:val="both"/>
        <w:rPr>
          <w:rFonts w:ascii="Book Antiqua" w:eastAsia="SimSun" w:hAnsi="Book Antiqua" w:cs="SimSun"/>
          <w:b/>
          <w:sz w:val="24"/>
          <w:szCs w:val="24"/>
          <w:lang w:val="en-US" w:eastAsia="zh-CN"/>
        </w:rPr>
      </w:pPr>
      <w:r w:rsidRPr="00CC6129">
        <w:rPr>
          <w:rFonts w:ascii="Book Antiqua" w:eastAsia="SimSun" w:hAnsi="Book Antiqua" w:cs="SimSun"/>
          <w:b/>
          <w:sz w:val="24"/>
          <w:szCs w:val="24"/>
          <w:lang w:val="en-US" w:eastAsia="zh-CN"/>
        </w:rPr>
        <w:t>First decision:</w:t>
      </w:r>
      <w:r>
        <w:rPr>
          <w:rFonts w:ascii="Book Antiqua" w:eastAsia="SimSun" w:hAnsi="Book Antiqua" w:cs="SimSun" w:hint="eastAsia"/>
          <w:b/>
          <w:sz w:val="24"/>
          <w:szCs w:val="24"/>
          <w:lang w:val="en-US" w:eastAsia="zh-CN"/>
        </w:rPr>
        <w:t xml:space="preserve"> </w:t>
      </w:r>
      <w:r w:rsidRPr="00CC6129">
        <w:rPr>
          <w:rFonts w:ascii="Book Antiqua" w:eastAsia="SimSun" w:hAnsi="Book Antiqua" w:cs="SimSun" w:hint="eastAsia"/>
          <w:sz w:val="24"/>
          <w:szCs w:val="24"/>
          <w:lang w:val="en-US" w:eastAsia="zh-CN"/>
        </w:rPr>
        <w:t>April 21, 2017</w:t>
      </w:r>
    </w:p>
    <w:p w:rsidR="00CC6129" w:rsidRPr="00CC6129" w:rsidRDefault="00CC6129" w:rsidP="0010680C">
      <w:pPr>
        <w:snapToGrid w:val="0"/>
        <w:spacing w:after="0" w:line="360" w:lineRule="auto"/>
        <w:jc w:val="both"/>
        <w:rPr>
          <w:rFonts w:ascii="Book Antiqua" w:eastAsia="SimSun" w:hAnsi="Book Antiqua" w:cs="SimSun"/>
          <w:b/>
          <w:sz w:val="24"/>
          <w:szCs w:val="24"/>
          <w:lang w:val="en-US" w:eastAsia="zh-CN"/>
        </w:rPr>
      </w:pPr>
      <w:r w:rsidRPr="00CC6129">
        <w:rPr>
          <w:rFonts w:ascii="Book Antiqua" w:eastAsia="SimSun" w:hAnsi="Book Antiqua" w:cs="SimSun"/>
          <w:b/>
          <w:sz w:val="24"/>
          <w:szCs w:val="24"/>
          <w:lang w:val="en-US" w:eastAsia="zh-CN"/>
        </w:rPr>
        <w:t>Revised:</w:t>
      </w:r>
      <w:r>
        <w:rPr>
          <w:rFonts w:ascii="Book Antiqua" w:eastAsia="SimSun" w:hAnsi="Book Antiqua" w:cs="SimSun" w:hint="eastAsia"/>
          <w:b/>
          <w:sz w:val="24"/>
          <w:szCs w:val="24"/>
          <w:lang w:val="en-US" w:eastAsia="zh-CN"/>
        </w:rPr>
        <w:t xml:space="preserve"> </w:t>
      </w:r>
      <w:r w:rsidRPr="00CC6129">
        <w:rPr>
          <w:rFonts w:ascii="Book Antiqua" w:eastAsia="SimSun" w:hAnsi="Book Antiqua" w:cs="SimSun" w:hint="eastAsia"/>
          <w:sz w:val="24"/>
          <w:szCs w:val="24"/>
          <w:lang w:val="en-US" w:eastAsia="zh-CN"/>
        </w:rPr>
        <w:t>May 4, 2017</w:t>
      </w:r>
    </w:p>
    <w:p w:rsidR="00CC6129" w:rsidRPr="00A27673" w:rsidRDefault="00CC6129" w:rsidP="00A27673">
      <w:pPr>
        <w:spacing w:line="360" w:lineRule="auto"/>
        <w:rPr>
          <w:rFonts w:ascii="Book Antiqua" w:hAnsi="Book Antiqua"/>
          <w:color w:val="000000"/>
          <w:sz w:val="24"/>
        </w:rPr>
      </w:pPr>
      <w:r w:rsidRPr="00CC6129">
        <w:rPr>
          <w:rFonts w:ascii="Book Antiqua" w:eastAsia="SimSun" w:hAnsi="Book Antiqua" w:cs="SimSun"/>
          <w:b/>
          <w:sz w:val="24"/>
          <w:szCs w:val="24"/>
          <w:lang w:val="en-US" w:eastAsia="zh-CN"/>
        </w:rPr>
        <w:t>Accepted:</w:t>
      </w:r>
      <w:r w:rsidR="00A27673" w:rsidRPr="00A27673">
        <w:rPr>
          <w:rFonts w:ascii="Book Antiqua" w:hAnsi="Book Antiqua"/>
          <w:color w:val="000000"/>
          <w:sz w:val="24"/>
        </w:rPr>
        <w:t xml:space="preserve"> </w:t>
      </w:r>
      <w:r w:rsidR="00A27673">
        <w:rPr>
          <w:rFonts w:ascii="Book Antiqua" w:hAnsi="Book Antiqua"/>
          <w:color w:val="000000"/>
          <w:sz w:val="24"/>
        </w:rPr>
        <w:t>July 12, 2017</w:t>
      </w:r>
      <w:bookmarkStart w:id="14" w:name="_GoBack"/>
      <w:bookmarkEnd w:id="14"/>
    </w:p>
    <w:p w:rsidR="00CC6129" w:rsidRPr="00CC6129" w:rsidRDefault="00CC6129" w:rsidP="0010680C">
      <w:pPr>
        <w:snapToGrid w:val="0"/>
        <w:spacing w:after="0" w:line="360" w:lineRule="auto"/>
        <w:jc w:val="both"/>
        <w:rPr>
          <w:rFonts w:ascii="Book Antiqua" w:eastAsia="SimSun" w:hAnsi="Book Antiqua" w:cs="SimSun"/>
          <w:b/>
          <w:sz w:val="24"/>
          <w:szCs w:val="24"/>
          <w:lang w:val="en-US" w:eastAsia="zh-CN"/>
        </w:rPr>
      </w:pPr>
      <w:r w:rsidRPr="00CC6129">
        <w:rPr>
          <w:rFonts w:ascii="Book Antiqua" w:eastAsia="SimSun" w:hAnsi="Book Antiqua" w:cs="SimSun"/>
          <w:b/>
          <w:sz w:val="24"/>
          <w:szCs w:val="24"/>
          <w:lang w:val="en-US" w:eastAsia="zh-CN"/>
        </w:rPr>
        <w:t>Article in press:</w:t>
      </w:r>
    </w:p>
    <w:p w:rsidR="00CC6129" w:rsidRPr="00CC6129" w:rsidRDefault="00CC6129" w:rsidP="0010680C">
      <w:pPr>
        <w:snapToGrid w:val="0"/>
        <w:spacing w:after="0" w:line="360" w:lineRule="auto"/>
        <w:jc w:val="both"/>
        <w:rPr>
          <w:rFonts w:ascii="Book Antiqua" w:eastAsia="SimSun" w:hAnsi="Book Antiqua" w:cs="Arial"/>
          <w:b/>
          <w:sz w:val="24"/>
          <w:szCs w:val="24"/>
          <w:lang w:val="pl-PL" w:eastAsia="zh-CN"/>
        </w:rPr>
      </w:pPr>
      <w:r w:rsidRPr="00CC6129">
        <w:rPr>
          <w:rFonts w:ascii="Book Antiqua" w:eastAsia="SimSun" w:hAnsi="Book Antiqua" w:cs="Arial"/>
          <w:b/>
          <w:sz w:val="24"/>
          <w:szCs w:val="24"/>
          <w:lang w:val="pl-PL" w:eastAsia="pl-PL"/>
        </w:rPr>
        <w:t>Published online</w:t>
      </w:r>
      <w:r w:rsidRPr="00CC6129">
        <w:rPr>
          <w:rFonts w:ascii="Book Antiqua" w:eastAsia="SimSun" w:hAnsi="Book Antiqua" w:cs="Arial" w:hint="eastAsia"/>
          <w:b/>
          <w:sz w:val="24"/>
          <w:szCs w:val="24"/>
          <w:lang w:val="pl-PL" w:eastAsia="pl-PL"/>
        </w:rPr>
        <w:t>:</w:t>
      </w:r>
    </w:p>
    <w:p w:rsidR="00CC6129" w:rsidRPr="00CC6129" w:rsidRDefault="00CC6129" w:rsidP="0010680C">
      <w:pPr>
        <w:snapToGrid w:val="0"/>
        <w:spacing w:after="0" w:line="360" w:lineRule="auto"/>
        <w:jc w:val="both"/>
        <w:rPr>
          <w:rFonts w:ascii="Book Antiqua" w:hAnsi="Book Antiqua"/>
          <w:sz w:val="24"/>
          <w:szCs w:val="24"/>
          <w:lang w:val="en-US" w:eastAsia="zh-CN"/>
        </w:rPr>
      </w:pPr>
    </w:p>
    <w:p w:rsidR="00170C01" w:rsidRPr="00CC6129" w:rsidRDefault="00170C01" w:rsidP="0010680C">
      <w:pPr>
        <w:snapToGrid w:val="0"/>
        <w:spacing w:after="0" w:line="360" w:lineRule="auto"/>
        <w:jc w:val="both"/>
        <w:rPr>
          <w:rFonts w:ascii="Book Antiqua" w:hAnsi="Book Antiqua"/>
          <w:b/>
          <w:bCs/>
          <w:sz w:val="24"/>
          <w:szCs w:val="24"/>
          <w:lang w:val="en-US"/>
        </w:rPr>
      </w:pPr>
      <w:r w:rsidRPr="00CC6129">
        <w:rPr>
          <w:rFonts w:ascii="Book Antiqua" w:hAnsi="Book Antiqua"/>
          <w:b/>
          <w:bCs/>
          <w:sz w:val="24"/>
          <w:szCs w:val="24"/>
          <w:lang w:val="en-US"/>
        </w:rPr>
        <w:br w:type="page"/>
      </w:r>
    </w:p>
    <w:p w:rsidR="00097697" w:rsidRPr="00CC6129" w:rsidRDefault="00097697" w:rsidP="0010680C">
      <w:pPr>
        <w:snapToGrid w:val="0"/>
        <w:spacing w:after="0" w:line="360" w:lineRule="auto"/>
        <w:jc w:val="both"/>
        <w:rPr>
          <w:rFonts w:ascii="Book Antiqua" w:hAnsi="Book Antiqua"/>
          <w:b/>
          <w:bCs/>
          <w:sz w:val="24"/>
          <w:szCs w:val="24"/>
          <w:lang w:val="en-US"/>
        </w:rPr>
      </w:pPr>
      <w:r w:rsidRPr="00CC6129">
        <w:rPr>
          <w:rFonts w:ascii="Book Antiqua" w:hAnsi="Book Antiqua"/>
          <w:b/>
          <w:bCs/>
          <w:sz w:val="24"/>
          <w:szCs w:val="24"/>
          <w:lang w:val="en-US"/>
        </w:rPr>
        <w:lastRenderedPageBreak/>
        <w:t>A</w:t>
      </w:r>
      <w:r w:rsidR="00170C01" w:rsidRPr="00CC6129">
        <w:rPr>
          <w:rFonts w:ascii="Book Antiqua" w:hAnsi="Book Antiqua"/>
          <w:b/>
          <w:bCs/>
          <w:sz w:val="24"/>
          <w:szCs w:val="24"/>
          <w:lang w:val="en-US"/>
        </w:rPr>
        <w:t>bstract</w:t>
      </w:r>
    </w:p>
    <w:p w:rsidR="0010680C" w:rsidRPr="0010680C" w:rsidRDefault="00097697" w:rsidP="0010680C">
      <w:pPr>
        <w:snapToGrid w:val="0"/>
        <w:spacing w:after="0" w:line="360" w:lineRule="auto"/>
        <w:jc w:val="both"/>
        <w:rPr>
          <w:rFonts w:ascii="Book Antiqua" w:hAnsi="Book Antiqua"/>
          <w:bCs/>
          <w:i/>
          <w:caps/>
          <w:sz w:val="24"/>
          <w:szCs w:val="24"/>
          <w:lang w:val="en-US" w:eastAsia="zh-CN"/>
        </w:rPr>
      </w:pPr>
      <w:r w:rsidRPr="0010680C">
        <w:rPr>
          <w:rFonts w:ascii="Book Antiqua" w:hAnsi="Book Antiqua"/>
          <w:b/>
          <w:bCs/>
          <w:i/>
          <w:caps/>
          <w:sz w:val="24"/>
          <w:szCs w:val="24"/>
          <w:lang w:val="en-US"/>
        </w:rPr>
        <w:t>Aim</w:t>
      </w:r>
    </w:p>
    <w:p w:rsidR="00097697" w:rsidRPr="00CC6129" w:rsidRDefault="00DD13E8" w:rsidP="0010680C">
      <w:pPr>
        <w:snapToGrid w:val="0"/>
        <w:spacing w:after="0" w:line="360" w:lineRule="auto"/>
        <w:jc w:val="both"/>
        <w:rPr>
          <w:rFonts w:ascii="Book Antiqua" w:hAnsi="Book Antiqua"/>
          <w:bCs/>
          <w:sz w:val="24"/>
          <w:szCs w:val="24"/>
          <w:lang w:val="en-US"/>
        </w:rPr>
      </w:pPr>
      <w:r w:rsidRPr="0010680C">
        <w:rPr>
          <w:rFonts w:ascii="Book Antiqua" w:hAnsi="Book Antiqua"/>
          <w:bCs/>
          <w:caps/>
          <w:sz w:val="24"/>
          <w:szCs w:val="24"/>
          <w:lang w:val="en-US"/>
        </w:rPr>
        <w:t>t</w:t>
      </w:r>
      <w:r w:rsidRPr="00CC6129">
        <w:rPr>
          <w:rFonts w:ascii="Book Antiqua" w:hAnsi="Book Antiqua"/>
          <w:bCs/>
          <w:sz w:val="24"/>
          <w:szCs w:val="24"/>
          <w:lang w:val="en-US"/>
        </w:rPr>
        <w:t xml:space="preserve">o investigate the possible predictive role of routinely used glycemic parameters for a first </w:t>
      </w:r>
      <w:r w:rsidR="00F9216D" w:rsidRPr="00CC6129">
        <w:rPr>
          <w:rFonts w:ascii="Book Antiqua" w:hAnsi="Book Antiqua"/>
          <w:bCs/>
          <w:sz w:val="24"/>
          <w:szCs w:val="24"/>
          <w:lang w:val="en-US"/>
        </w:rPr>
        <w:t>venous thromboembolism (</w:t>
      </w:r>
      <w:r w:rsidRPr="00CC6129">
        <w:rPr>
          <w:rFonts w:ascii="Book Antiqua" w:hAnsi="Book Antiqua"/>
          <w:bCs/>
          <w:sz w:val="24"/>
          <w:szCs w:val="24"/>
          <w:lang w:val="en-US"/>
        </w:rPr>
        <w:t>VTE</w:t>
      </w:r>
      <w:r w:rsidR="00F9216D" w:rsidRPr="00CC6129">
        <w:rPr>
          <w:rFonts w:ascii="Book Antiqua" w:hAnsi="Book Antiqua"/>
          <w:bCs/>
          <w:sz w:val="24"/>
          <w:szCs w:val="24"/>
          <w:lang w:val="en-US"/>
        </w:rPr>
        <w:t>)</w:t>
      </w:r>
      <w:r w:rsidRPr="00CC6129">
        <w:rPr>
          <w:rFonts w:ascii="Book Antiqua" w:hAnsi="Book Antiqua"/>
          <w:bCs/>
          <w:sz w:val="24"/>
          <w:szCs w:val="24"/>
          <w:lang w:val="en-US"/>
        </w:rPr>
        <w:t xml:space="preserve"> episode in gastrointestinal (GI) cancer </w:t>
      </w:r>
      <w:r w:rsidR="00975C23" w:rsidRPr="00CC6129">
        <w:rPr>
          <w:rFonts w:ascii="Book Antiqua" w:hAnsi="Book Antiqua"/>
          <w:bCs/>
          <w:sz w:val="24"/>
          <w:szCs w:val="24"/>
          <w:lang w:val="en-US"/>
        </w:rPr>
        <w:t xml:space="preserve">ambulatory </w:t>
      </w:r>
      <w:r w:rsidRPr="00CC6129">
        <w:rPr>
          <w:rFonts w:ascii="Book Antiqua" w:hAnsi="Book Antiqua"/>
          <w:bCs/>
          <w:sz w:val="24"/>
          <w:szCs w:val="24"/>
          <w:lang w:val="en-US"/>
        </w:rPr>
        <w:t xml:space="preserve">patients – with or without clinically diagnosed type 2 diabetes (T2D) or obesity – </w:t>
      </w:r>
      <w:r w:rsidR="00975C23" w:rsidRPr="00CC6129">
        <w:rPr>
          <w:rFonts w:ascii="Book Antiqua" w:hAnsi="Book Antiqua"/>
          <w:bCs/>
          <w:sz w:val="24"/>
          <w:szCs w:val="24"/>
          <w:lang w:val="en-US"/>
        </w:rPr>
        <w:t>treated with</w:t>
      </w:r>
      <w:r w:rsidRPr="00CC6129">
        <w:rPr>
          <w:rFonts w:ascii="Book Antiqua" w:hAnsi="Book Antiqua"/>
          <w:bCs/>
          <w:sz w:val="24"/>
          <w:szCs w:val="24"/>
          <w:lang w:val="en-US"/>
        </w:rPr>
        <w:t xml:space="preserve"> chemotherapy.</w:t>
      </w:r>
    </w:p>
    <w:p w:rsidR="0010680C" w:rsidRDefault="0010680C" w:rsidP="0010680C">
      <w:pPr>
        <w:snapToGrid w:val="0"/>
        <w:spacing w:after="0" w:line="360" w:lineRule="auto"/>
        <w:jc w:val="both"/>
        <w:rPr>
          <w:rFonts w:ascii="Book Antiqua" w:hAnsi="Book Antiqua"/>
          <w:b/>
          <w:bCs/>
          <w:sz w:val="24"/>
          <w:szCs w:val="24"/>
          <w:lang w:val="en-US" w:eastAsia="zh-CN"/>
        </w:rPr>
      </w:pPr>
    </w:p>
    <w:p w:rsidR="0010680C" w:rsidRPr="0010680C" w:rsidRDefault="00097697" w:rsidP="0010680C">
      <w:pPr>
        <w:snapToGrid w:val="0"/>
        <w:spacing w:after="0" w:line="360" w:lineRule="auto"/>
        <w:jc w:val="both"/>
        <w:rPr>
          <w:rFonts w:ascii="Book Antiqua" w:hAnsi="Book Antiqua"/>
          <w:bCs/>
          <w:i/>
          <w:caps/>
          <w:sz w:val="24"/>
          <w:szCs w:val="24"/>
          <w:lang w:val="en-US" w:eastAsia="zh-CN"/>
        </w:rPr>
      </w:pPr>
      <w:r w:rsidRPr="0010680C">
        <w:rPr>
          <w:rFonts w:ascii="Book Antiqua" w:hAnsi="Book Antiqua"/>
          <w:b/>
          <w:bCs/>
          <w:i/>
          <w:caps/>
          <w:sz w:val="24"/>
          <w:szCs w:val="24"/>
          <w:lang w:val="en-US"/>
        </w:rPr>
        <w:t>Methods</w:t>
      </w:r>
    </w:p>
    <w:p w:rsidR="00097697" w:rsidRPr="00CC6129" w:rsidRDefault="00DD13E8" w:rsidP="0010680C">
      <w:pPr>
        <w:snapToGrid w:val="0"/>
        <w:spacing w:after="0" w:line="360" w:lineRule="auto"/>
        <w:jc w:val="both"/>
        <w:rPr>
          <w:rFonts w:ascii="Book Antiqua" w:hAnsi="Book Antiqua"/>
          <w:bCs/>
          <w:sz w:val="24"/>
          <w:szCs w:val="24"/>
          <w:lang w:val="en-US"/>
        </w:rPr>
      </w:pPr>
      <w:r w:rsidRPr="00CC6129">
        <w:rPr>
          <w:rFonts w:ascii="Book Antiqua" w:hAnsi="Book Antiqua"/>
          <w:bCs/>
          <w:sz w:val="24"/>
          <w:szCs w:val="24"/>
          <w:lang w:val="en-US"/>
        </w:rPr>
        <w:t xml:space="preserve">Pre-treatment fasting blood glucose, insulin, </w:t>
      </w:r>
      <w:r w:rsidR="005716FA" w:rsidRPr="00CC6129">
        <w:rPr>
          <w:rFonts w:ascii="Book Antiqua" w:hAnsi="Book Antiqua"/>
          <w:bCs/>
          <w:sz w:val="24"/>
          <w:szCs w:val="24"/>
          <w:lang w:val="en-US"/>
        </w:rPr>
        <w:t>glycated hemoglobin (</w:t>
      </w:r>
      <w:r w:rsidRPr="00CC6129">
        <w:rPr>
          <w:rFonts w:ascii="Book Antiqua" w:hAnsi="Book Antiqua"/>
          <w:bCs/>
          <w:sz w:val="24"/>
          <w:szCs w:val="24"/>
          <w:lang w:val="en-US"/>
        </w:rPr>
        <w:t>HbA</w:t>
      </w:r>
      <w:r w:rsidRPr="00CC6129">
        <w:rPr>
          <w:rFonts w:ascii="Book Antiqua" w:hAnsi="Book Antiqua"/>
          <w:bCs/>
          <w:sz w:val="24"/>
          <w:szCs w:val="24"/>
          <w:vertAlign w:val="subscript"/>
          <w:lang w:val="en-US"/>
        </w:rPr>
        <w:t>1c</w:t>
      </w:r>
      <w:r w:rsidR="005716FA" w:rsidRPr="00CC6129">
        <w:rPr>
          <w:rFonts w:ascii="Book Antiqua" w:hAnsi="Book Antiqua"/>
          <w:bCs/>
          <w:sz w:val="24"/>
          <w:szCs w:val="24"/>
          <w:lang w:val="en-US"/>
        </w:rPr>
        <w:t xml:space="preserve">) </w:t>
      </w:r>
      <w:r w:rsidRPr="00CC6129">
        <w:rPr>
          <w:rFonts w:ascii="Book Antiqua" w:hAnsi="Book Antiqua"/>
          <w:bCs/>
          <w:sz w:val="24"/>
          <w:szCs w:val="24"/>
          <w:lang w:val="en-US"/>
        </w:rPr>
        <w:t xml:space="preserve">and homeostasis model of risk assessment (HOMA) were retrospectively evaluated in a cohort study of </w:t>
      </w:r>
      <w:r w:rsidR="005021E3" w:rsidRPr="00CC6129">
        <w:rPr>
          <w:rFonts w:ascii="Book Antiqua" w:hAnsi="Book Antiqua"/>
          <w:bCs/>
          <w:sz w:val="24"/>
          <w:szCs w:val="24"/>
          <w:lang w:val="en-US"/>
        </w:rPr>
        <w:t xml:space="preserve">342 </w:t>
      </w:r>
      <w:r w:rsidRPr="00CC6129">
        <w:rPr>
          <w:rFonts w:ascii="Book Antiqua" w:hAnsi="Book Antiqua"/>
          <w:bCs/>
          <w:sz w:val="24"/>
          <w:szCs w:val="24"/>
          <w:lang w:val="en-US"/>
        </w:rPr>
        <w:t>GI cancer patients.</w:t>
      </w:r>
      <w:r w:rsidR="0010680C">
        <w:rPr>
          <w:rFonts w:ascii="Book Antiqua" w:hAnsi="Book Antiqua"/>
          <w:bCs/>
          <w:sz w:val="24"/>
          <w:szCs w:val="24"/>
          <w:lang w:val="en-US"/>
        </w:rPr>
        <w:t xml:space="preserve"> </w:t>
      </w:r>
      <w:r w:rsidR="003C38DC" w:rsidRPr="00CC6129">
        <w:rPr>
          <w:rFonts w:ascii="Book Antiqua" w:hAnsi="Book Antiqua"/>
          <w:bCs/>
          <w:sz w:val="24"/>
          <w:szCs w:val="24"/>
          <w:lang w:val="en-US"/>
        </w:rPr>
        <w:t>Surgery was performed in 142 (42%) patients with primary cancer, 30</w:t>
      </w:r>
      <w:r w:rsidR="00397D93" w:rsidRPr="00CC6129">
        <w:rPr>
          <w:rFonts w:ascii="Book Antiqua" w:hAnsi="Book Antiqua"/>
          <w:bCs/>
          <w:sz w:val="24"/>
          <w:szCs w:val="24"/>
          <w:lang w:val="en-US"/>
        </w:rPr>
        <w:t xml:space="preserve"> </w:t>
      </w:r>
      <w:r w:rsidR="005021E3" w:rsidRPr="00CC6129">
        <w:rPr>
          <w:rFonts w:ascii="Book Antiqua" w:hAnsi="Book Antiqua"/>
          <w:bCs/>
          <w:sz w:val="24"/>
          <w:szCs w:val="24"/>
          <w:lang w:val="en-US"/>
        </w:rPr>
        <w:t>(</w:t>
      </w:r>
      <w:r w:rsidR="003C38DC" w:rsidRPr="00CC6129">
        <w:rPr>
          <w:rFonts w:ascii="Book Antiqua" w:hAnsi="Book Antiqua"/>
          <w:bCs/>
          <w:sz w:val="24"/>
          <w:szCs w:val="24"/>
          <w:lang w:val="en-US"/>
        </w:rPr>
        <w:t>21</w:t>
      </w:r>
      <w:r w:rsidR="005021E3" w:rsidRPr="00CC6129">
        <w:rPr>
          <w:rFonts w:ascii="Book Antiqua" w:hAnsi="Book Antiqua"/>
          <w:bCs/>
          <w:sz w:val="24"/>
          <w:szCs w:val="24"/>
          <w:lang w:val="en-US"/>
        </w:rPr>
        <w:t>%) and 112</w:t>
      </w:r>
      <w:r w:rsidR="00397D93" w:rsidRPr="00CC6129">
        <w:rPr>
          <w:rFonts w:ascii="Book Antiqua" w:hAnsi="Book Antiqua"/>
          <w:bCs/>
          <w:sz w:val="24"/>
          <w:szCs w:val="24"/>
          <w:lang w:val="en-US"/>
        </w:rPr>
        <w:t xml:space="preserve"> </w:t>
      </w:r>
      <w:r w:rsidR="005021E3" w:rsidRPr="00CC6129">
        <w:rPr>
          <w:rFonts w:ascii="Book Antiqua" w:hAnsi="Book Antiqua"/>
          <w:bCs/>
          <w:sz w:val="24"/>
          <w:szCs w:val="24"/>
          <w:lang w:val="en-US"/>
        </w:rPr>
        <w:t>(</w:t>
      </w:r>
      <w:r w:rsidR="003C38DC" w:rsidRPr="00CC6129">
        <w:rPr>
          <w:rFonts w:ascii="Book Antiqua" w:hAnsi="Book Antiqua"/>
          <w:bCs/>
          <w:sz w:val="24"/>
          <w:szCs w:val="24"/>
          <w:lang w:val="en-US"/>
        </w:rPr>
        <w:t>79</w:t>
      </w:r>
      <w:r w:rsidR="005021E3" w:rsidRPr="00CC6129">
        <w:rPr>
          <w:rFonts w:ascii="Book Antiqua" w:hAnsi="Book Antiqua"/>
          <w:bCs/>
          <w:sz w:val="24"/>
          <w:szCs w:val="24"/>
          <w:lang w:val="en-US"/>
        </w:rPr>
        <w:t xml:space="preserve">%) </w:t>
      </w:r>
      <w:r w:rsidR="003C38DC" w:rsidRPr="00CC6129">
        <w:rPr>
          <w:rFonts w:ascii="Book Antiqua" w:hAnsi="Book Antiqua"/>
          <w:bCs/>
          <w:sz w:val="24"/>
          <w:szCs w:val="24"/>
          <w:lang w:val="en-US"/>
        </w:rPr>
        <w:t xml:space="preserve">of whom </w:t>
      </w:r>
      <w:r w:rsidR="005021E3" w:rsidRPr="00CC6129">
        <w:rPr>
          <w:rFonts w:ascii="Book Antiqua" w:hAnsi="Book Antiqua"/>
          <w:bCs/>
          <w:sz w:val="24"/>
          <w:szCs w:val="24"/>
          <w:lang w:val="en-US"/>
        </w:rPr>
        <w:t>received neoadjuvant and adjuvant therapies, respectively.</w:t>
      </w:r>
      <w:r w:rsidR="0010680C">
        <w:rPr>
          <w:rFonts w:ascii="Book Antiqua" w:hAnsi="Book Antiqua"/>
          <w:bCs/>
          <w:sz w:val="24"/>
          <w:szCs w:val="24"/>
          <w:lang w:val="en-US"/>
        </w:rPr>
        <w:t xml:space="preserve"> </w:t>
      </w:r>
      <w:r w:rsidR="005021E3" w:rsidRPr="00CC6129">
        <w:rPr>
          <w:rFonts w:ascii="Book Antiqua" w:hAnsi="Book Antiqua"/>
          <w:bCs/>
          <w:sz w:val="24"/>
          <w:szCs w:val="24"/>
          <w:lang w:val="en-US"/>
        </w:rPr>
        <w:t xml:space="preserve">First-line chemotherapy was </w:t>
      </w:r>
      <w:r w:rsidR="00C73017" w:rsidRPr="00CC6129">
        <w:rPr>
          <w:rFonts w:ascii="Book Antiqua" w:hAnsi="Book Antiqua"/>
          <w:bCs/>
          <w:sz w:val="24"/>
          <w:szCs w:val="24"/>
          <w:lang w:val="en-US"/>
        </w:rPr>
        <w:t>administered</w:t>
      </w:r>
      <w:r w:rsidR="005021E3" w:rsidRPr="00CC6129">
        <w:rPr>
          <w:rFonts w:ascii="Book Antiqua" w:hAnsi="Book Antiqua"/>
          <w:bCs/>
          <w:sz w:val="24"/>
          <w:szCs w:val="24"/>
          <w:lang w:val="en-US"/>
        </w:rPr>
        <w:t xml:space="preserve"> in </w:t>
      </w:r>
      <w:r w:rsidR="003C38DC" w:rsidRPr="00CC6129">
        <w:rPr>
          <w:rFonts w:ascii="Book Antiqua" w:hAnsi="Book Antiqua"/>
          <w:bCs/>
          <w:sz w:val="24"/>
          <w:szCs w:val="24"/>
          <w:lang w:val="en-US"/>
        </w:rPr>
        <w:t xml:space="preserve">200 </w:t>
      </w:r>
      <w:r w:rsidR="003C38DC" w:rsidRPr="00CC6129">
        <w:rPr>
          <w:rFonts w:ascii="Book Antiqua" w:hAnsi="Book Antiqua"/>
          <w:sz w:val="24"/>
          <w:szCs w:val="24"/>
          <w:lang w:val="en-US"/>
        </w:rPr>
        <w:t>(58%)</w:t>
      </w:r>
      <w:r w:rsidR="005021E3" w:rsidRPr="00CC6129">
        <w:rPr>
          <w:rFonts w:ascii="Book Antiqua" w:hAnsi="Book Antiqua"/>
          <w:bCs/>
          <w:sz w:val="24"/>
          <w:szCs w:val="24"/>
          <w:lang w:val="en-US"/>
        </w:rPr>
        <w:t xml:space="preserve"> patients with metastatic disease.</w:t>
      </w:r>
      <w:r w:rsidR="0010680C">
        <w:rPr>
          <w:rFonts w:ascii="Book Antiqua" w:hAnsi="Book Antiqua"/>
          <w:bCs/>
          <w:sz w:val="24"/>
          <w:szCs w:val="24"/>
          <w:lang w:val="en-US"/>
        </w:rPr>
        <w:t xml:space="preserve"> </w:t>
      </w:r>
      <w:r w:rsidRPr="00CC6129">
        <w:rPr>
          <w:rFonts w:ascii="Book Antiqua" w:hAnsi="Book Antiqua"/>
          <w:sz w:val="24"/>
          <w:szCs w:val="24"/>
          <w:lang w:val="en-US"/>
        </w:rPr>
        <w:t>The study outcome was defined as the occurrence of a first symptomatic or asymptomatic VTE episode during active treatment.</w:t>
      </w:r>
    </w:p>
    <w:p w:rsidR="0010680C" w:rsidRDefault="0010680C" w:rsidP="0010680C">
      <w:pPr>
        <w:snapToGrid w:val="0"/>
        <w:spacing w:after="0" w:line="360" w:lineRule="auto"/>
        <w:jc w:val="both"/>
        <w:rPr>
          <w:rFonts w:ascii="Book Antiqua" w:hAnsi="Book Antiqua"/>
          <w:b/>
          <w:bCs/>
          <w:sz w:val="24"/>
          <w:szCs w:val="24"/>
          <w:lang w:val="en-US" w:eastAsia="zh-CN"/>
        </w:rPr>
      </w:pPr>
    </w:p>
    <w:p w:rsidR="0010680C" w:rsidRPr="0010680C" w:rsidRDefault="00097697" w:rsidP="0010680C">
      <w:pPr>
        <w:snapToGrid w:val="0"/>
        <w:spacing w:after="0" w:line="360" w:lineRule="auto"/>
        <w:jc w:val="both"/>
        <w:rPr>
          <w:rFonts w:ascii="Book Antiqua" w:hAnsi="Book Antiqua"/>
          <w:bCs/>
          <w:i/>
          <w:caps/>
          <w:sz w:val="24"/>
          <w:szCs w:val="24"/>
          <w:lang w:val="en-US" w:eastAsia="zh-CN"/>
        </w:rPr>
      </w:pPr>
      <w:r w:rsidRPr="0010680C">
        <w:rPr>
          <w:rFonts w:ascii="Book Antiqua" w:hAnsi="Book Antiqua"/>
          <w:b/>
          <w:bCs/>
          <w:i/>
          <w:caps/>
          <w:sz w:val="24"/>
          <w:szCs w:val="24"/>
          <w:lang w:val="en-US"/>
        </w:rPr>
        <w:t>Results</w:t>
      </w:r>
    </w:p>
    <w:p w:rsidR="00097697" w:rsidRPr="00CC6129" w:rsidRDefault="00DD13E8" w:rsidP="0010680C">
      <w:pPr>
        <w:snapToGrid w:val="0"/>
        <w:spacing w:after="0" w:line="360" w:lineRule="auto"/>
        <w:jc w:val="both"/>
        <w:rPr>
          <w:rFonts w:ascii="Book Antiqua" w:hAnsi="Book Antiqua"/>
          <w:bCs/>
          <w:sz w:val="24"/>
          <w:szCs w:val="24"/>
          <w:lang w:val="en-US"/>
        </w:rPr>
      </w:pPr>
      <w:r w:rsidRPr="00CC6129">
        <w:rPr>
          <w:rFonts w:ascii="Book Antiqua" w:hAnsi="Book Antiqua"/>
          <w:bCs/>
          <w:sz w:val="24"/>
          <w:szCs w:val="24"/>
          <w:lang w:val="en-US"/>
        </w:rPr>
        <w:t>Impaired glucose tolerance (IGT)</w:t>
      </w:r>
      <w:r w:rsidR="007D6042" w:rsidRPr="00CC6129">
        <w:rPr>
          <w:rFonts w:ascii="Book Antiqua" w:hAnsi="Book Antiqua"/>
          <w:bCs/>
          <w:sz w:val="24"/>
          <w:szCs w:val="24"/>
          <w:lang w:val="en-US"/>
        </w:rPr>
        <w:t xml:space="preserve"> or </w:t>
      </w:r>
      <w:r w:rsidRPr="00CC6129">
        <w:rPr>
          <w:rFonts w:ascii="Book Antiqua" w:hAnsi="Book Antiqua"/>
          <w:bCs/>
          <w:sz w:val="24"/>
          <w:szCs w:val="24"/>
          <w:lang w:val="en-US"/>
        </w:rPr>
        <w:t>T2D w</w:t>
      </w:r>
      <w:r w:rsidR="007D6042" w:rsidRPr="00CC6129">
        <w:rPr>
          <w:rFonts w:ascii="Book Antiqua" w:hAnsi="Book Antiqua"/>
          <w:bCs/>
          <w:sz w:val="24"/>
          <w:szCs w:val="24"/>
          <w:lang w:val="en-US"/>
        </w:rPr>
        <w:t>ere</w:t>
      </w:r>
      <w:r w:rsidRPr="00CC6129">
        <w:rPr>
          <w:rFonts w:ascii="Book Antiqua" w:hAnsi="Book Antiqua"/>
          <w:bCs/>
          <w:sz w:val="24"/>
          <w:szCs w:val="24"/>
          <w:lang w:val="en-US"/>
        </w:rPr>
        <w:t xml:space="preserve"> diagnosed in 30% of </w:t>
      </w:r>
      <w:r w:rsidR="00CF1E2B" w:rsidRPr="00CC6129">
        <w:rPr>
          <w:rFonts w:ascii="Book Antiqua" w:hAnsi="Book Antiqua"/>
          <w:bCs/>
          <w:sz w:val="24"/>
          <w:szCs w:val="24"/>
          <w:lang w:val="en-US"/>
        </w:rPr>
        <w:t xml:space="preserve">GI cancer </w:t>
      </w:r>
      <w:r w:rsidRPr="00CC6129">
        <w:rPr>
          <w:rFonts w:ascii="Book Antiqua" w:hAnsi="Book Antiqua"/>
          <w:bCs/>
          <w:sz w:val="24"/>
          <w:szCs w:val="24"/>
          <w:lang w:val="en-US"/>
        </w:rPr>
        <w:t>patients, while overweight</w:t>
      </w:r>
      <w:r w:rsidR="007D6042" w:rsidRPr="00CC6129">
        <w:rPr>
          <w:rFonts w:ascii="Book Antiqua" w:hAnsi="Book Antiqua"/>
          <w:bCs/>
          <w:sz w:val="24"/>
          <w:szCs w:val="24"/>
          <w:lang w:val="en-US"/>
        </w:rPr>
        <w:t>/</w:t>
      </w:r>
      <w:r w:rsidRPr="00CC6129">
        <w:rPr>
          <w:rFonts w:ascii="Book Antiqua" w:hAnsi="Book Antiqua"/>
          <w:bCs/>
          <w:sz w:val="24"/>
          <w:szCs w:val="24"/>
          <w:lang w:val="en-US"/>
        </w:rPr>
        <w:t xml:space="preserve">obesity </w:t>
      </w:r>
      <w:r w:rsidR="00CF1E2B" w:rsidRPr="00CC6129">
        <w:rPr>
          <w:rFonts w:ascii="Book Antiqua" w:hAnsi="Book Antiqua"/>
          <w:bCs/>
          <w:sz w:val="24"/>
          <w:szCs w:val="24"/>
          <w:lang w:val="en-US"/>
        </w:rPr>
        <w:t>had an incidence of</w:t>
      </w:r>
      <w:r w:rsidRPr="00CC6129">
        <w:rPr>
          <w:rFonts w:ascii="Book Antiqua" w:hAnsi="Book Antiqua"/>
          <w:bCs/>
          <w:sz w:val="24"/>
          <w:szCs w:val="24"/>
          <w:lang w:val="en-US"/>
        </w:rPr>
        <w:t xml:space="preserve"> 41%.</w:t>
      </w:r>
      <w:r w:rsidR="0010680C">
        <w:rPr>
          <w:rFonts w:ascii="Book Antiqua" w:hAnsi="Book Antiqua" w:hint="eastAsia"/>
          <w:bCs/>
          <w:sz w:val="24"/>
          <w:szCs w:val="24"/>
          <w:lang w:val="en-US" w:eastAsia="zh-CN"/>
        </w:rPr>
        <w:t xml:space="preserve"> </w:t>
      </w:r>
      <w:r w:rsidRPr="00CC6129">
        <w:rPr>
          <w:rFonts w:ascii="Book Antiqua" w:hAnsi="Book Antiqua"/>
          <w:bCs/>
          <w:sz w:val="24"/>
          <w:szCs w:val="24"/>
          <w:lang w:val="en-US"/>
        </w:rPr>
        <w:t xml:space="preserve">VTE occurred in 9.4% of </w:t>
      </w:r>
      <w:r w:rsidR="006D679C" w:rsidRPr="00CC6129">
        <w:rPr>
          <w:rFonts w:ascii="Book Antiqua" w:hAnsi="Book Antiqua"/>
          <w:bCs/>
          <w:sz w:val="24"/>
          <w:szCs w:val="24"/>
          <w:lang w:val="en-US"/>
        </w:rPr>
        <w:t xml:space="preserve">patients </w:t>
      </w:r>
      <w:r w:rsidR="007D6042" w:rsidRPr="00CC6129">
        <w:rPr>
          <w:rFonts w:ascii="Book Antiqua" w:hAnsi="Book Antiqua"/>
          <w:bCs/>
          <w:sz w:val="24"/>
          <w:szCs w:val="24"/>
          <w:lang w:val="en-US"/>
        </w:rPr>
        <w:t>(7% of non-diabetic non-obese)</w:t>
      </w:r>
      <w:r w:rsidR="00237438" w:rsidRPr="00CC6129">
        <w:rPr>
          <w:rFonts w:ascii="Book Antiqua" w:hAnsi="Book Antiqua"/>
          <w:bCs/>
          <w:sz w:val="24"/>
          <w:szCs w:val="24"/>
          <w:lang w:val="en-US"/>
        </w:rPr>
        <w:t xml:space="preserve">, especially </w:t>
      </w:r>
      <w:r w:rsidR="006D679C" w:rsidRPr="00CC6129">
        <w:rPr>
          <w:rFonts w:ascii="Book Antiqua" w:hAnsi="Book Antiqua"/>
          <w:bCs/>
          <w:sz w:val="24"/>
          <w:szCs w:val="24"/>
          <w:lang w:val="en-US"/>
        </w:rPr>
        <w:t xml:space="preserve">in those </w:t>
      </w:r>
      <w:r w:rsidR="00237438" w:rsidRPr="00CC6129">
        <w:rPr>
          <w:rFonts w:ascii="Book Antiqua" w:hAnsi="Book Antiqua"/>
          <w:bCs/>
          <w:sz w:val="24"/>
          <w:szCs w:val="24"/>
          <w:lang w:val="en-US"/>
        </w:rPr>
        <w:t xml:space="preserve">with </w:t>
      </w:r>
      <w:r w:rsidR="006D679C" w:rsidRPr="00CC6129">
        <w:rPr>
          <w:rFonts w:ascii="Book Antiqua" w:hAnsi="Book Antiqua"/>
          <w:bCs/>
          <w:sz w:val="24"/>
          <w:szCs w:val="24"/>
          <w:lang w:val="en-US"/>
        </w:rPr>
        <w:t>a high</w:t>
      </w:r>
      <w:r w:rsidR="00237438" w:rsidRPr="00CC6129">
        <w:rPr>
          <w:rFonts w:ascii="Book Antiqua" w:hAnsi="Book Antiqua"/>
          <w:bCs/>
          <w:sz w:val="24"/>
          <w:szCs w:val="24"/>
          <w:lang w:val="en-US"/>
        </w:rPr>
        <w:t xml:space="preserve"> ECOG score (</w:t>
      </w:r>
      <w:r w:rsidR="006D679C" w:rsidRPr="0010680C">
        <w:rPr>
          <w:rFonts w:ascii="Book Antiqua" w:hAnsi="Book Antiqua"/>
          <w:i/>
          <w:caps/>
          <w:sz w:val="24"/>
          <w:szCs w:val="24"/>
          <w:lang w:val="en-US"/>
        </w:rPr>
        <w:t>p</w:t>
      </w:r>
      <w:r w:rsidR="0010680C">
        <w:rPr>
          <w:rFonts w:ascii="Book Antiqua" w:hAnsi="Book Antiqua" w:hint="eastAsia"/>
          <w:i/>
          <w:caps/>
          <w:sz w:val="24"/>
          <w:szCs w:val="24"/>
          <w:lang w:val="en-US" w:eastAsia="zh-CN"/>
        </w:rPr>
        <w:t xml:space="preserve"> </w:t>
      </w:r>
      <w:r w:rsidR="006D679C" w:rsidRPr="00CC6129">
        <w:rPr>
          <w:rFonts w:ascii="Book Antiqua" w:hAnsi="Book Antiqua"/>
          <w:sz w:val="24"/>
          <w:szCs w:val="24"/>
          <w:lang w:val="en-US"/>
        </w:rPr>
        <w:t>=</w:t>
      </w:r>
      <w:r w:rsidR="0010680C">
        <w:rPr>
          <w:rFonts w:ascii="Book Antiqua" w:hAnsi="Book Antiqua" w:hint="eastAsia"/>
          <w:sz w:val="24"/>
          <w:szCs w:val="24"/>
          <w:lang w:val="en-US" w:eastAsia="zh-CN"/>
        </w:rPr>
        <w:t xml:space="preserve"> </w:t>
      </w:r>
      <w:r w:rsidR="006D679C" w:rsidRPr="00CC6129">
        <w:rPr>
          <w:rFonts w:ascii="Book Antiqua" w:hAnsi="Book Antiqua"/>
          <w:sz w:val="24"/>
          <w:szCs w:val="24"/>
          <w:lang w:val="en-US"/>
        </w:rPr>
        <w:t>0.025)</w:t>
      </w:r>
      <w:r w:rsidRPr="00CC6129">
        <w:rPr>
          <w:rFonts w:ascii="Book Antiqua" w:hAnsi="Book Antiqua"/>
          <w:bCs/>
          <w:sz w:val="24"/>
          <w:szCs w:val="24"/>
          <w:lang w:val="en-US"/>
        </w:rPr>
        <w:t xml:space="preserve">. </w:t>
      </w:r>
      <w:r w:rsidR="007D6042" w:rsidRPr="00CC6129">
        <w:rPr>
          <w:rFonts w:ascii="Book Antiqua" w:hAnsi="Book Antiqua"/>
          <w:bCs/>
          <w:sz w:val="24"/>
          <w:szCs w:val="24"/>
          <w:lang w:val="en-US"/>
        </w:rPr>
        <w:t xml:space="preserve">No significant </w:t>
      </w:r>
      <w:r w:rsidR="006D679C" w:rsidRPr="00CC6129">
        <w:rPr>
          <w:rFonts w:ascii="Book Antiqua" w:hAnsi="Book Antiqua"/>
          <w:bCs/>
          <w:sz w:val="24"/>
          <w:szCs w:val="24"/>
          <w:lang w:val="en-US"/>
        </w:rPr>
        <w:t xml:space="preserve">association </w:t>
      </w:r>
      <w:r w:rsidR="007D6042" w:rsidRPr="00CC6129">
        <w:rPr>
          <w:rFonts w:ascii="Book Antiqua" w:hAnsi="Book Antiqua"/>
          <w:bCs/>
          <w:sz w:val="24"/>
          <w:szCs w:val="24"/>
          <w:lang w:val="en-US"/>
        </w:rPr>
        <w:t xml:space="preserve">was </w:t>
      </w:r>
      <w:r w:rsidR="003C38DC" w:rsidRPr="00CC6129">
        <w:rPr>
          <w:rFonts w:ascii="Book Antiqua" w:hAnsi="Book Antiqua"/>
          <w:bCs/>
          <w:sz w:val="24"/>
          <w:szCs w:val="24"/>
          <w:lang w:val="en-US"/>
        </w:rPr>
        <w:t xml:space="preserve">found </w:t>
      </w:r>
      <w:r w:rsidR="006D679C" w:rsidRPr="00CC6129">
        <w:rPr>
          <w:rFonts w:ascii="Book Antiqua" w:hAnsi="Book Antiqua"/>
          <w:bCs/>
          <w:sz w:val="24"/>
          <w:szCs w:val="24"/>
          <w:lang w:val="en-US"/>
        </w:rPr>
        <w:t xml:space="preserve">between </w:t>
      </w:r>
      <w:r w:rsidR="007D6042" w:rsidRPr="00CC6129">
        <w:rPr>
          <w:rFonts w:ascii="Book Antiqua" w:hAnsi="Book Antiqua"/>
          <w:bCs/>
          <w:sz w:val="24"/>
          <w:szCs w:val="24"/>
          <w:lang w:val="en-US"/>
        </w:rPr>
        <w:t xml:space="preserve">VTE </w:t>
      </w:r>
      <w:r w:rsidR="006D679C" w:rsidRPr="00CC6129">
        <w:rPr>
          <w:rFonts w:ascii="Book Antiqua" w:hAnsi="Book Antiqua"/>
          <w:bCs/>
          <w:sz w:val="24"/>
          <w:szCs w:val="24"/>
          <w:lang w:val="en-US"/>
        </w:rPr>
        <w:t>incidence and</w:t>
      </w:r>
      <w:r w:rsidR="007D6042" w:rsidRPr="00CC6129">
        <w:rPr>
          <w:rFonts w:ascii="Book Antiqua" w:hAnsi="Book Antiqua"/>
          <w:bCs/>
          <w:sz w:val="24"/>
          <w:szCs w:val="24"/>
          <w:lang w:val="en-US"/>
        </w:rPr>
        <w:t xml:space="preserve"> </w:t>
      </w:r>
      <w:r w:rsidR="00975C23" w:rsidRPr="00CC6129">
        <w:rPr>
          <w:rFonts w:ascii="Book Antiqua" w:hAnsi="Book Antiqua"/>
          <w:bCs/>
          <w:sz w:val="24"/>
          <w:szCs w:val="24"/>
          <w:lang w:val="en-US"/>
        </w:rPr>
        <w:t xml:space="preserve">T2D, obesity, </w:t>
      </w:r>
      <w:r w:rsidR="007D6042" w:rsidRPr="00CC6129">
        <w:rPr>
          <w:rFonts w:ascii="Book Antiqua" w:hAnsi="Book Antiqua"/>
          <w:bCs/>
          <w:sz w:val="24"/>
          <w:szCs w:val="24"/>
          <w:lang w:val="en-US"/>
        </w:rPr>
        <w:t xml:space="preserve">different tumor types, metastatic disease, </w:t>
      </w:r>
      <w:r w:rsidR="00FA1861" w:rsidRPr="00CC6129">
        <w:rPr>
          <w:rFonts w:ascii="Book Antiqua" w:hAnsi="Book Antiqua"/>
          <w:sz w:val="24"/>
          <w:szCs w:val="24"/>
          <w:lang w:val="en-US"/>
        </w:rPr>
        <w:t>Khorana</w:t>
      </w:r>
      <w:r w:rsidR="00FA1861" w:rsidRPr="00CC6129">
        <w:rPr>
          <w:rFonts w:ascii="Book Antiqua" w:hAnsi="Book Antiqua"/>
          <w:bCs/>
          <w:sz w:val="24"/>
          <w:szCs w:val="24"/>
          <w:lang w:val="en-US"/>
        </w:rPr>
        <w:t xml:space="preserve"> class of risk, </w:t>
      </w:r>
      <w:r w:rsidR="007D6042" w:rsidRPr="00CC6129">
        <w:rPr>
          <w:rFonts w:ascii="Book Antiqua" w:hAnsi="Book Antiqua"/>
          <w:bCs/>
          <w:sz w:val="24"/>
          <w:szCs w:val="24"/>
          <w:lang w:val="en-US"/>
        </w:rPr>
        <w:t>or different anti-cancer drugs</w:t>
      </w:r>
      <w:r w:rsidR="003C38DC" w:rsidRPr="00CC6129">
        <w:rPr>
          <w:rFonts w:ascii="Book Antiqua" w:hAnsi="Book Antiqua"/>
          <w:sz w:val="24"/>
          <w:szCs w:val="24"/>
          <w:lang w:val="en-US"/>
        </w:rPr>
        <w:t>, although VTE rates were substantially higher in patients receiving bevacizumab (17%</w:t>
      </w:r>
      <w:r w:rsidR="003C38DC" w:rsidRPr="0010680C">
        <w:rPr>
          <w:rFonts w:ascii="Book Antiqua" w:hAnsi="Book Antiqua"/>
          <w:i/>
          <w:sz w:val="24"/>
          <w:szCs w:val="24"/>
          <w:lang w:val="en-US"/>
        </w:rPr>
        <w:t xml:space="preserve"> vs</w:t>
      </w:r>
      <w:r w:rsidR="0010680C">
        <w:rPr>
          <w:rFonts w:ascii="Book Antiqua" w:hAnsi="Book Antiqua" w:hint="eastAsia"/>
          <w:sz w:val="24"/>
          <w:szCs w:val="24"/>
          <w:lang w:val="en-US" w:eastAsia="zh-CN"/>
        </w:rPr>
        <w:t xml:space="preserve"> </w:t>
      </w:r>
      <w:r w:rsidR="003C38DC" w:rsidRPr="00CC6129">
        <w:rPr>
          <w:rFonts w:ascii="Book Antiqua" w:hAnsi="Book Antiqua"/>
          <w:sz w:val="24"/>
          <w:szCs w:val="24"/>
          <w:lang w:val="en-US"/>
        </w:rPr>
        <w:t xml:space="preserve">8%, </w:t>
      </w:r>
      <w:r w:rsidR="0010680C" w:rsidRPr="0010680C">
        <w:rPr>
          <w:rFonts w:ascii="Book Antiqua" w:hAnsi="Book Antiqua"/>
          <w:i/>
          <w:caps/>
          <w:sz w:val="24"/>
          <w:szCs w:val="24"/>
          <w:lang w:val="en-US"/>
        </w:rPr>
        <w:t>p</w:t>
      </w:r>
      <w:r w:rsidR="0010680C" w:rsidRPr="00CC6129">
        <w:rPr>
          <w:rFonts w:ascii="Book Antiqua" w:hAnsi="Book Antiqua"/>
          <w:sz w:val="24"/>
          <w:szCs w:val="24"/>
          <w:lang w:val="en-US"/>
        </w:rPr>
        <w:t xml:space="preserve"> </w:t>
      </w:r>
      <w:r w:rsidR="003C38DC" w:rsidRPr="00CC6129">
        <w:rPr>
          <w:rFonts w:ascii="Book Antiqua" w:hAnsi="Book Antiqua"/>
          <w:sz w:val="24"/>
          <w:szCs w:val="24"/>
          <w:lang w:val="en-US"/>
        </w:rPr>
        <w:t>=</w:t>
      </w:r>
      <w:r w:rsidR="0010680C">
        <w:rPr>
          <w:rFonts w:ascii="Book Antiqua" w:hAnsi="Book Antiqua" w:hint="eastAsia"/>
          <w:sz w:val="24"/>
          <w:szCs w:val="24"/>
          <w:lang w:val="en-US" w:eastAsia="zh-CN"/>
        </w:rPr>
        <w:t xml:space="preserve"> </w:t>
      </w:r>
      <w:r w:rsidR="003C38DC" w:rsidRPr="00CC6129">
        <w:rPr>
          <w:rFonts w:ascii="Book Antiqua" w:hAnsi="Book Antiqua"/>
          <w:sz w:val="24"/>
          <w:szCs w:val="24"/>
          <w:lang w:val="en-US"/>
        </w:rPr>
        <w:t>0.044)</w:t>
      </w:r>
      <w:r w:rsidR="007D6042" w:rsidRPr="00CC6129">
        <w:rPr>
          <w:rFonts w:ascii="Book Antiqua" w:hAnsi="Book Antiqua"/>
          <w:bCs/>
          <w:sz w:val="24"/>
          <w:szCs w:val="24"/>
          <w:lang w:val="en-US"/>
        </w:rPr>
        <w:t>.</w:t>
      </w:r>
      <w:r w:rsidR="0010680C">
        <w:rPr>
          <w:rFonts w:ascii="Book Antiqua" w:hAnsi="Book Antiqua"/>
          <w:bCs/>
          <w:sz w:val="24"/>
          <w:szCs w:val="24"/>
          <w:lang w:val="en-US"/>
        </w:rPr>
        <w:t xml:space="preserve"> </w:t>
      </w:r>
      <w:r w:rsidR="007D6042" w:rsidRPr="00CC6129">
        <w:rPr>
          <w:rFonts w:ascii="Book Antiqua" w:hAnsi="Book Antiqua"/>
          <w:bCs/>
          <w:sz w:val="24"/>
          <w:szCs w:val="24"/>
          <w:lang w:val="en-US"/>
        </w:rPr>
        <w:t>Conversely, all glucose metabolic indexes</w:t>
      </w:r>
      <w:r w:rsidRPr="00CC6129">
        <w:rPr>
          <w:rFonts w:ascii="Book Antiqua" w:hAnsi="Book Antiqua"/>
          <w:bCs/>
          <w:sz w:val="24"/>
          <w:szCs w:val="24"/>
          <w:lang w:val="en-US"/>
        </w:rPr>
        <w:t xml:space="preserve"> were associated with increased VTE risk at ROC analysis.</w:t>
      </w:r>
      <w:r w:rsidR="0010680C">
        <w:rPr>
          <w:rFonts w:ascii="Book Antiqua" w:hAnsi="Book Antiqua"/>
          <w:bCs/>
          <w:sz w:val="24"/>
          <w:szCs w:val="24"/>
          <w:lang w:val="en-US"/>
        </w:rPr>
        <w:t xml:space="preserve"> </w:t>
      </w:r>
      <w:r w:rsidR="007D6042" w:rsidRPr="00CC6129">
        <w:rPr>
          <w:rFonts w:ascii="Book Antiqua" w:hAnsi="Book Antiqua"/>
          <w:bCs/>
          <w:sz w:val="24"/>
          <w:szCs w:val="24"/>
          <w:lang w:val="en-US"/>
        </w:rPr>
        <w:t>Multivariate Cox proportional analys</w:t>
      </w:r>
      <w:r w:rsidR="000A03F6" w:rsidRPr="00CC6129">
        <w:rPr>
          <w:rFonts w:ascii="Book Antiqua" w:hAnsi="Book Antiqua"/>
          <w:bCs/>
          <w:sz w:val="24"/>
          <w:szCs w:val="24"/>
          <w:lang w:val="en-US"/>
        </w:rPr>
        <w:t>e</w:t>
      </w:r>
      <w:r w:rsidR="007D6042" w:rsidRPr="00CC6129">
        <w:rPr>
          <w:rFonts w:ascii="Book Antiqua" w:hAnsi="Book Antiqua"/>
          <w:bCs/>
          <w:sz w:val="24"/>
          <w:szCs w:val="24"/>
          <w:lang w:val="en-US"/>
        </w:rPr>
        <w:t xml:space="preserve">s </w:t>
      </w:r>
      <w:r w:rsidR="003C38DC" w:rsidRPr="00CC6129">
        <w:rPr>
          <w:rFonts w:ascii="Book Antiqua" w:hAnsi="Book Antiqua"/>
          <w:bCs/>
          <w:sz w:val="24"/>
          <w:szCs w:val="24"/>
          <w:lang w:val="en-US"/>
        </w:rPr>
        <w:t xml:space="preserve">confirmed </w:t>
      </w:r>
      <w:r w:rsidR="007D6042" w:rsidRPr="00CC6129">
        <w:rPr>
          <w:rFonts w:ascii="Book Antiqua" w:hAnsi="Book Antiqua"/>
          <w:bCs/>
          <w:sz w:val="24"/>
          <w:szCs w:val="24"/>
          <w:lang w:val="en-US"/>
        </w:rPr>
        <w:t xml:space="preserve">that HOMA index </w:t>
      </w:r>
      <w:r w:rsidR="0010680C" w:rsidRPr="00CC6129">
        <w:rPr>
          <w:rFonts w:ascii="Book Antiqua" w:hAnsi="Book Antiqua"/>
          <w:sz w:val="24"/>
          <w:szCs w:val="24"/>
          <w:lang w:val="en-US"/>
        </w:rPr>
        <w:t>(</w:t>
      </w:r>
      <w:r w:rsidR="008D715D" w:rsidRPr="00CC6129">
        <w:rPr>
          <w:rFonts w:ascii="Book Antiqua" w:hAnsi="Book Antiqua"/>
          <w:sz w:val="24"/>
          <w:szCs w:val="24"/>
          <w:lang w:val="en-US"/>
        </w:rPr>
        <w:t xml:space="preserve">HR </w:t>
      </w:r>
      <w:r w:rsidR="0010680C">
        <w:rPr>
          <w:rFonts w:ascii="Book Antiqua" w:hAnsi="Book Antiqua" w:hint="eastAsia"/>
          <w:sz w:val="24"/>
          <w:szCs w:val="24"/>
          <w:lang w:val="en-US" w:eastAsia="zh-CN"/>
        </w:rPr>
        <w:t xml:space="preserve">= </w:t>
      </w:r>
      <w:r w:rsidR="008D715D" w:rsidRPr="00CC6129">
        <w:rPr>
          <w:rFonts w:ascii="Book Antiqua" w:hAnsi="Book Antiqua"/>
          <w:sz w:val="24"/>
          <w:szCs w:val="24"/>
          <w:lang w:val="en-US"/>
        </w:rPr>
        <w:t>4.13</w:t>
      </w:r>
      <w:r w:rsidR="0010680C">
        <w:rPr>
          <w:rFonts w:ascii="Book Antiqua" w:hAnsi="Book Antiqua" w:hint="eastAsia"/>
          <w:sz w:val="24"/>
          <w:szCs w:val="24"/>
          <w:lang w:val="en-US" w:eastAsia="zh-CN"/>
        </w:rPr>
        <w:t>,</w:t>
      </w:r>
      <w:r w:rsidR="008D715D" w:rsidRPr="00CC6129">
        <w:rPr>
          <w:rFonts w:ascii="Book Antiqua" w:hAnsi="Book Antiqua"/>
          <w:sz w:val="24"/>
          <w:szCs w:val="24"/>
          <w:lang w:val="en-US"/>
        </w:rPr>
        <w:t xml:space="preserve"> </w:t>
      </w:r>
      <w:r w:rsidR="0010680C">
        <w:rPr>
          <w:rFonts w:ascii="Book Antiqua" w:hAnsi="Book Antiqua"/>
          <w:sz w:val="24"/>
          <w:szCs w:val="24"/>
          <w:lang w:val="en-US"/>
        </w:rPr>
        <w:t>95%CI</w:t>
      </w:r>
      <w:r w:rsidR="008D715D" w:rsidRPr="00CC6129">
        <w:rPr>
          <w:rFonts w:ascii="Book Antiqua" w:hAnsi="Book Antiqua"/>
          <w:sz w:val="24"/>
          <w:szCs w:val="24"/>
          <w:lang w:val="en-US"/>
        </w:rPr>
        <w:t>: 1.63</w:t>
      </w:r>
      <w:r w:rsidR="0010680C">
        <w:rPr>
          <w:rFonts w:ascii="Book Antiqua" w:hAnsi="Book Antiqua" w:hint="eastAsia"/>
          <w:sz w:val="24"/>
          <w:szCs w:val="24"/>
          <w:lang w:val="en-US" w:eastAsia="zh-CN"/>
        </w:rPr>
        <w:t>-</w:t>
      </w:r>
      <w:r w:rsidR="008D715D" w:rsidRPr="00CC6129">
        <w:rPr>
          <w:rFonts w:ascii="Book Antiqua" w:hAnsi="Book Antiqua"/>
          <w:sz w:val="24"/>
          <w:szCs w:val="24"/>
          <w:lang w:val="en-US"/>
        </w:rPr>
        <w:t>10.5</w:t>
      </w:r>
      <w:r w:rsidR="0010680C">
        <w:rPr>
          <w:rFonts w:ascii="Book Antiqua" w:hAnsi="Book Antiqua"/>
          <w:sz w:val="24"/>
          <w:szCs w:val="24"/>
          <w:lang w:val="en-US"/>
        </w:rPr>
        <w:t>)</w:t>
      </w:r>
      <w:r w:rsidR="0010680C">
        <w:rPr>
          <w:rFonts w:ascii="Book Antiqua" w:hAnsi="Book Antiqua" w:hint="eastAsia"/>
          <w:sz w:val="24"/>
          <w:szCs w:val="24"/>
          <w:lang w:val="en-US" w:eastAsia="zh-CN"/>
        </w:rPr>
        <w:t xml:space="preserve"> </w:t>
      </w:r>
      <w:r w:rsidR="007D6042" w:rsidRPr="00CC6129">
        <w:rPr>
          <w:rFonts w:ascii="Book Antiqua" w:hAnsi="Book Antiqua"/>
          <w:bCs/>
          <w:sz w:val="24"/>
          <w:szCs w:val="24"/>
          <w:lang w:val="en-US"/>
        </w:rPr>
        <w:t xml:space="preserve">or fasting blood glucose </w:t>
      </w:r>
      <w:r w:rsidR="0010680C">
        <w:rPr>
          <w:rFonts w:ascii="Book Antiqua" w:hAnsi="Book Antiqua" w:hint="eastAsia"/>
          <w:sz w:val="24"/>
          <w:szCs w:val="24"/>
          <w:lang w:val="en-US" w:eastAsia="zh-CN"/>
        </w:rPr>
        <w:t>(</w:t>
      </w:r>
      <w:r w:rsidR="008D715D" w:rsidRPr="00CC6129">
        <w:rPr>
          <w:rFonts w:ascii="Book Antiqua" w:hAnsi="Book Antiqua"/>
          <w:sz w:val="24"/>
          <w:szCs w:val="24"/>
          <w:lang w:val="en-US"/>
        </w:rPr>
        <w:t xml:space="preserve">HR </w:t>
      </w:r>
      <w:r w:rsidR="0010680C">
        <w:rPr>
          <w:rFonts w:ascii="Book Antiqua" w:hAnsi="Book Antiqua" w:hint="eastAsia"/>
          <w:sz w:val="24"/>
          <w:szCs w:val="24"/>
          <w:lang w:val="en-US" w:eastAsia="zh-CN"/>
        </w:rPr>
        <w:t xml:space="preserve">= </w:t>
      </w:r>
      <w:r w:rsidR="008D715D" w:rsidRPr="00CC6129">
        <w:rPr>
          <w:rFonts w:ascii="Book Antiqua" w:hAnsi="Book Antiqua"/>
          <w:sz w:val="24"/>
          <w:szCs w:val="24"/>
          <w:lang w:val="en-US"/>
        </w:rPr>
        <w:t>3.56</w:t>
      </w:r>
      <w:r w:rsidR="0010680C">
        <w:rPr>
          <w:rFonts w:ascii="Book Antiqua" w:hAnsi="Book Antiqua" w:hint="eastAsia"/>
          <w:sz w:val="24"/>
          <w:szCs w:val="24"/>
          <w:lang w:val="en-US" w:eastAsia="zh-CN"/>
        </w:rPr>
        <w:t xml:space="preserve">, </w:t>
      </w:r>
      <w:r w:rsidR="0010680C">
        <w:rPr>
          <w:rFonts w:ascii="Book Antiqua" w:hAnsi="Book Antiqua"/>
          <w:sz w:val="24"/>
          <w:szCs w:val="24"/>
          <w:lang w:val="en-US"/>
        </w:rPr>
        <w:t>95%CI</w:t>
      </w:r>
      <w:r w:rsidR="008D715D" w:rsidRPr="00CC6129">
        <w:rPr>
          <w:rFonts w:ascii="Book Antiqua" w:hAnsi="Book Antiqua"/>
          <w:sz w:val="24"/>
          <w:szCs w:val="24"/>
          <w:lang w:val="en-US"/>
        </w:rPr>
        <w:t>:</w:t>
      </w:r>
      <w:r w:rsidR="0010680C">
        <w:rPr>
          <w:rFonts w:ascii="Book Antiqua" w:hAnsi="Book Antiqua" w:hint="eastAsia"/>
          <w:sz w:val="24"/>
          <w:szCs w:val="24"/>
          <w:lang w:val="en-US" w:eastAsia="zh-CN"/>
        </w:rPr>
        <w:t xml:space="preserve"> </w:t>
      </w:r>
      <w:r w:rsidR="008D715D" w:rsidRPr="00CC6129">
        <w:rPr>
          <w:rFonts w:ascii="Book Antiqua" w:hAnsi="Book Antiqua"/>
          <w:sz w:val="24"/>
          <w:szCs w:val="24"/>
          <w:lang w:val="en-US"/>
        </w:rPr>
        <w:t>1.51</w:t>
      </w:r>
      <w:r w:rsidR="0010680C">
        <w:rPr>
          <w:rFonts w:ascii="Book Antiqua" w:hAnsi="Book Antiqua" w:hint="eastAsia"/>
          <w:sz w:val="24"/>
          <w:szCs w:val="24"/>
          <w:lang w:val="en-US" w:eastAsia="zh-CN"/>
        </w:rPr>
        <w:t>-</w:t>
      </w:r>
      <w:r w:rsidR="008D715D" w:rsidRPr="00CC6129">
        <w:rPr>
          <w:rFonts w:ascii="Book Antiqua" w:hAnsi="Book Antiqua"/>
          <w:sz w:val="24"/>
          <w:szCs w:val="24"/>
          <w:lang w:val="en-US"/>
        </w:rPr>
        <w:t>8.39</w:t>
      </w:r>
      <w:r w:rsidR="0010680C">
        <w:rPr>
          <w:rFonts w:ascii="Book Antiqua" w:hAnsi="Book Antiqua"/>
          <w:sz w:val="24"/>
          <w:szCs w:val="24"/>
          <w:lang w:val="en-US"/>
        </w:rPr>
        <w:t>)</w:t>
      </w:r>
      <w:r w:rsidR="007D6042" w:rsidRPr="00CC6129">
        <w:rPr>
          <w:rFonts w:ascii="Book Antiqua" w:hAnsi="Book Antiqua"/>
          <w:bCs/>
          <w:sz w:val="24"/>
          <w:szCs w:val="24"/>
          <w:lang w:val="en-US"/>
        </w:rPr>
        <w:t xml:space="preserve"> were independent predictors</w:t>
      </w:r>
      <w:r w:rsidR="00FA1861" w:rsidRPr="00CC6129">
        <w:rPr>
          <w:rFonts w:ascii="Book Antiqua" w:hAnsi="Book Antiqua"/>
          <w:bCs/>
          <w:sz w:val="24"/>
          <w:szCs w:val="24"/>
          <w:lang w:val="en-US"/>
        </w:rPr>
        <w:t xml:space="preserve"> of VTE occurrence during chemotherapy</w:t>
      </w:r>
      <w:r w:rsidR="007D6042" w:rsidRPr="00CC6129">
        <w:rPr>
          <w:rFonts w:ascii="Book Antiqua" w:hAnsi="Book Antiqua"/>
          <w:bCs/>
          <w:sz w:val="24"/>
          <w:szCs w:val="24"/>
          <w:lang w:val="en-US"/>
        </w:rPr>
        <w:t>.</w:t>
      </w:r>
    </w:p>
    <w:p w:rsidR="0010680C" w:rsidRDefault="0010680C" w:rsidP="0010680C">
      <w:pPr>
        <w:snapToGrid w:val="0"/>
        <w:spacing w:after="0" w:line="360" w:lineRule="auto"/>
        <w:jc w:val="both"/>
        <w:rPr>
          <w:rFonts w:ascii="Book Antiqua" w:hAnsi="Book Antiqua"/>
          <w:b/>
          <w:bCs/>
          <w:sz w:val="24"/>
          <w:szCs w:val="24"/>
          <w:lang w:val="en-US" w:eastAsia="zh-CN"/>
        </w:rPr>
      </w:pPr>
    </w:p>
    <w:p w:rsidR="0010680C" w:rsidRPr="0010680C" w:rsidRDefault="00097697" w:rsidP="0010680C">
      <w:pPr>
        <w:snapToGrid w:val="0"/>
        <w:spacing w:after="0" w:line="360" w:lineRule="auto"/>
        <w:jc w:val="both"/>
        <w:rPr>
          <w:rFonts w:ascii="Book Antiqua" w:hAnsi="Book Antiqua"/>
          <w:b/>
          <w:bCs/>
          <w:i/>
          <w:caps/>
          <w:sz w:val="24"/>
          <w:szCs w:val="24"/>
          <w:lang w:val="en-US" w:eastAsia="zh-CN"/>
        </w:rPr>
      </w:pPr>
      <w:r w:rsidRPr="0010680C">
        <w:rPr>
          <w:rFonts w:ascii="Book Antiqua" w:hAnsi="Book Antiqua"/>
          <w:b/>
          <w:bCs/>
          <w:i/>
          <w:caps/>
          <w:sz w:val="24"/>
          <w:szCs w:val="24"/>
          <w:lang w:val="en-US"/>
        </w:rPr>
        <w:t>Conclusion</w:t>
      </w:r>
    </w:p>
    <w:p w:rsidR="00097697" w:rsidRPr="00CC6129" w:rsidRDefault="00975C23" w:rsidP="0010680C">
      <w:pPr>
        <w:snapToGrid w:val="0"/>
        <w:spacing w:after="0" w:line="360" w:lineRule="auto"/>
        <w:jc w:val="both"/>
        <w:rPr>
          <w:rFonts w:ascii="Book Antiqua" w:hAnsi="Book Antiqua"/>
          <w:bCs/>
          <w:sz w:val="24"/>
          <w:szCs w:val="24"/>
          <w:lang w:val="en-US"/>
        </w:rPr>
      </w:pPr>
      <w:r w:rsidRPr="00CC6129">
        <w:rPr>
          <w:rFonts w:ascii="Book Antiqua" w:hAnsi="Book Antiqua"/>
          <w:sz w:val="24"/>
          <w:szCs w:val="24"/>
          <w:lang w:val="en-US"/>
        </w:rPr>
        <w:lastRenderedPageBreak/>
        <w:t>T</w:t>
      </w:r>
      <w:r w:rsidR="00FA1861" w:rsidRPr="00CC6129">
        <w:rPr>
          <w:rFonts w:ascii="Book Antiqua" w:hAnsi="Book Antiqua"/>
          <w:sz w:val="24"/>
          <w:szCs w:val="24"/>
          <w:lang w:val="en-US"/>
        </w:rPr>
        <w:t>he results here reported demonstrate that evaluati</w:t>
      </w:r>
      <w:r w:rsidRPr="00CC6129">
        <w:rPr>
          <w:rFonts w:ascii="Book Antiqua" w:hAnsi="Book Antiqua"/>
          <w:sz w:val="24"/>
          <w:szCs w:val="24"/>
          <w:lang w:val="en-US"/>
        </w:rPr>
        <w:t>ng</w:t>
      </w:r>
      <w:r w:rsidR="00FA1861" w:rsidRPr="00CC6129">
        <w:rPr>
          <w:rFonts w:ascii="Book Antiqua" w:hAnsi="Book Antiqua"/>
          <w:sz w:val="24"/>
          <w:szCs w:val="24"/>
          <w:lang w:val="en-US"/>
        </w:rPr>
        <w:t xml:space="preserve"> glucose metabolic asset may allow for VTE risk stratification in GI cancer, helping </w:t>
      </w:r>
      <w:r w:rsidR="000F7E34" w:rsidRPr="00CC6129">
        <w:rPr>
          <w:rFonts w:ascii="Book Antiqua" w:hAnsi="Book Antiqua"/>
          <w:sz w:val="24"/>
          <w:szCs w:val="24"/>
          <w:lang w:val="en-US"/>
        </w:rPr>
        <w:t xml:space="preserve">to </w:t>
      </w:r>
      <w:r w:rsidR="00FA1861" w:rsidRPr="00CC6129">
        <w:rPr>
          <w:rFonts w:ascii="Book Antiqua" w:hAnsi="Book Antiqua"/>
          <w:sz w:val="24"/>
          <w:szCs w:val="24"/>
          <w:lang w:val="en-US"/>
        </w:rPr>
        <w:t xml:space="preserve">identify chemotherapy-treated patients who </w:t>
      </w:r>
      <w:r w:rsidR="000F7E34" w:rsidRPr="00CC6129">
        <w:rPr>
          <w:rFonts w:ascii="Book Antiqua" w:hAnsi="Book Antiqua"/>
          <w:sz w:val="24"/>
          <w:szCs w:val="24"/>
          <w:lang w:val="en-US"/>
        </w:rPr>
        <w:t xml:space="preserve">might </w:t>
      </w:r>
      <w:r w:rsidR="00FA1861" w:rsidRPr="00CC6129">
        <w:rPr>
          <w:rFonts w:ascii="Book Antiqua" w:hAnsi="Book Antiqua"/>
          <w:sz w:val="24"/>
          <w:szCs w:val="24"/>
          <w:lang w:val="en-US"/>
        </w:rPr>
        <w:t>benefit from thromboprophylaxis.</w:t>
      </w:r>
      <w:r w:rsidR="0010680C">
        <w:rPr>
          <w:rFonts w:ascii="Book Antiqua" w:hAnsi="Book Antiqua"/>
          <w:sz w:val="24"/>
          <w:szCs w:val="24"/>
          <w:lang w:val="en-US"/>
        </w:rPr>
        <w:t xml:space="preserve"> </w:t>
      </w:r>
      <w:r w:rsidR="00FA1861" w:rsidRPr="00CC6129">
        <w:rPr>
          <w:rFonts w:ascii="Book Antiqua" w:hAnsi="Book Antiqua"/>
          <w:sz w:val="24"/>
          <w:szCs w:val="24"/>
          <w:lang w:val="en-US"/>
        </w:rPr>
        <w:t>Further multicenter prospective studies involving a larger number of patients are presently needed.</w:t>
      </w:r>
    </w:p>
    <w:p w:rsidR="00097697" w:rsidRPr="00CC6129" w:rsidRDefault="00097697" w:rsidP="0010680C">
      <w:pPr>
        <w:snapToGrid w:val="0"/>
        <w:spacing w:after="0" w:line="360" w:lineRule="auto"/>
        <w:jc w:val="both"/>
        <w:rPr>
          <w:rFonts w:ascii="Book Antiqua" w:hAnsi="Book Antiqua"/>
          <w:b/>
          <w:bCs/>
          <w:sz w:val="24"/>
          <w:szCs w:val="24"/>
          <w:lang w:val="en-US"/>
        </w:rPr>
      </w:pPr>
    </w:p>
    <w:p w:rsidR="00097697" w:rsidRPr="00CC6129" w:rsidRDefault="00097697" w:rsidP="0010680C">
      <w:pPr>
        <w:snapToGrid w:val="0"/>
        <w:spacing w:after="0" w:line="360" w:lineRule="auto"/>
        <w:jc w:val="both"/>
        <w:rPr>
          <w:rFonts w:ascii="Book Antiqua" w:hAnsi="Book Antiqua"/>
          <w:b/>
          <w:bCs/>
          <w:sz w:val="24"/>
          <w:szCs w:val="24"/>
          <w:lang w:val="en-US" w:eastAsia="zh-CN"/>
        </w:rPr>
      </w:pPr>
      <w:r w:rsidRPr="00CC6129">
        <w:rPr>
          <w:rFonts w:ascii="Book Antiqua" w:hAnsi="Book Antiqua"/>
          <w:b/>
          <w:sz w:val="24"/>
          <w:szCs w:val="24"/>
          <w:lang w:val="en-US"/>
        </w:rPr>
        <w:t xml:space="preserve">Key </w:t>
      </w:r>
      <w:r w:rsidR="00AE38CC" w:rsidRPr="00CC6129">
        <w:rPr>
          <w:rFonts w:ascii="Book Antiqua" w:hAnsi="Book Antiqua"/>
          <w:b/>
          <w:sz w:val="24"/>
          <w:szCs w:val="24"/>
          <w:lang w:val="en-US"/>
        </w:rPr>
        <w:t>w</w:t>
      </w:r>
      <w:r w:rsidRPr="00CC6129">
        <w:rPr>
          <w:rFonts w:ascii="Book Antiqua" w:hAnsi="Book Antiqua"/>
          <w:b/>
          <w:sz w:val="24"/>
          <w:szCs w:val="24"/>
          <w:lang w:val="en-US"/>
        </w:rPr>
        <w:t>ords:</w:t>
      </w:r>
      <w:r w:rsidRPr="00CC6129">
        <w:rPr>
          <w:rFonts w:ascii="Book Antiqua" w:hAnsi="Book Antiqua"/>
          <w:sz w:val="24"/>
          <w:szCs w:val="24"/>
          <w:lang w:val="en-US"/>
        </w:rPr>
        <w:tab/>
        <w:t>Gastrointestinal cancer</w:t>
      </w:r>
      <w:r w:rsidR="000730D3">
        <w:rPr>
          <w:rFonts w:ascii="Book Antiqua" w:hAnsi="Book Antiqua" w:hint="eastAsia"/>
          <w:sz w:val="24"/>
          <w:szCs w:val="24"/>
          <w:lang w:val="en-US" w:eastAsia="zh-CN"/>
        </w:rPr>
        <w:t>;</w:t>
      </w:r>
      <w:r w:rsidRPr="00CC6129">
        <w:rPr>
          <w:rFonts w:ascii="Book Antiqua" w:hAnsi="Book Antiqua"/>
          <w:sz w:val="24"/>
          <w:szCs w:val="24"/>
          <w:lang w:val="en-US"/>
        </w:rPr>
        <w:t xml:space="preserve"> </w:t>
      </w:r>
      <w:r w:rsidRPr="000730D3">
        <w:rPr>
          <w:rFonts w:ascii="Book Antiqua" w:hAnsi="Book Antiqua"/>
          <w:caps/>
          <w:sz w:val="24"/>
          <w:szCs w:val="24"/>
          <w:lang w:val="en-US"/>
        </w:rPr>
        <w:t>t</w:t>
      </w:r>
      <w:r w:rsidRPr="00CC6129">
        <w:rPr>
          <w:rFonts w:ascii="Book Antiqua" w:hAnsi="Book Antiqua"/>
          <w:sz w:val="24"/>
          <w:szCs w:val="24"/>
          <w:lang w:val="en-US"/>
        </w:rPr>
        <w:t>ype 2 diabetes</w:t>
      </w:r>
      <w:r w:rsidR="000730D3">
        <w:rPr>
          <w:rFonts w:ascii="Book Antiqua" w:hAnsi="Book Antiqua" w:hint="eastAsia"/>
          <w:sz w:val="24"/>
          <w:szCs w:val="24"/>
          <w:lang w:val="en-US" w:eastAsia="zh-CN"/>
        </w:rPr>
        <w:t>;</w:t>
      </w:r>
      <w:r w:rsidRPr="00CC6129">
        <w:rPr>
          <w:rFonts w:ascii="Book Antiqua" w:hAnsi="Book Antiqua"/>
          <w:sz w:val="24"/>
          <w:szCs w:val="24"/>
          <w:lang w:val="en-US"/>
        </w:rPr>
        <w:t xml:space="preserve"> </w:t>
      </w:r>
      <w:r w:rsidRPr="000730D3">
        <w:rPr>
          <w:rFonts w:ascii="Book Antiqua" w:hAnsi="Book Antiqua"/>
          <w:caps/>
          <w:sz w:val="24"/>
          <w:szCs w:val="24"/>
          <w:lang w:val="en-US"/>
        </w:rPr>
        <w:t>i</w:t>
      </w:r>
      <w:r w:rsidRPr="00CC6129">
        <w:rPr>
          <w:rFonts w:ascii="Book Antiqua" w:hAnsi="Book Antiqua"/>
          <w:sz w:val="24"/>
          <w:szCs w:val="24"/>
          <w:lang w:val="en-US"/>
        </w:rPr>
        <w:t>nsulin resistance</w:t>
      </w:r>
      <w:r w:rsidR="000730D3">
        <w:rPr>
          <w:rFonts w:ascii="Book Antiqua" w:hAnsi="Book Antiqua" w:hint="eastAsia"/>
          <w:sz w:val="24"/>
          <w:szCs w:val="24"/>
          <w:lang w:val="en-US" w:eastAsia="zh-CN"/>
        </w:rPr>
        <w:t>;</w:t>
      </w:r>
      <w:r w:rsidRPr="00CC6129">
        <w:rPr>
          <w:rFonts w:ascii="Book Antiqua" w:hAnsi="Book Antiqua"/>
          <w:sz w:val="24"/>
          <w:szCs w:val="24"/>
          <w:lang w:val="en-US"/>
        </w:rPr>
        <w:t xml:space="preserve"> </w:t>
      </w:r>
      <w:r w:rsidRPr="000730D3">
        <w:rPr>
          <w:rFonts w:ascii="Book Antiqua" w:hAnsi="Book Antiqua"/>
          <w:caps/>
          <w:sz w:val="24"/>
          <w:szCs w:val="24"/>
          <w:lang w:val="en-US"/>
        </w:rPr>
        <w:t>v</w:t>
      </w:r>
      <w:r w:rsidRPr="00CC6129">
        <w:rPr>
          <w:rFonts w:ascii="Book Antiqua" w:hAnsi="Book Antiqua"/>
          <w:sz w:val="24"/>
          <w:szCs w:val="24"/>
          <w:lang w:val="en-US"/>
        </w:rPr>
        <w:t>enous thromboembolism</w:t>
      </w:r>
      <w:r w:rsidR="000730D3">
        <w:rPr>
          <w:rFonts w:ascii="Book Antiqua" w:hAnsi="Book Antiqua" w:hint="eastAsia"/>
          <w:sz w:val="24"/>
          <w:szCs w:val="24"/>
          <w:lang w:val="en-US" w:eastAsia="zh-CN"/>
        </w:rPr>
        <w:t xml:space="preserve">; </w:t>
      </w:r>
      <w:r w:rsidR="00AD3739" w:rsidRPr="000730D3">
        <w:rPr>
          <w:rFonts w:ascii="Book Antiqua" w:hAnsi="Book Antiqua"/>
          <w:caps/>
          <w:sz w:val="24"/>
          <w:szCs w:val="24"/>
          <w:lang w:val="en-US"/>
        </w:rPr>
        <w:t>c</w:t>
      </w:r>
      <w:r w:rsidR="00AD3739" w:rsidRPr="00CC6129">
        <w:rPr>
          <w:rFonts w:ascii="Book Antiqua" w:hAnsi="Book Antiqua"/>
          <w:sz w:val="24"/>
          <w:szCs w:val="24"/>
          <w:lang w:val="en-US"/>
        </w:rPr>
        <w:t>hemotherapy</w:t>
      </w:r>
    </w:p>
    <w:p w:rsidR="00097697" w:rsidRDefault="00097697" w:rsidP="0010680C">
      <w:pPr>
        <w:snapToGrid w:val="0"/>
        <w:spacing w:after="0" w:line="360" w:lineRule="auto"/>
        <w:jc w:val="both"/>
        <w:rPr>
          <w:rFonts w:ascii="Book Antiqua" w:hAnsi="Book Antiqua"/>
          <w:b/>
          <w:bCs/>
          <w:sz w:val="24"/>
          <w:szCs w:val="24"/>
          <w:lang w:val="en-US" w:eastAsia="zh-CN"/>
        </w:rPr>
      </w:pPr>
    </w:p>
    <w:p w:rsidR="000730D3" w:rsidRPr="000730D3" w:rsidRDefault="000730D3" w:rsidP="000730D3">
      <w:pPr>
        <w:adjustRightInd w:val="0"/>
        <w:snapToGrid w:val="0"/>
        <w:spacing w:after="0" w:line="360" w:lineRule="auto"/>
        <w:jc w:val="both"/>
        <w:rPr>
          <w:rFonts w:ascii="Book Antiqua" w:eastAsia="SimSun" w:hAnsi="Book Antiqua" w:cs="SimSun"/>
          <w:sz w:val="24"/>
          <w:szCs w:val="24"/>
          <w:lang w:val="en-US" w:eastAsia="zh-CN"/>
        </w:rPr>
      </w:pPr>
      <w:bookmarkStart w:id="15" w:name="OLE_LINK363"/>
      <w:bookmarkStart w:id="16" w:name="OLE_LINK364"/>
      <w:bookmarkStart w:id="17" w:name="OLE_LINK359"/>
      <w:bookmarkStart w:id="18" w:name="OLE_LINK1037"/>
      <w:bookmarkStart w:id="19" w:name="OLE_LINK1195"/>
      <w:bookmarkStart w:id="20" w:name="OLE_LINK1140"/>
      <w:bookmarkStart w:id="21" w:name="OLE_LINK1062"/>
      <w:bookmarkStart w:id="22" w:name="OLE_LINK500"/>
      <w:bookmarkStart w:id="23" w:name="OLE_LINK916"/>
      <w:bookmarkStart w:id="24" w:name="OLE_LINK956"/>
      <w:bookmarkStart w:id="25" w:name="OLE_LINK994"/>
      <w:r w:rsidRPr="000730D3">
        <w:rPr>
          <w:rFonts w:ascii="Book Antiqua" w:eastAsia="SimSun" w:hAnsi="Book Antiqua" w:cs="SimSun" w:hint="eastAsia"/>
          <w:b/>
          <w:sz w:val="24"/>
          <w:szCs w:val="24"/>
          <w:lang w:val="en-US" w:eastAsia="zh-CN"/>
        </w:rPr>
        <w:t>©</w:t>
      </w:r>
      <w:r w:rsidRPr="000730D3">
        <w:rPr>
          <w:rFonts w:ascii="Book Antiqua" w:eastAsia="SimSun" w:hAnsi="Book Antiqua" w:cs="SimSun"/>
          <w:b/>
          <w:sz w:val="24"/>
          <w:szCs w:val="24"/>
          <w:lang w:val="en-US" w:eastAsia="zh-CN"/>
        </w:rPr>
        <w:t xml:space="preserve"> The Author(s) 201</w:t>
      </w:r>
      <w:r w:rsidRPr="000730D3">
        <w:rPr>
          <w:rFonts w:ascii="Book Antiqua" w:eastAsia="SimSun" w:hAnsi="Book Antiqua" w:cs="SimSun" w:hint="eastAsia"/>
          <w:b/>
          <w:sz w:val="24"/>
          <w:szCs w:val="24"/>
          <w:lang w:val="en-US" w:eastAsia="zh-CN"/>
        </w:rPr>
        <w:t>7</w:t>
      </w:r>
      <w:r w:rsidRPr="000730D3">
        <w:rPr>
          <w:rFonts w:ascii="Book Antiqua" w:eastAsia="SimSun" w:hAnsi="Book Antiqua" w:cs="SimSun"/>
          <w:b/>
          <w:sz w:val="24"/>
          <w:szCs w:val="24"/>
          <w:lang w:val="en-US" w:eastAsia="zh-CN"/>
        </w:rPr>
        <w:t>.</w:t>
      </w:r>
      <w:r w:rsidRPr="000730D3">
        <w:rPr>
          <w:rFonts w:ascii="Book Antiqua" w:eastAsia="SimSun" w:hAnsi="Book Antiqua" w:cs="SimSun"/>
          <w:sz w:val="24"/>
          <w:szCs w:val="24"/>
          <w:lang w:val="en-US" w:eastAsia="zh-CN"/>
        </w:rPr>
        <w:t xml:space="preserve"> Published by Baishideng Publishing Group Inc. All rights reserved.</w:t>
      </w:r>
    </w:p>
    <w:bookmarkEnd w:id="15"/>
    <w:bookmarkEnd w:id="16"/>
    <w:bookmarkEnd w:id="17"/>
    <w:bookmarkEnd w:id="18"/>
    <w:bookmarkEnd w:id="19"/>
    <w:bookmarkEnd w:id="20"/>
    <w:bookmarkEnd w:id="21"/>
    <w:bookmarkEnd w:id="22"/>
    <w:bookmarkEnd w:id="23"/>
    <w:bookmarkEnd w:id="24"/>
    <w:bookmarkEnd w:id="25"/>
    <w:p w:rsidR="000730D3" w:rsidRPr="00CC6129" w:rsidRDefault="000730D3" w:rsidP="0010680C">
      <w:pPr>
        <w:snapToGrid w:val="0"/>
        <w:spacing w:after="0" w:line="360" w:lineRule="auto"/>
        <w:jc w:val="both"/>
        <w:rPr>
          <w:rFonts w:ascii="Book Antiqua" w:hAnsi="Book Antiqua"/>
          <w:b/>
          <w:bCs/>
          <w:sz w:val="24"/>
          <w:szCs w:val="24"/>
          <w:lang w:val="en-US" w:eastAsia="zh-CN"/>
        </w:rPr>
      </w:pPr>
    </w:p>
    <w:p w:rsidR="00097697" w:rsidRPr="00CC6129" w:rsidRDefault="00097697" w:rsidP="0010680C">
      <w:pPr>
        <w:snapToGrid w:val="0"/>
        <w:spacing w:after="0" w:line="360" w:lineRule="auto"/>
        <w:jc w:val="both"/>
        <w:rPr>
          <w:rFonts w:ascii="Book Antiqua" w:hAnsi="Book Antiqua"/>
          <w:b/>
          <w:bCs/>
          <w:sz w:val="24"/>
          <w:szCs w:val="24"/>
          <w:lang w:val="en-US"/>
        </w:rPr>
      </w:pPr>
      <w:r w:rsidRPr="00CC6129">
        <w:rPr>
          <w:rFonts w:ascii="Book Antiqua" w:hAnsi="Book Antiqua"/>
          <w:b/>
          <w:bCs/>
          <w:sz w:val="24"/>
          <w:szCs w:val="24"/>
          <w:lang w:val="en-US"/>
        </w:rPr>
        <w:t>C</w:t>
      </w:r>
      <w:r w:rsidR="00170C01" w:rsidRPr="00CC6129">
        <w:rPr>
          <w:rFonts w:ascii="Book Antiqua" w:hAnsi="Book Antiqua"/>
          <w:b/>
          <w:bCs/>
          <w:sz w:val="24"/>
          <w:szCs w:val="24"/>
          <w:lang w:val="en-US"/>
        </w:rPr>
        <w:t>ore tip</w:t>
      </w:r>
      <w:r w:rsidR="00AE38CC" w:rsidRPr="00CC6129">
        <w:rPr>
          <w:rFonts w:ascii="Book Antiqua" w:hAnsi="Book Antiqua"/>
          <w:b/>
          <w:bCs/>
          <w:sz w:val="24"/>
          <w:szCs w:val="24"/>
          <w:lang w:val="en-US"/>
        </w:rPr>
        <w:t xml:space="preserve">: </w:t>
      </w:r>
      <w:r w:rsidR="00FA1861" w:rsidRPr="00CC6129">
        <w:rPr>
          <w:rFonts w:ascii="Book Antiqua" w:hAnsi="Book Antiqua"/>
          <w:bCs/>
          <w:sz w:val="24"/>
          <w:szCs w:val="24"/>
          <w:lang w:val="en-US"/>
        </w:rPr>
        <w:t>The predictive value of pre-treatment fasting blood glucose, insulin, HbA</w:t>
      </w:r>
      <w:r w:rsidR="00FA1861" w:rsidRPr="00CC6129">
        <w:rPr>
          <w:rFonts w:ascii="Book Antiqua" w:hAnsi="Book Antiqua"/>
          <w:bCs/>
          <w:sz w:val="24"/>
          <w:szCs w:val="24"/>
          <w:vertAlign w:val="subscript"/>
          <w:lang w:val="en-US"/>
        </w:rPr>
        <w:t>1c</w:t>
      </w:r>
      <w:r w:rsidR="00FA1861" w:rsidRPr="00CC6129">
        <w:rPr>
          <w:rFonts w:ascii="Book Antiqua" w:hAnsi="Book Antiqua"/>
          <w:bCs/>
          <w:sz w:val="24"/>
          <w:szCs w:val="24"/>
          <w:lang w:val="en-US"/>
        </w:rPr>
        <w:t xml:space="preserve"> and homeostasis model of risk assessment (HOMA) was investigated in a cohort of gastrointestinal (GI) cancer patients.</w:t>
      </w:r>
      <w:r w:rsidR="0010680C">
        <w:rPr>
          <w:rFonts w:ascii="Book Antiqua" w:hAnsi="Book Antiqua"/>
          <w:bCs/>
          <w:sz w:val="24"/>
          <w:szCs w:val="24"/>
          <w:lang w:val="en-US"/>
        </w:rPr>
        <w:t xml:space="preserve"> </w:t>
      </w:r>
      <w:r w:rsidR="00FA1861" w:rsidRPr="00CC6129">
        <w:rPr>
          <w:rFonts w:ascii="Book Antiqua" w:hAnsi="Book Antiqua"/>
          <w:bCs/>
          <w:sz w:val="24"/>
          <w:szCs w:val="24"/>
          <w:lang w:val="en-US"/>
        </w:rPr>
        <w:t xml:space="preserve">Despite all </w:t>
      </w:r>
      <w:r w:rsidR="00F9216D" w:rsidRPr="00CC6129">
        <w:rPr>
          <w:rFonts w:ascii="Book Antiqua" w:hAnsi="Book Antiqua"/>
          <w:bCs/>
          <w:sz w:val="24"/>
          <w:szCs w:val="24"/>
          <w:lang w:val="en-US"/>
        </w:rPr>
        <w:t>investigated</w:t>
      </w:r>
      <w:r w:rsidR="00FA1861" w:rsidRPr="00CC6129">
        <w:rPr>
          <w:rFonts w:ascii="Book Antiqua" w:hAnsi="Book Antiqua"/>
          <w:bCs/>
          <w:sz w:val="24"/>
          <w:szCs w:val="24"/>
          <w:lang w:val="en-US"/>
        </w:rPr>
        <w:t xml:space="preserve"> metabolic markers were associated with </w:t>
      </w:r>
      <w:r w:rsidR="003C6168" w:rsidRPr="00CC6129">
        <w:rPr>
          <w:rFonts w:ascii="Book Antiqua" w:hAnsi="Book Antiqua"/>
          <w:bCs/>
          <w:sz w:val="24"/>
          <w:szCs w:val="24"/>
          <w:lang w:val="en-US"/>
        </w:rPr>
        <w:t xml:space="preserve">an </w:t>
      </w:r>
      <w:r w:rsidR="00FA1861" w:rsidRPr="00CC6129">
        <w:rPr>
          <w:rFonts w:ascii="Book Antiqua" w:hAnsi="Book Antiqua"/>
          <w:bCs/>
          <w:sz w:val="24"/>
          <w:szCs w:val="24"/>
          <w:lang w:val="en-US"/>
        </w:rPr>
        <w:t xml:space="preserve">increased VTE risk </w:t>
      </w:r>
      <w:r w:rsidR="003664C2" w:rsidRPr="00CC6129">
        <w:rPr>
          <w:rFonts w:ascii="Book Antiqua" w:hAnsi="Book Antiqua"/>
          <w:bCs/>
          <w:sz w:val="24"/>
          <w:szCs w:val="24"/>
          <w:lang w:val="en-US"/>
        </w:rPr>
        <w:t xml:space="preserve">during chemotherapy </w:t>
      </w:r>
      <w:r w:rsidR="00FA1861" w:rsidRPr="00CC6129">
        <w:rPr>
          <w:rFonts w:ascii="Book Antiqua" w:hAnsi="Book Antiqua"/>
          <w:bCs/>
          <w:sz w:val="24"/>
          <w:szCs w:val="24"/>
          <w:lang w:val="en-US"/>
        </w:rPr>
        <w:t xml:space="preserve">at ROC analysis, </w:t>
      </w:r>
      <w:r w:rsidR="007928BF" w:rsidRPr="00CC6129">
        <w:rPr>
          <w:rFonts w:ascii="Book Antiqua" w:hAnsi="Book Antiqua"/>
          <w:bCs/>
          <w:sz w:val="24"/>
          <w:szCs w:val="24"/>
          <w:lang w:val="en-US"/>
        </w:rPr>
        <w:t xml:space="preserve">only elevated HOMA index (HR </w:t>
      </w:r>
      <w:r w:rsidR="000730D3">
        <w:rPr>
          <w:rFonts w:ascii="Book Antiqua" w:hAnsi="Book Antiqua" w:hint="eastAsia"/>
          <w:bCs/>
          <w:sz w:val="24"/>
          <w:szCs w:val="24"/>
          <w:lang w:val="en-US" w:eastAsia="zh-CN"/>
        </w:rPr>
        <w:t xml:space="preserve">= </w:t>
      </w:r>
      <w:r w:rsidR="007928BF" w:rsidRPr="00CC6129">
        <w:rPr>
          <w:rFonts w:ascii="Book Antiqua" w:hAnsi="Book Antiqua"/>
          <w:bCs/>
          <w:sz w:val="24"/>
          <w:szCs w:val="24"/>
          <w:lang w:val="en-US"/>
        </w:rPr>
        <w:t>4.</w:t>
      </w:r>
      <w:r w:rsidR="00F17870" w:rsidRPr="00CC6129">
        <w:rPr>
          <w:rFonts w:ascii="Book Antiqua" w:hAnsi="Book Antiqua"/>
          <w:bCs/>
          <w:sz w:val="24"/>
          <w:szCs w:val="24"/>
          <w:lang w:val="en-US"/>
        </w:rPr>
        <w:t>13</w:t>
      </w:r>
      <w:r w:rsidR="007928BF" w:rsidRPr="00CC6129">
        <w:rPr>
          <w:rFonts w:ascii="Book Antiqua" w:hAnsi="Book Antiqua"/>
          <w:bCs/>
          <w:sz w:val="24"/>
          <w:szCs w:val="24"/>
          <w:lang w:val="en-US"/>
        </w:rPr>
        <w:t xml:space="preserve">) or fasting blood glucose (HR </w:t>
      </w:r>
      <w:r w:rsidR="000730D3">
        <w:rPr>
          <w:rFonts w:ascii="Book Antiqua" w:hAnsi="Book Antiqua" w:hint="eastAsia"/>
          <w:bCs/>
          <w:sz w:val="24"/>
          <w:szCs w:val="24"/>
          <w:lang w:val="en-US" w:eastAsia="zh-CN"/>
        </w:rPr>
        <w:t xml:space="preserve">= </w:t>
      </w:r>
      <w:r w:rsidR="00F17870" w:rsidRPr="00CC6129">
        <w:rPr>
          <w:rFonts w:ascii="Book Antiqua" w:hAnsi="Book Antiqua"/>
          <w:sz w:val="24"/>
          <w:szCs w:val="24"/>
          <w:lang w:val="en-US"/>
        </w:rPr>
        <w:t>3.56</w:t>
      </w:r>
      <w:r w:rsidR="007928BF" w:rsidRPr="00CC6129">
        <w:rPr>
          <w:rFonts w:ascii="Book Antiqua" w:hAnsi="Book Antiqua"/>
          <w:bCs/>
          <w:sz w:val="24"/>
          <w:szCs w:val="24"/>
          <w:lang w:val="en-US"/>
        </w:rPr>
        <w:t xml:space="preserve">) </w:t>
      </w:r>
      <w:r w:rsidR="003664C2" w:rsidRPr="00CC6129">
        <w:rPr>
          <w:rFonts w:ascii="Book Antiqua" w:hAnsi="Book Antiqua"/>
          <w:bCs/>
          <w:sz w:val="24"/>
          <w:szCs w:val="24"/>
          <w:lang w:val="en-US"/>
        </w:rPr>
        <w:t>had</w:t>
      </w:r>
      <w:r w:rsidR="00FA1861" w:rsidRPr="00CC6129">
        <w:rPr>
          <w:rFonts w:ascii="Book Antiqua" w:hAnsi="Book Antiqua"/>
          <w:bCs/>
          <w:sz w:val="24"/>
          <w:szCs w:val="24"/>
          <w:lang w:val="en-US"/>
        </w:rPr>
        <w:t xml:space="preserve"> a</w:t>
      </w:r>
      <w:r w:rsidR="003664C2" w:rsidRPr="00CC6129">
        <w:rPr>
          <w:rFonts w:ascii="Book Antiqua" w:hAnsi="Book Antiqua"/>
          <w:bCs/>
          <w:sz w:val="24"/>
          <w:szCs w:val="24"/>
          <w:lang w:val="en-US"/>
        </w:rPr>
        <w:t>n</w:t>
      </w:r>
      <w:r w:rsidR="00FA1861" w:rsidRPr="00CC6129">
        <w:rPr>
          <w:rFonts w:ascii="Book Antiqua" w:hAnsi="Book Antiqua"/>
          <w:bCs/>
          <w:sz w:val="24"/>
          <w:szCs w:val="24"/>
          <w:lang w:val="en-US"/>
        </w:rPr>
        <w:t xml:space="preserve"> </w:t>
      </w:r>
      <w:r w:rsidR="007928BF" w:rsidRPr="00CC6129">
        <w:rPr>
          <w:rFonts w:ascii="Book Antiqua" w:hAnsi="Book Antiqua"/>
          <w:bCs/>
          <w:sz w:val="24"/>
          <w:szCs w:val="24"/>
          <w:lang w:val="en-US"/>
        </w:rPr>
        <w:t xml:space="preserve">independent predictive </w:t>
      </w:r>
      <w:r w:rsidR="00FA1861" w:rsidRPr="00CC6129">
        <w:rPr>
          <w:rFonts w:ascii="Book Antiqua" w:hAnsi="Book Antiqua"/>
          <w:bCs/>
          <w:sz w:val="24"/>
          <w:szCs w:val="24"/>
          <w:lang w:val="en-US"/>
        </w:rPr>
        <w:t>value</w:t>
      </w:r>
      <w:r w:rsidR="003664C2" w:rsidRPr="00CC6129">
        <w:rPr>
          <w:rFonts w:ascii="Book Antiqua" w:hAnsi="Book Antiqua"/>
          <w:bCs/>
          <w:sz w:val="24"/>
          <w:szCs w:val="24"/>
          <w:lang w:val="en-US"/>
        </w:rPr>
        <w:t xml:space="preserve"> in survival analyses</w:t>
      </w:r>
      <w:r w:rsidR="00FA1861" w:rsidRPr="00CC6129">
        <w:rPr>
          <w:rFonts w:ascii="Book Antiqua" w:hAnsi="Book Antiqua"/>
          <w:bCs/>
          <w:sz w:val="24"/>
          <w:szCs w:val="24"/>
          <w:lang w:val="en-US"/>
        </w:rPr>
        <w:t xml:space="preserve"> after adjustment for major confounders.</w:t>
      </w:r>
      <w:r w:rsidR="0010680C">
        <w:rPr>
          <w:rFonts w:ascii="Book Antiqua" w:hAnsi="Book Antiqua"/>
          <w:bCs/>
          <w:sz w:val="24"/>
          <w:szCs w:val="24"/>
          <w:lang w:val="en-US"/>
        </w:rPr>
        <w:t xml:space="preserve"> </w:t>
      </w:r>
      <w:r w:rsidR="00FA1861" w:rsidRPr="00CC6129">
        <w:rPr>
          <w:rFonts w:ascii="Book Antiqua" w:hAnsi="Book Antiqua"/>
          <w:bCs/>
          <w:sz w:val="24"/>
          <w:szCs w:val="24"/>
          <w:lang w:val="en-US"/>
        </w:rPr>
        <w:t xml:space="preserve">These results suggest that glycemic metabolic markers, mainly </w:t>
      </w:r>
      <w:r w:rsidR="007928BF" w:rsidRPr="00CC6129">
        <w:rPr>
          <w:rFonts w:ascii="Book Antiqua" w:hAnsi="Book Antiqua"/>
          <w:bCs/>
          <w:sz w:val="24"/>
          <w:szCs w:val="24"/>
          <w:lang w:val="en-US"/>
        </w:rPr>
        <w:t>HOMA index</w:t>
      </w:r>
      <w:r w:rsidR="00FA1861" w:rsidRPr="00CC6129">
        <w:rPr>
          <w:rFonts w:ascii="Book Antiqua" w:hAnsi="Book Antiqua"/>
          <w:bCs/>
          <w:sz w:val="24"/>
          <w:szCs w:val="24"/>
          <w:lang w:val="en-US"/>
        </w:rPr>
        <w:t xml:space="preserve">, should be carefully monitored in </w:t>
      </w:r>
      <w:r w:rsidR="000F7E34" w:rsidRPr="00CC6129">
        <w:rPr>
          <w:rFonts w:ascii="Book Antiqua" w:hAnsi="Book Antiqua"/>
          <w:sz w:val="24"/>
          <w:szCs w:val="24"/>
          <w:lang w:val="en-US"/>
        </w:rPr>
        <w:t>chemotherapy-treated</w:t>
      </w:r>
      <w:r w:rsidR="000F7E34" w:rsidRPr="00CC6129">
        <w:rPr>
          <w:rFonts w:ascii="Book Antiqua" w:hAnsi="Book Antiqua"/>
          <w:bCs/>
          <w:sz w:val="24"/>
          <w:szCs w:val="24"/>
          <w:lang w:val="en-US"/>
        </w:rPr>
        <w:t xml:space="preserve"> </w:t>
      </w:r>
      <w:r w:rsidR="007928BF" w:rsidRPr="00CC6129">
        <w:rPr>
          <w:rFonts w:ascii="Book Antiqua" w:hAnsi="Book Antiqua"/>
          <w:bCs/>
          <w:sz w:val="24"/>
          <w:szCs w:val="24"/>
          <w:lang w:val="en-US"/>
        </w:rPr>
        <w:t>GI cancer</w:t>
      </w:r>
      <w:r w:rsidR="00FA1861" w:rsidRPr="00CC6129">
        <w:rPr>
          <w:rFonts w:ascii="Book Antiqua" w:hAnsi="Book Antiqua"/>
          <w:bCs/>
          <w:sz w:val="24"/>
          <w:szCs w:val="24"/>
          <w:lang w:val="en-US"/>
        </w:rPr>
        <w:t xml:space="preserve"> patients</w:t>
      </w:r>
      <w:r w:rsidR="003C6168" w:rsidRPr="00CC6129">
        <w:rPr>
          <w:rFonts w:ascii="Book Antiqua" w:hAnsi="Book Antiqua"/>
          <w:bCs/>
          <w:sz w:val="24"/>
          <w:szCs w:val="24"/>
          <w:lang w:val="en-US"/>
        </w:rPr>
        <w:t>,</w:t>
      </w:r>
      <w:r w:rsidR="00FA1861" w:rsidRPr="00CC6129">
        <w:rPr>
          <w:rFonts w:ascii="Book Antiqua" w:hAnsi="Book Antiqua"/>
          <w:bCs/>
          <w:sz w:val="24"/>
          <w:szCs w:val="24"/>
          <w:lang w:val="en-US"/>
        </w:rPr>
        <w:t xml:space="preserve"> as they could </w:t>
      </w:r>
      <w:r w:rsidR="007928BF" w:rsidRPr="00CC6129">
        <w:rPr>
          <w:rFonts w:ascii="Book Antiqua" w:hAnsi="Book Antiqua"/>
          <w:sz w:val="24"/>
          <w:szCs w:val="24"/>
          <w:lang w:val="en-US"/>
        </w:rPr>
        <w:t xml:space="preserve">help </w:t>
      </w:r>
      <w:r w:rsidR="000F7E34" w:rsidRPr="00CC6129">
        <w:rPr>
          <w:rFonts w:ascii="Book Antiqua" w:hAnsi="Book Antiqua"/>
          <w:sz w:val="24"/>
          <w:szCs w:val="24"/>
          <w:lang w:val="en-US"/>
        </w:rPr>
        <w:t xml:space="preserve">to </w:t>
      </w:r>
      <w:r w:rsidR="007928BF" w:rsidRPr="00CC6129">
        <w:rPr>
          <w:rFonts w:ascii="Book Antiqua" w:hAnsi="Book Antiqua"/>
          <w:sz w:val="24"/>
          <w:szCs w:val="24"/>
          <w:lang w:val="en-US"/>
        </w:rPr>
        <w:t xml:space="preserve">identify patients who </w:t>
      </w:r>
      <w:r w:rsidR="000F7E34" w:rsidRPr="00CC6129">
        <w:rPr>
          <w:rFonts w:ascii="Book Antiqua" w:hAnsi="Book Antiqua"/>
          <w:sz w:val="24"/>
          <w:szCs w:val="24"/>
          <w:lang w:val="en-US"/>
        </w:rPr>
        <w:t xml:space="preserve">might </w:t>
      </w:r>
      <w:r w:rsidR="007928BF" w:rsidRPr="00CC6129">
        <w:rPr>
          <w:rFonts w:ascii="Book Antiqua" w:hAnsi="Book Antiqua"/>
          <w:sz w:val="24"/>
          <w:szCs w:val="24"/>
          <w:lang w:val="en-US"/>
        </w:rPr>
        <w:t>benefit from thromboprophylaxis</w:t>
      </w:r>
      <w:r w:rsidR="00FA1861" w:rsidRPr="00CC6129">
        <w:rPr>
          <w:rFonts w:ascii="Book Antiqua" w:hAnsi="Book Antiqua"/>
          <w:bCs/>
          <w:sz w:val="24"/>
          <w:szCs w:val="24"/>
          <w:lang w:val="en-US"/>
        </w:rPr>
        <w:t>.</w:t>
      </w:r>
    </w:p>
    <w:p w:rsidR="00097697" w:rsidRPr="00CC6129" w:rsidRDefault="00097697" w:rsidP="0010680C">
      <w:pPr>
        <w:snapToGrid w:val="0"/>
        <w:spacing w:after="0" w:line="360" w:lineRule="auto"/>
        <w:jc w:val="both"/>
        <w:rPr>
          <w:rFonts w:ascii="Book Antiqua" w:hAnsi="Book Antiqua"/>
          <w:bCs/>
          <w:sz w:val="24"/>
          <w:szCs w:val="24"/>
          <w:lang w:val="en-US"/>
        </w:rPr>
      </w:pPr>
    </w:p>
    <w:p w:rsidR="00097697" w:rsidRPr="00CC6129" w:rsidRDefault="00097697" w:rsidP="0010680C">
      <w:pPr>
        <w:snapToGrid w:val="0"/>
        <w:spacing w:after="0" w:line="360" w:lineRule="auto"/>
        <w:jc w:val="both"/>
        <w:rPr>
          <w:rFonts w:ascii="Book Antiqua" w:hAnsi="Book Antiqua"/>
          <w:bCs/>
          <w:sz w:val="24"/>
          <w:szCs w:val="24"/>
          <w:lang w:val="en-US" w:eastAsia="zh-CN"/>
        </w:rPr>
      </w:pPr>
      <w:r w:rsidRPr="000730D3">
        <w:rPr>
          <w:rFonts w:ascii="Book Antiqua" w:hAnsi="Book Antiqua"/>
          <w:bCs/>
          <w:sz w:val="24"/>
          <w:szCs w:val="24"/>
        </w:rPr>
        <w:t>Citation</w:t>
      </w:r>
      <w:r w:rsidR="0010680C" w:rsidRPr="000730D3">
        <w:rPr>
          <w:rFonts w:ascii="Book Antiqua" w:hAnsi="Book Antiqua"/>
          <w:bCs/>
          <w:sz w:val="24"/>
          <w:szCs w:val="24"/>
        </w:rPr>
        <w:t xml:space="preserve"> </w:t>
      </w:r>
      <w:r w:rsidR="00AD3739" w:rsidRPr="000730D3">
        <w:rPr>
          <w:rFonts w:ascii="Book Antiqua" w:hAnsi="Book Antiqua"/>
          <w:bCs/>
          <w:sz w:val="24"/>
          <w:szCs w:val="24"/>
        </w:rPr>
        <w:t xml:space="preserve">Guadagni F, </w:t>
      </w:r>
      <w:r w:rsidR="000E0BDD" w:rsidRPr="00CC6129">
        <w:rPr>
          <w:rFonts w:ascii="Book Antiqua" w:hAnsi="Book Antiqua"/>
          <w:bCs/>
          <w:sz w:val="24"/>
          <w:szCs w:val="24"/>
        </w:rPr>
        <w:t xml:space="preserve">Riondino S, </w:t>
      </w:r>
      <w:r w:rsidRPr="00CC6129">
        <w:rPr>
          <w:rFonts w:ascii="Book Antiqua" w:hAnsi="Book Antiqua"/>
          <w:bCs/>
          <w:sz w:val="24"/>
          <w:szCs w:val="24"/>
        </w:rPr>
        <w:t xml:space="preserve">Formica V, </w:t>
      </w:r>
      <w:r w:rsidR="001A4E47" w:rsidRPr="00CC6129">
        <w:rPr>
          <w:rFonts w:ascii="Book Antiqua" w:hAnsi="Book Antiqua"/>
          <w:bCs/>
          <w:sz w:val="24"/>
          <w:szCs w:val="24"/>
        </w:rPr>
        <w:t xml:space="preserve">Del Monte G, </w:t>
      </w:r>
      <w:r w:rsidR="00413385" w:rsidRPr="00CC6129">
        <w:rPr>
          <w:rFonts w:ascii="Book Antiqua" w:hAnsi="Book Antiqua"/>
          <w:sz w:val="24"/>
          <w:szCs w:val="24"/>
        </w:rPr>
        <w:t>Morelli AM,</w:t>
      </w:r>
      <w:r w:rsidR="00413385" w:rsidRPr="00CC6129">
        <w:rPr>
          <w:rFonts w:ascii="Book Antiqua" w:hAnsi="Book Antiqua"/>
          <w:b/>
          <w:sz w:val="24"/>
          <w:szCs w:val="24"/>
        </w:rPr>
        <w:t xml:space="preserve"> </w:t>
      </w:r>
      <w:r w:rsidRPr="00CC6129">
        <w:rPr>
          <w:rFonts w:ascii="Book Antiqua" w:hAnsi="Book Antiqua"/>
          <w:bCs/>
          <w:sz w:val="24"/>
          <w:szCs w:val="24"/>
        </w:rPr>
        <w:t xml:space="preserve">Lucchetti J, Spila A, D’Alessandro R, </w:t>
      </w:r>
      <w:r w:rsidR="00AD3739" w:rsidRPr="00CC6129">
        <w:rPr>
          <w:rFonts w:ascii="Book Antiqua" w:hAnsi="Book Antiqua"/>
          <w:bCs/>
          <w:sz w:val="24"/>
          <w:szCs w:val="24"/>
        </w:rPr>
        <w:t xml:space="preserve">Della-Morte D, </w:t>
      </w:r>
      <w:r w:rsidR="000E0BDD" w:rsidRPr="00CC6129">
        <w:rPr>
          <w:rFonts w:ascii="Book Antiqua" w:hAnsi="Book Antiqua"/>
          <w:bCs/>
          <w:sz w:val="24"/>
          <w:szCs w:val="24"/>
        </w:rPr>
        <w:t xml:space="preserve">Ferroni P, </w:t>
      </w:r>
      <w:r w:rsidRPr="00CC6129">
        <w:rPr>
          <w:rFonts w:ascii="Book Antiqua" w:hAnsi="Book Antiqua"/>
          <w:bCs/>
          <w:sz w:val="24"/>
          <w:szCs w:val="24"/>
        </w:rPr>
        <w:t>Roselli M.</w:t>
      </w:r>
      <w:r w:rsidR="0010680C">
        <w:rPr>
          <w:rFonts w:ascii="Book Antiqua" w:hAnsi="Book Antiqua"/>
          <w:bCs/>
          <w:sz w:val="24"/>
          <w:szCs w:val="24"/>
        </w:rPr>
        <w:t xml:space="preserve"> </w:t>
      </w:r>
      <w:r w:rsidR="00AD3739" w:rsidRPr="00CC6129">
        <w:rPr>
          <w:rFonts w:ascii="Book Antiqua" w:hAnsi="Book Antiqua"/>
          <w:bCs/>
          <w:sz w:val="24"/>
          <w:szCs w:val="24"/>
          <w:lang w:val="en-US"/>
        </w:rPr>
        <w:t>Clinical significance of glycemic parameters on venous thromboembolism risk prediction in gastrointestinal cancer</w:t>
      </w:r>
      <w:r w:rsidRPr="00CC6129">
        <w:rPr>
          <w:rFonts w:ascii="Book Antiqua" w:hAnsi="Book Antiqua"/>
          <w:bCs/>
          <w:sz w:val="24"/>
          <w:szCs w:val="24"/>
          <w:lang w:val="en-US"/>
        </w:rPr>
        <w:t>.</w:t>
      </w:r>
      <w:r w:rsidR="000730D3">
        <w:rPr>
          <w:rFonts w:ascii="Book Antiqua" w:hAnsi="Book Antiqua" w:hint="eastAsia"/>
          <w:bCs/>
          <w:sz w:val="24"/>
          <w:szCs w:val="24"/>
          <w:lang w:val="en-US" w:eastAsia="zh-CN"/>
        </w:rPr>
        <w:t xml:space="preserve"> </w:t>
      </w:r>
      <w:bookmarkStart w:id="26" w:name="OLE_LINK1105"/>
      <w:bookmarkStart w:id="27" w:name="OLE_LINK1107"/>
      <w:r w:rsidR="000730D3" w:rsidRPr="000730D3">
        <w:rPr>
          <w:rFonts w:ascii="Book Antiqua" w:hAnsi="Book Antiqua"/>
          <w:bCs/>
          <w:i/>
          <w:sz w:val="24"/>
          <w:szCs w:val="24"/>
          <w:lang w:val="en-US" w:eastAsia="zh-CN"/>
        </w:rPr>
        <w:t xml:space="preserve">World J Gastroenterol </w:t>
      </w:r>
      <w:r w:rsidR="000730D3" w:rsidRPr="000730D3">
        <w:rPr>
          <w:rFonts w:ascii="Book Antiqua" w:hAnsi="Book Antiqua"/>
          <w:bCs/>
          <w:sz w:val="24"/>
          <w:szCs w:val="24"/>
          <w:lang w:val="en-US" w:eastAsia="zh-CN"/>
        </w:rPr>
        <w:t>201</w:t>
      </w:r>
      <w:r w:rsidR="000730D3" w:rsidRPr="000730D3">
        <w:rPr>
          <w:rFonts w:ascii="Book Antiqua" w:hAnsi="Book Antiqua" w:hint="eastAsia"/>
          <w:bCs/>
          <w:sz w:val="24"/>
          <w:szCs w:val="24"/>
          <w:lang w:val="en-US" w:eastAsia="zh-CN"/>
        </w:rPr>
        <w:t>7</w:t>
      </w:r>
      <w:r w:rsidR="000730D3" w:rsidRPr="000730D3">
        <w:rPr>
          <w:rFonts w:ascii="Book Antiqua" w:hAnsi="Book Antiqua"/>
          <w:bCs/>
          <w:sz w:val="24"/>
          <w:szCs w:val="24"/>
          <w:lang w:val="en-US" w:eastAsia="zh-CN"/>
        </w:rPr>
        <w:t>; In press</w:t>
      </w:r>
      <w:bookmarkEnd w:id="26"/>
      <w:bookmarkEnd w:id="27"/>
    </w:p>
    <w:p w:rsidR="00AE38CC" w:rsidRPr="00CC6129" w:rsidRDefault="00AE38CC" w:rsidP="0010680C">
      <w:pPr>
        <w:snapToGrid w:val="0"/>
        <w:spacing w:after="0" w:line="360" w:lineRule="auto"/>
        <w:jc w:val="both"/>
        <w:rPr>
          <w:rFonts w:ascii="Book Antiqua" w:hAnsi="Book Antiqua"/>
          <w:bCs/>
          <w:sz w:val="24"/>
          <w:szCs w:val="24"/>
          <w:lang w:val="en-US" w:eastAsia="zh-CN"/>
        </w:rPr>
      </w:pPr>
    </w:p>
    <w:p w:rsidR="00097697" w:rsidRPr="00CC6129" w:rsidRDefault="00097697" w:rsidP="0010680C">
      <w:pPr>
        <w:snapToGrid w:val="0"/>
        <w:spacing w:after="0" w:line="360" w:lineRule="auto"/>
        <w:jc w:val="both"/>
        <w:rPr>
          <w:rFonts w:ascii="Book Antiqua" w:hAnsi="Book Antiqua"/>
          <w:sz w:val="24"/>
          <w:szCs w:val="24"/>
          <w:lang w:val="en-US"/>
        </w:rPr>
      </w:pPr>
      <w:r w:rsidRPr="00CC6129">
        <w:rPr>
          <w:rFonts w:ascii="Book Antiqua" w:hAnsi="Book Antiqua"/>
          <w:sz w:val="24"/>
          <w:szCs w:val="24"/>
          <w:lang w:val="en-US"/>
        </w:rPr>
        <w:br w:type="page"/>
      </w:r>
    </w:p>
    <w:p w:rsidR="00097697" w:rsidRPr="00CC6129" w:rsidRDefault="00097697" w:rsidP="0010680C">
      <w:pPr>
        <w:snapToGrid w:val="0"/>
        <w:spacing w:after="0" w:line="360" w:lineRule="auto"/>
        <w:jc w:val="both"/>
        <w:rPr>
          <w:rFonts w:ascii="Book Antiqua" w:hAnsi="Book Antiqua"/>
          <w:b/>
          <w:sz w:val="24"/>
          <w:szCs w:val="24"/>
          <w:lang w:val="en-US"/>
        </w:rPr>
      </w:pPr>
      <w:r w:rsidRPr="00CC6129">
        <w:rPr>
          <w:rFonts w:ascii="Book Antiqua" w:hAnsi="Book Antiqua"/>
          <w:b/>
          <w:sz w:val="24"/>
          <w:szCs w:val="24"/>
          <w:lang w:val="en-US"/>
        </w:rPr>
        <w:lastRenderedPageBreak/>
        <w:t>INTRODUCTION</w:t>
      </w:r>
    </w:p>
    <w:p w:rsidR="0035531A" w:rsidRPr="00CC6129" w:rsidRDefault="0005114A" w:rsidP="0010680C">
      <w:pPr>
        <w:snapToGrid w:val="0"/>
        <w:spacing w:after="0" w:line="360" w:lineRule="auto"/>
        <w:jc w:val="both"/>
        <w:rPr>
          <w:rFonts w:ascii="Book Antiqua" w:hAnsi="Book Antiqua"/>
          <w:sz w:val="24"/>
          <w:szCs w:val="24"/>
          <w:lang w:val="en-US"/>
        </w:rPr>
      </w:pPr>
      <w:r w:rsidRPr="00CC6129">
        <w:rPr>
          <w:rFonts w:ascii="Book Antiqua" w:hAnsi="Book Antiqua"/>
          <w:sz w:val="24"/>
          <w:szCs w:val="24"/>
          <w:lang w:val="en-US"/>
        </w:rPr>
        <w:t>C</w:t>
      </w:r>
      <w:r w:rsidR="00097697" w:rsidRPr="00CC6129">
        <w:rPr>
          <w:rFonts w:ascii="Book Antiqua" w:hAnsi="Book Antiqua"/>
          <w:sz w:val="24"/>
          <w:szCs w:val="24"/>
          <w:lang w:val="en-US"/>
        </w:rPr>
        <w:t xml:space="preserve">ancer </w:t>
      </w:r>
      <w:r w:rsidRPr="00CC6129">
        <w:rPr>
          <w:rFonts w:ascii="Book Antiqua" w:hAnsi="Book Antiqua"/>
          <w:sz w:val="24"/>
          <w:szCs w:val="24"/>
          <w:lang w:val="en-US"/>
        </w:rPr>
        <w:t>patients</w:t>
      </w:r>
      <w:r w:rsidR="00097697" w:rsidRPr="00CC6129">
        <w:rPr>
          <w:rFonts w:ascii="Book Antiqua" w:hAnsi="Book Antiqua"/>
          <w:sz w:val="24"/>
          <w:szCs w:val="24"/>
          <w:lang w:val="en-US"/>
        </w:rPr>
        <w:t xml:space="preserve"> </w:t>
      </w:r>
      <w:r w:rsidR="00CB5F73" w:rsidRPr="00CC6129">
        <w:rPr>
          <w:rFonts w:ascii="Book Antiqua" w:hAnsi="Book Antiqua"/>
          <w:sz w:val="24"/>
          <w:szCs w:val="24"/>
          <w:lang w:val="en-US"/>
        </w:rPr>
        <w:t>are</w:t>
      </w:r>
      <w:r w:rsidR="00097697" w:rsidRPr="00CC6129">
        <w:rPr>
          <w:rFonts w:ascii="Book Antiqua" w:hAnsi="Book Antiqua"/>
          <w:sz w:val="24"/>
          <w:szCs w:val="24"/>
          <w:lang w:val="en-US"/>
        </w:rPr>
        <w:t xml:space="preserve"> a</w:t>
      </w:r>
      <w:r w:rsidR="00CB5F73" w:rsidRPr="00CC6129">
        <w:rPr>
          <w:rFonts w:ascii="Book Antiqua" w:hAnsi="Book Antiqua"/>
          <w:sz w:val="24"/>
          <w:szCs w:val="24"/>
          <w:lang w:val="en-US"/>
        </w:rPr>
        <w:t>t</w:t>
      </w:r>
      <w:r w:rsidR="00097697" w:rsidRPr="00CC6129">
        <w:rPr>
          <w:rFonts w:ascii="Book Antiqua" w:hAnsi="Book Antiqua"/>
          <w:sz w:val="24"/>
          <w:szCs w:val="24"/>
          <w:lang w:val="en-US"/>
        </w:rPr>
        <w:t xml:space="preserve"> increased risk </w:t>
      </w:r>
      <w:r w:rsidR="00CB5F73" w:rsidRPr="00CC6129">
        <w:rPr>
          <w:rFonts w:ascii="Book Antiqua" w:hAnsi="Book Antiqua"/>
          <w:sz w:val="24"/>
          <w:szCs w:val="24"/>
          <w:lang w:val="en-US"/>
        </w:rPr>
        <w:t>for</w:t>
      </w:r>
      <w:r w:rsidR="00097697" w:rsidRPr="00CC6129">
        <w:rPr>
          <w:rFonts w:ascii="Book Antiqua" w:hAnsi="Book Antiqua"/>
          <w:sz w:val="24"/>
          <w:szCs w:val="24"/>
          <w:lang w:val="en-US"/>
        </w:rPr>
        <w:t xml:space="preserve"> venous thromboembolism (VTE)</w:t>
      </w:r>
      <w:r w:rsidR="004C2707" w:rsidRPr="00CC6129">
        <w:rPr>
          <w:rFonts w:ascii="Book Antiqua" w:hAnsi="Book Antiqua"/>
          <w:sz w:val="24"/>
          <w:szCs w:val="24"/>
          <w:vertAlign w:val="superscript"/>
          <w:lang w:val="en-US"/>
        </w:rPr>
        <w:t>[</w:t>
      </w:r>
      <w:r w:rsidR="00D610BD" w:rsidRPr="00CC6129">
        <w:rPr>
          <w:rFonts w:ascii="Book Antiqua" w:hAnsi="Book Antiqua"/>
          <w:sz w:val="24"/>
          <w:szCs w:val="24"/>
          <w:vertAlign w:val="superscript"/>
          <w:lang w:val="en-US"/>
        </w:rPr>
        <w:t>1</w:t>
      </w:r>
      <w:r w:rsidR="004C2707" w:rsidRPr="00CC6129">
        <w:rPr>
          <w:rFonts w:ascii="Book Antiqua" w:hAnsi="Book Antiqua"/>
          <w:sz w:val="24"/>
          <w:szCs w:val="24"/>
          <w:vertAlign w:val="superscript"/>
          <w:lang w:val="en-US"/>
        </w:rPr>
        <w:t>]</w:t>
      </w:r>
      <w:r w:rsidR="004C2707" w:rsidRPr="00CC6129">
        <w:rPr>
          <w:rFonts w:ascii="Book Antiqua" w:hAnsi="Book Antiqua"/>
          <w:sz w:val="24"/>
          <w:szCs w:val="24"/>
          <w:lang w:val="en-US"/>
        </w:rPr>
        <w:t>. Among the different subtypes</w:t>
      </w:r>
      <w:r w:rsidR="00F9216D" w:rsidRPr="00CC6129">
        <w:rPr>
          <w:rFonts w:ascii="Book Antiqua" w:hAnsi="Book Antiqua"/>
          <w:sz w:val="24"/>
          <w:szCs w:val="24"/>
          <w:lang w:val="en-US"/>
        </w:rPr>
        <w:t xml:space="preserve"> of tumors</w:t>
      </w:r>
      <w:r w:rsidR="004C2707" w:rsidRPr="00CC6129">
        <w:rPr>
          <w:rFonts w:ascii="Book Antiqua" w:hAnsi="Book Antiqua"/>
          <w:sz w:val="24"/>
          <w:szCs w:val="24"/>
          <w:lang w:val="en-US"/>
        </w:rPr>
        <w:t xml:space="preserve">, </w:t>
      </w:r>
      <w:r w:rsidR="006927FA" w:rsidRPr="00CC6129">
        <w:rPr>
          <w:rFonts w:ascii="Book Antiqua" w:hAnsi="Book Antiqua"/>
          <w:sz w:val="24"/>
          <w:szCs w:val="24"/>
          <w:lang w:val="en-US"/>
        </w:rPr>
        <w:t>pancrea</w:t>
      </w:r>
      <w:r w:rsidR="0035531A" w:rsidRPr="00CC6129">
        <w:rPr>
          <w:rFonts w:ascii="Book Antiqua" w:hAnsi="Book Antiqua"/>
          <w:sz w:val="24"/>
          <w:szCs w:val="24"/>
          <w:lang w:val="en-US"/>
        </w:rPr>
        <w:t>s</w:t>
      </w:r>
      <w:r w:rsidR="006927FA" w:rsidRPr="00CC6129">
        <w:rPr>
          <w:rFonts w:ascii="Book Antiqua" w:hAnsi="Book Antiqua"/>
          <w:sz w:val="24"/>
          <w:szCs w:val="24"/>
          <w:lang w:val="en-US"/>
        </w:rPr>
        <w:t xml:space="preserve">, </w:t>
      </w:r>
      <w:r w:rsidR="00217A46" w:rsidRPr="00CC6129">
        <w:rPr>
          <w:rFonts w:ascii="Book Antiqua" w:hAnsi="Book Antiqua"/>
          <w:sz w:val="24"/>
          <w:szCs w:val="24"/>
          <w:lang w:val="en-US"/>
        </w:rPr>
        <w:t>stomach</w:t>
      </w:r>
      <w:r w:rsidR="006927FA" w:rsidRPr="00CC6129">
        <w:rPr>
          <w:rFonts w:ascii="Book Antiqua" w:hAnsi="Book Antiqua"/>
          <w:sz w:val="24"/>
          <w:szCs w:val="24"/>
          <w:lang w:val="en-US"/>
        </w:rPr>
        <w:t>, or other gastrointestinal (GI) (</w:t>
      </w:r>
      <w:r w:rsidR="006927FA" w:rsidRPr="000730D3">
        <w:rPr>
          <w:rFonts w:ascii="Book Antiqua" w:hAnsi="Book Antiqua"/>
          <w:i/>
          <w:sz w:val="24"/>
          <w:szCs w:val="24"/>
          <w:lang w:val="en-US"/>
        </w:rPr>
        <w:t>i.e</w:t>
      </w:r>
      <w:r w:rsidR="006927FA" w:rsidRPr="00CC6129">
        <w:rPr>
          <w:rFonts w:ascii="Book Antiqua" w:hAnsi="Book Antiqua"/>
          <w:sz w:val="24"/>
          <w:szCs w:val="24"/>
          <w:lang w:val="en-US"/>
        </w:rPr>
        <w:t xml:space="preserve">., esophagus, </w:t>
      </w:r>
      <w:r w:rsidR="00217A46" w:rsidRPr="00CC6129">
        <w:rPr>
          <w:rFonts w:ascii="Book Antiqua" w:hAnsi="Book Antiqua"/>
          <w:sz w:val="24"/>
          <w:szCs w:val="24"/>
          <w:lang w:val="en-US"/>
        </w:rPr>
        <w:t>liver</w:t>
      </w:r>
      <w:r w:rsidR="006927FA" w:rsidRPr="00CC6129">
        <w:rPr>
          <w:rFonts w:ascii="Book Antiqua" w:hAnsi="Book Antiqua"/>
          <w:sz w:val="24"/>
          <w:szCs w:val="24"/>
          <w:lang w:val="en-US"/>
        </w:rPr>
        <w:t xml:space="preserve">, biliary) </w:t>
      </w:r>
      <w:r w:rsidR="00B03A59" w:rsidRPr="00CC6129">
        <w:rPr>
          <w:rFonts w:ascii="Book Antiqua" w:hAnsi="Book Antiqua"/>
          <w:sz w:val="24"/>
          <w:szCs w:val="24"/>
          <w:lang w:val="en-US"/>
        </w:rPr>
        <w:t xml:space="preserve">cancers </w:t>
      </w:r>
      <w:r w:rsidR="006927FA" w:rsidRPr="00CC6129">
        <w:rPr>
          <w:rFonts w:ascii="Book Antiqua" w:hAnsi="Book Antiqua"/>
          <w:sz w:val="24"/>
          <w:szCs w:val="24"/>
          <w:lang w:val="en-US"/>
        </w:rPr>
        <w:t>have been reported to have the highest risk for incident VTE</w:t>
      </w:r>
      <w:r w:rsidR="003267DB" w:rsidRPr="00CC6129">
        <w:rPr>
          <w:rFonts w:ascii="Book Antiqua" w:hAnsi="Book Antiqua"/>
          <w:sz w:val="24"/>
          <w:szCs w:val="24"/>
          <w:lang w:val="en-US"/>
        </w:rPr>
        <w:t>, whereas colorectal cancer is generally considered at low risk</w:t>
      </w:r>
      <w:r w:rsidR="003267DB" w:rsidRPr="00CC6129">
        <w:rPr>
          <w:rFonts w:ascii="Book Antiqua" w:hAnsi="Book Antiqua"/>
          <w:sz w:val="24"/>
          <w:szCs w:val="24"/>
          <w:vertAlign w:val="superscript"/>
          <w:lang w:val="en-US"/>
        </w:rPr>
        <w:t>[</w:t>
      </w:r>
      <w:r w:rsidR="00A80086" w:rsidRPr="00CC6129">
        <w:rPr>
          <w:rFonts w:ascii="Book Antiqua" w:hAnsi="Book Antiqua"/>
          <w:sz w:val="24"/>
          <w:szCs w:val="24"/>
          <w:vertAlign w:val="superscript"/>
          <w:lang w:val="en-US"/>
        </w:rPr>
        <w:t>2,</w:t>
      </w:r>
      <w:r w:rsidR="006B7EE0" w:rsidRPr="00CC6129">
        <w:rPr>
          <w:rFonts w:ascii="Book Antiqua" w:hAnsi="Book Antiqua"/>
          <w:sz w:val="24"/>
          <w:szCs w:val="24"/>
          <w:vertAlign w:val="superscript"/>
          <w:lang w:val="en-US"/>
        </w:rPr>
        <w:t>3</w:t>
      </w:r>
      <w:r w:rsidR="003267DB" w:rsidRPr="00CC6129">
        <w:rPr>
          <w:rFonts w:ascii="Book Antiqua" w:hAnsi="Book Antiqua"/>
          <w:sz w:val="24"/>
          <w:szCs w:val="24"/>
          <w:vertAlign w:val="superscript"/>
          <w:lang w:val="en-US"/>
        </w:rPr>
        <w:t>]</w:t>
      </w:r>
      <w:r w:rsidR="00097697" w:rsidRPr="00CC6129">
        <w:rPr>
          <w:rFonts w:ascii="Book Antiqua" w:hAnsi="Book Antiqua"/>
          <w:sz w:val="24"/>
          <w:szCs w:val="24"/>
          <w:lang w:val="en-US"/>
        </w:rPr>
        <w:t>.</w:t>
      </w:r>
      <w:r w:rsidR="0010680C">
        <w:rPr>
          <w:rFonts w:ascii="Book Antiqua" w:hAnsi="Book Antiqua"/>
          <w:sz w:val="24"/>
          <w:szCs w:val="24"/>
          <w:lang w:val="en-US"/>
        </w:rPr>
        <w:t xml:space="preserve"> </w:t>
      </w:r>
      <w:r w:rsidR="002E4389" w:rsidRPr="00CC6129">
        <w:rPr>
          <w:rFonts w:ascii="Book Antiqua" w:hAnsi="Book Antiqua"/>
          <w:sz w:val="24"/>
          <w:szCs w:val="24"/>
          <w:lang w:val="en-US"/>
        </w:rPr>
        <w:t>Furthermore</w:t>
      </w:r>
      <w:r w:rsidR="00D610BD" w:rsidRPr="00CC6129">
        <w:rPr>
          <w:rFonts w:ascii="Book Antiqua" w:hAnsi="Book Antiqua"/>
          <w:sz w:val="24"/>
          <w:szCs w:val="24"/>
          <w:lang w:val="en-US"/>
        </w:rPr>
        <w:t xml:space="preserve">, the individual risk of VTE in GI cancers </w:t>
      </w:r>
      <w:r w:rsidR="002E4389" w:rsidRPr="00CC6129">
        <w:rPr>
          <w:rFonts w:ascii="Book Antiqua" w:hAnsi="Book Antiqua"/>
          <w:sz w:val="24"/>
          <w:szCs w:val="24"/>
          <w:lang w:val="en-US"/>
        </w:rPr>
        <w:t>could</w:t>
      </w:r>
      <w:r w:rsidR="003F3175" w:rsidRPr="00CC6129">
        <w:rPr>
          <w:rFonts w:ascii="Book Antiqua" w:hAnsi="Book Antiqua"/>
          <w:sz w:val="24"/>
          <w:szCs w:val="24"/>
          <w:lang w:val="en-US"/>
        </w:rPr>
        <w:t xml:space="preserve"> be boosted by active treatment, </w:t>
      </w:r>
      <w:r w:rsidR="007A56AC" w:rsidRPr="00CC6129">
        <w:rPr>
          <w:rFonts w:ascii="Book Antiqua" w:hAnsi="Book Antiqua"/>
          <w:sz w:val="24"/>
          <w:szCs w:val="24"/>
          <w:lang w:val="en-US"/>
        </w:rPr>
        <w:t>and the</w:t>
      </w:r>
      <w:r w:rsidR="003F3175" w:rsidRPr="00CC6129">
        <w:rPr>
          <w:rFonts w:ascii="Book Antiqua" w:hAnsi="Book Antiqua"/>
          <w:sz w:val="24"/>
          <w:szCs w:val="24"/>
          <w:lang w:val="en-US"/>
        </w:rPr>
        <w:t xml:space="preserve"> use of new biological drugs</w:t>
      </w:r>
      <w:r w:rsidR="00D610BD" w:rsidRPr="00CC6129">
        <w:rPr>
          <w:rFonts w:ascii="Book Antiqua" w:hAnsi="Book Antiqua"/>
          <w:sz w:val="24"/>
          <w:szCs w:val="24"/>
          <w:lang w:val="en-US"/>
        </w:rPr>
        <w:t xml:space="preserve"> </w:t>
      </w:r>
      <w:r w:rsidR="007A56AC" w:rsidRPr="00CC6129">
        <w:rPr>
          <w:rFonts w:ascii="Book Antiqua" w:hAnsi="Book Antiqua"/>
          <w:sz w:val="24"/>
          <w:szCs w:val="24"/>
          <w:lang w:val="en-US"/>
        </w:rPr>
        <w:t>has led to</w:t>
      </w:r>
      <w:r w:rsidR="00D610BD" w:rsidRPr="00CC6129">
        <w:rPr>
          <w:rFonts w:ascii="Book Antiqua" w:hAnsi="Book Antiqua"/>
          <w:sz w:val="24"/>
          <w:szCs w:val="24"/>
          <w:lang w:val="en-US"/>
        </w:rPr>
        <w:t xml:space="preserve"> a clinically</w:t>
      </w:r>
      <w:r w:rsidR="007A56AC" w:rsidRPr="00CC6129">
        <w:rPr>
          <w:rFonts w:ascii="Book Antiqua" w:hAnsi="Book Antiqua"/>
          <w:sz w:val="24"/>
          <w:szCs w:val="24"/>
          <w:lang w:val="en-US"/>
        </w:rPr>
        <w:t xml:space="preserve"> </w:t>
      </w:r>
      <w:r w:rsidR="00D610BD" w:rsidRPr="00CC6129">
        <w:rPr>
          <w:rFonts w:ascii="Book Antiqua" w:hAnsi="Book Antiqua"/>
          <w:sz w:val="24"/>
          <w:szCs w:val="24"/>
          <w:lang w:val="en-US"/>
        </w:rPr>
        <w:t>relevant increase in thromboembolic</w:t>
      </w:r>
      <w:r w:rsidR="007A56AC" w:rsidRPr="00CC6129">
        <w:rPr>
          <w:rFonts w:ascii="Book Antiqua" w:hAnsi="Book Antiqua"/>
          <w:sz w:val="24"/>
          <w:szCs w:val="24"/>
          <w:lang w:val="en-US"/>
        </w:rPr>
        <w:t xml:space="preserve"> </w:t>
      </w:r>
      <w:r w:rsidR="00D610BD" w:rsidRPr="00CC6129">
        <w:rPr>
          <w:rFonts w:ascii="Book Antiqua" w:hAnsi="Book Antiqua"/>
          <w:sz w:val="24"/>
          <w:szCs w:val="24"/>
          <w:lang w:val="en-US"/>
        </w:rPr>
        <w:t>complications</w:t>
      </w:r>
      <w:r w:rsidR="007A56AC" w:rsidRPr="00CC6129">
        <w:rPr>
          <w:rFonts w:ascii="Book Antiqua" w:hAnsi="Book Antiqua"/>
          <w:sz w:val="24"/>
          <w:szCs w:val="24"/>
          <w:lang w:val="en-US"/>
        </w:rPr>
        <w:t>, as in the case of beva</w:t>
      </w:r>
      <w:r w:rsidR="00B03A59" w:rsidRPr="00CC6129">
        <w:rPr>
          <w:rFonts w:ascii="Book Antiqua" w:hAnsi="Book Antiqua"/>
          <w:sz w:val="24"/>
          <w:szCs w:val="24"/>
          <w:lang w:val="en-US"/>
        </w:rPr>
        <w:t>cizumab in colorectal carcinoma</w:t>
      </w:r>
      <w:r w:rsidR="00D610BD" w:rsidRPr="00CC6129">
        <w:rPr>
          <w:rFonts w:ascii="Book Antiqua" w:hAnsi="Book Antiqua"/>
          <w:sz w:val="24"/>
          <w:szCs w:val="24"/>
          <w:vertAlign w:val="superscript"/>
          <w:lang w:val="en-US"/>
        </w:rPr>
        <w:t>[</w:t>
      </w:r>
      <w:r w:rsidR="00A80086" w:rsidRPr="00CC6129">
        <w:rPr>
          <w:rFonts w:ascii="Book Antiqua" w:hAnsi="Book Antiqua"/>
          <w:sz w:val="24"/>
          <w:szCs w:val="24"/>
          <w:vertAlign w:val="superscript"/>
          <w:lang w:val="en-US"/>
        </w:rPr>
        <w:t>1</w:t>
      </w:r>
      <w:r w:rsidR="00413385" w:rsidRPr="00CC6129">
        <w:rPr>
          <w:rFonts w:ascii="Book Antiqua" w:hAnsi="Book Antiqua"/>
          <w:sz w:val="24"/>
          <w:szCs w:val="24"/>
          <w:vertAlign w:val="superscript"/>
          <w:lang w:val="en-US"/>
        </w:rPr>
        <w:t>,4</w:t>
      </w:r>
      <w:r w:rsidR="00D610BD" w:rsidRPr="00CC6129">
        <w:rPr>
          <w:rFonts w:ascii="Book Antiqua" w:hAnsi="Book Antiqua"/>
          <w:sz w:val="24"/>
          <w:szCs w:val="24"/>
          <w:vertAlign w:val="superscript"/>
          <w:lang w:val="en-US"/>
        </w:rPr>
        <w:t>]</w:t>
      </w:r>
      <w:r w:rsidR="00D610BD" w:rsidRPr="00CC6129">
        <w:rPr>
          <w:rFonts w:ascii="Book Antiqua" w:hAnsi="Book Antiqua"/>
          <w:sz w:val="24"/>
          <w:szCs w:val="24"/>
          <w:lang w:val="en-US"/>
        </w:rPr>
        <w:t>.</w:t>
      </w:r>
    </w:p>
    <w:p w:rsidR="00B22EDD" w:rsidRPr="00CC6129" w:rsidRDefault="002E4389" w:rsidP="000730D3">
      <w:pPr>
        <w:snapToGrid w:val="0"/>
        <w:spacing w:after="0" w:line="360" w:lineRule="auto"/>
        <w:ind w:firstLineChars="100" w:firstLine="240"/>
        <w:jc w:val="both"/>
        <w:rPr>
          <w:rFonts w:ascii="Book Antiqua" w:hAnsi="Book Antiqua"/>
          <w:sz w:val="24"/>
          <w:szCs w:val="24"/>
          <w:lang w:val="en-US"/>
        </w:rPr>
      </w:pPr>
      <w:r w:rsidRPr="00CC6129">
        <w:rPr>
          <w:rFonts w:ascii="Book Antiqua" w:hAnsi="Book Antiqua"/>
          <w:sz w:val="24"/>
          <w:szCs w:val="24"/>
          <w:lang w:val="en-US"/>
        </w:rPr>
        <w:t>Beside cancer- and treatment-</w:t>
      </w:r>
      <w:r w:rsidR="00BD081C" w:rsidRPr="00CC6129">
        <w:rPr>
          <w:rFonts w:ascii="Book Antiqua" w:hAnsi="Book Antiqua"/>
          <w:sz w:val="24"/>
          <w:szCs w:val="24"/>
          <w:lang w:val="en-US"/>
        </w:rPr>
        <w:t>rel</w:t>
      </w:r>
      <w:r w:rsidRPr="00CC6129">
        <w:rPr>
          <w:rFonts w:ascii="Book Antiqua" w:hAnsi="Book Antiqua"/>
          <w:sz w:val="24"/>
          <w:szCs w:val="24"/>
          <w:lang w:val="en-US"/>
        </w:rPr>
        <w:t xml:space="preserve">ated factors, </w:t>
      </w:r>
      <w:r w:rsidR="00BD081C" w:rsidRPr="00CC6129">
        <w:rPr>
          <w:rFonts w:ascii="Book Antiqua" w:hAnsi="Book Antiqua"/>
          <w:sz w:val="24"/>
          <w:szCs w:val="24"/>
          <w:lang w:val="en-US"/>
        </w:rPr>
        <w:t>VTE risk might be influenced by patient's individual factors</w:t>
      </w:r>
      <w:r w:rsidR="000C5247" w:rsidRPr="00CC6129">
        <w:rPr>
          <w:rFonts w:ascii="Book Antiqua" w:hAnsi="Book Antiqua"/>
          <w:sz w:val="24"/>
          <w:szCs w:val="24"/>
          <w:lang w:val="en-US"/>
        </w:rPr>
        <w:t xml:space="preserve"> and co-morbidities</w:t>
      </w:r>
      <w:r w:rsidR="003471E6" w:rsidRPr="00CC6129">
        <w:rPr>
          <w:rFonts w:ascii="Book Antiqua" w:hAnsi="Book Antiqua"/>
          <w:sz w:val="24"/>
          <w:szCs w:val="24"/>
          <w:vertAlign w:val="superscript"/>
          <w:lang w:val="en-US"/>
        </w:rPr>
        <w:t>[1]</w:t>
      </w:r>
      <w:r w:rsidR="0094705C" w:rsidRPr="00CC6129">
        <w:rPr>
          <w:rFonts w:ascii="Book Antiqua" w:hAnsi="Book Antiqua"/>
          <w:sz w:val="24"/>
          <w:szCs w:val="24"/>
          <w:lang w:val="en-US"/>
        </w:rPr>
        <w:t>.</w:t>
      </w:r>
      <w:r w:rsidR="0010680C">
        <w:rPr>
          <w:rFonts w:ascii="Book Antiqua" w:hAnsi="Book Antiqua"/>
          <w:sz w:val="24"/>
          <w:szCs w:val="24"/>
          <w:lang w:val="en-US"/>
        </w:rPr>
        <w:t xml:space="preserve"> </w:t>
      </w:r>
      <w:r w:rsidR="0094705C" w:rsidRPr="00CC6129">
        <w:rPr>
          <w:rFonts w:ascii="Book Antiqua" w:hAnsi="Book Antiqua"/>
          <w:sz w:val="24"/>
          <w:szCs w:val="24"/>
          <w:lang w:val="en-US"/>
        </w:rPr>
        <w:t>T</w:t>
      </w:r>
      <w:r w:rsidR="00B938A6" w:rsidRPr="00CC6129">
        <w:rPr>
          <w:rFonts w:ascii="Book Antiqua" w:hAnsi="Book Antiqua"/>
          <w:sz w:val="24"/>
          <w:szCs w:val="24"/>
          <w:lang w:val="en-US"/>
        </w:rPr>
        <w:t xml:space="preserve">he possibility that co-morbidities, such as </w:t>
      </w:r>
      <w:r w:rsidR="000C5247" w:rsidRPr="00CC6129">
        <w:rPr>
          <w:rFonts w:ascii="Book Antiqua" w:hAnsi="Book Antiqua"/>
          <w:sz w:val="24"/>
          <w:szCs w:val="24"/>
          <w:lang w:val="en-US"/>
        </w:rPr>
        <w:t>t</w:t>
      </w:r>
      <w:r w:rsidRPr="00CC6129">
        <w:rPr>
          <w:rFonts w:ascii="Book Antiqua" w:hAnsi="Book Antiqua"/>
          <w:sz w:val="24"/>
          <w:szCs w:val="24"/>
          <w:lang w:val="en-US"/>
        </w:rPr>
        <w:t>ype 2 diabetes (T2D)</w:t>
      </w:r>
      <w:r w:rsidR="00B938A6" w:rsidRPr="00CC6129">
        <w:rPr>
          <w:rFonts w:ascii="Book Antiqua" w:hAnsi="Book Antiqua"/>
          <w:sz w:val="24"/>
          <w:szCs w:val="24"/>
          <w:vertAlign w:val="superscript"/>
          <w:lang w:val="en-US"/>
        </w:rPr>
        <w:t>[</w:t>
      </w:r>
      <w:r w:rsidR="0054453F" w:rsidRPr="00CC6129">
        <w:rPr>
          <w:rFonts w:ascii="Book Antiqua" w:hAnsi="Book Antiqua"/>
          <w:sz w:val="24"/>
          <w:szCs w:val="24"/>
          <w:vertAlign w:val="superscript"/>
          <w:lang w:val="en-US"/>
        </w:rPr>
        <w:t>5</w:t>
      </w:r>
      <w:r w:rsidR="00B938A6" w:rsidRPr="00CC6129">
        <w:rPr>
          <w:rFonts w:ascii="Book Antiqua" w:hAnsi="Book Antiqua"/>
          <w:sz w:val="24"/>
          <w:szCs w:val="24"/>
          <w:vertAlign w:val="superscript"/>
          <w:lang w:val="en-US"/>
        </w:rPr>
        <w:t>-</w:t>
      </w:r>
      <w:r w:rsidR="0054453F" w:rsidRPr="00CC6129">
        <w:rPr>
          <w:rFonts w:ascii="Book Antiqua" w:hAnsi="Book Antiqua"/>
          <w:sz w:val="24"/>
          <w:szCs w:val="24"/>
          <w:vertAlign w:val="superscript"/>
          <w:lang w:val="en-US"/>
        </w:rPr>
        <w:t>8</w:t>
      </w:r>
      <w:r w:rsidR="00B938A6" w:rsidRPr="00CC6129">
        <w:rPr>
          <w:rFonts w:ascii="Book Antiqua" w:hAnsi="Book Antiqua"/>
          <w:sz w:val="24"/>
          <w:szCs w:val="24"/>
          <w:vertAlign w:val="superscript"/>
          <w:lang w:val="en-US"/>
        </w:rPr>
        <w:t>]</w:t>
      </w:r>
      <w:r w:rsidRPr="00CC6129">
        <w:rPr>
          <w:rFonts w:ascii="Book Antiqua" w:hAnsi="Book Antiqua"/>
          <w:sz w:val="24"/>
          <w:szCs w:val="24"/>
          <w:lang w:val="en-US"/>
        </w:rPr>
        <w:t xml:space="preserve"> </w:t>
      </w:r>
      <w:r w:rsidR="00B938A6" w:rsidRPr="00CC6129">
        <w:rPr>
          <w:rFonts w:ascii="Book Antiqua" w:hAnsi="Book Antiqua"/>
          <w:sz w:val="24"/>
          <w:szCs w:val="24"/>
          <w:lang w:val="en-US"/>
        </w:rPr>
        <w:t>or obesity</w:t>
      </w:r>
      <w:r w:rsidR="00B938A6" w:rsidRPr="00CC6129">
        <w:rPr>
          <w:rFonts w:ascii="Book Antiqua" w:hAnsi="Book Antiqua"/>
          <w:sz w:val="24"/>
          <w:szCs w:val="24"/>
          <w:vertAlign w:val="superscript"/>
          <w:lang w:val="en-US"/>
        </w:rPr>
        <w:t>[</w:t>
      </w:r>
      <w:r w:rsidR="0054453F" w:rsidRPr="00CC6129">
        <w:rPr>
          <w:rFonts w:ascii="Book Antiqua" w:hAnsi="Book Antiqua"/>
          <w:sz w:val="24"/>
          <w:szCs w:val="24"/>
          <w:vertAlign w:val="superscript"/>
          <w:lang w:val="en-US"/>
        </w:rPr>
        <w:t>9</w:t>
      </w:r>
      <w:r w:rsidR="00B938A6" w:rsidRPr="00CC6129">
        <w:rPr>
          <w:rFonts w:ascii="Book Antiqua" w:hAnsi="Book Antiqua"/>
          <w:sz w:val="24"/>
          <w:szCs w:val="24"/>
          <w:vertAlign w:val="superscript"/>
          <w:lang w:val="en-US"/>
        </w:rPr>
        <w:t>-1</w:t>
      </w:r>
      <w:r w:rsidR="0054453F" w:rsidRPr="00CC6129">
        <w:rPr>
          <w:rFonts w:ascii="Book Antiqua" w:hAnsi="Book Antiqua"/>
          <w:sz w:val="24"/>
          <w:szCs w:val="24"/>
          <w:vertAlign w:val="superscript"/>
          <w:lang w:val="en-US"/>
        </w:rPr>
        <w:t>1</w:t>
      </w:r>
      <w:r w:rsidR="00B938A6" w:rsidRPr="00CC6129">
        <w:rPr>
          <w:rFonts w:ascii="Book Antiqua" w:hAnsi="Book Antiqua"/>
          <w:sz w:val="24"/>
          <w:szCs w:val="24"/>
          <w:vertAlign w:val="superscript"/>
          <w:lang w:val="en-US"/>
        </w:rPr>
        <w:t>]</w:t>
      </w:r>
      <w:r w:rsidR="00B938A6" w:rsidRPr="00CC6129">
        <w:rPr>
          <w:rFonts w:ascii="Book Antiqua" w:hAnsi="Book Antiqua"/>
          <w:sz w:val="24"/>
          <w:szCs w:val="24"/>
          <w:lang w:val="en-US"/>
        </w:rPr>
        <w:t xml:space="preserve"> may</w:t>
      </w:r>
      <w:r w:rsidR="000C5247" w:rsidRPr="00CC6129">
        <w:rPr>
          <w:rFonts w:ascii="Book Antiqua" w:hAnsi="Book Antiqua"/>
          <w:sz w:val="24"/>
          <w:szCs w:val="24"/>
          <w:lang w:val="en-US"/>
        </w:rPr>
        <w:t xml:space="preserve"> </w:t>
      </w:r>
      <w:r w:rsidR="00097697" w:rsidRPr="00CC6129">
        <w:rPr>
          <w:rFonts w:ascii="Book Antiqua" w:hAnsi="Book Antiqua"/>
          <w:sz w:val="24"/>
          <w:szCs w:val="24"/>
          <w:lang w:val="en-US"/>
        </w:rPr>
        <w:t xml:space="preserve">be linked to </w:t>
      </w:r>
      <w:r w:rsidR="00080048" w:rsidRPr="00CC6129">
        <w:rPr>
          <w:rFonts w:ascii="Book Antiqua" w:hAnsi="Book Antiqua"/>
          <w:sz w:val="24"/>
          <w:szCs w:val="24"/>
          <w:lang w:val="en-US"/>
        </w:rPr>
        <w:t>an increased</w:t>
      </w:r>
      <w:r w:rsidR="00155FFB" w:rsidRPr="00CC6129">
        <w:rPr>
          <w:rFonts w:ascii="Book Antiqua" w:hAnsi="Book Antiqua"/>
          <w:sz w:val="24"/>
          <w:szCs w:val="24"/>
          <w:lang w:val="en-US"/>
        </w:rPr>
        <w:t xml:space="preserve"> risk of </w:t>
      </w:r>
      <w:r w:rsidR="00097697" w:rsidRPr="00CC6129">
        <w:rPr>
          <w:rFonts w:ascii="Book Antiqua" w:hAnsi="Book Antiqua"/>
          <w:sz w:val="24"/>
          <w:szCs w:val="24"/>
          <w:lang w:val="en-US"/>
        </w:rPr>
        <w:t>VTE</w:t>
      </w:r>
      <w:r w:rsidR="000C5247" w:rsidRPr="00CC6129">
        <w:rPr>
          <w:rFonts w:ascii="Book Antiqua" w:hAnsi="Book Antiqua"/>
          <w:sz w:val="24"/>
          <w:szCs w:val="24"/>
          <w:lang w:val="en-US"/>
        </w:rPr>
        <w:t xml:space="preserve"> </w:t>
      </w:r>
      <w:r w:rsidR="0094705C" w:rsidRPr="00CC6129">
        <w:rPr>
          <w:rFonts w:ascii="Book Antiqua" w:hAnsi="Book Antiqua"/>
          <w:sz w:val="24"/>
          <w:szCs w:val="24"/>
          <w:lang w:val="en-US"/>
        </w:rPr>
        <w:t xml:space="preserve">has been raised </w:t>
      </w:r>
      <w:r w:rsidR="000C5247" w:rsidRPr="00CC6129">
        <w:rPr>
          <w:rFonts w:ascii="Book Antiqua" w:hAnsi="Book Antiqua"/>
          <w:sz w:val="24"/>
          <w:szCs w:val="24"/>
          <w:lang w:val="en-US"/>
        </w:rPr>
        <w:t xml:space="preserve">in </w:t>
      </w:r>
      <w:r w:rsidR="00096CD2" w:rsidRPr="00CC6129">
        <w:rPr>
          <w:rFonts w:ascii="Book Antiqua" w:hAnsi="Book Antiqua"/>
          <w:sz w:val="24"/>
          <w:szCs w:val="24"/>
          <w:lang w:val="en-US"/>
        </w:rPr>
        <w:t>the general population</w:t>
      </w:r>
      <w:r w:rsidR="00CE1DC6" w:rsidRPr="00CC6129">
        <w:rPr>
          <w:rFonts w:ascii="Book Antiqua" w:hAnsi="Book Antiqua"/>
          <w:sz w:val="24"/>
          <w:szCs w:val="24"/>
          <w:lang w:val="en-US"/>
        </w:rPr>
        <w:t xml:space="preserve">, </w:t>
      </w:r>
      <w:r w:rsidR="00096CD2" w:rsidRPr="00CC6129">
        <w:rPr>
          <w:rFonts w:ascii="Book Antiqua" w:hAnsi="Book Antiqua"/>
          <w:sz w:val="24"/>
          <w:szCs w:val="24"/>
          <w:lang w:val="en-US"/>
        </w:rPr>
        <w:t xml:space="preserve">and VTE </w:t>
      </w:r>
      <w:r w:rsidR="00A02E0B" w:rsidRPr="00CC6129">
        <w:rPr>
          <w:rFonts w:ascii="Book Antiqua" w:hAnsi="Book Antiqua"/>
          <w:sz w:val="24"/>
          <w:szCs w:val="24"/>
          <w:lang w:val="en-US"/>
        </w:rPr>
        <w:t>has been proposed as</w:t>
      </w:r>
      <w:r w:rsidR="00096CD2" w:rsidRPr="00CC6129">
        <w:rPr>
          <w:rFonts w:ascii="Book Antiqua" w:hAnsi="Book Antiqua"/>
          <w:sz w:val="24"/>
          <w:szCs w:val="24"/>
          <w:lang w:val="en-US"/>
        </w:rPr>
        <w:t xml:space="preserve"> a marker of underlying cancer </w:t>
      </w:r>
      <w:r w:rsidR="00B22EDD" w:rsidRPr="00CC6129">
        <w:rPr>
          <w:rFonts w:ascii="Book Antiqua" w:hAnsi="Book Antiqua"/>
          <w:sz w:val="24"/>
          <w:szCs w:val="24"/>
          <w:lang w:val="en-US"/>
        </w:rPr>
        <w:t xml:space="preserve">– especially of the GI tract - </w:t>
      </w:r>
      <w:r w:rsidR="00096CD2" w:rsidRPr="00CC6129">
        <w:rPr>
          <w:rFonts w:ascii="Book Antiqua" w:hAnsi="Book Antiqua"/>
          <w:sz w:val="24"/>
          <w:szCs w:val="24"/>
          <w:lang w:val="en-US"/>
        </w:rPr>
        <w:t xml:space="preserve">in patients with </w:t>
      </w:r>
      <w:r w:rsidR="00B22EDD" w:rsidRPr="00CC6129">
        <w:rPr>
          <w:rFonts w:ascii="Book Antiqua" w:hAnsi="Book Antiqua"/>
          <w:sz w:val="24"/>
          <w:szCs w:val="24"/>
          <w:lang w:val="en-US"/>
        </w:rPr>
        <w:t>T2D</w:t>
      </w:r>
      <w:r w:rsidR="00B22EDD" w:rsidRPr="00CC6129">
        <w:rPr>
          <w:rFonts w:ascii="Book Antiqua" w:hAnsi="Book Antiqua"/>
          <w:sz w:val="24"/>
          <w:szCs w:val="24"/>
          <w:vertAlign w:val="superscript"/>
          <w:lang w:val="en-US"/>
        </w:rPr>
        <w:t>[</w:t>
      </w:r>
      <w:r w:rsidR="0054453F" w:rsidRPr="00CC6129">
        <w:rPr>
          <w:rFonts w:ascii="Book Antiqua" w:hAnsi="Book Antiqua"/>
          <w:sz w:val="24"/>
          <w:szCs w:val="24"/>
          <w:vertAlign w:val="superscript"/>
          <w:lang w:val="en-US"/>
        </w:rPr>
        <w:t>12</w:t>
      </w:r>
      <w:r w:rsidR="00B22EDD" w:rsidRPr="00CC6129">
        <w:rPr>
          <w:rFonts w:ascii="Book Antiqua" w:hAnsi="Book Antiqua"/>
          <w:sz w:val="24"/>
          <w:szCs w:val="24"/>
          <w:vertAlign w:val="superscript"/>
          <w:lang w:val="en-US"/>
        </w:rPr>
        <w:t>]</w:t>
      </w:r>
      <w:r w:rsidR="00B22EDD" w:rsidRPr="00CC6129">
        <w:rPr>
          <w:rFonts w:ascii="Book Antiqua" w:hAnsi="Book Antiqua"/>
          <w:sz w:val="24"/>
          <w:szCs w:val="24"/>
          <w:lang w:val="en-US"/>
        </w:rPr>
        <w:t>.</w:t>
      </w:r>
      <w:r w:rsidR="0010680C">
        <w:rPr>
          <w:rFonts w:ascii="Book Antiqua" w:hAnsi="Book Antiqua"/>
          <w:sz w:val="24"/>
          <w:szCs w:val="24"/>
          <w:lang w:val="en-US"/>
        </w:rPr>
        <w:t xml:space="preserve"> </w:t>
      </w:r>
      <w:r w:rsidR="00AB04AB" w:rsidRPr="00CC6129">
        <w:rPr>
          <w:rFonts w:ascii="Book Antiqua" w:hAnsi="Book Antiqua"/>
          <w:sz w:val="24"/>
          <w:szCs w:val="24"/>
          <w:lang w:val="en-US"/>
        </w:rPr>
        <w:t>However</w:t>
      </w:r>
      <w:r w:rsidR="0094705C" w:rsidRPr="00CC6129">
        <w:rPr>
          <w:rFonts w:ascii="Book Antiqua" w:hAnsi="Book Antiqua"/>
          <w:sz w:val="24"/>
          <w:szCs w:val="24"/>
          <w:lang w:val="en-US"/>
        </w:rPr>
        <w:t xml:space="preserve">, data are often confusing and no </w:t>
      </w:r>
      <w:r w:rsidR="003E06BC" w:rsidRPr="00CC6129">
        <w:rPr>
          <w:rFonts w:ascii="Book Antiqua" w:hAnsi="Book Antiqua"/>
          <w:sz w:val="24"/>
          <w:szCs w:val="24"/>
          <w:lang w:val="en-US"/>
        </w:rPr>
        <w:t>consensus exists</w:t>
      </w:r>
      <w:r w:rsidR="0094705C" w:rsidRPr="00CC6129">
        <w:rPr>
          <w:rFonts w:ascii="Book Antiqua" w:hAnsi="Book Antiqua"/>
          <w:sz w:val="24"/>
          <w:szCs w:val="24"/>
          <w:lang w:val="en-US"/>
        </w:rPr>
        <w:t xml:space="preserve"> on the impact of these two co-morbid conditions </w:t>
      </w:r>
      <w:r w:rsidR="00211641" w:rsidRPr="00CC6129">
        <w:rPr>
          <w:rFonts w:ascii="Book Antiqua" w:hAnsi="Book Antiqua"/>
          <w:sz w:val="24"/>
          <w:szCs w:val="24"/>
          <w:lang w:val="en-US"/>
        </w:rPr>
        <w:t>on</w:t>
      </w:r>
      <w:r w:rsidR="0094705C" w:rsidRPr="00CC6129">
        <w:rPr>
          <w:rFonts w:ascii="Book Antiqua" w:hAnsi="Book Antiqua"/>
          <w:sz w:val="24"/>
          <w:szCs w:val="24"/>
          <w:lang w:val="en-US"/>
        </w:rPr>
        <w:t xml:space="preserve"> VTE </w:t>
      </w:r>
      <w:r w:rsidR="00080048" w:rsidRPr="00CC6129">
        <w:rPr>
          <w:rFonts w:ascii="Book Antiqua" w:hAnsi="Book Antiqua"/>
          <w:sz w:val="24"/>
          <w:szCs w:val="24"/>
          <w:lang w:val="en-US"/>
        </w:rPr>
        <w:t>incidence</w:t>
      </w:r>
      <w:r w:rsidR="00AD6F6B" w:rsidRPr="00CC6129">
        <w:rPr>
          <w:rFonts w:ascii="Book Antiqua" w:hAnsi="Book Antiqua"/>
          <w:sz w:val="24"/>
          <w:szCs w:val="24"/>
          <w:vertAlign w:val="superscript"/>
          <w:lang w:val="en-US"/>
        </w:rPr>
        <w:t>[13]</w:t>
      </w:r>
      <w:r w:rsidR="0094705C" w:rsidRPr="00CC6129">
        <w:rPr>
          <w:rFonts w:ascii="Book Antiqua" w:hAnsi="Book Antiqua"/>
          <w:sz w:val="24"/>
          <w:szCs w:val="24"/>
          <w:lang w:val="en-US"/>
        </w:rPr>
        <w:t>, especially in the oncology setting.</w:t>
      </w:r>
    </w:p>
    <w:p w:rsidR="000C7FE9" w:rsidRPr="00CC6129" w:rsidRDefault="007A60A8" w:rsidP="0010680C">
      <w:pPr>
        <w:snapToGrid w:val="0"/>
        <w:spacing w:after="0" w:line="360" w:lineRule="auto"/>
        <w:ind w:firstLine="284"/>
        <w:jc w:val="both"/>
        <w:rPr>
          <w:rFonts w:ascii="Book Antiqua" w:hAnsi="Book Antiqua"/>
          <w:sz w:val="24"/>
          <w:szCs w:val="24"/>
          <w:lang w:val="en-US"/>
        </w:rPr>
      </w:pPr>
      <w:r w:rsidRPr="00CC6129">
        <w:rPr>
          <w:rFonts w:ascii="Book Antiqua" w:hAnsi="Book Antiqua"/>
          <w:bCs/>
          <w:sz w:val="24"/>
          <w:szCs w:val="24"/>
          <w:lang w:val="en-US"/>
        </w:rPr>
        <w:t xml:space="preserve">Independently of </w:t>
      </w:r>
      <w:r w:rsidR="00BD07B8" w:rsidRPr="00CC6129">
        <w:rPr>
          <w:rFonts w:ascii="Book Antiqua" w:hAnsi="Book Antiqua"/>
          <w:bCs/>
          <w:sz w:val="24"/>
          <w:szCs w:val="24"/>
          <w:lang w:val="en-US"/>
        </w:rPr>
        <w:t xml:space="preserve">an </w:t>
      </w:r>
      <w:r w:rsidR="00AB04AB" w:rsidRPr="00CC6129">
        <w:rPr>
          <w:rFonts w:ascii="Book Antiqua" w:hAnsi="Book Antiqua"/>
          <w:bCs/>
          <w:sz w:val="24"/>
          <w:szCs w:val="24"/>
          <w:lang w:val="en-US"/>
        </w:rPr>
        <w:t xml:space="preserve">association </w:t>
      </w:r>
      <w:r w:rsidRPr="00CC6129">
        <w:rPr>
          <w:rFonts w:ascii="Book Antiqua" w:hAnsi="Book Antiqua"/>
          <w:bCs/>
          <w:sz w:val="24"/>
          <w:szCs w:val="24"/>
          <w:lang w:val="en-US"/>
        </w:rPr>
        <w:t xml:space="preserve">between </w:t>
      </w:r>
      <w:r w:rsidR="00BD07B8" w:rsidRPr="00CC6129">
        <w:rPr>
          <w:rFonts w:ascii="Book Antiqua" w:hAnsi="Book Antiqua"/>
          <w:bCs/>
          <w:sz w:val="24"/>
          <w:szCs w:val="24"/>
          <w:lang w:val="en-US"/>
        </w:rPr>
        <w:t xml:space="preserve">clinically diagnosed </w:t>
      </w:r>
      <w:r w:rsidRPr="00CC6129">
        <w:rPr>
          <w:rFonts w:ascii="Book Antiqua" w:hAnsi="Book Antiqua"/>
          <w:bCs/>
          <w:sz w:val="24"/>
          <w:szCs w:val="24"/>
          <w:lang w:val="en-US"/>
        </w:rPr>
        <w:t>T2D</w:t>
      </w:r>
      <w:r w:rsidR="00BD07B8" w:rsidRPr="00CC6129">
        <w:rPr>
          <w:rFonts w:ascii="Book Antiqua" w:hAnsi="Book Antiqua"/>
          <w:bCs/>
          <w:sz w:val="24"/>
          <w:szCs w:val="24"/>
          <w:lang w:val="en-US"/>
        </w:rPr>
        <w:t>, or</w:t>
      </w:r>
      <w:r w:rsidR="00AB04AB" w:rsidRPr="00CC6129">
        <w:rPr>
          <w:rFonts w:ascii="Book Antiqua" w:hAnsi="Book Antiqua"/>
          <w:bCs/>
          <w:sz w:val="24"/>
          <w:szCs w:val="24"/>
          <w:lang w:val="en-US"/>
        </w:rPr>
        <w:t xml:space="preserve"> obesity</w:t>
      </w:r>
      <w:r w:rsidR="00E44AF9" w:rsidRPr="00CC6129">
        <w:rPr>
          <w:rFonts w:ascii="Book Antiqua" w:hAnsi="Book Antiqua"/>
          <w:bCs/>
          <w:sz w:val="24"/>
          <w:szCs w:val="24"/>
          <w:lang w:val="en-US"/>
        </w:rPr>
        <w:t>,</w:t>
      </w:r>
      <w:r w:rsidRPr="00CC6129">
        <w:rPr>
          <w:rFonts w:ascii="Book Antiqua" w:hAnsi="Book Antiqua"/>
          <w:bCs/>
          <w:sz w:val="24"/>
          <w:szCs w:val="24"/>
          <w:lang w:val="en-US"/>
        </w:rPr>
        <w:t xml:space="preserve"> and </w:t>
      </w:r>
      <w:r w:rsidR="00AB04AB" w:rsidRPr="00CC6129">
        <w:rPr>
          <w:rFonts w:ascii="Book Antiqua" w:hAnsi="Book Antiqua"/>
          <w:bCs/>
          <w:sz w:val="24"/>
          <w:szCs w:val="24"/>
          <w:lang w:val="en-US"/>
        </w:rPr>
        <w:t>VTE</w:t>
      </w:r>
      <w:r w:rsidRPr="00CC6129">
        <w:rPr>
          <w:rFonts w:ascii="Book Antiqua" w:hAnsi="Book Antiqua"/>
          <w:bCs/>
          <w:sz w:val="24"/>
          <w:szCs w:val="24"/>
          <w:lang w:val="en-US"/>
        </w:rPr>
        <w:t xml:space="preserve">, elevated levels of </w:t>
      </w:r>
      <w:r w:rsidR="0073522D" w:rsidRPr="00CC6129">
        <w:rPr>
          <w:rFonts w:ascii="Book Antiqua" w:hAnsi="Book Antiqua"/>
          <w:bCs/>
          <w:sz w:val="24"/>
          <w:szCs w:val="24"/>
          <w:lang w:val="en-US"/>
        </w:rPr>
        <w:t xml:space="preserve">fasting </w:t>
      </w:r>
      <w:r w:rsidR="00A70055" w:rsidRPr="00CC6129">
        <w:rPr>
          <w:rFonts w:ascii="Book Antiqua" w:hAnsi="Book Antiqua"/>
          <w:bCs/>
          <w:sz w:val="24"/>
          <w:szCs w:val="24"/>
          <w:lang w:val="en-US"/>
        </w:rPr>
        <w:t xml:space="preserve">blood glucose, </w:t>
      </w:r>
      <w:r w:rsidRPr="00CC6129">
        <w:rPr>
          <w:rFonts w:ascii="Book Antiqua" w:hAnsi="Book Antiqua"/>
          <w:bCs/>
          <w:sz w:val="24"/>
          <w:szCs w:val="24"/>
          <w:lang w:val="en-US"/>
        </w:rPr>
        <w:t>glycated hemoglobin (HbA</w:t>
      </w:r>
      <w:r w:rsidRPr="00CC6129">
        <w:rPr>
          <w:rFonts w:ascii="Book Antiqua" w:hAnsi="Book Antiqua"/>
          <w:bCs/>
          <w:sz w:val="24"/>
          <w:szCs w:val="24"/>
          <w:vertAlign w:val="subscript"/>
          <w:lang w:val="en-US"/>
        </w:rPr>
        <w:t>1c</w:t>
      </w:r>
      <w:r w:rsidRPr="00CC6129">
        <w:rPr>
          <w:rFonts w:ascii="Book Antiqua" w:hAnsi="Book Antiqua"/>
          <w:bCs/>
          <w:sz w:val="24"/>
          <w:szCs w:val="24"/>
          <w:lang w:val="en-US"/>
        </w:rPr>
        <w:t xml:space="preserve">) </w:t>
      </w:r>
      <w:r w:rsidR="0073522D" w:rsidRPr="00CC6129">
        <w:rPr>
          <w:rFonts w:ascii="Book Antiqua" w:hAnsi="Book Antiqua"/>
          <w:bCs/>
          <w:sz w:val="24"/>
          <w:szCs w:val="24"/>
          <w:lang w:val="en-US"/>
        </w:rPr>
        <w:t>or</w:t>
      </w:r>
      <w:r w:rsidRPr="00CC6129">
        <w:rPr>
          <w:rFonts w:ascii="Book Antiqua" w:hAnsi="Book Antiqua"/>
          <w:bCs/>
          <w:sz w:val="24"/>
          <w:szCs w:val="24"/>
          <w:lang w:val="en-US"/>
        </w:rPr>
        <w:t xml:space="preserve"> </w:t>
      </w:r>
      <w:r w:rsidR="00BD07B8" w:rsidRPr="00CC6129">
        <w:rPr>
          <w:rFonts w:ascii="Book Antiqua" w:hAnsi="Book Antiqua"/>
          <w:bCs/>
          <w:sz w:val="24"/>
          <w:szCs w:val="24"/>
          <w:lang w:val="en-US"/>
        </w:rPr>
        <w:t xml:space="preserve">insulin resistance </w:t>
      </w:r>
      <w:r w:rsidR="00CA078B" w:rsidRPr="00CC6129">
        <w:rPr>
          <w:rFonts w:ascii="Book Antiqua" w:hAnsi="Book Antiqua"/>
          <w:bCs/>
          <w:sz w:val="24"/>
          <w:szCs w:val="24"/>
          <w:lang w:val="en-US"/>
        </w:rPr>
        <w:t>[</w:t>
      </w:r>
      <w:r w:rsidRPr="00CC6129">
        <w:rPr>
          <w:rFonts w:ascii="Book Antiqua" w:hAnsi="Book Antiqua"/>
          <w:bCs/>
          <w:sz w:val="24"/>
          <w:szCs w:val="24"/>
          <w:lang w:val="en-US"/>
        </w:rPr>
        <w:t>IR</w:t>
      </w:r>
      <w:r w:rsidR="00CA078B" w:rsidRPr="00CC6129">
        <w:rPr>
          <w:rFonts w:ascii="Book Antiqua" w:hAnsi="Book Antiqua"/>
          <w:bCs/>
          <w:sz w:val="24"/>
          <w:szCs w:val="24"/>
          <w:lang w:val="en-US"/>
        </w:rPr>
        <w:t>,</w:t>
      </w:r>
      <w:r w:rsidRPr="00CC6129">
        <w:rPr>
          <w:rFonts w:ascii="Book Antiqua" w:hAnsi="Book Antiqua"/>
          <w:bCs/>
          <w:sz w:val="24"/>
          <w:szCs w:val="24"/>
          <w:lang w:val="en-US"/>
        </w:rPr>
        <w:t xml:space="preserve"> evaluated by </w:t>
      </w:r>
      <w:r w:rsidR="00BD07B8" w:rsidRPr="00CC6129">
        <w:rPr>
          <w:rFonts w:ascii="Book Antiqua" w:hAnsi="Book Antiqua"/>
          <w:bCs/>
          <w:sz w:val="24"/>
          <w:szCs w:val="24"/>
          <w:lang w:val="en-US"/>
        </w:rPr>
        <w:t xml:space="preserve">the </w:t>
      </w:r>
      <w:r w:rsidRPr="00CC6129">
        <w:rPr>
          <w:rFonts w:ascii="Book Antiqua" w:hAnsi="Book Antiqua"/>
          <w:bCs/>
          <w:sz w:val="24"/>
          <w:szCs w:val="24"/>
          <w:lang w:val="en-US"/>
        </w:rPr>
        <w:t>homeostasis model of risk assessment (HOMA)</w:t>
      </w:r>
      <w:r w:rsidR="00CA078B" w:rsidRPr="00CC6129">
        <w:rPr>
          <w:rFonts w:ascii="Book Antiqua" w:hAnsi="Book Antiqua"/>
          <w:bCs/>
          <w:sz w:val="24"/>
          <w:szCs w:val="24"/>
          <w:lang w:val="en-US"/>
        </w:rPr>
        <w:t>]</w:t>
      </w:r>
      <w:r w:rsidRPr="00CC6129">
        <w:rPr>
          <w:rFonts w:ascii="Book Antiqua" w:hAnsi="Book Antiqua"/>
          <w:bCs/>
          <w:sz w:val="24"/>
          <w:szCs w:val="24"/>
          <w:lang w:val="en-US"/>
        </w:rPr>
        <w:t xml:space="preserve"> have </w:t>
      </w:r>
      <w:r w:rsidR="00A70055" w:rsidRPr="00CC6129">
        <w:rPr>
          <w:rFonts w:ascii="Book Antiqua" w:hAnsi="Book Antiqua"/>
          <w:bCs/>
          <w:sz w:val="24"/>
          <w:szCs w:val="24"/>
          <w:lang w:val="en-US"/>
        </w:rPr>
        <w:t xml:space="preserve">all </w:t>
      </w:r>
      <w:r w:rsidRPr="00CC6129">
        <w:rPr>
          <w:rFonts w:ascii="Book Antiqua" w:hAnsi="Book Antiqua"/>
          <w:bCs/>
          <w:sz w:val="24"/>
          <w:szCs w:val="24"/>
          <w:lang w:val="en-US"/>
        </w:rPr>
        <w:t xml:space="preserve">been associated with </w:t>
      </w:r>
      <w:r w:rsidR="00BD07B8" w:rsidRPr="00CC6129">
        <w:rPr>
          <w:rFonts w:ascii="Book Antiqua" w:hAnsi="Book Antiqua"/>
          <w:bCs/>
          <w:sz w:val="24"/>
          <w:szCs w:val="24"/>
          <w:lang w:val="en-US"/>
        </w:rPr>
        <w:t xml:space="preserve">an </w:t>
      </w:r>
      <w:r w:rsidRPr="00CC6129">
        <w:rPr>
          <w:rFonts w:ascii="Book Antiqua" w:hAnsi="Book Antiqua"/>
          <w:bCs/>
          <w:sz w:val="24"/>
          <w:szCs w:val="24"/>
          <w:lang w:val="en-US"/>
        </w:rPr>
        <w:t xml:space="preserve">increased </w:t>
      </w:r>
      <w:r w:rsidR="00BD07B8" w:rsidRPr="00CC6129">
        <w:rPr>
          <w:rFonts w:ascii="Book Antiqua" w:hAnsi="Book Antiqua"/>
          <w:bCs/>
          <w:sz w:val="24"/>
          <w:szCs w:val="24"/>
          <w:lang w:val="en-US"/>
        </w:rPr>
        <w:t>risk of VTE</w:t>
      </w:r>
      <w:r w:rsidRPr="00CC6129">
        <w:rPr>
          <w:rFonts w:ascii="Book Antiqua" w:hAnsi="Book Antiqua"/>
          <w:bCs/>
          <w:sz w:val="24"/>
          <w:szCs w:val="24"/>
          <w:lang w:val="en-US"/>
        </w:rPr>
        <w:t xml:space="preserve">, </w:t>
      </w:r>
      <w:r w:rsidR="00BD07B8" w:rsidRPr="00CC6129">
        <w:rPr>
          <w:rFonts w:ascii="Book Antiqua" w:hAnsi="Book Antiqua"/>
          <w:bCs/>
          <w:sz w:val="24"/>
          <w:szCs w:val="24"/>
          <w:lang w:val="en-US"/>
        </w:rPr>
        <w:t xml:space="preserve">either </w:t>
      </w:r>
      <w:r w:rsidR="00BD07B8" w:rsidRPr="00CC6129">
        <w:rPr>
          <w:rFonts w:ascii="Book Antiqua" w:hAnsi="Book Antiqua"/>
          <w:sz w:val="24"/>
          <w:szCs w:val="24"/>
          <w:lang w:val="en-US"/>
        </w:rPr>
        <w:t>unprovoked</w:t>
      </w:r>
      <w:r w:rsidR="00BD07B8" w:rsidRPr="00CC6129">
        <w:rPr>
          <w:rFonts w:ascii="Book Antiqua" w:hAnsi="Book Antiqua"/>
          <w:sz w:val="24"/>
          <w:szCs w:val="24"/>
          <w:vertAlign w:val="superscript"/>
          <w:lang w:val="en-US"/>
        </w:rPr>
        <w:t>[14</w:t>
      </w:r>
      <w:r w:rsidR="0073522D" w:rsidRPr="00CC6129">
        <w:rPr>
          <w:rFonts w:ascii="Book Antiqua" w:hAnsi="Book Antiqua"/>
          <w:sz w:val="24"/>
          <w:szCs w:val="24"/>
          <w:vertAlign w:val="superscript"/>
          <w:lang w:val="en-US"/>
        </w:rPr>
        <w:t>-</w:t>
      </w:r>
      <w:r w:rsidR="00BD07B8" w:rsidRPr="00CC6129">
        <w:rPr>
          <w:rFonts w:ascii="Book Antiqua" w:hAnsi="Book Antiqua"/>
          <w:sz w:val="24"/>
          <w:szCs w:val="24"/>
          <w:vertAlign w:val="superscript"/>
          <w:lang w:val="en-US"/>
        </w:rPr>
        <w:t>1</w:t>
      </w:r>
      <w:r w:rsidR="009D24B4" w:rsidRPr="00CC6129">
        <w:rPr>
          <w:rFonts w:ascii="Book Antiqua" w:hAnsi="Book Antiqua"/>
          <w:sz w:val="24"/>
          <w:szCs w:val="24"/>
          <w:vertAlign w:val="superscript"/>
          <w:lang w:val="en-US"/>
        </w:rPr>
        <w:t>9</w:t>
      </w:r>
      <w:r w:rsidR="00BD07B8" w:rsidRPr="00CC6129">
        <w:rPr>
          <w:rFonts w:ascii="Book Antiqua" w:hAnsi="Book Antiqua"/>
          <w:sz w:val="24"/>
          <w:szCs w:val="24"/>
          <w:vertAlign w:val="superscript"/>
          <w:lang w:val="en-US"/>
        </w:rPr>
        <w:t>]</w:t>
      </w:r>
      <w:r w:rsidR="00BD07B8" w:rsidRPr="00CC6129">
        <w:rPr>
          <w:rFonts w:ascii="Book Antiqua" w:hAnsi="Book Antiqua"/>
          <w:sz w:val="24"/>
          <w:szCs w:val="24"/>
          <w:lang w:val="en-US"/>
        </w:rPr>
        <w:t xml:space="preserve"> or cancer-associated</w:t>
      </w:r>
      <w:r w:rsidR="00BD07B8" w:rsidRPr="00CC6129">
        <w:rPr>
          <w:rFonts w:ascii="Book Antiqua" w:hAnsi="Book Antiqua"/>
          <w:sz w:val="24"/>
          <w:szCs w:val="24"/>
          <w:vertAlign w:val="superscript"/>
          <w:lang w:val="en-US"/>
        </w:rPr>
        <w:t>[</w:t>
      </w:r>
      <w:r w:rsidR="009D24B4" w:rsidRPr="00CC6129">
        <w:rPr>
          <w:rFonts w:ascii="Book Antiqua" w:hAnsi="Book Antiqua"/>
          <w:sz w:val="24"/>
          <w:szCs w:val="24"/>
          <w:vertAlign w:val="superscript"/>
          <w:lang w:val="en-US"/>
        </w:rPr>
        <w:t>20</w:t>
      </w:r>
      <w:r w:rsidR="00BD07B8" w:rsidRPr="00CC6129">
        <w:rPr>
          <w:rFonts w:ascii="Book Antiqua" w:hAnsi="Book Antiqua"/>
          <w:sz w:val="24"/>
          <w:szCs w:val="24"/>
          <w:vertAlign w:val="superscript"/>
          <w:lang w:val="en-US"/>
        </w:rPr>
        <w:t>]</w:t>
      </w:r>
      <w:r w:rsidR="0073522D" w:rsidRPr="00CC6129">
        <w:rPr>
          <w:rFonts w:ascii="Book Antiqua" w:hAnsi="Book Antiqua"/>
          <w:sz w:val="24"/>
          <w:szCs w:val="24"/>
          <w:lang w:val="en-US"/>
        </w:rPr>
        <w:t>.</w:t>
      </w:r>
      <w:r w:rsidR="0010680C">
        <w:rPr>
          <w:rFonts w:ascii="Book Antiqua" w:hAnsi="Book Antiqua"/>
          <w:sz w:val="24"/>
          <w:szCs w:val="24"/>
          <w:lang w:val="en-US"/>
        </w:rPr>
        <w:t xml:space="preserve"> </w:t>
      </w:r>
      <w:r w:rsidR="009D24B4" w:rsidRPr="00CC6129">
        <w:rPr>
          <w:rFonts w:ascii="Book Antiqua" w:hAnsi="Book Antiqua"/>
          <w:sz w:val="24"/>
          <w:szCs w:val="24"/>
          <w:lang w:val="en-US"/>
        </w:rPr>
        <w:t>The possibility of a causal link between</w:t>
      </w:r>
      <w:r w:rsidR="0073522D" w:rsidRPr="00CC6129">
        <w:rPr>
          <w:rFonts w:ascii="Book Antiqua" w:hAnsi="Book Antiqua"/>
          <w:sz w:val="24"/>
          <w:szCs w:val="24"/>
          <w:lang w:val="en-US"/>
        </w:rPr>
        <w:t xml:space="preserve"> </w:t>
      </w:r>
      <w:r w:rsidR="00CA078B" w:rsidRPr="00CC6129">
        <w:rPr>
          <w:rFonts w:ascii="Book Antiqua" w:hAnsi="Book Antiqua"/>
          <w:sz w:val="24"/>
          <w:szCs w:val="24"/>
          <w:lang w:val="en-US"/>
        </w:rPr>
        <w:t>hyperglycemia</w:t>
      </w:r>
      <w:r w:rsidR="009D24B4" w:rsidRPr="00CC6129">
        <w:rPr>
          <w:rFonts w:ascii="Book Antiqua" w:hAnsi="Book Antiqua"/>
          <w:sz w:val="24"/>
          <w:szCs w:val="24"/>
          <w:lang w:val="en-US"/>
        </w:rPr>
        <w:t xml:space="preserve"> (and, thus, </w:t>
      </w:r>
      <w:r w:rsidR="009D24B4" w:rsidRPr="00CC6129">
        <w:rPr>
          <w:rFonts w:ascii="Book Antiqua" w:hAnsi="Book Antiqua"/>
          <w:bCs/>
          <w:sz w:val="24"/>
          <w:szCs w:val="24"/>
          <w:lang w:val="en-US"/>
        </w:rPr>
        <w:t>HbA</w:t>
      </w:r>
      <w:r w:rsidR="009D24B4" w:rsidRPr="00CC6129">
        <w:rPr>
          <w:rFonts w:ascii="Book Antiqua" w:hAnsi="Book Antiqua"/>
          <w:bCs/>
          <w:sz w:val="24"/>
          <w:szCs w:val="24"/>
          <w:vertAlign w:val="subscript"/>
          <w:lang w:val="en-US"/>
        </w:rPr>
        <w:t>1c</w:t>
      </w:r>
      <w:r w:rsidR="009D24B4" w:rsidRPr="00CC6129">
        <w:rPr>
          <w:rFonts w:ascii="Book Antiqua" w:hAnsi="Book Antiqua"/>
          <w:sz w:val="24"/>
          <w:szCs w:val="24"/>
          <w:lang w:val="en-US"/>
        </w:rPr>
        <w:t xml:space="preserve"> or the composite HOMA index) </w:t>
      </w:r>
      <w:r w:rsidR="000C7FE9" w:rsidRPr="00CC6129">
        <w:rPr>
          <w:rFonts w:ascii="Book Antiqua" w:hAnsi="Book Antiqua"/>
          <w:sz w:val="24"/>
          <w:szCs w:val="24"/>
          <w:lang w:val="en-US"/>
        </w:rPr>
        <w:t>and VTE occurrence</w:t>
      </w:r>
      <w:r w:rsidR="00CA078B" w:rsidRPr="00CC6129">
        <w:rPr>
          <w:rFonts w:ascii="Book Antiqua" w:hAnsi="Book Antiqua"/>
          <w:sz w:val="24"/>
          <w:szCs w:val="24"/>
          <w:lang w:val="en-US"/>
        </w:rPr>
        <w:t xml:space="preserve"> </w:t>
      </w:r>
      <w:r w:rsidR="009D24B4" w:rsidRPr="00CC6129">
        <w:rPr>
          <w:rFonts w:ascii="Book Antiqua" w:hAnsi="Book Antiqua"/>
          <w:sz w:val="24"/>
          <w:szCs w:val="24"/>
          <w:lang w:val="en-US"/>
        </w:rPr>
        <w:t xml:space="preserve">is biologically </w:t>
      </w:r>
      <w:r w:rsidR="000C7FE9" w:rsidRPr="00CC6129">
        <w:rPr>
          <w:rFonts w:ascii="Book Antiqua" w:hAnsi="Book Antiqua"/>
          <w:sz w:val="24"/>
          <w:szCs w:val="24"/>
          <w:lang w:val="en-US"/>
        </w:rPr>
        <w:t xml:space="preserve">plausible and </w:t>
      </w:r>
      <w:r w:rsidR="009D24B4" w:rsidRPr="00CC6129">
        <w:rPr>
          <w:rFonts w:ascii="Book Antiqua" w:hAnsi="Book Antiqua"/>
          <w:sz w:val="24"/>
          <w:szCs w:val="24"/>
          <w:lang w:val="en-US"/>
        </w:rPr>
        <w:t xml:space="preserve">supported by the experimental finding that, in healthy non-diabetic </w:t>
      </w:r>
      <w:r w:rsidR="000C7FE9" w:rsidRPr="00CC6129">
        <w:rPr>
          <w:rFonts w:ascii="Book Antiqua" w:hAnsi="Book Antiqua"/>
          <w:sz w:val="24"/>
          <w:szCs w:val="24"/>
          <w:lang w:val="en-US"/>
        </w:rPr>
        <w:t>subjects</w:t>
      </w:r>
      <w:r w:rsidR="009D24B4" w:rsidRPr="00CC6129">
        <w:rPr>
          <w:rFonts w:ascii="Book Antiqua" w:hAnsi="Book Antiqua"/>
          <w:sz w:val="24"/>
          <w:szCs w:val="24"/>
          <w:lang w:val="en-US"/>
        </w:rPr>
        <w:t xml:space="preserve">, </w:t>
      </w:r>
      <w:r w:rsidR="003C6168" w:rsidRPr="00CC6129">
        <w:rPr>
          <w:rFonts w:ascii="Book Antiqua" w:hAnsi="Book Antiqua"/>
          <w:sz w:val="24"/>
          <w:szCs w:val="24"/>
          <w:lang w:val="en-US"/>
        </w:rPr>
        <w:t xml:space="preserve">increased </w:t>
      </w:r>
      <w:r w:rsidR="009D24B4" w:rsidRPr="00CC6129">
        <w:rPr>
          <w:rFonts w:ascii="Book Antiqua" w:hAnsi="Book Antiqua"/>
          <w:sz w:val="24"/>
          <w:szCs w:val="24"/>
          <w:lang w:val="en-US"/>
        </w:rPr>
        <w:t>blood glucose levels enhances blood coagulation</w:t>
      </w:r>
      <w:r w:rsidR="009D24B4" w:rsidRPr="00CC6129">
        <w:rPr>
          <w:rFonts w:ascii="Book Antiqua" w:hAnsi="Book Antiqua"/>
          <w:sz w:val="24"/>
          <w:szCs w:val="24"/>
          <w:vertAlign w:val="superscript"/>
          <w:lang w:val="en-US"/>
        </w:rPr>
        <w:t>[21]</w:t>
      </w:r>
      <w:r w:rsidR="009D24B4" w:rsidRPr="00CC6129">
        <w:rPr>
          <w:rFonts w:ascii="Book Antiqua" w:hAnsi="Book Antiqua"/>
          <w:sz w:val="24"/>
          <w:szCs w:val="24"/>
          <w:lang w:val="en-US"/>
        </w:rPr>
        <w:t>.</w:t>
      </w:r>
      <w:r w:rsidR="0010680C">
        <w:rPr>
          <w:rFonts w:ascii="Book Antiqua" w:hAnsi="Book Antiqua"/>
          <w:sz w:val="24"/>
          <w:szCs w:val="24"/>
          <w:lang w:val="en-US"/>
        </w:rPr>
        <w:t xml:space="preserve"> </w:t>
      </w:r>
      <w:r w:rsidR="000C7FE9" w:rsidRPr="00CC6129">
        <w:rPr>
          <w:rFonts w:ascii="Book Antiqua" w:hAnsi="Book Antiqua"/>
          <w:sz w:val="24"/>
          <w:szCs w:val="24"/>
          <w:lang w:val="en-US"/>
        </w:rPr>
        <w:t>However, the association between hyperglycemia (assessed according to HbA</w:t>
      </w:r>
      <w:r w:rsidR="000C7FE9" w:rsidRPr="00CC6129">
        <w:rPr>
          <w:rFonts w:ascii="Book Antiqua" w:hAnsi="Book Antiqua"/>
          <w:sz w:val="24"/>
          <w:szCs w:val="24"/>
          <w:vertAlign w:val="subscript"/>
          <w:lang w:val="en-US"/>
        </w:rPr>
        <w:t>1c</w:t>
      </w:r>
      <w:r w:rsidR="000C7FE9" w:rsidRPr="00CC6129">
        <w:rPr>
          <w:rFonts w:ascii="Book Antiqua" w:hAnsi="Book Antiqua"/>
          <w:sz w:val="24"/>
          <w:szCs w:val="24"/>
          <w:lang w:val="en-US"/>
        </w:rPr>
        <w:t xml:space="preserve">) and VTE risk has </w:t>
      </w:r>
      <w:r w:rsidR="00AD6F6B" w:rsidRPr="00CC6129">
        <w:rPr>
          <w:rFonts w:ascii="Book Antiqua" w:hAnsi="Book Antiqua"/>
          <w:sz w:val="24"/>
          <w:szCs w:val="24"/>
          <w:lang w:val="en-US"/>
        </w:rPr>
        <w:t>been recently disproved</w:t>
      </w:r>
      <w:r w:rsidR="00AD6F6B" w:rsidRPr="00CC6129">
        <w:rPr>
          <w:rFonts w:ascii="Book Antiqua" w:hAnsi="Book Antiqua"/>
          <w:sz w:val="24"/>
          <w:szCs w:val="24"/>
          <w:vertAlign w:val="superscript"/>
          <w:lang w:val="en-US"/>
        </w:rPr>
        <w:t>[22]</w:t>
      </w:r>
      <w:r w:rsidR="00AD6F6B" w:rsidRPr="00CC6129">
        <w:rPr>
          <w:rFonts w:ascii="Book Antiqua" w:hAnsi="Book Antiqua"/>
          <w:sz w:val="24"/>
          <w:szCs w:val="24"/>
          <w:lang w:val="en-US"/>
        </w:rPr>
        <w:t>.</w:t>
      </w:r>
    </w:p>
    <w:p w:rsidR="003B78E2" w:rsidRPr="00CC6129" w:rsidRDefault="004B393B" w:rsidP="0010680C">
      <w:pPr>
        <w:snapToGrid w:val="0"/>
        <w:spacing w:after="0" w:line="360" w:lineRule="auto"/>
        <w:ind w:firstLine="284"/>
        <w:jc w:val="both"/>
        <w:rPr>
          <w:rFonts w:ascii="Book Antiqua" w:hAnsi="Book Antiqua"/>
          <w:bCs/>
          <w:sz w:val="24"/>
          <w:szCs w:val="24"/>
          <w:lang w:val="en-US"/>
        </w:rPr>
      </w:pPr>
      <w:r w:rsidRPr="00CC6129">
        <w:rPr>
          <w:rFonts w:ascii="Book Antiqua" w:hAnsi="Book Antiqua"/>
          <w:sz w:val="24"/>
          <w:szCs w:val="24"/>
          <w:lang w:val="en-US"/>
        </w:rPr>
        <w:t>It is worth noticing that</w:t>
      </w:r>
      <w:r w:rsidR="00AD6F6B" w:rsidRPr="00CC6129">
        <w:rPr>
          <w:rFonts w:ascii="Book Antiqua" w:hAnsi="Book Antiqua"/>
          <w:sz w:val="24"/>
          <w:szCs w:val="24"/>
          <w:lang w:val="en-US"/>
        </w:rPr>
        <w:t xml:space="preserve"> all these </w:t>
      </w:r>
      <w:r w:rsidR="00F9216D" w:rsidRPr="00CC6129">
        <w:rPr>
          <w:rFonts w:ascii="Book Antiqua" w:hAnsi="Book Antiqua"/>
          <w:sz w:val="24"/>
          <w:szCs w:val="24"/>
          <w:lang w:val="en-US"/>
        </w:rPr>
        <w:t>evidence</w:t>
      </w:r>
      <w:r w:rsidR="00AD6F6B" w:rsidRPr="00CC6129">
        <w:rPr>
          <w:rFonts w:ascii="Book Antiqua" w:hAnsi="Book Antiqua"/>
          <w:sz w:val="24"/>
          <w:szCs w:val="24"/>
          <w:lang w:val="en-US"/>
        </w:rPr>
        <w:t xml:space="preserve">s derived from studies performed in </w:t>
      </w:r>
      <w:r w:rsidR="00F9216D" w:rsidRPr="00CC6129">
        <w:rPr>
          <w:rFonts w:ascii="Book Antiqua" w:hAnsi="Book Antiqua"/>
          <w:sz w:val="24"/>
          <w:szCs w:val="24"/>
          <w:lang w:val="en-US"/>
        </w:rPr>
        <w:t>non-cancer patients.</w:t>
      </w:r>
      <w:r w:rsidR="0010680C">
        <w:rPr>
          <w:rFonts w:ascii="Book Antiqua" w:hAnsi="Book Antiqua"/>
          <w:sz w:val="24"/>
          <w:szCs w:val="24"/>
          <w:lang w:val="en-US"/>
        </w:rPr>
        <w:t xml:space="preserve"> </w:t>
      </w:r>
      <w:r w:rsidR="00F9216D" w:rsidRPr="00CC6129">
        <w:rPr>
          <w:rFonts w:ascii="Book Antiqua" w:hAnsi="Book Antiqua"/>
          <w:sz w:val="24"/>
          <w:szCs w:val="24"/>
          <w:lang w:val="en-US"/>
        </w:rPr>
        <w:t>T</w:t>
      </w:r>
      <w:r w:rsidR="00AD6F6B" w:rsidRPr="00CC6129">
        <w:rPr>
          <w:rFonts w:ascii="Book Antiqua" w:hAnsi="Book Antiqua"/>
          <w:sz w:val="24"/>
          <w:szCs w:val="24"/>
          <w:lang w:val="en-US"/>
        </w:rPr>
        <w:t>o the best of our knowledge, there are no data</w:t>
      </w:r>
      <w:r w:rsidR="00F9216D" w:rsidRPr="00CC6129">
        <w:rPr>
          <w:rFonts w:ascii="Book Antiqua" w:hAnsi="Book Antiqua"/>
          <w:sz w:val="24"/>
          <w:szCs w:val="24"/>
          <w:lang w:val="en-US"/>
        </w:rPr>
        <w:t xml:space="preserve">, so far, </w:t>
      </w:r>
      <w:r w:rsidR="003C6168" w:rsidRPr="00CC6129">
        <w:rPr>
          <w:rFonts w:ascii="Book Antiqua" w:hAnsi="Book Antiqua"/>
          <w:sz w:val="24"/>
          <w:szCs w:val="24"/>
          <w:lang w:val="en-US"/>
        </w:rPr>
        <w:t xml:space="preserve">that </w:t>
      </w:r>
      <w:r w:rsidR="00CC1C17" w:rsidRPr="00CC6129">
        <w:rPr>
          <w:rFonts w:ascii="Book Antiqua" w:hAnsi="Book Antiqua"/>
          <w:sz w:val="24"/>
          <w:szCs w:val="24"/>
          <w:lang w:val="en-US"/>
        </w:rPr>
        <w:t xml:space="preserve">specifically </w:t>
      </w:r>
      <w:r w:rsidR="003C6168" w:rsidRPr="00CC6129">
        <w:rPr>
          <w:rFonts w:ascii="Book Antiqua" w:hAnsi="Book Antiqua"/>
          <w:sz w:val="24"/>
          <w:szCs w:val="24"/>
          <w:lang w:val="en-US"/>
        </w:rPr>
        <w:t xml:space="preserve">addressed </w:t>
      </w:r>
      <w:r w:rsidR="00CC1C17" w:rsidRPr="00CC6129">
        <w:rPr>
          <w:rFonts w:ascii="Book Antiqua" w:hAnsi="Book Antiqua"/>
          <w:sz w:val="24"/>
          <w:szCs w:val="24"/>
          <w:lang w:val="en-US"/>
        </w:rPr>
        <w:t>th</w:t>
      </w:r>
      <w:r w:rsidR="00F9216D" w:rsidRPr="00CC6129">
        <w:rPr>
          <w:rFonts w:ascii="Book Antiqua" w:hAnsi="Book Antiqua"/>
          <w:sz w:val="24"/>
          <w:szCs w:val="24"/>
          <w:lang w:val="en-US"/>
        </w:rPr>
        <w:t>is</w:t>
      </w:r>
      <w:r w:rsidR="00CC1C17" w:rsidRPr="00CC6129">
        <w:rPr>
          <w:rFonts w:ascii="Book Antiqua" w:hAnsi="Book Antiqua"/>
          <w:sz w:val="24"/>
          <w:szCs w:val="24"/>
          <w:lang w:val="en-US"/>
        </w:rPr>
        <w:t xml:space="preserve"> issue</w:t>
      </w:r>
      <w:r w:rsidR="002B4CB1" w:rsidRPr="00CC6129">
        <w:rPr>
          <w:rFonts w:ascii="Book Antiqua" w:hAnsi="Book Antiqua"/>
          <w:sz w:val="24"/>
          <w:szCs w:val="24"/>
          <w:lang w:val="en-US"/>
        </w:rPr>
        <w:t xml:space="preserve"> </w:t>
      </w:r>
      <w:r w:rsidR="00CC1C17" w:rsidRPr="00CC6129">
        <w:rPr>
          <w:rFonts w:ascii="Book Antiqua" w:hAnsi="Book Antiqua"/>
          <w:sz w:val="24"/>
          <w:szCs w:val="24"/>
          <w:lang w:val="en-US"/>
        </w:rPr>
        <w:t xml:space="preserve">in </w:t>
      </w:r>
      <w:r w:rsidR="00F9216D" w:rsidRPr="00CC6129">
        <w:rPr>
          <w:rFonts w:ascii="Book Antiqua" w:hAnsi="Book Antiqua"/>
          <w:sz w:val="24"/>
          <w:szCs w:val="24"/>
          <w:lang w:val="en-US"/>
        </w:rPr>
        <w:t>oncologic</w:t>
      </w:r>
      <w:r w:rsidR="00CC1C17" w:rsidRPr="00CC6129">
        <w:rPr>
          <w:rFonts w:ascii="Book Antiqua" w:hAnsi="Book Antiqua"/>
          <w:sz w:val="24"/>
          <w:szCs w:val="24"/>
          <w:lang w:val="en-US"/>
        </w:rPr>
        <w:t xml:space="preserve"> patients, with the </w:t>
      </w:r>
      <w:r w:rsidR="002B4CB1" w:rsidRPr="00CC6129">
        <w:rPr>
          <w:rFonts w:ascii="Book Antiqua" w:hAnsi="Book Antiqua"/>
          <w:sz w:val="24"/>
          <w:szCs w:val="24"/>
          <w:lang w:val="en-US"/>
        </w:rPr>
        <w:t xml:space="preserve">only exception of a </w:t>
      </w:r>
      <w:r w:rsidR="00F9216D" w:rsidRPr="00CC6129">
        <w:rPr>
          <w:rFonts w:ascii="Book Antiqua" w:hAnsi="Book Antiqua"/>
          <w:sz w:val="24"/>
          <w:szCs w:val="24"/>
          <w:lang w:val="en-US"/>
        </w:rPr>
        <w:t>study</w:t>
      </w:r>
      <w:r w:rsidR="002B4CB1" w:rsidRPr="00CC6129">
        <w:rPr>
          <w:rFonts w:ascii="Book Antiqua" w:hAnsi="Book Antiqua"/>
          <w:sz w:val="24"/>
          <w:szCs w:val="24"/>
          <w:lang w:val="en-US"/>
        </w:rPr>
        <w:t xml:space="preserve"> by our group demonstrating that </w:t>
      </w:r>
      <w:r w:rsidR="003B78E2" w:rsidRPr="00CC6129">
        <w:rPr>
          <w:rFonts w:ascii="Book Antiqua" w:hAnsi="Book Antiqua"/>
          <w:sz w:val="24"/>
          <w:szCs w:val="24"/>
          <w:lang w:val="en-US"/>
        </w:rPr>
        <w:t>breast cancer women</w:t>
      </w:r>
      <w:r w:rsidR="00AB04AB" w:rsidRPr="00CC6129">
        <w:rPr>
          <w:rFonts w:ascii="Book Antiqua" w:hAnsi="Book Antiqua"/>
          <w:sz w:val="24"/>
          <w:szCs w:val="24"/>
          <w:lang w:val="en-US"/>
        </w:rPr>
        <w:t xml:space="preserve"> with </w:t>
      </w:r>
      <w:r w:rsidR="00841B06" w:rsidRPr="00CC6129">
        <w:rPr>
          <w:rFonts w:ascii="Book Antiqua" w:hAnsi="Book Antiqua"/>
          <w:sz w:val="24"/>
          <w:szCs w:val="24"/>
          <w:lang w:val="en-US"/>
        </w:rPr>
        <w:t>IR</w:t>
      </w:r>
      <w:r w:rsidR="00AB04AB" w:rsidRPr="00CC6129">
        <w:rPr>
          <w:rFonts w:ascii="Book Antiqua" w:hAnsi="Book Antiqua"/>
          <w:sz w:val="24"/>
          <w:szCs w:val="24"/>
          <w:lang w:val="en-US"/>
        </w:rPr>
        <w:t xml:space="preserve"> had an increased risk of </w:t>
      </w:r>
      <w:r w:rsidR="003B78E2" w:rsidRPr="00CC6129">
        <w:rPr>
          <w:rFonts w:ascii="Book Antiqua" w:hAnsi="Book Antiqua"/>
          <w:sz w:val="24"/>
          <w:szCs w:val="24"/>
          <w:lang w:val="en-US"/>
        </w:rPr>
        <w:t>chemotherapy-associated</w:t>
      </w:r>
      <w:r w:rsidR="00AB04AB" w:rsidRPr="00CC6129">
        <w:rPr>
          <w:rFonts w:ascii="Book Antiqua" w:hAnsi="Book Antiqua"/>
          <w:sz w:val="24"/>
          <w:szCs w:val="24"/>
          <w:lang w:val="en-US"/>
        </w:rPr>
        <w:t xml:space="preserve"> VTE – independently of </w:t>
      </w:r>
      <w:r w:rsidR="00CA078B" w:rsidRPr="00CC6129">
        <w:rPr>
          <w:rFonts w:ascii="Book Antiqua" w:hAnsi="Book Antiqua"/>
          <w:sz w:val="24"/>
          <w:szCs w:val="24"/>
          <w:lang w:val="en-US"/>
        </w:rPr>
        <w:t>T2D, or other</w:t>
      </w:r>
      <w:r w:rsidR="00AB04AB" w:rsidRPr="00CC6129">
        <w:rPr>
          <w:rFonts w:ascii="Book Antiqua" w:hAnsi="Book Antiqua"/>
          <w:sz w:val="24"/>
          <w:szCs w:val="24"/>
          <w:lang w:val="en-US"/>
        </w:rPr>
        <w:t xml:space="preserve"> </w:t>
      </w:r>
      <w:r w:rsidR="00AB04AB" w:rsidRPr="00CC6129">
        <w:rPr>
          <w:rFonts w:ascii="Book Antiqua" w:hAnsi="Book Antiqua"/>
          <w:sz w:val="24"/>
          <w:szCs w:val="24"/>
          <w:lang w:val="en-US"/>
        </w:rPr>
        <w:lastRenderedPageBreak/>
        <w:t>related risk factors</w:t>
      </w:r>
      <w:r w:rsidR="003B78E2" w:rsidRPr="00CC6129">
        <w:rPr>
          <w:rFonts w:ascii="Book Antiqua" w:hAnsi="Book Antiqua"/>
          <w:sz w:val="24"/>
          <w:szCs w:val="24"/>
          <w:vertAlign w:val="superscript"/>
          <w:lang w:val="en-US"/>
        </w:rPr>
        <w:t>[</w:t>
      </w:r>
      <w:r w:rsidR="0060777C" w:rsidRPr="00CC6129">
        <w:rPr>
          <w:rFonts w:ascii="Book Antiqua" w:hAnsi="Book Antiqua"/>
          <w:sz w:val="24"/>
          <w:szCs w:val="24"/>
          <w:vertAlign w:val="superscript"/>
          <w:lang w:val="en-US"/>
        </w:rPr>
        <w:t>20</w:t>
      </w:r>
      <w:r w:rsidR="003B78E2" w:rsidRPr="00CC6129">
        <w:rPr>
          <w:rFonts w:ascii="Book Antiqua" w:hAnsi="Book Antiqua"/>
          <w:sz w:val="24"/>
          <w:szCs w:val="24"/>
          <w:vertAlign w:val="superscript"/>
          <w:lang w:val="en-US"/>
        </w:rPr>
        <w:t>]</w:t>
      </w:r>
      <w:r w:rsidR="002B4CB1" w:rsidRPr="00CC6129">
        <w:rPr>
          <w:rFonts w:ascii="Book Antiqua" w:hAnsi="Book Antiqua"/>
          <w:sz w:val="24"/>
          <w:szCs w:val="24"/>
          <w:lang w:val="en-US"/>
        </w:rPr>
        <w:t>.</w:t>
      </w:r>
      <w:r w:rsidR="0010680C">
        <w:rPr>
          <w:rFonts w:ascii="Book Antiqua" w:hAnsi="Book Antiqua"/>
          <w:sz w:val="24"/>
          <w:szCs w:val="24"/>
          <w:lang w:val="en-US"/>
        </w:rPr>
        <w:t xml:space="preserve"> </w:t>
      </w:r>
      <w:r w:rsidR="00D808C4" w:rsidRPr="00CC6129">
        <w:rPr>
          <w:rFonts w:ascii="Book Antiqua" w:hAnsi="Book Antiqua"/>
          <w:sz w:val="24"/>
          <w:szCs w:val="24"/>
          <w:lang w:val="en-US"/>
        </w:rPr>
        <w:t>IR, hyperglycemia and T2D are associated with several cancer types, other than breast, and accumulating evidence indicates that they could represent shared pathophysiological mechanisms in GI cancer and its co-morbidities.</w:t>
      </w:r>
      <w:r w:rsidR="0010680C">
        <w:rPr>
          <w:rFonts w:ascii="Book Antiqua" w:hAnsi="Book Antiqua"/>
          <w:sz w:val="24"/>
          <w:szCs w:val="24"/>
          <w:lang w:val="en-US"/>
        </w:rPr>
        <w:t xml:space="preserve"> </w:t>
      </w:r>
      <w:r w:rsidR="002B4CB1" w:rsidRPr="00CC6129">
        <w:rPr>
          <w:rFonts w:ascii="Book Antiqua" w:hAnsi="Book Antiqua"/>
          <w:sz w:val="24"/>
          <w:szCs w:val="24"/>
          <w:lang w:val="en-US"/>
        </w:rPr>
        <w:t xml:space="preserve">Accordingly, </w:t>
      </w:r>
      <w:r w:rsidR="003B78E2" w:rsidRPr="00CC6129">
        <w:rPr>
          <w:rFonts w:ascii="Book Antiqua" w:hAnsi="Book Antiqua"/>
          <w:bCs/>
          <w:sz w:val="24"/>
          <w:szCs w:val="24"/>
          <w:lang w:val="en-US"/>
        </w:rPr>
        <w:t>we</w:t>
      </w:r>
      <w:r w:rsidR="00CA078B" w:rsidRPr="00CC6129">
        <w:rPr>
          <w:rFonts w:ascii="Book Antiqua" w:hAnsi="Book Antiqua"/>
          <w:bCs/>
          <w:sz w:val="24"/>
          <w:szCs w:val="24"/>
          <w:lang w:val="en-US"/>
        </w:rPr>
        <w:t xml:space="preserve"> </w:t>
      </w:r>
      <w:r w:rsidR="003B78E2" w:rsidRPr="00CC6129">
        <w:rPr>
          <w:rFonts w:ascii="Book Antiqua" w:hAnsi="Book Antiqua"/>
          <w:bCs/>
          <w:sz w:val="24"/>
          <w:szCs w:val="24"/>
          <w:lang w:val="en-US"/>
        </w:rPr>
        <w:t>hypothesized that</w:t>
      </w:r>
      <w:r w:rsidR="002B4CB1" w:rsidRPr="00CC6129">
        <w:rPr>
          <w:rFonts w:ascii="Book Antiqua" w:hAnsi="Book Antiqua"/>
          <w:bCs/>
          <w:sz w:val="24"/>
          <w:szCs w:val="24"/>
          <w:lang w:val="en-US"/>
        </w:rPr>
        <w:t>, as in the case of breast cancer,</w:t>
      </w:r>
      <w:r w:rsidR="003B78E2" w:rsidRPr="00CC6129">
        <w:rPr>
          <w:rFonts w:ascii="Book Antiqua" w:hAnsi="Book Antiqua"/>
          <w:bCs/>
          <w:sz w:val="24"/>
          <w:szCs w:val="24"/>
          <w:lang w:val="en-US"/>
        </w:rPr>
        <w:t xml:space="preserve"> a de-regulated glucose metabolism could be involved in GI cancer-associated VTE</w:t>
      </w:r>
      <w:r w:rsidR="002B4CB1" w:rsidRPr="00CC6129">
        <w:rPr>
          <w:rFonts w:ascii="Book Antiqua" w:hAnsi="Book Antiqua"/>
          <w:bCs/>
          <w:sz w:val="24"/>
          <w:szCs w:val="24"/>
          <w:lang w:val="en-US"/>
        </w:rPr>
        <w:t>, as well</w:t>
      </w:r>
      <w:r w:rsidR="003B78E2" w:rsidRPr="00CC6129">
        <w:rPr>
          <w:rFonts w:ascii="Book Antiqua" w:hAnsi="Book Antiqua"/>
          <w:bCs/>
          <w:sz w:val="24"/>
          <w:szCs w:val="24"/>
          <w:lang w:val="en-US"/>
        </w:rPr>
        <w:t>.</w:t>
      </w:r>
      <w:r w:rsidR="0010680C">
        <w:rPr>
          <w:rFonts w:ascii="Book Antiqua" w:hAnsi="Book Antiqua"/>
          <w:bCs/>
          <w:sz w:val="24"/>
          <w:szCs w:val="24"/>
          <w:lang w:val="en-US"/>
        </w:rPr>
        <w:t xml:space="preserve"> </w:t>
      </w:r>
      <w:r w:rsidR="00F9216D" w:rsidRPr="00CC6129">
        <w:rPr>
          <w:rFonts w:ascii="Book Antiqua" w:hAnsi="Book Antiqua"/>
          <w:bCs/>
          <w:sz w:val="24"/>
          <w:szCs w:val="24"/>
          <w:lang w:val="en-US"/>
        </w:rPr>
        <w:t>Therefore</w:t>
      </w:r>
      <w:r w:rsidR="003B78E2" w:rsidRPr="00CC6129">
        <w:rPr>
          <w:rFonts w:ascii="Book Antiqua" w:hAnsi="Book Antiqua"/>
          <w:bCs/>
          <w:sz w:val="24"/>
          <w:szCs w:val="24"/>
          <w:lang w:val="en-US"/>
        </w:rPr>
        <w:t xml:space="preserve">, the present study was designed to investigate the possible predictive role of routinely used glycemic parameters for a first VTE episode in GI cancer out-patients – with or without clinically diagnosed T2D – in whom chemotherapy might act as </w:t>
      </w:r>
      <w:r w:rsidR="003C6168" w:rsidRPr="00CC6129">
        <w:rPr>
          <w:rFonts w:ascii="Book Antiqua" w:hAnsi="Book Antiqua"/>
          <w:bCs/>
          <w:sz w:val="24"/>
          <w:szCs w:val="24"/>
          <w:lang w:val="en-US"/>
        </w:rPr>
        <w:t xml:space="preserve">a </w:t>
      </w:r>
      <w:r w:rsidR="003B78E2" w:rsidRPr="00CC6129">
        <w:rPr>
          <w:rFonts w:ascii="Book Antiqua" w:hAnsi="Book Antiqua"/>
          <w:bCs/>
          <w:sz w:val="24"/>
          <w:szCs w:val="24"/>
          <w:lang w:val="en-US"/>
        </w:rPr>
        <w:t>thrombotic trigger.</w:t>
      </w:r>
      <w:r w:rsidR="0010680C">
        <w:rPr>
          <w:rFonts w:ascii="Book Antiqua" w:hAnsi="Book Antiqua"/>
          <w:bCs/>
          <w:sz w:val="24"/>
          <w:szCs w:val="24"/>
          <w:lang w:val="en-US"/>
        </w:rPr>
        <w:t xml:space="preserve"> </w:t>
      </w:r>
    </w:p>
    <w:p w:rsidR="007A60A8" w:rsidRPr="00CC6129" w:rsidRDefault="007A60A8" w:rsidP="0010680C">
      <w:pPr>
        <w:snapToGrid w:val="0"/>
        <w:spacing w:after="0" w:line="360" w:lineRule="auto"/>
        <w:jc w:val="both"/>
        <w:rPr>
          <w:rFonts w:ascii="Book Antiqua" w:hAnsi="Book Antiqua"/>
          <w:sz w:val="24"/>
          <w:szCs w:val="24"/>
          <w:lang w:val="en-US"/>
        </w:rPr>
      </w:pPr>
    </w:p>
    <w:p w:rsidR="000730D3" w:rsidRPr="000730D3" w:rsidRDefault="000730D3" w:rsidP="000730D3">
      <w:pPr>
        <w:snapToGrid w:val="0"/>
        <w:spacing w:after="0" w:line="360" w:lineRule="auto"/>
        <w:jc w:val="both"/>
        <w:rPr>
          <w:rFonts w:ascii="Book Antiqua" w:hAnsi="Book Antiqua"/>
          <w:b/>
          <w:bCs/>
          <w:caps/>
          <w:sz w:val="24"/>
          <w:szCs w:val="24"/>
          <w:lang w:val="en-US"/>
        </w:rPr>
      </w:pPr>
      <w:bookmarkStart w:id="28" w:name="OLE_LINK478"/>
      <w:bookmarkStart w:id="29" w:name="OLE_LINK481"/>
      <w:bookmarkStart w:id="30" w:name="OLE_LINK483"/>
      <w:bookmarkStart w:id="31" w:name="OLE_LINK674"/>
      <w:r w:rsidRPr="000730D3">
        <w:rPr>
          <w:rFonts w:ascii="Book Antiqua" w:hAnsi="Book Antiqua"/>
          <w:b/>
          <w:bCs/>
          <w:caps/>
          <w:sz w:val="24"/>
          <w:szCs w:val="24"/>
          <w:lang w:val="en-US"/>
        </w:rPr>
        <w:t>Materials and methods</w:t>
      </w:r>
    </w:p>
    <w:bookmarkEnd w:id="28"/>
    <w:bookmarkEnd w:id="29"/>
    <w:bookmarkEnd w:id="30"/>
    <w:bookmarkEnd w:id="31"/>
    <w:p w:rsidR="00E35E34" w:rsidRPr="000730D3" w:rsidRDefault="000730D3" w:rsidP="0010680C">
      <w:pPr>
        <w:snapToGrid w:val="0"/>
        <w:spacing w:after="0" w:line="360" w:lineRule="auto"/>
        <w:jc w:val="both"/>
        <w:rPr>
          <w:rFonts w:ascii="Book Antiqua" w:hAnsi="Book Antiqua"/>
          <w:b/>
          <w:bCs/>
          <w:sz w:val="24"/>
          <w:szCs w:val="24"/>
          <w:lang w:val="en-US" w:eastAsia="zh-CN"/>
        </w:rPr>
      </w:pPr>
      <w:r w:rsidRPr="000730D3">
        <w:rPr>
          <w:rFonts w:ascii="Book Antiqua" w:hAnsi="Book Antiqua"/>
          <w:b/>
          <w:bCs/>
          <w:i/>
          <w:sz w:val="24"/>
          <w:szCs w:val="24"/>
          <w:lang w:val="en-US"/>
        </w:rPr>
        <w:t>Patients and sample collection</w:t>
      </w:r>
    </w:p>
    <w:p w:rsidR="007B0F0A" w:rsidRPr="00CC6129" w:rsidRDefault="00E35E34" w:rsidP="0010680C">
      <w:pPr>
        <w:snapToGrid w:val="0"/>
        <w:spacing w:after="0" w:line="360" w:lineRule="auto"/>
        <w:jc w:val="both"/>
        <w:rPr>
          <w:rFonts w:ascii="Book Antiqua" w:hAnsi="Book Antiqua"/>
          <w:sz w:val="24"/>
          <w:szCs w:val="24"/>
          <w:lang w:val="en-US"/>
        </w:rPr>
      </w:pPr>
      <w:r w:rsidRPr="00CC6129">
        <w:rPr>
          <w:rFonts w:ascii="Book Antiqua" w:hAnsi="Book Antiqua"/>
          <w:bCs/>
          <w:sz w:val="24"/>
          <w:szCs w:val="24"/>
          <w:lang w:val="en-US"/>
        </w:rPr>
        <w:t xml:space="preserve">Starting from January 2007, the PTV Bio.Ca.Re. (Policlinico Tor Vergata Biospecimen Cancer Repository) and the Interinstitutional Multidisciplinary Biobank of the IRCCS San Raffaele Pisana (SR-BioBIM, Rome, Italy) are actively involved in the recruitment of ambulatory patients with primary or </w:t>
      </w:r>
      <w:r w:rsidR="00CE652F" w:rsidRPr="00CC6129">
        <w:rPr>
          <w:rFonts w:ascii="Book Antiqua" w:hAnsi="Book Antiqua"/>
          <w:sz w:val="24"/>
          <w:szCs w:val="24"/>
          <w:lang w:val="en-US"/>
        </w:rPr>
        <w:t>relapsing/</w:t>
      </w:r>
      <w:r w:rsidRPr="00CC6129">
        <w:rPr>
          <w:rFonts w:ascii="Book Antiqua" w:hAnsi="Book Antiqua"/>
          <w:bCs/>
          <w:sz w:val="24"/>
          <w:szCs w:val="24"/>
          <w:lang w:val="en-US"/>
        </w:rPr>
        <w:t>metastatic cancer, who are prospectively followed under the appropriate Institutional ethics approvals, as part of a Clinical Database and Biobank project.</w:t>
      </w:r>
      <w:r w:rsidR="0010680C">
        <w:rPr>
          <w:rFonts w:ascii="Book Antiqua" w:hAnsi="Book Antiqua"/>
          <w:bCs/>
          <w:sz w:val="24"/>
          <w:szCs w:val="24"/>
          <w:lang w:val="en-US"/>
        </w:rPr>
        <w:t xml:space="preserve"> </w:t>
      </w:r>
      <w:r w:rsidR="00B03A59" w:rsidRPr="00CC6129">
        <w:rPr>
          <w:rFonts w:ascii="Book Antiqua" w:hAnsi="Book Antiqua"/>
          <w:sz w:val="24"/>
          <w:szCs w:val="24"/>
          <w:lang w:val="en-US"/>
        </w:rPr>
        <w:t>Among them, 3</w:t>
      </w:r>
      <w:r w:rsidR="00E673C3" w:rsidRPr="00CC6129">
        <w:rPr>
          <w:rFonts w:ascii="Book Antiqua" w:hAnsi="Book Antiqua"/>
          <w:sz w:val="24"/>
          <w:szCs w:val="24"/>
          <w:lang w:val="en-US"/>
        </w:rPr>
        <w:t>4</w:t>
      </w:r>
      <w:r w:rsidR="00E44AF9" w:rsidRPr="00CC6129">
        <w:rPr>
          <w:rFonts w:ascii="Book Antiqua" w:hAnsi="Book Antiqua"/>
          <w:sz w:val="24"/>
          <w:szCs w:val="24"/>
          <w:lang w:val="en-US"/>
        </w:rPr>
        <w:t>2</w:t>
      </w:r>
      <w:r w:rsidR="00B03A59" w:rsidRPr="00CC6129">
        <w:rPr>
          <w:rFonts w:ascii="Book Antiqua" w:hAnsi="Book Antiqua"/>
          <w:sz w:val="24"/>
          <w:szCs w:val="24"/>
          <w:lang w:val="en-US"/>
        </w:rPr>
        <w:t xml:space="preserve"> patients with </w:t>
      </w:r>
      <w:r w:rsidR="00E673C3" w:rsidRPr="00CC6129">
        <w:rPr>
          <w:rFonts w:ascii="Book Antiqua" w:hAnsi="Book Antiqua"/>
          <w:sz w:val="24"/>
          <w:szCs w:val="24"/>
          <w:lang w:val="en-US"/>
        </w:rPr>
        <w:t>GI cancer</w:t>
      </w:r>
      <w:r w:rsidR="00B03A59" w:rsidRPr="00CC6129">
        <w:rPr>
          <w:rFonts w:ascii="Book Antiqua" w:hAnsi="Book Antiqua"/>
          <w:sz w:val="24"/>
          <w:szCs w:val="24"/>
          <w:lang w:val="en-US"/>
        </w:rPr>
        <w:t xml:space="preserve"> completed the clinical assessment for VTE.</w:t>
      </w:r>
      <w:r w:rsidR="0010680C">
        <w:rPr>
          <w:rFonts w:ascii="Book Antiqua" w:hAnsi="Book Antiqua"/>
          <w:sz w:val="24"/>
          <w:szCs w:val="24"/>
          <w:lang w:val="en-US"/>
        </w:rPr>
        <w:t xml:space="preserve"> </w:t>
      </w:r>
      <w:r w:rsidR="00C71060" w:rsidRPr="00CC6129">
        <w:rPr>
          <w:rFonts w:ascii="Book Antiqua" w:hAnsi="Book Antiqua"/>
          <w:bCs/>
          <w:sz w:val="24"/>
          <w:szCs w:val="24"/>
          <w:lang w:val="en-US"/>
        </w:rPr>
        <w:t xml:space="preserve">Inclusion criteria for patients </w:t>
      </w:r>
      <w:r w:rsidR="00971D95" w:rsidRPr="00CC6129">
        <w:rPr>
          <w:rFonts w:ascii="Book Antiqua" w:hAnsi="Book Antiqua"/>
          <w:bCs/>
          <w:sz w:val="24"/>
          <w:szCs w:val="24"/>
          <w:lang w:val="en-US"/>
        </w:rPr>
        <w:t>whose</w:t>
      </w:r>
      <w:r w:rsidR="00C71060" w:rsidRPr="00CC6129">
        <w:rPr>
          <w:rFonts w:ascii="Book Antiqua" w:hAnsi="Book Antiqua"/>
          <w:bCs/>
          <w:sz w:val="24"/>
          <w:szCs w:val="24"/>
          <w:lang w:val="en-US"/>
        </w:rPr>
        <w:t xml:space="preserve"> serum samples were stored in our Biobanks were: age above 18 years, </w:t>
      </w:r>
      <w:r w:rsidR="00C71060" w:rsidRPr="00CC6129">
        <w:rPr>
          <w:rFonts w:ascii="Book Antiqua" w:hAnsi="Book Antiqua"/>
          <w:sz w:val="24"/>
          <w:szCs w:val="24"/>
          <w:lang w:val="en-US"/>
        </w:rPr>
        <w:t>to be at the start of a first chemotherapy regimen,</w:t>
      </w:r>
      <w:r w:rsidR="00C71060" w:rsidRPr="00CC6129">
        <w:rPr>
          <w:rFonts w:ascii="Book Antiqua" w:hAnsi="Book Antiqua"/>
          <w:bCs/>
          <w:sz w:val="24"/>
          <w:szCs w:val="24"/>
          <w:lang w:val="en-US"/>
        </w:rPr>
        <w:t xml:space="preserve"> an Eastern Cooperative Oncology Group performance status (ECOG-PS) ≤</w:t>
      </w:r>
      <w:r w:rsidR="000730D3">
        <w:rPr>
          <w:rFonts w:ascii="Book Antiqua" w:hAnsi="Book Antiqua" w:hint="eastAsia"/>
          <w:bCs/>
          <w:sz w:val="24"/>
          <w:szCs w:val="24"/>
          <w:lang w:val="en-US" w:eastAsia="zh-CN"/>
        </w:rPr>
        <w:t xml:space="preserve"> </w:t>
      </w:r>
      <w:r w:rsidR="00C71060" w:rsidRPr="00CC6129">
        <w:rPr>
          <w:rFonts w:ascii="Book Antiqua" w:hAnsi="Book Antiqua"/>
          <w:bCs/>
          <w:sz w:val="24"/>
          <w:szCs w:val="24"/>
          <w:lang w:val="en-US"/>
        </w:rPr>
        <w:t>2 and adequate hematological, hepatic and renal functions.</w:t>
      </w:r>
      <w:r w:rsidR="0010680C">
        <w:rPr>
          <w:rFonts w:ascii="Book Antiqua" w:hAnsi="Book Antiqua"/>
          <w:bCs/>
          <w:sz w:val="24"/>
          <w:szCs w:val="24"/>
          <w:lang w:val="en-US"/>
        </w:rPr>
        <w:t xml:space="preserve"> </w:t>
      </w:r>
      <w:r w:rsidR="00E873B9" w:rsidRPr="00CC6129">
        <w:rPr>
          <w:rFonts w:ascii="Book Antiqua" w:hAnsi="Book Antiqua"/>
          <w:sz w:val="24"/>
          <w:szCs w:val="24"/>
          <w:lang w:val="en-US"/>
        </w:rPr>
        <w:t xml:space="preserve">Exclusion criteria were: therapeutic doses of any heparin before enrolment or treatment with anticoagulant </w:t>
      </w:r>
      <w:r w:rsidR="00C71060" w:rsidRPr="00CC6129">
        <w:rPr>
          <w:rFonts w:ascii="Book Antiqua" w:hAnsi="Book Antiqua"/>
          <w:sz w:val="24"/>
          <w:szCs w:val="24"/>
          <w:lang w:val="en-US"/>
        </w:rPr>
        <w:t xml:space="preserve">or anti-platelet </w:t>
      </w:r>
      <w:r w:rsidR="00E873B9" w:rsidRPr="00CC6129">
        <w:rPr>
          <w:rFonts w:ascii="Book Antiqua" w:hAnsi="Book Antiqua"/>
          <w:sz w:val="24"/>
          <w:szCs w:val="24"/>
          <w:lang w:val="en-US"/>
        </w:rPr>
        <w:t>drugs.</w:t>
      </w:r>
      <w:r w:rsidR="0010680C">
        <w:rPr>
          <w:rFonts w:ascii="Book Antiqua" w:hAnsi="Book Antiqua"/>
          <w:sz w:val="24"/>
          <w:szCs w:val="24"/>
          <w:lang w:val="en-US"/>
        </w:rPr>
        <w:t xml:space="preserve"> </w:t>
      </w:r>
      <w:r w:rsidR="00AA1E22" w:rsidRPr="00CC6129">
        <w:rPr>
          <w:rFonts w:ascii="Book Antiqua" w:hAnsi="Book Antiqua"/>
          <w:sz w:val="24"/>
          <w:szCs w:val="24"/>
          <w:lang w:val="en-US"/>
        </w:rPr>
        <w:t>No patient underwent surgery during follow-up, nor was admitted to clinic for an acute medical illness requiring thromboprophylaxis.</w:t>
      </w:r>
    </w:p>
    <w:p w:rsidR="00DA49AC" w:rsidRPr="00CC6129" w:rsidRDefault="00DA49AC" w:rsidP="0010680C">
      <w:pPr>
        <w:snapToGrid w:val="0"/>
        <w:spacing w:after="0" w:line="360" w:lineRule="auto"/>
        <w:ind w:firstLine="284"/>
        <w:jc w:val="both"/>
        <w:rPr>
          <w:rFonts w:ascii="Book Antiqua" w:hAnsi="Book Antiqua"/>
          <w:sz w:val="24"/>
          <w:szCs w:val="24"/>
          <w:lang w:val="en-US"/>
        </w:rPr>
      </w:pPr>
      <w:r w:rsidRPr="00CC6129">
        <w:rPr>
          <w:rFonts w:ascii="Book Antiqua" w:hAnsi="Book Antiqua"/>
          <w:bCs/>
          <w:sz w:val="24"/>
          <w:szCs w:val="24"/>
          <w:lang w:val="en-US"/>
        </w:rPr>
        <w:t>GI cancer was staged according to the TNM classification. Surgery was performed in 142 patients</w:t>
      </w:r>
      <w:r w:rsidR="00CE652F" w:rsidRPr="00CC6129">
        <w:rPr>
          <w:rFonts w:ascii="Book Antiqua" w:hAnsi="Book Antiqua"/>
          <w:bCs/>
          <w:sz w:val="24"/>
          <w:szCs w:val="24"/>
          <w:lang w:val="en-US"/>
        </w:rPr>
        <w:t xml:space="preserve"> with primary cancer</w:t>
      </w:r>
      <w:r w:rsidRPr="00CC6129">
        <w:rPr>
          <w:rFonts w:ascii="Book Antiqua" w:hAnsi="Book Antiqua"/>
          <w:bCs/>
          <w:sz w:val="24"/>
          <w:szCs w:val="24"/>
          <w:lang w:val="en-US"/>
        </w:rPr>
        <w:t>.</w:t>
      </w:r>
      <w:r w:rsidR="0010680C">
        <w:rPr>
          <w:rFonts w:ascii="Book Antiqua" w:hAnsi="Book Antiqua"/>
          <w:bCs/>
          <w:sz w:val="24"/>
          <w:szCs w:val="24"/>
          <w:lang w:val="en-US"/>
        </w:rPr>
        <w:t xml:space="preserve"> </w:t>
      </w:r>
      <w:r w:rsidRPr="00CC6129">
        <w:rPr>
          <w:rFonts w:ascii="Book Antiqua" w:hAnsi="Book Antiqua"/>
          <w:bCs/>
          <w:sz w:val="24"/>
          <w:szCs w:val="24"/>
          <w:lang w:val="en-US"/>
        </w:rPr>
        <w:t xml:space="preserve">The remaining </w:t>
      </w:r>
      <w:r w:rsidR="005716FA" w:rsidRPr="00CC6129">
        <w:rPr>
          <w:rFonts w:ascii="Book Antiqua" w:hAnsi="Book Antiqua"/>
          <w:bCs/>
          <w:sz w:val="24"/>
          <w:szCs w:val="24"/>
          <w:lang w:val="en-US"/>
        </w:rPr>
        <w:t xml:space="preserve">200 </w:t>
      </w:r>
      <w:r w:rsidRPr="00CC6129">
        <w:rPr>
          <w:rFonts w:ascii="Book Antiqua" w:hAnsi="Book Antiqua"/>
          <w:bCs/>
          <w:sz w:val="24"/>
          <w:szCs w:val="24"/>
          <w:lang w:val="en-US"/>
        </w:rPr>
        <w:t>patients had metastatic disease and entered the study prior to the start of chemotherapy.</w:t>
      </w:r>
      <w:r w:rsidR="0010680C">
        <w:rPr>
          <w:rFonts w:ascii="Book Antiqua" w:hAnsi="Book Antiqua"/>
          <w:bCs/>
          <w:sz w:val="24"/>
          <w:szCs w:val="24"/>
          <w:lang w:val="en-US"/>
        </w:rPr>
        <w:t xml:space="preserve"> </w:t>
      </w:r>
      <w:r w:rsidRPr="00CC6129">
        <w:rPr>
          <w:rFonts w:ascii="Book Antiqua" w:hAnsi="Book Antiqua"/>
          <w:bCs/>
          <w:sz w:val="24"/>
          <w:szCs w:val="24"/>
          <w:lang w:val="en-US"/>
        </w:rPr>
        <w:t>Among the non-metastatic population, 30/</w:t>
      </w:r>
      <w:r w:rsidR="000F7E34" w:rsidRPr="00CC6129">
        <w:rPr>
          <w:rFonts w:ascii="Book Antiqua" w:hAnsi="Book Antiqua"/>
          <w:bCs/>
          <w:sz w:val="24"/>
          <w:szCs w:val="24"/>
          <w:lang w:val="en-US"/>
        </w:rPr>
        <w:t>1</w:t>
      </w:r>
      <w:r w:rsidR="005716FA" w:rsidRPr="00CC6129">
        <w:rPr>
          <w:rFonts w:ascii="Book Antiqua" w:hAnsi="Book Antiqua"/>
          <w:bCs/>
          <w:sz w:val="24"/>
          <w:szCs w:val="24"/>
          <w:lang w:val="en-US"/>
        </w:rPr>
        <w:t xml:space="preserve">42 </w:t>
      </w:r>
      <w:r w:rsidRPr="00CC6129">
        <w:rPr>
          <w:rFonts w:ascii="Book Antiqua" w:hAnsi="Book Antiqua"/>
          <w:bCs/>
          <w:sz w:val="24"/>
          <w:szCs w:val="24"/>
          <w:lang w:val="en-US"/>
        </w:rPr>
        <w:t>(</w:t>
      </w:r>
      <w:r w:rsidR="000F7E34" w:rsidRPr="00CC6129">
        <w:rPr>
          <w:rFonts w:ascii="Book Antiqua" w:hAnsi="Book Antiqua"/>
          <w:bCs/>
          <w:sz w:val="24"/>
          <w:szCs w:val="24"/>
          <w:lang w:val="en-US"/>
        </w:rPr>
        <w:t>21</w:t>
      </w:r>
      <w:r w:rsidRPr="00CC6129">
        <w:rPr>
          <w:rFonts w:ascii="Book Antiqua" w:hAnsi="Book Antiqua"/>
          <w:bCs/>
          <w:sz w:val="24"/>
          <w:szCs w:val="24"/>
          <w:lang w:val="en-US"/>
        </w:rPr>
        <w:t>%) and 112/</w:t>
      </w:r>
      <w:r w:rsidR="000F7E34" w:rsidRPr="00CC6129">
        <w:rPr>
          <w:rFonts w:ascii="Book Antiqua" w:hAnsi="Book Antiqua"/>
          <w:bCs/>
          <w:sz w:val="24"/>
          <w:szCs w:val="24"/>
          <w:lang w:val="en-US"/>
        </w:rPr>
        <w:t>1</w:t>
      </w:r>
      <w:r w:rsidR="005716FA" w:rsidRPr="00CC6129">
        <w:rPr>
          <w:rFonts w:ascii="Book Antiqua" w:hAnsi="Book Antiqua"/>
          <w:bCs/>
          <w:sz w:val="24"/>
          <w:szCs w:val="24"/>
          <w:lang w:val="en-US"/>
        </w:rPr>
        <w:t xml:space="preserve">42 </w:t>
      </w:r>
      <w:r w:rsidRPr="00CC6129">
        <w:rPr>
          <w:rFonts w:ascii="Book Antiqua" w:hAnsi="Book Antiqua"/>
          <w:bCs/>
          <w:sz w:val="24"/>
          <w:szCs w:val="24"/>
          <w:lang w:val="en-US"/>
        </w:rPr>
        <w:t>(</w:t>
      </w:r>
      <w:r w:rsidR="000F7E34" w:rsidRPr="00CC6129">
        <w:rPr>
          <w:rFonts w:ascii="Book Antiqua" w:hAnsi="Book Antiqua"/>
          <w:bCs/>
          <w:sz w:val="24"/>
          <w:szCs w:val="24"/>
          <w:lang w:val="en-US"/>
        </w:rPr>
        <w:t>79</w:t>
      </w:r>
      <w:r w:rsidRPr="00CC6129">
        <w:rPr>
          <w:rFonts w:ascii="Book Antiqua" w:hAnsi="Book Antiqua"/>
          <w:bCs/>
          <w:sz w:val="24"/>
          <w:szCs w:val="24"/>
          <w:lang w:val="en-US"/>
        </w:rPr>
        <w:t>%) patients received neoadjuvant and adjuvant therapies, respectively.</w:t>
      </w:r>
      <w:r w:rsidR="0010680C">
        <w:rPr>
          <w:rFonts w:ascii="Book Antiqua" w:hAnsi="Book Antiqua"/>
          <w:bCs/>
          <w:sz w:val="24"/>
          <w:szCs w:val="24"/>
          <w:lang w:val="en-US"/>
        </w:rPr>
        <w:t xml:space="preserve"> </w:t>
      </w:r>
      <w:r w:rsidRPr="00CC6129">
        <w:rPr>
          <w:rFonts w:ascii="Book Antiqua" w:hAnsi="Book Antiqua"/>
          <w:bCs/>
          <w:sz w:val="24"/>
          <w:szCs w:val="24"/>
          <w:lang w:val="en-US"/>
        </w:rPr>
        <w:t xml:space="preserve">First-line chemotherapy was </w:t>
      </w:r>
      <w:r w:rsidRPr="00CC6129">
        <w:rPr>
          <w:rFonts w:ascii="Book Antiqua" w:hAnsi="Book Antiqua"/>
          <w:bCs/>
          <w:sz w:val="24"/>
          <w:szCs w:val="24"/>
          <w:lang w:val="en-US"/>
        </w:rPr>
        <w:lastRenderedPageBreak/>
        <w:t>instituted in all patients with metastatic disease.</w:t>
      </w:r>
      <w:r w:rsidR="0010680C">
        <w:rPr>
          <w:rFonts w:ascii="Book Antiqua" w:hAnsi="Book Antiqua"/>
          <w:bCs/>
          <w:sz w:val="24"/>
          <w:szCs w:val="24"/>
          <w:lang w:val="en-US"/>
        </w:rPr>
        <w:t xml:space="preserve"> </w:t>
      </w:r>
      <w:r w:rsidR="00CE44EB" w:rsidRPr="00CC6129">
        <w:rPr>
          <w:rFonts w:ascii="Book Antiqua" w:hAnsi="Book Antiqua"/>
          <w:bCs/>
          <w:sz w:val="24"/>
          <w:szCs w:val="24"/>
          <w:lang w:val="en-US"/>
        </w:rPr>
        <w:t>Details on anti-cancer drugs are summarized in Supplementary Table 1.</w:t>
      </w:r>
      <w:r w:rsidR="0010680C">
        <w:rPr>
          <w:rFonts w:ascii="Book Antiqua" w:hAnsi="Book Antiqua"/>
          <w:bCs/>
          <w:sz w:val="24"/>
          <w:szCs w:val="24"/>
          <w:lang w:val="en-US"/>
        </w:rPr>
        <w:t xml:space="preserve"> </w:t>
      </w:r>
      <w:r w:rsidR="007A79BB" w:rsidRPr="00CC6129">
        <w:rPr>
          <w:rFonts w:ascii="Book Antiqua" w:hAnsi="Book Antiqua"/>
          <w:bCs/>
          <w:sz w:val="24"/>
          <w:szCs w:val="24"/>
          <w:lang w:val="en-US"/>
        </w:rPr>
        <w:t>Erythropoiesis stimulating agents (2.6%), granulocyte colony stimulating factor (3.5%) and steroids (17.6%) were used as s</w:t>
      </w:r>
      <w:r w:rsidR="004B393B" w:rsidRPr="00CC6129">
        <w:rPr>
          <w:rFonts w:ascii="Book Antiqua" w:hAnsi="Book Antiqua"/>
          <w:bCs/>
          <w:sz w:val="24"/>
          <w:szCs w:val="24"/>
          <w:lang w:val="en-US"/>
        </w:rPr>
        <w:t>upportive drugs.</w:t>
      </w:r>
      <w:r w:rsidR="0010680C">
        <w:rPr>
          <w:rFonts w:ascii="Book Antiqua" w:hAnsi="Book Antiqua"/>
          <w:bCs/>
          <w:sz w:val="24"/>
          <w:szCs w:val="24"/>
          <w:lang w:val="en-US"/>
        </w:rPr>
        <w:t xml:space="preserve"> </w:t>
      </w:r>
      <w:r w:rsidR="003E06BC" w:rsidRPr="00CC6129">
        <w:rPr>
          <w:rFonts w:ascii="Book Antiqua" w:hAnsi="Book Antiqua"/>
          <w:sz w:val="24"/>
          <w:szCs w:val="24"/>
          <w:lang w:val="en-US"/>
        </w:rPr>
        <w:t>Patients’</w:t>
      </w:r>
      <w:r w:rsidR="00CE44EB" w:rsidRPr="00CC6129">
        <w:rPr>
          <w:rFonts w:ascii="Book Antiqua" w:hAnsi="Book Antiqua"/>
          <w:sz w:val="24"/>
          <w:szCs w:val="24"/>
          <w:lang w:val="en-US"/>
        </w:rPr>
        <w:t xml:space="preserve"> </w:t>
      </w:r>
      <w:r w:rsidRPr="00CC6129">
        <w:rPr>
          <w:rFonts w:ascii="Book Antiqua" w:hAnsi="Book Antiqua"/>
          <w:sz w:val="24"/>
          <w:szCs w:val="24"/>
          <w:lang w:val="en-US"/>
        </w:rPr>
        <w:t>characteristics are summarized in Table 1.</w:t>
      </w:r>
    </w:p>
    <w:p w:rsidR="00E873B9" w:rsidRPr="00CC6129" w:rsidRDefault="00C71060" w:rsidP="0010680C">
      <w:pPr>
        <w:snapToGrid w:val="0"/>
        <w:spacing w:after="0" w:line="360" w:lineRule="auto"/>
        <w:ind w:firstLine="284"/>
        <w:jc w:val="both"/>
        <w:rPr>
          <w:rFonts w:ascii="Book Antiqua" w:hAnsi="Book Antiqua"/>
          <w:sz w:val="24"/>
          <w:szCs w:val="24"/>
          <w:lang w:val="en-US"/>
        </w:rPr>
      </w:pPr>
      <w:r w:rsidRPr="00CC6129">
        <w:rPr>
          <w:rFonts w:ascii="Book Antiqua" w:hAnsi="Book Antiqua"/>
          <w:sz w:val="24"/>
          <w:szCs w:val="24"/>
          <w:lang w:val="en-US"/>
        </w:rPr>
        <w:t>Patients were regularly seen at scheduled visits; additional visits were arranged at the occurrence of clinically suspected VTE.</w:t>
      </w:r>
      <w:r w:rsidR="0010680C">
        <w:rPr>
          <w:rFonts w:ascii="Book Antiqua" w:hAnsi="Book Antiqua"/>
          <w:sz w:val="24"/>
          <w:szCs w:val="24"/>
          <w:lang w:val="en-US"/>
        </w:rPr>
        <w:t xml:space="preserve"> </w:t>
      </w:r>
      <w:r w:rsidRPr="00CC6129">
        <w:rPr>
          <w:rFonts w:ascii="Book Antiqua" w:hAnsi="Book Antiqua"/>
          <w:sz w:val="24"/>
          <w:szCs w:val="24"/>
          <w:lang w:val="en-US"/>
        </w:rPr>
        <w:t xml:space="preserve">Initial VTE risk stratification was performed by the </w:t>
      </w:r>
      <w:r w:rsidR="00CE652F" w:rsidRPr="00CC6129">
        <w:rPr>
          <w:rFonts w:ascii="Book Antiqua" w:hAnsi="Book Antiqua"/>
          <w:sz w:val="24"/>
          <w:szCs w:val="24"/>
          <w:lang w:val="en-US"/>
        </w:rPr>
        <w:t>Khorana Score (</w:t>
      </w:r>
      <w:r w:rsidRPr="00CC6129">
        <w:rPr>
          <w:rFonts w:ascii="Book Antiqua" w:hAnsi="Book Antiqua"/>
          <w:sz w:val="24"/>
          <w:szCs w:val="24"/>
          <w:lang w:val="en-US"/>
        </w:rPr>
        <w:t>KS</w:t>
      </w:r>
      <w:r w:rsidR="00CE652F" w:rsidRPr="00CC6129">
        <w:rPr>
          <w:rFonts w:ascii="Book Antiqua" w:hAnsi="Book Antiqua"/>
          <w:sz w:val="24"/>
          <w:szCs w:val="24"/>
          <w:lang w:val="en-US"/>
        </w:rPr>
        <w:t>)</w:t>
      </w:r>
      <w:r w:rsidRPr="00CC6129">
        <w:rPr>
          <w:rFonts w:ascii="Book Antiqua" w:hAnsi="Book Antiqua"/>
          <w:sz w:val="24"/>
          <w:szCs w:val="24"/>
          <w:lang w:val="en-US"/>
        </w:rPr>
        <w:t xml:space="preserve"> at a </w:t>
      </w:r>
      <w:r w:rsidR="000F7E34" w:rsidRPr="00CC6129">
        <w:rPr>
          <w:rFonts w:ascii="Book Antiqua" w:hAnsi="Book Antiqua"/>
          <w:sz w:val="24"/>
          <w:szCs w:val="24"/>
          <w:lang w:val="en-US"/>
        </w:rPr>
        <w:t>≥</w:t>
      </w:r>
      <w:r w:rsidR="000730D3">
        <w:rPr>
          <w:rFonts w:ascii="Book Antiqua" w:hAnsi="Book Antiqua" w:hint="eastAsia"/>
          <w:sz w:val="24"/>
          <w:szCs w:val="24"/>
          <w:lang w:val="en-US" w:eastAsia="zh-CN"/>
        </w:rPr>
        <w:t xml:space="preserve"> </w:t>
      </w:r>
      <w:r w:rsidRPr="00CC6129">
        <w:rPr>
          <w:rFonts w:ascii="Book Antiqua" w:hAnsi="Book Antiqua"/>
          <w:sz w:val="24"/>
          <w:szCs w:val="24"/>
          <w:lang w:val="en-US"/>
        </w:rPr>
        <w:t xml:space="preserve">3-point cutoff, as </w:t>
      </w:r>
      <w:r w:rsidR="00971D95" w:rsidRPr="00CC6129">
        <w:rPr>
          <w:rFonts w:ascii="Book Antiqua" w:hAnsi="Book Antiqua"/>
          <w:sz w:val="24"/>
          <w:szCs w:val="24"/>
          <w:lang w:val="en-US"/>
        </w:rPr>
        <w:t xml:space="preserve">per </w:t>
      </w:r>
      <w:r w:rsidRPr="00CC6129">
        <w:rPr>
          <w:rFonts w:ascii="Book Antiqua" w:hAnsi="Book Antiqua"/>
          <w:sz w:val="24"/>
          <w:szCs w:val="24"/>
          <w:lang w:val="en-US"/>
        </w:rPr>
        <w:t xml:space="preserve">current </w:t>
      </w:r>
      <w:r w:rsidR="00971D95" w:rsidRPr="00CC6129">
        <w:rPr>
          <w:rFonts w:ascii="Book Antiqua" w:hAnsi="Book Antiqua"/>
          <w:sz w:val="24"/>
          <w:szCs w:val="24"/>
          <w:lang w:val="en-US"/>
        </w:rPr>
        <w:t>recommendation</w:t>
      </w:r>
      <w:r w:rsidRPr="00CC6129">
        <w:rPr>
          <w:rFonts w:ascii="Book Antiqua" w:hAnsi="Book Antiqua"/>
          <w:sz w:val="24"/>
          <w:szCs w:val="24"/>
          <w:vertAlign w:val="superscript"/>
          <w:lang w:val="en-US"/>
        </w:rPr>
        <w:t>[23]</w:t>
      </w:r>
      <w:r w:rsidRPr="00CC6129">
        <w:rPr>
          <w:rFonts w:ascii="Book Antiqua" w:hAnsi="Book Antiqua"/>
          <w:sz w:val="24"/>
          <w:szCs w:val="24"/>
          <w:lang w:val="en-US"/>
        </w:rPr>
        <w:t xml:space="preserve">. All patients were followed up for a median period of </w:t>
      </w:r>
      <w:r w:rsidR="00D55B56" w:rsidRPr="00CC6129">
        <w:rPr>
          <w:rFonts w:ascii="Book Antiqua" w:hAnsi="Book Antiqua"/>
          <w:sz w:val="24"/>
          <w:szCs w:val="24"/>
          <w:lang w:val="en-US"/>
        </w:rPr>
        <w:t>1</w:t>
      </w:r>
      <w:r w:rsidR="00005BDD" w:rsidRPr="00CC6129">
        <w:rPr>
          <w:rFonts w:ascii="Book Antiqua" w:hAnsi="Book Antiqua"/>
          <w:sz w:val="24"/>
          <w:szCs w:val="24"/>
          <w:lang w:val="en-US"/>
        </w:rPr>
        <w:t>1</w:t>
      </w:r>
      <w:r w:rsidRPr="00CC6129">
        <w:rPr>
          <w:rFonts w:ascii="Book Antiqua" w:hAnsi="Book Antiqua"/>
          <w:sz w:val="24"/>
          <w:szCs w:val="24"/>
          <w:lang w:val="en-US"/>
        </w:rPr>
        <w:t xml:space="preserve"> months, during which outcomes were prospectively recorded.</w:t>
      </w:r>
      <w:r w:rsidR="0010680C">
        <w:rPr>
          <w:rFonts w:ascii="Book Antiqua" w:hAnsi="Book Antiqua"/>
          <w:sz w:val="24"/>
          <w:szCs w:val="24"/>
          <w:lang w:val="en-US"/>
        </w:rPr>
        <w:t xml:space="preserve"> </w:t>
      </w:r>
      <w:r w:rsidRPr="00CC6129">
        <w:rPr>
          <w:rFonts w:ascii="Book Antiqua" w:hAnsi="Book Antiqua"/>
          <w:sz w:val="24"/>
          <w:szCs w:val="24"/>
          <w:lang w:val="en-US"/>
        </w:rPr>
        <w:t>The study outcome was defined as the occurrence of a first symptomatic or asymptomatic VTE episode during active treatment.</w:t>
      </w:r>
      <w:r w:rsidR="0010680C">
        <w:rPr>
          <w:rFonts w:ascii="Book Antiqua" w:hAnsi="Book Antiqua"/>
          <w:sz w:val="24"/>
          <w:szCs w:val="24"/>
          <w:lang w:val="en-US"/>
        </w:rPr>
        <w:t xml:space="preserve"> </w:t>
      </w:r>
      <w:r w:rsidR="00A841E4" w:rsidRPr="00CC6129">
        <w:rPr>
          <w:rFonts w:ascii="Book Antiqua" w:hAnsi="Book Antiqua"/>
          <w:sz w:val="24"/>
          <w:szCs w:val="24"/>
          <w:lang w:val="en-US"/>
        </w:rPr>
        <w:t xml:space="preserve">Deep vein thrombosis (DVT) </w:t>
      </w:r>
      <w:r w:rsidR="00E873B9" w:rsidRPr="00CC6129">
        <w:rPr>
          <w:rFonts w:ascii="Book Antiqua" w:hAnsi="Book Antiqua"/>
          <w:sz w:val="24"/>
          <w:szCs w:val="24"/>
          <w:lang w:val="en-US"/>
        </w:rPr>
        <w:t>was confirmed by venography or color-coded duplex sonography (in proximal DVT only).</w:t>
      </w:r>
      <w:r w:rsidR="0010680C">
        <w:rPr>
          <w:rFonts w:ascii="Book Antiqua" w:hAnsi="Book Antiqua"/>
          <w:sz w:val="24"/>
          <w:szCs w:val="24"/>
          <w:lang w:val="en-US"/>
        </w:rPr>
        <w:t xml:space="preserve"> </w:t>
      </w:r>
      <w:r w:rsidR="00E873B9" w:rsidRPr="00CC6129">
        <w:rPr>
          <w:rFonts w:ascii="Book Antiqua" w:hAnsi="Book Antiqua"/>
          <w:sz w:val="24"/>
          <w:szCs w:val="24"/>
          <w:lang w:val="en-US"/>
        </w:rPr>
        <w:t>Pulmonary embolism (PE) was diagnosed by spiral computed tomography.</w:t>
      </w:r>
    </w:p>
    <w:p w:rsidR="00E35E34" w:rsidRPr="00CC6129" w:rsidRDefault="00E35E34" w:rsidP="0010680C">
      <w:pPr>
        <w:snapToGrid w:val="0"/>
        <w:spacing w:after="0" w:line="360" w:lineRule="auto"/>
        <w:ind w:firstLine="284"/>
        <w:jc w:val="both"/>
        <w:rPr>
          <w:rFonts w:ascii="Book Antiqua" w:hAnsi="Book Antiqua"/>
          <w:bCs/>
          <w:sz w:val="24"/>
          <w:szCs w:val="24"/>
          <w:lang w:val="en-US"/>
        </w:rPr>
      </w:pPr>
      <w:r w:rsidRPr="00CC6129">
        <w:rPr>
          <w:rFonts w:ascii="Book Antiqua" w:hAnsi="Book Antiqua"/>
          <w:bCs/>
          <w:sz w:val="24"/>
          <w:szCs w:val="24"/>
          <w:lang w:val="en-US"/>
        </w:rPr>
        <w:t xml:space="preserve">The study was performed in accordance with the principles embodied in the Declaration of Helsinki. All patients gave written informed consent, previously approved by our </w:t>
      </w:r>
      <w:r w:rsidR="00971D95" w:rsidRPr="00CC6129">
        <w:rPr>
          <w:rFonts w:ascii="Book Antiqua" w:hAnsi="Book Antiqua"/>
          <w:bCs/>
          <w:sz w:val="24"/>
          <w:szCs w:val="24"/>
          <w:lang w:val="en-US"/>
        </w:rPr>
        <w:t>Institutional Review Boards</w:t>
      </w:r>
      <w:r w:rsidRPr="00CC6129">
        <w:rPr>
          <w:rFonts w:ascii="Book Antiqua" w:hAnsi="Book Antiqua"/>
          <w:bCs/>
          <w:sz w:val="24"/>
          <w:szCs w:val="24"/>
          <w:lang w:val="en-US"/>
        </w:rPr>
        <w:t>.</w:t>
      </w:r>
    </w:p>
    <w:p w:rsidR="00E35E34" w:rsidRPr="00CC6129" w:rsidRDefault="00E35E34" w:rsidP="0010680C">
      <w:pPr>
        <w:snapToGrid w:val="0"/>
        <w:spacing w:after="0" w:line="360" w:lineRule="auto"/>
        <w:jc w:val="both"/>
        <w:rPr>
          <w:rFonts w:ascii="Book Antiqua" w:hAnsi="Book Antiqua"/>
          <w:bCs/>
          <w:sz w:val="24"/>
          <w:szCs w:val="24"/>
          <w:lang w:val="en-US"/>
        </w:rPr>
      </w:pPr>
    </w:p>
    <w:p w:rsidR="00E35E34" w:rsidRPr="000730D3" w:rsidRDefault="00E35E34" w:rsidP="0010680C">
      <w:pPr>
        <w:snapToGrid w:val="0"/>
        <w:spacing w:after="0" w:line="360" w:lineRule="auto"/>
        <w:jc w:val="both"/>
        <w:rPr>
          <w:rFonts w:ascii="Book Antiqua" w:hAnsi="Book Antiqua"/>
          <w:b/>
          <w:bCs/>
          <w:i/>
          <w:sz w:val="24"/>
          <w:szCs w:val="24"/>
          <w:lang w:val="en-US" w:eastAsia="zh-CN"/>
        </w:rPr>
      </w:pPr>
      <w:r w:rsidRPr="000730D3">
        <w:rPr>
          <w:rFonts w:ascii="Book Antiqua" w:hAnsi="Book Antiqua"/>
          <w:b/>
          <w:bCs/>
          <w:i/>
          <w:sz w:val="24"/>
          <w:szCs w:val="24"/>
          <w:lang w:val="en-US"/>
        </w:rPr>
        <w:t>Blood sampling and</w:t>
      </w:r>
      <w:r w:rsidR="000730D3" w:rsidRPr="000730D3">
        <w:rPr>
          <w:rFonts w:ascii="Book Antiqua" w:hAnsi="Book Antiqua"/>
          <w:b/>
          <w:bCs/>
          <w:i/>
          <w:sz w:val="24"/>
          <w:szCs w:val="24"/>
          <w:lang w:val="en-US"/>
        </w:rPr>
        <w:t xml:space="preserve"> assessment of glycemic indexes</w:t>
      </w:r>
    </w:p>
    <w:p w:rsidR="00E35E34" w:rsidRPr="00CC6129" w:rsidRDefault="00E35E34" w:rsidP="000730D3">
      <w:pPr>
        <w:snapToGrid w:val="0"/>
        <w:spacing w:after="0" w:line="360" w:lineRule="auto"/>
        <w:jc w:val="both"/>
        <w:rPr>
          <w:rFonts w:ascii="Book Antiqua" w:hAnsi="Book Antiqua"/>
          <w:bCs/>
          <w:sz w:val="24"/>
          <w:szCs w:val="24"/>
          <w:lang w:val="en-US"/>
        </w:rPr>
      </w:pPr>
      <w:r w:rsidRPr="00CC6129">
        <w:rPr>
          <w:rFonts w:ascii="Book Antiqua" w:hAnsi="Book Antiqua"/>
          <w:bCs/>
          <w:sz w:val="24"/>
          <w:szCs w:val="24"/>
          <w:lang w:val="en-US"/>
        </w:rPr>
        <w:t xml:space="preserve">Fasting serum samples were obtained </w:t>
      </w:r>
      <w:r w:rsidR="007A15D3" w:rsidRPr="00CC6129">
        <w:rPr>
          <w:rFonts w:ascii="Book Antiqua" w:hAnsi="Book Antiqua"/>
          <w:bCs/>
          <w:sz w:val="24"/>
          <w:szCs w:val="24"/>
          <w:lang w:val="en-US"/>
        </w:rPr>
        <w:t xml:space="preserve">prior to chemotherapy </w:t>
      </w:r>
      <w:r w:rsidRPr="00CC6129">
        <w:rPr>
          <w:rFonts w:ascii="Book Antiqua" w:hAnsi="Book Antiqua"/>
          <w:bCs/>
          <w:sz w:val="24"/>
          <w:szCs w:val="24"/>
          <w:lang w:val="en-US"/>
        </w:rPr>
        <w:t xml:space="preserve">from each recruited subject, aliquoted and stored at -80°C in the facilities of the PTV Bio.Ca.Re. or </w:t>
      </w:r>
      <w:r w:rsidR="00443DB9" w:rsidRPr="00CC6129">
        <w:rPr>
          <w:rFonts w:ascii="Book Antiqua" w:hAnsi="Book Antiqua"/>
          <w:bCs/>
          <w:sz w:val="24"/>
          <w:szCs w:val="24"/>
          <w:lang w:val="en-US"/>
        </w:rPr>
        <w:t xml:space="preserve">of </w:t>
      </w:r>
      <w:r w:rsidRPr="00CC6129">
        <w:rPr>
          <w:rFonts w:ascii="Book Antiqua" w:hAnsi="Book Antiqua"/>
          <w:bCs/>
          <w:sz w:val="24"/>
          <w:szCs w:val="24"/>
          <w:lang w:val="en-US"/>
        </w:rPr>
        <w:t>the SR-BioBIM. Routine chemistry studies, including fasting blood glucose (Hexokinase/Glucose-6-phosphate dehydrogenase-based methodology; Abbott Laboratories, Abbott Park, IL, U</w:t>
      </w:r>
      <w:r w:rsidR="000730D3">
        <w:rPr>
          <w:rFonts w:ascii="Book Antiqua" w:hAnsi="Book Antiqua" w:hint="eastAsia"/>
          <w:bCs/>
          <w:sz w:val="24"/>
          <w:szCs w:val="24"/>
          <w:lang w:val="en-US" w:eastAsia="zh-CN"/>
        </w:rPr>
        <w:t>nited States</w:t>
      </w:r>
      <w:r w:rsidRPr="00CC6129">
        <w:rPr>
          <w:rFonts w:ascii="Book Antiqua" w:hAnsi="Book Antiqua"/>
          <w:bCs/>
          <w:sz w:val="24"/>
          <w:szCs w:val="24"/>
          <w:lang w:val="en-US"/>
        </w:rPr>
        <w:t>), were performed on fresh samples within one hour from blood withdrawal on an ARCHITECT c8000 System (Abbott Laboratories).</w:t>
      </w:r>
      <w:r w:rsidR="0010680C">
        <w:rPr>
          <w:rFonts w:ascii="Book Antiqua" w:hAnsi="Book Antiqua"/>
          <w:bCs/>
          <w:sz w:val="24"/>
          <w:szCs w:val="24"/>
          <w:lang w:val="en-US"/>
        </w:rPr>
        <w:t xml:space="preserve"> </w:t>
      </w:r>
      <w:r w:rsidRPr="00CC6129">
        <w:rPr>
          <w:rFonts w:ascii="Book Antiqua" w:hAnsi="Book Antiqua"/>
          <w:bCs/>
          <w:sz w:val="24"/>
          <w:szCs w:val="24"/>
          <w:lang w:val="en-US"/>
        </w:rPr>
        <w:t>Fasting insulin levels were analyzed on serum samples using a fully automated Lumipulse G 600 II chemiluminescent enzyme immunoassay analyzer (Fujirebio Inc. Tokyo, Japan) according to the manufacturer’s instructions.</w:t>
      </w:r>
      <w:r w:rsidR="0010680C">
        <w:rPr>
          <w:rFonts w:ascii="Book Antiqua" w:hAnsi="Book Antiqua"/>
          <w:bCs/>
          <w:sz w:val="24"/>
          <w:szCs w:val="24"/>
          <w:lang w:val="en-US"/>
        </w:rPr>
        <w:t xml:space="preserve"> </w:t>
      </w:r>
      <w:r w:rsidRPr="00CC6129">
        <w:rPr>
          <w:rFonts w:ascii="Book Antiqua" w:hAnsi="Book Antiqua"/>
          <w:bCs/>
          <w:sz w:val="24"/>
          <w:szCs w:val="24"/>
          <w:lang w:val="en-US"/>
        </w:rPr>
        <w:t>The HOMA index (a marker of insulin resistance) was retrospectively calculated for each participating subject from fasting blood glucose and insulin according to the formula: glucose [mg/d</w:t>
      </w:r>
      <w:r w:rsidRPr="000730D3">
        <w:rPr>
          <w:rFonts w:ascii="Book Antiqua" w:hAnsi="Book Antiqua"/>
          <w:bCs/>
          <w:caps/>
          <w:sz w:val="24"/>
          <w:szCs w:val="24"/>
          <w:lang w:val="en-US"/>
        </w:rPr>
        <w:t>l</w:t>
      </w:r>
      <w:r w:rsidRPr="00CC6129">
        <w:rPr>
          <w:rFonts w:ascii="Book Antiqua" w:hAnsi="Book Antiqua"/>
          <w:bCs/>
          <w:sz w:val="24"/>
          <w:szCs w:val="24"/>
          <w:lang w:val="en-US"/>
        </w:rPr>
        <w:t xml:space="preserve">] </w:t>
      </w:r>
      <w:r w:rsidR="000730D3" w:rsidRPr="000730D3">
        <w:rPr>
          <w:rFonts w:ascii="Book Antiqua" w:hAnsi="Book Antiqua"/>
          <w:bCs/>
          <w:sz w:val="24"/>
          <w:szCs w:val="24"/>
          <w:lang w:val="en-US"/>
        </w:rPr>
        <w:t>×</w:t>
      </w:r>
      <w:r w:rsidR="000730D3">
        <w:rPr>
          <w:rFonts w:ascii="Book Antiqua" w:hAnsi="Book Antiqua" w:hint="eastAsia"/>
          <w:bCs/>
          <w:sz w:val="24"/>
          <w:szCs w:val="24"/>
          <w:lang w:val="en-US" w:eastAsia="zh-CN"/>
        </w:rPr>
        <w:t xml:space="preserve"> </w:t>
      </w:r>
      <w:r w:rsidRPr="00CC6129">
        <w:rPr>
          <w:rFonts w:ascii="Book Antiqua" w:hAnsi="Book Antiqua"/>
          <w:bCs/>
          <w:sz w:val="24"/>
          <w:szCs w:val="24"/>
          <w:lang w:val="en-US"/>
        </w:rPr>
        <w:t>insulin [</w:t>
      </w:r>
      <w:r w:rsidR="00F8072F" w:rsidRPr="00F8072F">
        <w:rPr>
          <w:rFonts w:ascii="Book Antiqua" w:hAnsi="Book Antiqua"/>
          <w:sz w:val="24"/>
          <w:szCs w:val="24"/>
          <w:lang w:val="en-US"/>
        </w:rPr>
        <w:sym w:font="Symbol" w:char="F06D"/>
      </w:r>
      <w:r w:rsidR="00F8072F" w:rsidRPr="00F8072F">
        <w:rPr>
          <w:rFonts w:ascii="Book Antiqua" w:hAnsi="Book Antiqua"/>
          <w:sz w:val="24"/>
          <w:szCs w:val="24"/>
        </w:rPr>
        <w:t>I</w:t>
      </w:r>
      <w:r w:rsidR="00F8072F" w:rsidRPr="00CC6129">
        <w:rPr>
          <w:rFonts w:ascii="Book Antiqua" w:hAnsi="Book Antiqua"/>
          <w:sz w:val="24"/>
          <w:szCs w:val="24"/>
        </w:rPr>
        <w:t>U/m</w:t>
      </w:r>
      <w:r w:rsidR="00F8072F" w:rsidRPr="00F8072F">
        <w:rPr>
          <w:rFonts w:ascii="Book Antiqua" w:hAnsi="Book Antiqua"/>
          <w:caps/>
          <w:sz w:val="24"/>
          <w:szCs w:val="24"/>
        </w:rPr>
        <w:t>l</w:t>
      </w:r>
      <w:r w:rsidR="000730D3">
        <w:rPr>
          <w:rFonts w:ascii="Book Antiqua" w:hAnsi="Book Antiqua"/>
          <w:bCs/>
          <w:sz w:val="24"/>
          <w:szCs w:val="24"/>
          <w:lang w:val="en-US"/>
        </w:rPr>
        <w:t>]</w:t>
      </w:r>
      <w:r w:rsidRPr="00CC6129">
        <w:rPr>
          <w:rFonts w:ascii="Book Antiqua" w:hAnsi="Book Antiqua"/>
          <w:bCs/>
          <w:sz w:val="24"/>
          <w:szCs w:val="24"/>
          <w:lang w:val="en-US"/>
        </w:rPr>
        <w:t>/405.</w:t>
      </w:r>
    </w:p>
    <w:p w:rsidR="00E35E34" w:rsidRPr="00CC6129" w:rsidRDefault="00E35E34" w:rsidP="0010680C">
      <w:pPr>
        <w:snapToGrid w:val="0"/>
        <w:spacing w:after="0" w:line="360" w:lineRule="auto"/>
        <w:ind w:firstLine="284"/>
        <w:jc w:val="both"/>
        <w:rPr>
          <w:rFonts w:ascii="Book Antiqua" w:hAnsi="Book Antiqua"/>
          <w:bCs/>
          <w:sz w:val="24"/>
          <w:szCs w:val="24"/>
          <w:lang w:val="en-US"/>
        </w:rPr>
      </w:pPr>
      <w:r w:rsidRPr="00CC6129">
        <w:rPr>
          <w:rFonts w:ascii="Book Antiqua" w:hAnsi="Book Antiqua"/>
          <w:bCs/>
          <w:sz w:val="24"/>
          <w:szCs w:val="24"/>
          <w:lang w:val="en-US"/>
        </w:rPr>
        <w:lastRenderedPageBreak/>
        <w:t>HbA</w:t>
      </w:r>
      <w:r w:rsidRPr="00CC6129">
        <w:rPr>
          <w:rFonts w:ascii="Book Antiqua" w:hAnsi="Book Antiqua"/>
          <w:bCs/>
          <w:sz w:val="24"/>
          <w:szCs w:val="24"/>
          <w:vertAlign w:val="subscript"/>
          <w:lang w:val="en-US"/>
        </w:rPr>
        <w:t>1C</w:t>
      </w:r>
      <w:r w:rsidRPr="00CC6129">
        <w:rPr>
          <w:rFonts w:ascii="Book Antiqua" w:hAnsi="Book Antiqua"/>
          <w:bCs/>
          <w:sz w:val="24"/>
          <w:szCs w:val="24"/>
          <w:lang w:val="en-US"/>
        </w:rPr>
        <w:t xml:space="preserve"> levels were immediately measured on EDTA anticoagulated whole blood by </w:t>
      </w:r>
      <w:r w:rsidR="00443DB9" w:rsidRPr="00CC6129">
        <w:rPr>
          <w:rFonts w:ascii="Book Antiqua" w:hAnsi="Book Antiqua"/>
          <w:bCs/>
          <w:sz w:val="24"/>
          <w:szCs w:val="24"/>
          <w:lang w:val="en-US"/>
        </w:rPr>
        <w:t xml:space="preserve">a </w:t>
      </w:r>
      <w:r w:rsidRPr="00CC6129">
        <w:rPr>
          <w:rFonts w:ascii="Book Antiqua" w:hAnsi="Book Antiqua"/>
          <w:bCs/>
          <w:sz w:val="24"/>
          <w:szCs w:val="24"/>
          <w:lang w:val="en-US"/>
        </w:rPr>
        <w:t>Tosoh G7 Automated HPLC Analyzer – HbA1c Variant Analysis Mode (Tosoh Bioscience, Rivoli, TO, Italy), certified by the NGSP (National Glycohemoglobin Standardization Program) and traceable to the Diabetes Control and Complications Trial (DCCT).</w:t>
      </w:r>
    </w:p>
    <w:p w:rsidR="00E35E34" w:rsidRPr="00CC6129" w:rsidRDefault="00E35E34" w:rsidP="00CD450D">
      <w:pPr>
        <w:snapToGrid w:val="0"/>
        <w:spacing w:after="0" w:line="360" w:lineRule="auto"/>
        <w:ind w:firstLineChars="100" w:firstLine="240"/>
        <w:jc w:val="both"/>
        <w:rPr>
          <w:rFonts w:ascii="Book Antiqua" w:hAnsi="Book Antiqua"/>
          <w:bCs/>
          <w:sz w:val="24"/>
          <w:szCs w:val="24"/>
          <w:lang w:val="en-US"/>
        </w:rPr>
      </w:pPr>
      <w:r w:rsidRPr="00CC6129">
        <w:rPr>
          <w:rFonts w:ascii="Book Antiqua" w:hAnsi="Book Antiqua"/>
          <w:bCs/>
          <w:sz w:val="24"/>
          <w:szCs w:val="24"/>
          <w:lang w:val="en-US"/>
        </w:rPr>
        <w:t xml:space="preserve">All measurements were ascertained while blinded to the sample origin and to </w:t>
      </w:r>
      <w:r w:rsidR="00CE652F" w:rsidRPr="00CC6129">
        <w:rPr>
          <w:rFonts w:ascii="Book Antiqua" w:hAnsi="Book Antiqua"/>
          <w:bCs/>
          <w:sz w:val="24"/>
          <w:szCs w:val="24"/>
          <w:lang w:val="en-US"/>
        </w:rPr>
        <w:t xml:space="preserve">the </w:t>
      </w:r>
      <w:r w:rsidRPr="00CC6129">
        <w:rPr>
          <w:rFonts w:ascii="Book Antiqua" w:hAnsi="Book Antiqua"/>
          <w:bCs/>
          <w:sz w:val="24"/>
          <w:szCs w:val="24"/>
          <w:lang w:val="en-US"/>
        </w:rPr>
        <w:t>study endpoint.</w:t>
      </w:r>
    </w:p>
    <w:p w:rsidR="00E35E34" w:rsidRPr="000730D3" w:rsidRDefault="00E35E34" w:rsidP="0010680C">
      <w:pPr>
        <w:snapToGrid w:val="0"/>
        <w:spacing w:after="0" w:line="360" w:lineRule="auto"/>
        <w:jc w:val="both"/>
        <w:rPr>
          <w:rFonts w:ascii="Book Antiqua" w:hAnsi="Book Antiqua"/>
          <w:b/>
          <w:bCs/>
          <w:sz w:val="24"/>
          <w:szCs w:val="24"/>
          <w:lang w:val="en-US"/>
        </w:rPr>
      </w:pPr>
    </w:p>
    <w:p w:rsidR="00E35E34" w:rsidRPr="000730D3" w:rsidRDefault="00E35E34" w:rsidP="0010680C">
      <w:pPr>
        <w:snapToGrid w:val="0"/>
        <w:spacing w:after="0" w:line="360" w:lineRule="auto"/>
        <w:jc w:val="both"/>
        <w:rPr>
          <w:rFonts w:ascii="Book Antiqua" w:hAnsi="Book Antiqua"/>
          <w:b/>
          <w:bCs/>
          <w:i/>
          <w:sz w:val="24"/>
          <w:szCs w:val="24"/>
          <w:lang w:val="en-US"/>
        </w:rPr>
      </w:pPr>
      <w:r w:rsidRPr="000730D3">
        <w:rPr>
          <w:rFonts w:ascii="Book Antiqua" w:hAnsi="Book Antiqua"/>
          <w:b/>
          <w:bCs/>
          <w:i/>
          <w:sz w:val="24"/>
          <w:szCs w:val="24"/>
          <w:lang w:val="en-US"/>
        </w:rPr>
        <w:t>Statistical analysis</w:t>
      </w:r>
    </w:p>
    <w:p w:rsidR="007E6D72" w:rsidRPr="00CC6129" w:rsidRDefault="00E35E34" w:rsidP="000730D3">
      <w:pPr>
        <w:snapToGrid w:val="0"/>
        <w:spacing w:after="0" w:line="360" w:lineRule="auto"/>
        <w:jc w:val="both"/>
        <w:rPr>
          <w:rFonts w:ascii="Book Antiqua" w:hAnsi="Book Antiqua"/>
          <w:sz w:val="24"/>
          <w:szCs w:val="24"/>
          <w:lang w:val="en-US"/>
        </w:rPr>
      </w:pPr>
      <w:r w:rsidRPr="00CC6129">
        <w:rPr>
          <w:rFonts w:ascii="Book Antiqua" w:hAnsi="Book Antiqua"/>
          <w:bCs/>
          <w:sz w:val="24"/>
          <w:szCs w:val="24"/>
          <w:lang w:val="en-US"/>
        </w:rPr>
        <w:t>Sample size of the study was based on the agreement to inclusion criteria and willingness to provide informed consent rather than on sample size calculations.</w:t>
      </w:r>
      <w:r w:rsidR="0010680C">
        <w:rPr>
          <w:rFonts w:ascii="Book Antiqua" w:hAnsi="Book Antiqua"/>
          <w:bCs/>
          <w:sz w:val="24"/>
          <w:szCs w:val="24"/>
          <w:lang w:val="en-US"/>
        </w:rPr>
        <w:t xml:space="preserve"> </w:t>
      </w:r>
      <w:r w:rsidRPr="00CC6129">
        <w:rPr>
          <w:rFonts w:ascii="Book Antiqua" w:hAnsi="Book Antiqua"/>
          <w:bCs/>
          <w:sz w:val="24"/>
          <w:szCs w:val="24"/>
          <w:lang w:val="en-US"/>
        </w:rPr>
        <w:t>However, estimation was later performed and showed that</w:t>
      </w:r>
      <w:r w:rsidR="007E6D72" w:rsidRPr="00CC6129">
        <w:rPr>
          <w:rFonts w:ascii="Book Antiqua" w:hAnsi="Book Antiqua"/>
          <w:sz w:val="24"/>
          <w:szCs w:val="24"/>
          <w:lang w:val="en-US"/>
        </w:rPr>
        <w:t xml:space="preserve"> the recruited population was capable of yielding a power &gt;</w:t>
      </w:r>
      <w:r w:rsidR="000730D3">
        <w:rPr>
          <w:rFonts w:ascii="Book Antiqua" w:hAnsi="Book Antiqua" w:hint="eastAsia"/>
          <w:sz w:val="24"/>
          <w:szCs w:val="24"/>
          <w:lang w:val="en-US" w:eastAsia="zh-CN"/>
        </w:rPr>
        <w:t xml:space="preserve"> </w:t>
      </w:r>
      <w:r w:rsidR="007E6D72" w:rsidRPr="00CC6129">
        <w:rPr>
          <w:rFonts w:ascii="Book Antiqua" w:hAnsi="Book Antiqua"/>
          <w:sz w:val="24"/>
          <w:szCs w:val="24"/>
          <w:lang w:val="en-US"/>
        </w:rPr>
        <w:t>90%, at a two-sided 5% significance level. This was based on the assumption of a true hazard ratio (HR) of at least 2</w:t>
      </w:r>
      <w:r w:rsidR="00A841E4" w:rsidRPr="00CC6129">
        <w:rPr>
          <w:rFonts w:ascii="Book Antiqua" w:hAnsi="Book Antiqua"/>
          <w:sz w:val="24"/>
          <w:szCs w:val="24"/>
          <w:lang w:val="en-US"/>
        </w:rPr>
        <w:t xml:space="preserve"> (based on previous data on breast cancer)</w:t>
      </w:r>
      <w:r w:rsidR="007A15D3" w:rsidRPr="00CC6129">
        <w:rPr>
          <w:rFonts w:ascii="Book Antiqua" w:hAnsi="Book Antiqua"/>
          <w:sz w:val="24"/>
          <w:szCs w:val="24"/>
          <w:vertAlign w:val="superscript"/>
          <w:lang w:val="en-US"/>
        </w:rPr>
        <w:t>[20]</w:t>
      </w:r>
      <w:r w:rsidR="007E6D72" w:rsidRPr="00CC6129">
        <w:rPr>
          <w:rFonts w:ascii="Book Antiqua" w:hAnsi="Book Antiqua"/>
          <w:sz w:val="24"/>
          <w:szCs w:val="24"/>
          <w:lang w:val="en-US"/>
        </w:rPr>
        <w:t xml:space="preserve">, an accrual period of no less than 2 years, an elapsed time between cycles within 30 days, and a median </w:t>
      </w:r>
      <w:r w:rsidR="00A841E4" w:rsidRPr="00CC6129">
        <w:rPr>
          <w:rFonts w:ascii="Book Antiqua" w:hAnsi="Book Antiqua"/>
          <w:sz w:val="24"/>
          <w:szCs w:val="24"/>
          <w:lang w:val="en-US"/>
        </w:rPr>
        <w:t>time-to-event</w:t>
      </w:r>
      <w:r w:rsidR="007E6D72" w:rsidRPr="00CC6129">
        <w:rPr>
          <w:rFonts w:ascii="Book Antiqua" w:hAnsi="Book Antiqua"/>
          <w:sz w:val="24"/>
          <w:szCs w:val="24"/>
          <w:lang w:val="en-US"/>
        </w:rPr>
        <w:t xml:space="preserve"> of 2.5 mo.</w:t>
      </w:r>
    </w:p>
    <w:p w:rsidR="00D55B56" w:rsidRPr="00CC6129" w:rsidRDefault="00E35E34" w:rsidP="0010680C">
      <w:pPr>
        <w:snapToGrid w:val="0"/>
        <w:spacing w:after="0" w:line="360" w:lineRule="auto"/>
        <w:ind w:firstLine="284"/>
        <w:jc w:val="both"/>
        <w:rPr>
          <w:rFonts w:ascii="Book Antiqua" w:hAnsi="Book Antiqua"/>
          <w:bCs/>
          <w:sz w:val="24"/>
          <w:szCs w:val="24"/>
          <w:lang w:val="en-US"/>
        </w:rPr>
      </w:pPr>
      <w:r w:rsidRPr="00CC6129">
        <w:rPr>
          <w:rFonts w:ascii="Book Antiqua" w:hAnsi="Book Antiqua"/>
          <w:bCs/>
          <w:sz w:val="24"/>
          <w:szCs w:val="24"/>
          <w:lang w:val="en-US"/>
        </w:rPr>
        <w:t xml:space="preserve">Data are presented as percentages, mean </w:t>
      </w:r>
      <w:r w:rsidR="00CD450D">
        <w:rPr>
          <w:rFonts w:ascii="Book Antiqua" w:hAnsi="Book Antiqua"/>
          <w:bCs/>
          <w:sz w:val="24"/>
          <w:szCs w:val="24"/>
          <w:lang w:val="en-US"/>
        </w:rPr>
        <w:sym w:font="Symbol" w:char="F0B1"/>
      </w:r>
      <w:r w:rsidR="00CD450D">
        <w:rPr>
          <w:rFonts w:ascii="Book Antiqua" w:hAnsi="Book Antiqua" w:hint="eastAsia"/>
          <w:bCs/>
          <w:sz w:val="24"/>
          <w:szCs w:val="24"/>
          <w:lang w:val="en-US" w:eastAsia="zh-CN"/>
        </w:rPr>
        <w:t xml:space="preserve"> </w:t>
      </w:r>
      <w:r w:rsidR="00CD450D">
        <w:rPr>
          <w:rFonts w:ascii="Book Antiqua" w:hAnsi="Book Antiqua"/>
          <w:bCs/>
          <w:sz w:val="24"/>
          <w:szCs w:val="24"/>
          <w:lang w:val="en-US"/>
        </w:rPr>
        <w:t>SD</w:t>
      </w:r>
      <w:r w:rsidRPr="00CC6129">
        <w:rPr>
          <w:rFonts w:ascii="Book Antiqua" w:hAnsi="Book Antiqua"/>
          <w:bCs/>
          <w:sz w:val="24"/>
          <w:szCs w:val="24"/>
          <w:lang w:val="en-US"/>
        </w:rPr>
        <w:t xml:space="preserve">, or median and interquartile range (IQR). </w:t>
      </w:r>
      <w:r w:rsidR="00A841E4" w:rsidRPr="00CC6129">
        <w:rPr>
          <w:rFonts w:ascii="Book Antiqua" w:hAnsi="Book Antiqua"/>
          <w:bCs/>
          <w:sz w:val="24"/>
          <w:szCs w:val="24"/>
          <w:lang w:val="en-US"/>
        </w:rPr>
        <w:t xml:space="preserve">Differences between percentages were assessed by chi-square test. Appropriate parametric or nonparametric tests were employed for group comparison. </w:t>
      </w:r>
      <w:r w:rsidRPr="00CC6129">
        <w:rPr>
          <w:rFonts w:ascii="Book Antiqua" w:hAnsi="Book Antiqua"/>
          <w:bCs/>
          <w:sz w:val="24"/>
          <w:szCs w:val="24"/>
          <w:lang w:val="en-US"/>
        </w:rPr>
        <w:t>The cut-off values were generated from continuous data by receiver operating characteristic (ROC) curve analyses performed by MedCalc Statistical Software version 13.1.2 (MedCalc Software bvba, Ostend, Belgium; http://www.medcalc.org; 2014).</w:t>
      </w:r>
      <w:r w:rsidR="0010680C">
        <w:rPr>
          <w:rFonts w:ascii="Book Antiqua" w:hAnsi="Book Antiqua"/>
          <w:bCs/>
          <w:sz w:val="24"/>
          <w:szCs w:val="24"/>
          <w:lang w:val="en-US"/>
        </w:rPr>
        <w:t xml:space="preserve"> </w:t>
      </w:r>
      <w:r w:rsidR="00D55B56" w:rsidRPr="00CC6129">
        <w:rPr>
          <w:rFonts w:ascii="Book Antiqua" w:hAnsi="Book Antiqua"/>
          <w:sz w:val="24"/>
          <w:szCs w:val="24"/>
          <w:lang w:val="en-US"/>
        </w:rPr>
        <w:t>Bayesian analysis was performed, and positive (+LR) and negative (-LR) likelihood ratios were used to estimate the probability of having or not VTE.</w:t>
      </w:r>
      <w:r w:rsidR="0010680C">
        <w:rPr>
          <w:rFonts w:ascii="Book Antiqua" w:hAnsi="Book Antiqua"/>
          <w:sz w:val="24"/>
          <w:szCs w:val="24"/>
          <w:lang w:val="en-US"/>
        </w:rPr>
        <w:t xml:space="preserve"> </w:t>
      </w:r>
      <w:r w:rsidR="00D55B56" w:rsidRPr="00CC6129">
        <w:rPr>
          <w:rFonts w:ascii="Book Antiqua" w:hAnsi="Book Antiqua"/>
          <w:sz w:val="24"/>
          <w:szCs w:val="24"/>
          <w:lang w:val="en-US"/>
        </w:rPr>
        <w:t>Cox proportional hazards analysis was performed with a free web-based application (http://statpages.org/).</w:t>
      </w:r>
      <w:r w:rsidR="0010680C">
        <w:rPr>
          <w:rFonts w:ascii="Book Antiqua" w:hAnsi="Book Antiqua"/>
          <w:sz w:val="24"/>
          <w:szCs w:val="24"/>
          <w:lang w:val="en-US"/>
        </w:rPr>
        <w:t xml:space="preserve"> </w:t>
      </w:r>
      <w:r w:rsidR="00D55B56" w:rsidRPr="00CC6129">
        <w:rPr>
          <w:rFonts w:ascii="Book Antiqua" w:hAnsi="Book Antiqua"/>
          <w:sz w:val="24"/>
          <w:szCs w:val="24"/>
          <w:lang w:val="en-US"/>
        </w:rPr>
        <w:t>Survival curves were calculated by the Kaplan-Meier and log-rank methods using a computer software package (Statistica 8.0, StatSoft Inc., Tulsa, OK</w:t>
      </w:r>
      <w:r w:rsidR="000730D3">
        <w:rPr>
          <w:rFonts w:ascii="Book Antiqua" w:hAnsi="Book Antiqua" w:hint="eastAsia"/>
          <w:sz w:val="24"/>
          <w:szCs w:val="24"/>
          <w:lang w:val="en-US" w:eastAsia="zh-CN"/>
        </w:rPr>
        <w:t xml:space="preserve">, </w:t>
      </w:r>
      <w:r w:rsidR="000730D3" w:rsidRPr="00CC6129">
        <w:rPr>
          <w:rFonts w:ascii="Book Antiqua" w:hAnsi="Book Antiqua"/>
          <w:bCs/>
          <w:sz w:val="24"/>
          <w:szCs w:val="24"/>
          <w:lang w:val="en-US"/>
        </w:rPr>
        <w:t>U</w:t>
      </w:r>
      <w:r w:rsidR="000730D3">
        <w:rPr>
          <w:rFonts w:ascii="Book Antiqua" w:hAnsi="Book Antiqua" w:hint="eastAsia"/>
          <w:bCs/>
          <w:sz w:val="24"/>
          <w:szCs w:val="24"/>
          <w:lang w:val="en-US" w:eastAsia="zh-CN"/>
        </w:rPr>
        <w:t>nited States</w:t>
      </w:r>
      <w:r w:rsidR="00D55B56" w:rsidRPr="00CC6129">
        <w:rPr>
          <w:rFonts w:ascii="Book Antiqua" w:hAnsi="Book Antiqua"/>
          <w:sz w:val="24"/>
          <w:szCs w:val="24"/>
          <w:lang w:val="en-US"/>
        </w:rPr>
        <w:t>).</w:t>
      </w:r>
      <w:r w:rsidR="0010680C">
        <w:rPr>
          <w:rFonts w:ascii="Book Antiqua" w:hAnsi="Book Antiqua"/>
          <w:sz w:val="24"/>
          <w:szCs w:val="24"/>
          <w:lang w:val="en-US"/>
        </w:rPr>
        <w:t xml:space="preserve"> </w:t>
      </w:r>
      <w:r w:rsidR="00D55B56" w:rsidRPr="00CC6129">
        <w:rPr>
          <w:rFonts w:ascii="Book Antiqua" w:hAnsi="Book Antiqua"/>
          <w:sz w:val="24"/>
          <w:szCs w:val="24"/>
          <w:lang w:val="en-US"/>
        </w:rPr>
        <w:t>VTE-free survival time was calculated from the date of enrolment until the date of</w:t>
      </w:r>
      <w:r w:rsidR="00A841E4" w:rsidRPr="00CC6129">
        <w:rPr>
          <w:rFonts w:ascii="Book Antiqua" w:hAnsi="Book Antiqua"/>
          <w:sz w:val="24"/>
          <w:szCs w:val="24"/>
          <w:lang w:val="en-US"/>
        </w:rPr>
        <w:t xml:space="preserve"> any</w:t>
      </w:r>
      <w:r w:rsidR="00D55B56" w:rsidRPr="00CC6129">
        <w:rPr>
          <w:rFonts w:ascii="Book Antiqua" w:hAnsi="Book Antiqua"/>
          <w:sz w:val="24"/>
          <w:szCs w:val="24"/>
          <w:lang w:val="en-US"/>
        </w:rPr>
        <w:t xml:space="preserve"> VTE</w:t>
      </w:r>
      <w:r w:rsidR="00443DB9" w:rsidRPr="00CC6129">
        <w:rPr>
          <w:rFonts w:ascii="Book Antiqua" w:hAnsi="Book Antiqua"/>
          <w:sz w:val="24"/>
          <w:szCs w:val="24"/>
          <w:lang w:val="en-US"/>
        </w:rPr>
        <w:t xml:space="preserve"> occurrence</w:t>
      </w:r>
      <w:r w:rsidR="00D55B56" w:rsidRPr="00CC6129">
        <w:rPr>
          <w:rFonts w:ascii="Book Antiqua" w:hAnsi="Book Antiqua"/>
          <w:sz w:val="24"/>
          <w:szCs w:val="24"/>
          <w:lang w:val="en-US"/>
        </w:rPr>
        <w:t>, or of the last follow-up. For administrative censoring</w:t>
      </w:r>
      <w:r w:rsidR="00443DB9" w:rsidRPr="00CC6129">
        <w:rPr>
          <w:rFonts w:ascii="Book Antiqua" w:hAnsi="Book Antiqua"/>
          <w:sz w:val="24"/>
          <w:szCs w:val="24"/>
          <w:lang w:val="en-US"/>
        </w:rPr>
        <w:t>,</w:t>
      </w:r>
      <w:r w:rsidR="00D55B56" w:rsidRPr="00CC6129">
        <w:rPr>
          <w:rFonts w:ascii="Book Antiqua" w:hAnsi="Book Antiqua"/>
          <w:sz w:val="24"/>
          <w:szCs w:val="24"/>
          <w:lang w:val="en-US"/>
        </w:rPr>
        <w:t xml:space="preserve"> follow-up was ended </w:t>
      </w:r>
      <w:r w:rsidR="00443DB9" w:rsidRPr="00CC6129">
        <w:rPr>
          <w:rFonts w:ascii="Book Antiqua" w:hAnsi="Book Antiqua"/>
          <w:sz w:val="24"/>
          <w:szCs w:val="24"/>
          <w:lang w:val="en-US"/>
        </w:rPr>
        <w:t>on</w:t>
      </w:r>
      <w:r w:rsidR="00D55B56" w:rsidRPr="00CC6129">
        <w:rPr>
          <w:rFonts w:ascii="Book Antiqua" w:hAnsi="Book Antiqua"/>
          <w:sz w:val="24"/>
          <w:szCs w:val="24"/>
          <w:lang w:val="en-US"/>
        </w:rPr>
        <w:t xml:space="preserve"> September 30th, 2016.</w:t>
      </w:r>
      <w:r w:rsidR="0010680C">
        <w:rPr>
          <w:rFonts w:ascii="Book Antiqua" w:hAnsi="Book Antiqua"/>
          <w:sz w:val="24"/>
          <w:szCs w:val="24"/>
          <w:lang w:val="en-US"/>
        </w:rPr>
        <w:t xml:space="preserve"> </w:t>
      </w:r>
      <w:r w:rsidR="00D55B56" w:rsidRPr="00CC6129">
        <w:rPr>
          <w:rFonts w:ascii="Book Antiqua" w:hAnsi="Book Antiqua"/>
          <w:sz w:val="24"/>
          <w:szCs w:val="24"/>
          <w:lang w:val="en-US"/>
        </w:rPr>
        <w:t xml:space="preserve">For patients receiving neoadjuvant chemotherapy follow-up was </w:t>
      </w:r>
      <w:r w:rsidR="00443DB9" w:rsidRPr="00CC6129">
        <w:rPr>
          <w:rFonts w:ascii="Book Antiqua" w:hAnsi="Book Antiqua"/>
          <w:sz w:val="24"/>
          <w:szCs w:val="24"/>
          <w:lang w:val="en-US"/>
        </w:rPr>
        <w:lastRenderedPageBreak/>
        <w:t xml:space="preserve">terminated </w:t>
      </w:r>
      <w:r w:rsidR="00D55B56" w:rsidRPr="00CC6129">
        <w:rPr>
          <w:rFonts w:ascii="Book Antiqua" w:hAnsi="Book Antiqua"/>
          <w:sz w:val="24"/>
          <w:szCs w:val="24"/>
          <w:lang w:val="en-US"/>
        </w:rPr>
        <w:t>at completion of an entire antiblastic treatment and before surgery.</w:t>
      </w:r>
      <w:r w:rsidR="0010680C">
        <w:rPr>
          <w:rFonts w:ascii="Book Antiqua" w:hAnsi="Book Antiqua"/>
          <w:sz w:val="24"/>
          <w:szCs w:val="24"/>
          <w:lang w:val="en-US"/>
        </w:rPr>
        <w:t xml:space="preserve"> </w:t>
      </w:r>
      <w:r w:rsidRPr="00CC6129">
        <w:rPr>
          <w:rFonts w:ascii="Book Antiqua" w:hAnsi="Book Antiqua"/>
          <w:bCs/>
          <w:sz w:val="24"/>
          <w:szCs w:val="24"/>
          <w:lang w:val="en-US"/>
        </w:rPr>
        <w:t>All tests were two-tailed and only p–values lower than 0.05 were regarded as statistically significant.</w:t>
      </w:r>
    </w:p>
    <w:p w:rsidR="000730D3" w:rsidRDefault="000730D3" w:rsidP="0010680C">
      <w:pPr>
        <w:snapToGrid w:val="0"/>
        <w:spacing w:after="0" w:line="360" w:lineRule="auto"/>
        <w:jc w:val="both"/>
        <w:rPr>
          <w:rFonts w:ascii="Book Antiqua" w:hAnsi="Book Antiqua"/>
          <w:bCs/>
          <w:sz w:val="24"/>
          <w:szCs w:val="24"/>
          <w:lang w:val="en-US" w:eastAsia="zh-CN"/>
        </w:rPr>
      </w:pPr>
    </w:p>
    <w:p w:rsidR="007E6D72" w:rsidRPr="000730D3" w:rsidRDefault="007E6D72" w:rsidP="0010680C">
      <w:pPr>
        <w:snapToGrid w:val="0"/>
        <w:spacing w:after="0" w:line="360" w:lineRule="auto"/>
        <w:jc w:val="both"/>
        <w:rPr>
          <w:rFonts w:ascii="Book Antiqua" w:hAnsi="Book Antiqua"/>
          <w:bCs/>
          <w:sz w:val="24"/>
          <w:szCs w:val="24"/>
          <w:lang w:val="en-US"/>
        </w:rPr>
      </w:pPr>
      <w:r w:rsidRPr="00CC6129">
        <w:rPr>
          <w:rFonts w:ascii="Book Antiqua" w:hAnsi="Book Antiqua"/>
          <w:b/>
          <w:sz w:val="24"/>
          <w:szCs w:val="24"/>
          <w:lang w:val="en-US"/>
        </w:rPr>
        <w:t>RESULTS</w:t>
      </w:r>
    </w:p>
    <w:p w:rsidR="00097697" w:rsidRPr="00CC6129" w:rsidRDefault="00097697" w:rsidP="000730D3">
      <w:pPr>
        <w:snapToGrid w:val="0"/>
        <w:spacing w:after="0" w:line="360" w:lineRule="auto"/>
        <w:jc w:val="both"/>
        <w:rPr>
          <w:rFonts w:ascii="Book Antiqua" w:hAnsi="Book Antiqua"/>
          <w:sz w:val="24"/>
          <w:szCs w:val="24"/>
          <w:lang w:val="en-US"/>
        </w:rPr>
      </w:pPr>
      <w:r w:rsidRPr="00CC6129">
        <w:rPr>
          <w:rFonts w:ascii="Book Antiqua" w:hAnsi="Book Antiqua"/>
          <w:sz w:val="24"/>
          <w:szCs w:val="24"/>
          <w:lang w:val="en-US"/>
        </w:rPr>
        <w:t xml:space="preserve">A condition of </w:t>
      </w:r>
      <w:r w:rsidR="00FC2186" w:rsidRPr="00CC6129">
        <w:rPr>
          <w:rFonts w:ascii="Book Antiqua" w:hAnsi="Book Antiqua"/>
          <w:sz w:val="24"/>
          <w:szCs w:val="24"/>
          <w:lang w:val="en-US"/>
        </w:rPr>
        <w:t>impaired glucose tolerance (IGT)</w:t>
      </w:r>
      <w:r w:rsidRPr="00CC6129">
        <w:rPr>
          <w:rFonts w:ascii="Book Antiqua" w:hAnsi="Book Antiqua"/>
          <w:sz w:val="24"/>
          <w:szCs w:val="24"/>
          <w:lang w:val="en-US"/>
        </w:rPr>
        <w:t>/</w:t>
      </w:r>
      <w:r w:rsidR="00FC2186" w:rsidRPr="00CC6129">
        <w:rPr>
          <w:rFonts w:ascii="Book Antiqua" w:hAnsi="Book Antiqua"/>
          <w:sz w:val="24"/>
          <w:szCs w:val="24"/>
          <w:lang w:val="en-US"/>
        </w:rPr>
        <w:t xml:space="preserve">T2D </w:t>
      </w:r>
      <w:r w:rsidRPr="00CC6129">
        <w:rPr>
          <w:rFonts w:ascii="Book Antiqua" w:hAnsi="Book Antiqua"/>
          <w:sz w:val="24"/>
          <w:szCs w:val="24"/>
          <w:lang w:val="en-US"/>
        </w:rPr>
        <w:t xml:space="preserve">was </w:t>
      </w:r>
      <w:r w:rsidR="00FC2186" w:rsidRPr="00CC6129">
        <w:rPr>
          <w:rFonts w:ascii="Book Antiqua" w:hAnsi="Book Antiqua"/>
          <w:sz w:val="24"/>
          <w:szCs w:val="24"/>
          <w:lang w:val="en-US"/>
        </w:rPr>
        <w:t xml:space="preserve">diagnosed </w:t>
      </w:r>
      <w:r w:rsidRPr="00CC6129">
        <w:rPr>
          <w:rFonts w:ascii="Book Antiqua" w:hAnsi="Book Antiqua"/>
          <w:sz w:val="24"/>
          <w:szCs w:val="24"/>
          <w:lang w:val="en-US"/>
        </w:rPr>
        <w:t xml:space="preserve">in </w:t>
      </w:r>
      <w:r w:rsidR="00005BDD" w:rsidRPr="00CC6129">
        <w:rPr>
          <w:rFonts w:ascii="Book Antiqua" w:hAnsi="Book Antiqua"/>
          <w:sz w:val="24"/>
          <w:szCs w:val="24"/>
          <w:lang w:val="en-US"/>
        </w:rPr>
        <w:t>30</w:t>
      </w:r>
      <w:r w:rsidRPr="00CC6129">
        <w:rPr>
          <w:rFonts w:ascii="Book Antiqua" w:hAnsi="Book Antiqua"/>
          <w:sz w:val="24"/>
          <w:szCs w:val="24"/>
          <w:lang w:val="en-US"/>
        </w:rPr>
        <w:t xml:space="preserve">% of </w:t>
      </w:r>
      <w:r w:rsidR="00FC2186" w:rsidRPr="00CC6129">
        <w:rPr>
          <w:rFonts w:ascii="Book Antiqua" w:hAnsi="Book Antiqua"/>
          <w:sz w:val="24"/>
          <w:szCs w:val="24"/>
          <w:lang w:val="en-US"/>
        </w:rPr>
        <w:t>patients</w:t>
      </w:r>
      <w:r w:rsidRPr="00CC6129">
        <w:rPr>
          <w:rFonts w:ascii="Book Antiqua" w:hAnsi="Book Antiqua"/>
          <w:sz w:val="24"/>
          <w:szCs w:val="24"/>
          <w:lang w:val="en-US"/>
        </w:rPr>
        <w:t xml:space="preserve">, while </w:t>
      </w:r>
      <w:r w:rsidR="00FC2186" w:rsidRPr="00CC6129">
        <w:rPr>
          <w:rFonts w:ascii="Book Antiqua" w:hAnsi="Book Antiqua"/>
          <w:sz w:val="24"/>
          <w:szCs w:val="24"/>
          <w:lang w:val="en-US"/>
        </w:rPr>
        <w:t xml:space="preserve">overweight </w:t>
      </w:r>
      <w:r w:rsidR="00005BDD" w:rsidRPr="00CC6129">
        <w:rPr>
          <w:rFonts w:ascii="Book Antiqua" w:hAnsi="Book Antiqua"/>
          <w:sz w:val="24"/>
          <w:szCs w:val="24"/>
          <w:lang w:val="en-US"/>
        </w:rPr>
        <w:t>(</w:t>
      </w:r>
      <w:r w:rsidR="00005BDD" w:rsidRPr="000730D3">
        <w:rPr>
          <w:rFonts w:ascii="Book Antiqua" w:hAnsi="Book Antiqua"/>
          <w:i/>
          <w:sz w:val="24"/>
          <w:szCs w:val="24"/>
          <w:lang w:val="en-US"/>
        </w:rPr>
        <w:t>n</w:t>
      </w:r>
      <w:r w:rsidR="000730D3">
        <w:rPr>
          <w:rFonts w:ascii="Book Antiqua" w:hAnsi="Book Antiqua" w:hint="eastAsia"/>
          <w:sz w:val="24"/>
          <w:szCs w:val="24"/>
          <w:lang w:val="en-US" w:eastAsia="zh-CN"/>
        </w:rPr>
        <w:t xml:space="preserve"> </w:t>
      </w:r>
      <w:r w:rsidR="00005BDD" w:rsidRPr="00CC6129">
        <w:rPr>
          <w:rFonts w:ascii="Book Antiqua" w:hAnsi="Book Antiqua"/>
          <w:sz w:val="24"/>
          <w:szCs w:val="24"/>
          <w:lang w:val="en-US"/>
        </w:rPr>
        <w:t>=</w:t>
      </w:r>
      <w:r w:rsidR="000730D3">
        <w:rPr>
          <w:rFonts w:ascii="Book Antiqua" w:hAnsi="Book Antiqua" w:hint="eastAsia"/>
          <w:sz w:val="24"/>
          <w:szCs w:val="24"/>
          <w:lang w:val="en-US" w:eastAsia="zh-CN"/>
        </w:rPr>
        <w:t xml:space="preserve"> </w:t>
      </w:r>
      <w:r w:rsidR="00005BDD" w:rsidRPr="00CC6129">
        <w:rPr>
          <w:rFonts w:ascii="Book Antiqua" w:hAnsi="Book Antiqua"/>
          <w:sz w:val="24"/>
          <w:szCs w:val="24"/>
          <w:lang w:val="en-US"/>
        </w:rPr>
        <w:t xml:space="preserve">105) </w:t>
      </w:r>
      <w:r w:rsidRPr="00CC6129">
        <w:rPr>
          <w:rFonts w:ascii="Book Antiqua" w:hAnsi="Book Antiqua"/>
          <w:sz w:val="24"/>
          <w:szCs w:val="24"/>
          <w:lang w:val="en-US"/>
        </w:rPr>
        <w:t xml:space="preserve">or </w:t>
      </w:r>
      <w:r w:rsidR="00FC2186" w:rsidRPr="00CC6129">
        <w:rPr>
          <w:rFonts w:ascii="Book Antiqua" w:hAnsi="Book Antiqua"/>
          <w:sz w:val="24"/>
          <w:szCs w:val="24"/>
          <w:lang w:val="en-US"/>
        </w:rPr>
        <w:t xml:space="preserve">obesity </w:t>
      </w:r>
      <w:r w:rsidR="00005BDD" w:rsidRPr="00CC6129">
        <w:rPr>
          <w:rFonts w:ascii="Book Antiqua" w:hAnsi="Book Antiqua"/>
          <w:sz w:val="24"/>
          <w:szCs w:val="24"/>
          <w:lang w:val="en-US"/>
        </w:rPr>
        <w:t>(</w:t>
      </w:r>
      <w:r w:rsidR="000730D3" w:rsidRPr="000730D3">
        <w:rPr>
          <w:rFonts w:ascii="Book Antiqua" w:hAnsi="Book Antiqua"/>
          <w:i/>
          <w:sz w:val="24"/>
          <w:szCs w:val="24"/>
          <w:lang w:val="en-US"/>
        </w:rPr>
        <w:t>n</w:t>
      </w:r>
      <w:r w:rsidR="000730D3" w:rsidRPr="00CC6129">
        <w:rPr>
          <w:rFonts w:ascii="Book Antiqua" w:hAnsi="Book Antiqua"/>
          <w:sz w:val="24"/>
          <w:szCs w:val="24"/>
          <w:lang w:val="en-US"/>
        </w:rPr>
        <w:t xml:space="preserve"> </w:t>
      </w:r>
      <w:r w:rsidR="00005BDD" w:rsidRPr="00CC6129">
        <w:rPr>
          <w:rFonts w:ascii="Book Antiqua" w:hAnsi="Book Antiqua"/>
          <w:sz w:val="24"/>
          <w:szCs w:val="24"/>
          <w:lang w:val="en-US"/>
        </w:rPr>
        <w:t>=</w:t>
      </w:r>
      <w:r w:rsidR="000730D3">
        <w:rPr>
          <w:rFonts w:ascii="Book Antiqua" w:hAnsi="Book Antiqua" w:hint="eastAsia"/>
          <w:sz w:val="24"/>
          <w:szCs w:val="24"/>
          <w:lang w:val="en-US" w:eastAsia="zh-CN"/>
        </w:rPr>
        <w:t xml:space="preserve"> </w:t>
      </w:r>
      <w:r w:rsidR="00005BDD" w:rsidRPr="00CC6129">
        <w:rPr>
          <w:rFonts w:ascii="Book Antiqua" w:hAnsi="Book Antiqua"/>
          <w:sz w:val="24"/>
          <w:szCs w:val="24"/>
          <w:lang w:val="en-US"/>
        </w:rPr>
        <w:t xml:space="preserve">35) </w:t>
      </w:r>
      <w:r w:rsidR="00AD52B7" w:rsidRPr="00CC6129">
        <w:rPr>
          <w:rFonts w:ascii="Book Antiqua" w:hAnsi="Book Antiqua"/>
          <w:sz w:val="24"/>
          <w:szCs w:val="24"/>
          <w:lang w:val="en-US"/>
        </w:rPr>
        <w:t xml:space="preserve">was </w:t>
      </w:r>
      <w:r w:rsidR="00FC2186" w:rsidRPr="00CC6129">
        <w:rPr>
          <w:rFonts w:ascii="Book Antiqua" w:hAnsi="Book Antiqua"/>
          <w:sz w:val="24"/>
          <w:szCs w:val="24"/>
          <w:lang w:val="en-US"/>
        </w:rPr>
        <w:t xml:space="preserve">observed </w:t>
      </w:r>
      <w:r w:rsidRPr="00CC6129">
        <w:rPr>
          <w:rFonts w:ascii="Book Antiqua" w:hAnsi="Book Antiqua"/>
          <w:sz w:val="24"/>
          <w:szCs w:val="24"/>
          <w:lang w:val="en-US"/>
        </w:rPr>
        <w:t xml:space="preserve">in </w:t>
      </w:r>
      <w:r w:rsidR="00005BDD" w:rsidRPr="00CC6129">
        <w:rPr>
          <w:rFonts w:ascii="Book Antiqua" w:hAnsi="Book Antiqua"/>
          <w:sz w:val="24"/>
          <w:szCs w:val="24"/>
          <w:lang w:val="en-US"/>
        </w:rPr>
        <w:t>41</w:t>
      </w:r>
      <w:r w:rsidRPr="00CC6129">
        <w:rPr>
          <w:rFonts w:ascii="Book Antiqua" w:hAnsi="Book Antiqua"/>
          <w:sz w:val="24"/>
          <w:szCs w:val="24"/>
          <w:lang w:val="en-US"/>
        </w:rPr>
        <w:t>% of cases.</w:t>
      </w:r>
      <w:r w:rsidR="0010680C">
        <w:rPr>
          <w:rFonts w:ascii="Book Antiqua" w:hAnsi="Book Antiqua"/>
          <w:sz w:val="24"/>
          <w:szCs w:val="24"/>
          <w:lang w:val="en-US"/>
        </w:rPr>
        <w:t xml:space="preserve"> </w:t>
      </w:r>
      <w:r w:rsidRPr="00CC6129">
        <w:rPr>
          <w:rFonts w:ascii="Book Antiqua" w:hAnsi="Book Antiqua"/>
          <w:sz w:val="24"/>
          <w:szCs w:val="24"/>
          <w:lang w:val="en-US"/>
        </w:rPr>
        <w:t>It is well recognized that overweight/obesity increases the chances of developing T2D; accordingly</w:t>
      </w:r>
      <w:r w:rsidR="00006AEB" w:rsidRPr="00CC6129">
        <w:rPr>
          <w:rFonts w:ascii="Book Antiqua" w:hAnsi="Book Antiqua"/>
          <w:sz w:val="24"/>
          <w:szCs w:val="24"/>
          <w:lang w:val="en-US"/>
        </w:rPr>
        <w:t>,</w:t>
      </w:r>
      <w:r w:rsidRPr="00CC6129">
        <w:rPr>
          <w:rFonts w:ascii="Book Antiqua" w:hAnsi="Book Antiqua"/>
          <w:sz w:val="24"/>
          <w:szCs w:val="24"/>
          <w:lang w:val="en-US"/>
        </w:rPr>
        <w:t xml:space="preserve"> the rate of T2D rose from </w:t>
      </w:r>
      <w:r w:rsidR="00F06029" w:rsidRPr="00CC6129">
        <w:rPr>
          <w:rFonts w:ascii="Book Antiqua" w:hAnsi="Book Antiqua"/>
          <w:sz w:val="24"/>
          <w:szCs w:val="24"/>
          <w:lang w:val="en-US"/>
        </w:rPr>
        <w:t>19</w:t>
      </w:r>
      <w:r w:rsidRPr="00CC6129">
        <w:rPr>
          <w:rFonts w:ascii="Book Antiqua" w:hAnsi="Book Antiqua"/>
          <w:sz w:val="24"/>
          <w:szCs w:val="24"/>
          <w:lang w:val="en-US"/>
        </w:rPr>
        <w:t xml:space="preserve">% in normoweight to </w:t>
      </w:r>
      <w:r w:rsidR="00F06029" w:rsidRPr="00CC6129">
        <w:rPr>
          <w:rFonts w:ascii="Book Antiqua" w:hAnsi="Book Antiqua"/>
          <w:sz w:val="24"/>
          <w:szCs w:val="24"/>
          <w:lang w:val="en-US"/>
        </w:rPr>
        <w:t>27</w:t>
      </w:r>
      <w:r w:rsidRPr="00CC6129">
        <w:rPr>
          <w:rFonts w:ascii="Book Antiqua" w:hAnsi="Book Antiqua"/>
          <w:sz w:val="24"/>
          <w:szCs w:val="24"/>
          <w:lang w:val="en-US"/>
        </w:rPr>
        <w:t>% and 3</w:t>
      </w:r>
      <w:r w:rsidR="00F06029" w:rsidRPr="00CC6129">
        <w:rPr>
          <w:rFonts w:ascii="Book Antiqua" w:hAnsi="Book Antiqua"/>
          <w:sz w:val="24"/>
          <w:szCs w:val="24"/>
          <w:lang w:val="en-US"/>
        </w:rPr>
        <w:t>6</w:t>
      </w:r>
      <w:r w:rsidRPr="00CC6129">
        <w:rPr>
          <w:rFonts w:ascii="Book Antiqua" w:hAnsi="Book Antiqua"/>
          <w:sz w:val="24"/>
          <w:szCs w:val="24"/>
          <w:lang w:val="en-US"/>
        </w:rPr>
        <w:t>% in overweight and obese patients, respectively</w:t>
      </w:r>
      <w:r w:rsidR="00005BDD" w:rsidRPr="00CC6129">
        <w:rPr>
          <w:rFonts w:ascii="Book Antiqua" w:hAnsi="Book Antiqua"/>
          <w:sz w:val="24"/>
          <w:szCs w:val="24"/>
          <w:lang w:val="en-US"/>
        </w:rPr>
        <w:t xml:space="preserve"> (</w:t>
      </w:r>
      <w:r w:rsidR="00005BDD" w:rsidRPr="000730D3">
        <w:rPr>
          <w:rFonts w:ascii="Book Antiqua" w:hAnsi="Book Antiqua"/>
          <w:i/>
          <w:caps/>
          <w:sz w:val="24"/>
          <w:szCs w:val="24"/>
          <w:lang w:val="en-US"/>
        </w:rPr>
        <w:t>p</w:t>
      </w:r>
      <w:r w:rsidR="000730D3">
        <w:rPr>
          <w:rFonts w:ascii="Book Antiqua" w:hAnsi="Book Antiqua" w:hint="eastAsia"/>
          <w:i/>
          <w:caps/>
          <w:sz w:val="24"/>
          <w:szCs w:val="24"/>
          <w:lang w:val="en-US" w:eastAsia="zh-CN"/>
        </w:rPr>
        <w:t xml:space="preserve"> </w:t>
      </w:r>
      <w:r w:rsidR="00005BDD" w:rsidRPr="00CC6129">
        <w:rPr>
          <w:rFonts w:ascii="Book Antiqua" w:hAnsi="Book Antiqua"/>
          <w:sz w:val="24"/>
          <w:szCs w:val="24"/>
          <w:lang w:val="en-US"/>
        </w:rPr>
        <w:t>=</w:t>
      </w:r>
      <w:r w:rsidR="000730D3">
        <w:rPr>
          <w:rFonts w:ascii="Book Antiqua" w:hAnsi="Book Antiqua" w:hint="eastAsia"/>
          <w:sz w:val="24"/>
          <w:szCs w:val="24"/>
          <w:lang w:val="en-US" w:eastAsia="zh-CN"/>
        </w:rPr>
        <w:t xml:space="preserve"> </w:t>
      </w:r>
      <w:r w:rsidR="00005BDD" w:rsidRPr="00CC6129">
        <w:rPr>
          <w:rFonts w:ascii="Book Antiqua" w:hAnsi="Book Antiqua"/>
          <w:sz w:val="24"/>
          <w:szCs w:val="24"/>
          <w:lang w:val="en-US"/>
        </w:rPr>
        <w:t>0.</w:t>
      </w:r>
      <w:r w:rsidR="00F06029" w:rsidRPr="00CC6129">
        <w:rPr>
          <w:rFonts w:ascii="Book Antiqua" w:hAnsi="Book Antiqua"/>
          <w:sz w:val="24"/>
          <w:szCs w:val="24"/>
          <w:lang w:val="en-US"/>
        </w:rPr>
        <w:t>122</w:t>
      </w:r>
      <w:r w:rsidR="00005BDD" w:rsidRPr="00CC6129">
        <w:rPr>
          <w:rFonts w:ascii="Book Antiqua" w:hAnsi="Book Antiqua"/>
          <w:sz w:val="24"/>
          <w:szCs w:val="24"/>
          <w:lang w:val="en-US"/>
        </w:rPr>
        <w:t>)</w:t>
      </w:r>
      <w:r w:rsidRPr="00CC6129">
        <w:rPr>
          <w:rFonts w:ascii="Book Antiqua" w:hAnsi="Book Antiqua"/>
          <w:sz w:val="24"/>
          <w:szCs w:val="24"/>
          <w:lang w:val="en-US"/>
        </w:rPr>
        <w:t>.</w:t>
      </w:r>
      <w:r w:rsidR="0010680C">
        <w:rPr>
          <w:rFonts w:ascii="Book Antiqua" w:hAnsi="Book Antiqua"/>
          <w:sz w:val="24"/>
          <w:szCs w:val="24"/>
          <w:lang w:val="en-US"/>
        </w:rPr>
        <w:t xml:space="preserve"> </w:t>
      </w:r>
      <w:r w:rsidR="00841B06" w:rsidRPr="00CC6129">
        <w:rPr>
          <w:rFonts w:ascii="Book Antiqua" w:hAnsi="Book Antiqua"/>
          <w:sz w:val="24"/>
          <w:szCs w:val="24"/>
          <w:lang w:val="en-US"/>
        </w:rPr>
        <w:t xml:space="preserve">The distribution of glucose </w:t>
      </w:r>
      <w:r w:rsidR="00AD52B7" w:rsidRPr="00CC6129">
        <w:rPr>
          <w:rFonts w:ascii="Book Antiqua" w:hAnsi="Book Antiqua"/>
          <w:sz w:val="24"/>
          <w:szCs w:val="24"/>
          <w:lang w:val="en-US"/>
        </w:rPr>
        <w:t xml:space="preserve">metabolic </w:t>
      </w:r>
      <w:r w:rsidR="00841B06" w:rsidRPr="00CC6129">
        <w:rPr>
          <w:rFonts w:ascii="Book Antiqua" w:hAnsi="Book Antiqua"/>
          <w:sz w:val="24"/>
          <w:szCs w:val="24"/>
          <w:lang w:val="en-US"/>
        </w:rPr>
        <w:t>indexes is reported in Table 2.</w:t>
      </w:r>
      <w:r w:rsidR="0010680C">
        <w:rPr>
          <w:rFonts w:ascii="Book Antiqua" w:hAnsi="Book Antiqua"/>
          <w:sz w:val="24"/>
          <w:szCs w:val="24"/>
          <w:lang w:val="en-US"/>
        </w:rPr>
        <w:t xml:space="preserve"> </w:t>
      </w:r>
      <w:r w:rsidR="00841B06" w:rsidRPr="00CC6129">
        <w:rPr>
          <w:rFonts w:ascii="Book Antiqua" w:hAnsi="Book Antiqua"/>
          <w:sz w:val="24"/>
          <w:szCs w:val="24"/>
          <w:lang w:val="en-US"/>
        </w:rPr>
        <w:t>As shown, m</w:t>
      </w:r>
      <w:r w:rsidRPr="00CC6129">
        <w:rPr>
          <w:rFonts w:ascii="Book Antiqua" w:hAnsi="Book Antiqua"/>
          <w:sz w:val="24"/>
          <w:szCs w:val="24"/>
          <w:lang w:val="en-US"/>
        </w:rPr>
        <w:t xml:space="preserve">edian pre-chemotherapy HOMA index was </w:t>
      </w:r>
      <w:r w:rsidR="00005BDD" w:rsidRPr="00CC6129">
        <w:rPr>
          <w:rFonts w:ascii="Book Antiqua" w:hAnsi="Book Antiqua"/>
          <w:sz w:val="24"/>
          <w:szCs w:val="24"/>
          <w:lang w:val="en-US"/>
        </w:rPr>
        <w:t>3.0</w:t>
      </w:r>
      <w:r w:rsidRPr="00CC6129">
        <w:rPr>
          <w:rFonts w:ascii="Book Antiqua" w:hAnsi="Book Antiqua"/>
          <w:sz w:val="24"/>
          <w:szCs w:val="24"/>
          <w:lang w:val="en-US"/>
        </w:rPr>
        <w:t xml:space="preserve"> in the overall </w:t>
      </w:r>
      <w:r w:rsidR="00005BDD" w:rsidRPr="00CC6129">
        <w:rPr>
          <w:rFonts w:ascii="Book Antiqua" w:hAnsi="Book Antiqua"/>
          <w:sz w:val="24"/>
          <w:szCs w:val="24"/>
          <w:lang w:val="en-US"/>
        </w:rPr>
        <w:t>GI cancer</w:t>
      </w:r>
      <w:r w:rsidRPr="00CC6129">
        <w:rPr>
          <w:rFonts w:ascii="Book Antiqua" w:hAnsi="Book Antiqua"/>
          <w:sz w:val="24"/>
          <w:szCs w:val="24"/>
          <w:lang w:val="en-US"/>
        </w:rPr>
        <w:t xml:space="preserve"> cohort [interquartile range (IQR): </w:t>
      </w:r>
      <w:r w:rsidR="00005BDD" w:rsidRPr="00CC6129">
        <w:rPr>
          <w:rFonts w:ascii="Book Antiqua" w:hAnsi="Book Antiqua"/>
          <w:sz w:val="24"/>
          <w:szCs w:val="24"/>
          <w:lang w:val="en-US"/>
        </w:rPr>
        <w:t>2.0</w:t>
      </w:r>
      <w:r w:rsidRPr="00CC6129">
        <w:rPr>
          <w:rFonts w:ascii="Book Antiqua" w:hAnsi="Book Antiqua"/>
          <w:sz w:val="24"/>
          <w:szCs w:val="24"/>
          <w:lang w:val="en-US"/>
        </w:rPr>
        <w:t>-5.</w:t>
      </w:r>
      <w:r w:rsidR="00005BDD" w:rsidRPr="00CC6129">
        <w:rPr>
          <w:rFonts w:ascii="Book Antiqua" w:hAnsi="Book Antiqua"/>
          <w:sz w:val="24"/>
          <w:szCs w:val="24"/>
          <w:lang w:val="en-US"/>
        </w:rPr>
        <w:t>6</w:t>
      </w:r>
      <w:r w:rsidRPr="00CC6129">
        <w:rPr>
          <w:rFonts w:ascii="Book Antiqua" w:hAnsi="Book Antiqua"/>
          <w:sz w:val="24"/>
          <w:szCs w:val="24"/>
          <w:lang w:val="en-US"/>
        </w:rPr>
        <w:t xml:space="preserve">]. As expected, median HOMA index was associated with BMI and increased steadily from </w:t>
      </w:r>
      <w:r w:rsidR="007504C9" w:rsidRPr="00CC6129">
        <w:rPr>
          <w:rFonts w:ascii="Book Antiqua" w:hAnsi="Book Antiqua"/>
          <w:sz w:val="24"/>
          <w:szCs w:val="24"/>
          <w:lang w:val="en-US"/>
        </w:rPr>
        <w:t>2.5</w:t>
      </w:r>
      <w:r w:rsidRPr="00CC6129">
        <w:rPr>
          <w:rFonts w:ascii="Book Antiqua" w:hAnsi="Book Antiqua"/>
          <w:sz w:val="24"/>
          <w:szCs w:val="24"/>
          <w:lang w:val="en-US"/>
        </w:rPr>
        <w:t xml:space="preserve"> in normoweight to </w:t>
      </w:r>
      <w:r w:rsidR="007504C9" w:rsidRPr="00CC6129">
        <w:rPr>
          <w:rFonts w:ascii="Book Antiqua" w:hAnsi="Book Antiqua"/>
          <w:sz w:val="24"/>
          <w:szCs w:val="24"/>
          <w:lang w:val="en-US"/>
        </w:rPr>
        <w:t>3.8</w:t>
      </w:r>
      <w:r w:rsidRPr="00CC6129">
        <w:rPr>
          <w:rFonts w:ascii="Book Antiqua" w:hAnsi="Book Antiqua"/>
          <w:sz w:val="24"/>
          <w:szCs w:val="24"/>
          <w:lang w:val="en-US"/>
        </w:rPr>
        <w:t xml:space="preserve"> and </w:t>
      </w:r>
      <w:r w:rsidR="007504C9" w:rsidRPr="00CC6129">
        <w:rPr>
          <w:rFonts w:ascii="Book Antiqua" w:hAnsi="Book Antiqua"/>
          <w:sz w:val="24"/>
          <w:szCs w:val="24"/>
          <w:lang w:val="en-US"/>
        </w:rPr>
        <w:t>3.9</w:t>
      </w:r>
      <w:r w:rsidRPr="00CC6129">
        <w:rPr>
          <w:rFonts w:ascii="Book Antiqua" w:hAnsi="Book Antiqua"/>
          <w:sz w:val="24"/>
          <w:szCs w:val="24"/>
          <w:lang w:val="en-US"/>
        </w:rPr>
        <w:t xml:space="preserve"> in overweight and obese </w:t>
      </w:r>
      <w:r w:rsidR="007504C9" w:rsidRPr="00CC6129">
        <w:rPr>
          <w:rFonts w:ascii="Book Antiqua" w:hAnsi="Book Antiqua"/>
          <w:sz w:val="24"/>
          <w:szCs w:val="24"/>
          <w:lang w:val="en-US"/>
        </w:rPr>
        <w:t>patients</w:t>
      </w:r>
      <w:r w:rsidRPr="00CC6129">
        <w:rPr>
          <w:rFonts w:ascii="Book Antiqua" w:hAnsi="Book Antiqua"/>
          <w:sz w:val="24"/>
          <w:szCs w:val="24"/>
          <w:lang w:val="en-US"/>
        </w:rPr>
        <w:t>, respectively (Kruskal-Wallis H</w:t>
      </w:r>
      <w:r w:rsidR="000730D3">
        <w:rPr>
          <w:rFonts w:ascii="Book Antiqua" w:hAnsi="Book Antiqua" w:hint="eastAsia"/>
          <w:sz w:val="24"/>
          <w:szCs w:val="24"/>
          <w:lang w:val="en-US" w:eastAsia="zh-CN"/>
        </w:rPr>
        <w:t xml:space="preserve"> </w:t>
      </w:r>
      <w:r w:rsidRPr="00CC6129">
        <w:rPr>
          <w:rFonts w:ascii="Book Antiqua" w:hAnsi="Book Antiqua"/>
          <w:sz w:val="24"/>
          <w:szCs w:val="24"/>
          <w:lang w:val="en-US"/>
        </w:rPr>
        <w:t>=</w:t>
      </w:r>
      <w:r w:rsidR="000730D3">
        <w:rPr>
          <w:rFonts w:ascii="Book Antiqua" w:hAnsi="Book Antiqua" w:hint="eastAsia"/>
          <w:sz w:val="24"/>
          <w:szCs w:val="24"/>
          <w:lang w:val="en-US" w:eastAsia="zh-CN"/>
        </w:rPr>
        <w:t xml:space="preserve"> </w:t>
      </w:r>
      <w:r w:rsidRPr="00CC6129">
        <w:rPr>
          <w:rFonts w:ascii="Book Antiqua" w:hAnsi="Book Antiqua"/>
          <w:sz w:val="24"/>
          <w:szCs w:val="24"/>
          <w:lang w:val="en-US"/>
        </w:rPr>
        <w:t>1</w:t>
      </w:r>
      <w:r w:rsidR="007504C9" w:rsidRPr="00CC6129">
        <w:rPr>
          <w:rFonts w:ascii="Book Antiqua" w:hAnsi="Book Antiqua"/>
          <w:sz w:val="24"/>
          <w:szCs w:val="24"/>
          <w:lang w:val="en-US"/>
        </w:rPr>
        <w:t>8.8</w:t>
      </w:r>
      <w:r w:rsidRPr="00CC6129">
        <w:rPr>
          <w:rFonts w:ascii="Book Antiqua" w:hAnsi="Book Antiqua"/>
          <w:sz w:val="24"/>
          <w:szCs w:val="24"/>
          <w:lang w:val="en-US"/>
        </w:rPr>
        <w:t xml:space="preserve">, </w:t>
      </w:r>
      <w:r w:rsidR="000730D3" w:rsidRPr="000730D3">
        <w:rPr>
          <w:rFonts w:ascii="Book Antiqua" w:hAnsi="Book Antiqua"/>
          <w:i/>
          <w:caps/>
          <w:sz w:val="24"/>
          <w:szCs w:val="24"/>
          <w:lang w:val="en-US"/>
        </w:rPr>
        <w:t>p</w:t>
      </w:r>
      <w:r w:rsidR="000730D3" w:rsidRPr="00CC6129">
        <w:rPr>
          <w:rFonts w:ascii="Book Antiqua" w:hAnsi="Book Antiqua"/>
          <w:sz w:val="24"/>
          <w:szCs w:val="24"/>
          <w:lang w:val="en-US"/>
        </w:rPr>
        <w:t xml:space="preserve"> </w:t>
      </w:r>
      <w:r w:rsidRPr="00CC6129">
        <w:rPr>
          <w:rFonts w:ascii="Book Antiqua" w:hAnsi="Book Antiqua"/>
          <w:sz w:val="24"/>
          <w:szCs w:val="24"/>
          <w:lang w:val="en-US"/>
        </w:rPr>
        <w:t>=</w:t>
      </w:r>
      <w:r w:rsidR="000730D3">
        <w:rPr>
          <w:rFonts w:ascii="Book Antiqua" w:hAnsi="Book Antiqua" w:hint="eastAsia"/>
          <w:sz w:val="24"/>
          <w:szCs w:val="24"/>
          <w:lang w:val="en-US" w:eastAsia="zh-CN"/>
        </w:rPr>
        <w:t xml:space="preserve"> </w:t>
      </w:r>
      <w:r w:rsidRPr="00CC6129">
        <w:rPr>
          <w:rFonts w:ascii="Book Antiqua" w:hAnsi="Book Antiqua"/>
          <w:sz w:val="24"/>
          <w:szCs w:val="24"/>
          <w:lang w:val="en-US"/>
        </w:rPr>
        <w:t>0.0001).</w:t>
      </w:r>
      <w:r w:rsidR="0010680C">
        <w:rPr>
          <w:rFonts w:ascii="Book Antiqua" w:hAnsi="Book Antiqua"/>
          <w:sz w:val="24"/>
          <w:szCs w:val="24"/>
          <w:lang w:val="en-US"/>
        </w:rPr>
        <w:t xml:space="preserve"> </w:t>
      </w:r>
      <w:r w:rsidRPr="00CC6129">
        <w:rPr>
          <w:rFonts w:ascii="Book Antiqua" w:hAnsi="Book Antiqua"/>
          <w:sz w:val="24"/>
          <w:szCs w:val="24"/>
          <w:lang w:val="en-US"/>
        </w:rPr>
        <w:t xml:space="preserve">Similarly, IR was associated with the presence of IGT (median HOMA index </w:t>
      </w:r>
      <w:r w:rsidR="007504C9" w:rsidRPr="00CC6129">
        <w:rPr>
          <w:rFonts w:ascii="Book Antiqua" w:hAnsi="Book Antiqua"/>
          <w:sz w:val="24"/>
          <w:szCs w:val="24"/>
          <w:lang w:val="en-US"/>
        </w:rPr>
        <w:t>4.3</w:t>
      </w:r>
      <w:r w:rsidRPr="00CC6129">
        <w:rPr>
          <w:rFonts w:ascii="Book Antiqua" w:hAnsi="Book Antiqua"/>
          <w:sz w:val="24"/>
          <w:szCs w:val="24"/>
          <w:lang w:val="en-US"/>
        </w:rPr>
        <w:t xml:space="preserve">) or T2D (median HOMA index </w:t>
      </w:r>
      <w:r w:rsidR="007504C9" w:rsidRPr="00CC6129">
        <w:rPr>
          <w:rFonts w:ascii="Book Antiqua" w:hAnsi="Book Antiqua"/>
          <w:sz w:val="24"/>
          <w:szCs w:val="24"/>
          <w:lang w:val="en-US"/>
        </w:rPr>
        <w:t>6.7</w:t>
      </w:r>
      <w:r w:rsidRPr="00CC6129">
        <w:rPr>
          <w:rFonts w:ascii="Book Antiqua" w:hAnsi="Book Antiqua"/>
          <w:sz w:val="24"/>
          <w:szCs w:val="24"/>
          <w:lang w:val="en-US"/>
        </w:rPr>
        <w:t>).</w:t>
      </w:r>
    </w:p>
    <w:p w:rsidR="00534713" w:rsidRPr="00CC6129" w:rsidRDefault="00AA1E22" w:rsidP="0010680C">
      <w:pPr>
        <w:snapToGrid w:val="0"/>
        <w:spacing w:after="0" w:line="360" w:lineRule="auto"/>
        <w:ind w:firstLine="284"/>
        <w:jc w:val="both"/>
        <w:rPr>
          <w:rFonts w:ascii="Book Antiqua" w:hAnsi="Book Antiqua"/>
          <w:sz w:val="24"/>
          <w:szCs w:val="24"/>
          <w:lang w:val="en-US"/>
        </w:rPr>
      </w:pPr>
      <w:r w:rsidRPr="00CC6129">
        <w:rPr>
          <w:rFonts w:ascii="Book Antiqua" w:hAnsi="Book Antiqua"/>
          <w:sz w:val="24"/>
          <w:szCs w:val="24"/>
          <w:lang w:val="en-US"/>
        </w:rPr>
        <w:t>VTE occurred in 9.</w:t>
      </w:r>
      <w:r w:rsidR="00F06029" w:rsidRPr="00CC6129">
        <w:rPr>
          <w:rFonts w:ascii="Book Antiqua" w:hAnsi="Book Antiqua"/>
          <w:sz w:val="24"/>
          <w:szCs w:val="24"/>
          <w:lang w:val="en-US"/>
        </w:rPr>
        <w:t>9</w:t>
      </w:r>
      <w:r w:rsidRPr="00CC6129">
        <w:rPr>
          <w:rFonts w:ascii="Book Antiqua" w:hAnsi="Book Antiqua"/>
          <w:sz w:val="24"/>
          <w:szCs w:val="24"/>
          <w:lang w:val="en-US"/>
        </w:rPr>
        <w:t>% (Table 1) of GI cancer patients (median TTE: 3.</w:t>
      </w:r>
      <w:r w:rsidR="00F06029" w:rsidRPr="00CC6129">
        <w:rPr>
          <w:rFonts w:ascii="Book Antiqua" w:hAnsi="Book Antiqua"/>
          <w:sz w:val="24"/>
          <w:szCs w:val="24"/>
          <w:lang w:val="en-US"/>
        </w:rPr>
        <w:t>2</w:t>
      </w:r>
      <w:r w:rsidRPr="00CC6129">
        <w:rPr>
          <w:rFonts w:ascii="Book Antiqua" w:hAnsi="Book Antiqua"/>
          <w:sz w:val="24"/>
          <w:szCs w:val="24"/>
          <w:lang w:val="en-US"/>
        </w:rPr>
        <w:t xml:space="preserve"> mo)</w:t>
      </w:r>
      <w:r w:rsidR="007D6042" w:rsidRPr="00CC6129">
        <w:rPr>
          <w:rFonts w:ascii="Book Antiqua" w:hAnsi="Book Antiqua"/>
          <w:bCs/>
          <w:sz w:val="24"/>
          <w:szCs w:val="24"/>
          <w:lang w:val="en-US"/>
        </w:rPr>
        <w:t xml:space="preserve"> (7</w:t>
      </w:r>
      <w:r w:rsidR="00F06029" w:rsidRPr="00CC6129">
        <w:rPr>
          <w:rFonts w:ascii="Book Antiqua" w:hAnsi="Book Antiqua"/>
          <w:bCs/>
          <w:sz w:val="24"/>
          <w:szCs w:val="24"/>
          <w:lang w:val="en-US"/>
        </w:rPr>
        <w:t>.5</w:t>
      </w:r>
      <w:r w:rsidR="007D6042" w:rsidRPr="00CC6129">
        <w:rPr>
          <w:rFonts w:ascii="Book Antiqua" w:hAnsi="Book Antiqua"/>
          <w:bCs/>
          <w:sz w:val="24"/>
          <w:szCs w:val="24"/>
          <w:lang w:val="en-US"/>
        </w:rPr>
        <w:t>% of non-diabetic non-obese patients)</w:t>
      </w:r>
      <w:r w:rsidRPr="00CC6129">
        <w:rPr>
          <w:rFonts w:ascii="Book Antiqua" w:hAnsi="Book Antiqua"/>
          <w:sz w:val="24"/>
          <w:szCs w:val="24"/>
          <w:lang w:val="en-US"/>
        </w:rPr>
        <w:t>, in agreement with previous reports</w:t>
      </w:r>
      <w:r w:rsidRPr="00CC6129">
        <w:rPr>
          <w:rFonts w:ascii="Book Antiqua" w:hAnsi="Book Antiqua"/>
          <w:sz w:val="24"/>
          <w:szCs w:val="24"/>
          <w:vertAlign w:val="superscript"/>
          <w:lang w:val="en-US"/>
        </w:rPr>
        <w:t>[1]</w:t>
      </w:r>
      <w:r w:rsidRPr="00CC6129">
        <w:rPr>
          <w:rFonts w:ascii="Book Antiqua" w:hAnsi="Book Antiqua"/>
          <w:sz w:val="24"/>
          <w:szCs w:val="24"/>
          <w:lang w:val="en-US"/>
        </w:rPr>
        <w:t>.</w:t>
      </w:r>
      <w:r w:rsidR="0010680C">
        <w:rPr>
          <w:rFonts w:ascii="Book Antiqua" w:hAnsi="Book Antiqua"/>
          <w:sz w:val="24"/>
          <w:szCs w:val="24"/>
          <w:lang w:val="en-US"/>
        </w:rPr>
        <w:t xml:space="preserve"> </w:t>
      </w:r>
      <w:r w:rsidRPr="00CC6129">
        <w:rPr>
          <w:rFonts w:ascii="Book Antiqua" w:hAnsi="Book Antiqua"/>
          <w:sz w:val="24"/>
          <w:szCs w:val="24"/>
          <w:lang w:val="en-US"/>
        </w:rPr>
        <w:t xml:space="preserve">In particular, </w:t>
      </w:r>
      <w:r w:rsidR="00F06029" w:rsidRPr="00CC6129">
        <w:rPr>
          <w:rFonts w:ascii="Book Antiqua" w:hAnsi="Book Antiqua"/>
          <w:sz w:val="24"/>
          <w:szCs w:val="24"/>
          <w:lang w:val="en-US"/>
        </w:rPr>
        <w:t>15</w:t>
      </w:r>
      <w:r w:rsidRPr="00CC6129">
        <w:rPr>
          <w:rFonts w:ascii="Book Antiqua" w:hAnsi="Book Antiqua"/>
          <w:sz w:val="24"/>
          <w:szCs w:val="24"/>
          <w:lang w:val="en-US"/>
        </w:rPr>
        <w:t xml:space="preserve"> (3 non fatal sub-segmental PE, 2 portal vein thrombosis and 10 DVT) patients were incidentally diagnosed with asymptomatic VTE at time of CT-scan for restaging.</w:t>
      </w:r>
      <w:r w:rsidR="0010680C">
        <w:rPr>
          <w:rFonts w:ascii="Book Antiqua" w:hAnsi="Book Antiqua"/>
          <w:sz w:val="24"/>
          <w:szCs w:val="24"/>
          <w:lang w:val="en-US"/>
        </w:rPr>
        <w:t xml:space="preserve"> </w:t>
      </w:r>
      <w:r w:rsidRPr="00CC6129">
        <w:rPr>
          <w:rFonts w:ascii="Book Antiqua" w:hAnsi="Book Antiqua"/>
          <w:sz w:val="24"/>
          <w:szCs w:val="24"/>
          <w:lang w:val="en-US"/>
        </w:rPr>
        <w:t xml:space="preserve">Symptomatic VTE was diagnosed in the remaining </w:t>
      </w:r>
      <w:r w:rsidR="00F06029" w:rsidRPr="00CC6129">
        <w:rPr>
          <w:rFonts w:ascii="Book Antiqua" w:hAnsi="Book Antiqua"/>
          <w:sz w:val="24"/>
          <w:szCs w:val="24"/>
          <w:lang w:val="en-US"/>
        </w:rPr>
        <w:t>19</w:t>
      </w:r>
      <w:r w:rsidRPr="00CC6129">
        <w:rPr>
          <w:rFonts w:ascii="Book Antiqua" w:hAnsi="Book Antiqua"/>
          <w:sz w:val="24"/>
          <w:szCs w:val="24"/>
          <w:lang w:val="en-US"/>
        </w:rPr>
        <w:t xml:space="preserve"> patients.</w:t>
      </w:r>
      <w:r w:rsidR="0010680C">
        <w:rPr>
          <w:rFonts w:ascii="Book Antiqua" w:hAnsi="Book Antiqua"/>
          <w:sz w:val="24"/>
          <w:szCs w:val="24"/>
          <w:lang w:val="en-US"/>
        </w:rPr>
        <w:t xml:space="preserve"> </w:t>
      </w:r>
      <w:r w:rsidR="00534713" w:rsidRPr="00CC6129">
        <w:rPr>
          <w:rFonts w:ascii="Book Antiqua" w:hAnsi="Book Antiqua"/>
          <w:sz w:val="24"/>
          <w:szCs w:val="24"/>
          <w:lang w:val="en-US"/>
        </w:rPr>
        <w:t>Clinical characteristics of all 3</w:t>
      </w:r>
      <w:r w:rsidR="00F06029" w:rsidRPr="00CC6129">
        <w:rPr>
          <w:rFonts w:ascii="Book Antiqua" w:hAnsi="Book Antiqua"/>
          <w:sz w:val="24"/>
          <w:szCs w:val="24"/>
          <w:lang w:val="en-US"/>
        </w:rPr>
        <w:t>4</w:t>
      </w:r>
      <w:r w:rsidR="00534713" w:rsidRPr="00CC6129">
        <w:rPr>
          <w:rFonts w:ascii="Book Antiqua" w:hAnsi="Book Antiqua"/>
          <w:sz w:val="24"/>
          <w:szCs w:val="24"/>
          <w:lang w:val="en-US"/>
        </w:rPr>
        <w:t xml:space="preserve"> patients with VTE are reported in Supplementary Table </w:t>
      </w:r>
      <w:r w:rsidR="009A2962" w:rsidRPr="00CC6129">
        <w:rPr>
          <w:rFonts w:ascii="Book Antiqua" w:hAnsi="Book Antiqua"/>
          <w:sz w:val="24"/>
          <w:szCs w:val="24"/>
          <w:lang w:val="en-US"/>
        </w:rPr>
        <w:t>2</w:t>
      </w:r>
      <w:r w:rsidR="00534713" w:rsidRPr="00CC6129">
        <w:rPr>
          <w:rFonts w:ascii="Book Antiqua" w:hAnsi="Book Antiqua"/>
          <w:sz w:val="24"/>
          <w:szCs w:val="24"/>
          <w:lang w:val="en-US"/>
        </w:rPr>
        <w:t>.</w:t>
      </w:r>
    </w:p>
    <w:p w:rsidR="003D14BA" w:rsidRPr="00CC6129" w:rsidRDefault="003D14BA" w:rsidP="0010680C">
      <w:pPr>
        <w:snapToGrid w:val="0"/>
        <w:spacing w:after="0" w:line="360" w:lineRule="auto"/>
        <w:ind w:firstLine="284"/>
        <w:jc w:val="both"/>
        <w:rPr>
          <w:rFonts w:ascii="Book Antiqua" w:hAnsi="Book Antiqua"/>
          <w:sz w:val="24"/>
          <w:szCs w:val="24"/>
          <w:lang w:val="en-US"/>
        </w:rPr>
      </w:pPr>
      <w:r w:rsidRPr="00CC6129">
        <w:rPr>
          <w:rFonts w:ascii="Book Antiqua" w:hAnsi="Book Antiqua"/>
          <w:sz w:val="24"/>
          <w:szCs w:val="24"/>
          <w:lang w:val="en-US"/>
        </w:rPr>
        <w:t xml:space="preserve">Of interest, only 2 (8%) VTE events were recorded among the 25 classified </w:t>
      </w:r>
      <w:r w:rsidR="00006AEB" w:rsidRPr="00CC6129">
        <w:rPr>
          <w:rFonts w:ascii="Book Antiqua" w:hAnsi="Book Antiqua"/>
          <w:sz w:val="24"/>
          <w:szCs w:val="24"/>
          <w:lang w:val="en-US"/>
        </w:rPr>
        <w:t xml:space="preserve">as </w:t>
      </w:r>
      <w:r w:rsidRPr="00CC6129">
        <w:rPr>
          <w:rFonts w:ascii="Book Antiqua" w:hAnsi="Book Antiqua"/>
          <w:sz w:val="24"/>
          <w:szCs w:val="24"/>
          <w:lang w:val="en-US"/>
        </w:rPr>
        <w:t>high-risk for VTE, as per current guidelines</w:t>
      </w:r>
      <w:r w:rsidRPr="00CC6129">
        <w:rPr>
          <w:rFonts w:ascii="Book Antiqua" w:hAnsi="Book Antiqua"/>
          <w:sz w:val="24"/>
          <w:szCs w:val="24"/>
          <w:vertAlign w:val="superscript"/>
          <w:lang w:val="en-US"/>
        </w:rPr>
        <w:t>[23]</w:t>
      </w:r>
      <w:r w:rsidRPr="00CC6129">
        <w:rPr>
          <w:rFonts w:ascii="Book Antiqua" w:hAnsi="Book Antiqua"/>
          <w:sz w:val="24"/>
          <w:szCs w:val="24"/>
          <w:lang w:val="en-US"/>
        </w:rPr>
        <w:t>.</w:t>
      </w:r>
      <w:r w:rsidR="0010680C">
        <w:rPr>
          <w:rFonts w:ascii="Book Antiqua" w:hAnsi="Book Antiqua"/>
          <w:sz w:val="24"/>
          <w:szCs w:val="24"/>
          <w:lang w:val="en-US"/>
        </w:rPr>
        <w:t xml:space="preserve"> </w:t>
      </w:r>
      <w:r w:rsidRPr="00CC6129">
        <w:rPr>
          <w:rFonts w:ascii="Book Antiqua" w:hAnsi="Book Antiqua"/>
          <w:sz w:val="24"/>
          <w:szCs w:val="24"/>
          <w:lang w:val="en-US"/>
        </w:rPr>
        <w:t xml:space="preserve">Conversely, VTE occurred in </w:t>
      </w:r>
      <w:r w:rsidR="00F06029" w:rsidRPr="00CC6129">
        <w:rPr>
          <w:rFonts w:ascii="Book Antiqua" w:hAnsi="Book Antiqua"/>
          <w:sz w:val="24"/>
          <w:szCs w:val="24"/>
          <w:lang w:val="en-US"/>
        </w:rPr>
        <w:t>10</w:t>
      </w:r>
      <w:r w:rsidRPr="00CC6129">
        <w:rPr>
          <w:rFonts w:ascii="Book Antiqua" w:hAnsi="Book Antiqua"/>
          <w:sz w:val="24"/>
          <w:szCs w:val="24"/>
          <w:lang w:val="en-US"/>
        </w:rPr>
        <w:t>% and 11% of patients classified as low- or intermediate-risk according to Khorana</w:t>
      </w:r>
      <w:r w:rsidRPr="00CC6129">
        <w:rPr>
          <w:rFonts w:ascii="Book Antiqua" w:hAnsi="Book Antiqua"/>
          <w:sz w:val="24"/>
          <w:szCs w:val="24"/>
          <w:vertAlign w:val="superscript"/>
          <w:lang w:val="en-US"/>
        </w:rPr>
        <w:t>[23]</w:t>
      </w:r>
      <w:r w:rsidRPr="00CC6129">
        <w:rPr>
          <w:rFonts w:ascii="Book Antiqua" w:hAnsi="Book Antiqua"/>
          <w:sz w:val="24"/>
          <w:szCs w:val="24"/>
          <w:lang w:val="en-US"/>
        </w:rPr>
        <w:t>, respectively.</w:t>
      </w:r>
      <w:r w:rsidR="0010680C">
        <w:rPr>
          <w:rFonts w:ascii="Book Antiqua" w:hAnsi="Book Antiqua"/>
          <w:sz w:val="24"/>
          <w:szCs w:val="24"/>
          <w:lang w:val="en-US"/>
        </w:rPr>
        <w:t xml:space="preserve"> </w:t>
      </w:r>
      <w:r w:rsidR="00B13423" w:rsidRPr="00CC6129">
        <w:rPr>
          <w:rFonts w:ascii="Book Antiqua" w:hAnsi="Book Antiqua"/>
          <w:sz w:val="24"/>
          <w:szCs w:val="24"/>
          <w:lang w:val="en-US"/>
        </w:rPr>
        <w:t xml:space="preserve">VTE incidence increased with </w:t>
      </w:r>
      <w:r w:rsidR="006D679C" w:rsidRPr="00CC6129">
        <w:rPr>
          <w:rFonts w:ascii="Book Antiqua" w:hAnsi="Book Antiqua"/>
          <w:sz w:val="24"/>
          <w:szCs w:val="24"/>
          <w:lang w:val="en-US"/>
        </w:rPr>
        <w:t xml:space="preserve">high </w:t>
      </w:r>
      <w:r w:rsidR="00F06029" w:rsidRPr="00CC6129">
        <w:rPr>
          <w:rFonts w:ascii="Book Antiqua" w:hAnsi="Book Antiqua"/>
          <w:sz w:val="24"/>
          <w:szCs w:val="24"/>
          <w:lang w:val="en-US"/>
        </w:rPr>
        <w:t xml:space="preserve">ECOG-PS </w:t>
      </w:r>
      <w:r w:rsidR="00B13423" w:rsidRPr="00CC6129">
        <w:rPr>
          <w:rFonts w:ascii="Book Antiqua" w:hAnsi="Book Antiqua"/>
          <w:sz w:val="24"/>
          <w:szCs w:val="24"/>
          <w:lang w:val="en-US"/>
        </w:rPr>
        <w:t>(</w:t>
      </w:r>
      <w:r w:rsidR="000730D3" w:rsidRPr="000730D3">
        <w:rPr>
          <w:rFonts w:ascii="Book Antiqua" w:hAnsi="Book Antiqua"/>
          <w:i/>
          <w:caps/>
          <w:sz w:val="24"/>
          <w:szCs w:val="24"/>
          <w:lang w:val="en-US"/>
        </w:rPr>
        <w:t>p</w:t>
      </w:r>
      <w:r w:rsidR="000730D3" w:rsidRPr="00CC6129">
        <w:rPr>
          <w:rFonts w:ascii="Book Antiqua" w:hAnsi="Book Antiqua"/>
          <w:sz w:val="24"/>
          <w:szCs w:val="24"/>
          <w:lang w:val="en-US"/>
        </w:rPr>
        <w:t xml:space="preserve"> </w:t>
      </w:r>
      <w:r w:rsidR="00B13423" w:rsidRPr="00CC6129">
        <w:rPr>
          <w:rFonts w:ascii="Book Antiqua" w:hAnsi="Book Antiqua"/>
          <w:sz w:val="24"/>
          <w:szCs w:val="24"/>
          <w:lang w:val="en-US"/>
        </w:rPr>
        <w:t>=</w:t>
      </w:r>
      <w:r w:rsidR="000730D3">
        <w:rPr>
          <w:rFonts w:ascii="Book Antiqua" w:hAnsi="Book Antiqua" w:hint="eastAsia"/>
          <w:sz w:val="24"/>
          <w:szCs w:val="24"/>
          <w:lang w:val="en-US" w:eastAsia="zh-CN"/>
        </w:rPr>
        <w:t xml:space="preserve"> </w:t>
      </w:r>
      <w:r w:rsidR="00B13423" w:rsidRPr="00CC6129">
        <w:rPr>
          <w:rFonts w:ascii="Book Antiqua" w:hAnsi="Book Antiqua"/>
          <w:sz w:val="24"/>
          <w:szCs w:val="24"/>
          <w:lang w:val="en-US"/>
        </w:rPr>
        <w:t>0.025), but n</w:t>
      </w:r>
      <w:r w:rsidRPr="00CC6129">
        <w:rPr>
          <w:rFonts w:ascii="Book Antiqua" w:hAnsi="Book Antiqua"/>
          <w:sz w:val="24"/>
          <w:szCs w:val="24"/>
          <w:lang w:val="en-US"/>
        </w:rPr>
        <w:t xml:space="preserve">o </w:t>
      </w:r>
      <w:r w:rsidR="002D51E5" w:rsidRPr="00CC6129">
        <w:rPr>
          <w:rFonts w:ascii="Book Antiqua" w:hAnsi="Book Antiqua"/>
          <w:sz w:val="24"/>
          <w:szCs w:val="24"/>
          <w:lang w:val="en-US"/>
        </w:rPr>
        <w:t xml:space="preserve">significant </w:t>
      </w:r>
      <w:r w:rsidRPr="00CC6129">
        <w:rPr>
          <w:rFonts w:ascii="Book Antiqua" w:hAnsi="Book Antiqua"/>
          <w:sz w:val="24"/>
          <w:szCs w:val="24"/>
          <w:lang w:val="en-US"/>
        </w:rPr>
        <w:t xml:space="preserve">difference was observed </w:t>
      </w:r>
      <w:r w:rsidR="002D51E5" w:rsidRPr="00CC6129">
        <w:rPr>
          <w:rFonts w:ascii="Book Antiqua" w:hAnsi="Book Antiqua"/>
          <w:sz w:val="24"/>
          <w:szCs w:val="24"/>
          <w:lang w:val="en-US"/>
        </w:rPr>
        <w:t xml:space="preserve">for VTE rates </w:t>
      </w:r>
      <w:r w:rsidRPr="00CC6129">
        <w:rPr>
          <w:rFonts w:ascii="Book Antiqua" w:hAnsi="Book Antiqua"/>
          <w:sz w:val="24"/>
          <w:szCs w:val="24"/>
          <w:lang w:val="en-US"/>
        </w:rPr>
        <w:t>among patients with colorectal</w:t>
      </w:r>
      <w:r w:rsidR="002D51E5" w:rsidRPr="00CC6129">
        <w:rPr>
          <w:rFonts w:ascii="Book Antiqua" w:hAnsi="Book Antiqua"/>
          <w:sz w:val="24"/>
          <w:szCs w:val="24"/>
          <w:lang w:val="en-US"/>
        </w:rPr>
        <w:t xml:space="preserve"> (</w:t>
      </w:r>
      <w:r w:rsidR="002D51E5" w:rsidRPr="000730D3">
        <w:rPr>
          <w:rFonts w:ascii="Book Antiqua" w:hAnsi="Book Antiqua"/>
          <w:i/>
          <w:sz w:val="24"/>
          <w:szCs w:val="24"/>
          <w:lang w:val="en-US"/>
        </w:rPr>
        <w:t>n</w:t>
      </w:r>
      <w:r w:rsidR="000730D3">
        <w:rPr>
          <w:rFonts w:ascii="Book Antiqua" w:hAnsi="Book Antiqua" w:hint="eastAsia"/>
          <w:sz w:val="24"/>
          <w:szCs w:val="24"/>
          <w:lang w:val="en-US" w:eastAsia="zh-CN"/>
        </w:rPr>
        <w:t xml:space="preserve"> </w:t>
      </w:r>
      <w:r w:rsidR="002D51E5" w:rsidRPr="00CC6129">
        <w:rPr>
          <w:rFonts w:ascii="Book Antiqua" w:hAnsi="Book Antiqua"/>
          <w:sz w:val="24"/>
          <w:szCs w:val="24"/>
          <w:lang w:val="en-US"/>
        </w:rPr>
        <w:t>=</w:t>
      </w:r>
      <w:r w:rsidR="000730D3">
        <w:rPr>
          <w:rFonts w:ascii="Book Antiqua" w:hAnsi="Book Antiqua" w:hint="eastAsia"/>
          <w:sz w:val="24"/>
          <w:szCs w:val="24"/>
          <w:lang w:val="en-US" w:eastAsia="zh-CN"/>
        </w:rPr>
        <w:t xml:space="preserve"> </w:t>
      </w:r>
      <w:r w:rsidR="002D51E5" w:rsidRPr="00CC6129">
        <w:rPr>
          <w:rFonts w:ascii="Book Antiqua" w:hAnsi="Book Antiqua"/>
          <w:sz w:val="24"/>
          <w:szCs w:val="24"/>
          <w:lang w:val="en-US"/>
        </w:rPr>
        <w:t>2</w:t>
      </w:r>
      <w:r w:rsidR="00F06029" w:rsidRPr="00CC6129">
        <w:rPr>
          <w:rFonts w:ascii="Book Antiqua" w:hAnsi="Book Antiqua"/>
          <w:sz w:val="24"/>
          <w:szCs w:val="24"/>
          <w:lang w:val="en-US"/>
        </w:rPr>
        <w:t>5</w:t>
      </w:r>
      <w:r w:rsidR="002D51E5" w:rsidRPr="00CC6129">
        <w:rPr>
          <w:rFonts w:ascii="Book Antiqua" w:hAnsi="Book Antiqua"/>
          <w:sz w:val="24"/>
          <w:szCs w:val="24"/>
          <w:lang w:val="en-US"/>
        </w:rPr>
        <w:t xml:space="preserve">, </w:t>
      </w:r>
      <w:r w:rsidR="00F06029" w:rsidRPr="00CC6129">
        <w:rPr>
          <w:rFonts w:ascii="Book Antiqua" w:hAnsi="Book Antiqua"/>
          <w:sz w:val="24"/>
          <w:szCs w:val="24"/>
          <w:lang w:val="en-US"/>
        </w:rPr>
        <w:t>11</w:t>
      </w:r>
      <w:r w:rsidR="002D51E5" w:rsidRPr="00CC6129">
        <w:rPr>
          <w:rFonts w:ascii="Book Antiqua" w:hAnsi="Book Antiqua"/>
          <w:sz w:val="24"/>
          <w:szCs w:val="24"/>
          <w:lang w:val="en-US"/>
        </w:rPr>
        <w:t>%)</w:t>
      </w:r>
      <w:r w:rsidRPr="00CC6129">
        <w:rPr>
          <w:rFonts w:ascii="Book Antiqua" w:hAnsi="Book Antiqua"/>
          <w:sz w:val="24"/>
          <w:szCs w:val="24"/>
          <w:lang w:val="en-US"/>
        </w:rPr>
        <w:t>, gastro-esophageal</w:t>
      </w:r>
      <w:r w:rsidR="002D51E5" w:rsidRPr="00CC6129">
        <w:rPr>
          <w:rFonts w:ascii="Book Antiqua" w:hAnsi="Book Antiqua"/>
          <w:sz w:val="24"/>
          <w:szCs w:val="24"/>
          <w:lang w:val="en-US"/>
        </w:rPr>
        <w:t xml:space="preserve"> (</w:t>
      </w:r>
      <w:r w:rsidR="002D51E5" w:rsidRPr="000730D3">
        <w:rPr>
          <w:rFonts w:ascii="Book Antiqua" w:hAnsi="Book Antiqua"/>
          <w:i/>
          <w:sz w:val="24"/>
          <w:szCs w:val="24"/>
          <w:lang w:val="en-US"/>
        </w:rPr>
        <w:t>n</w:t>
      </w:r>
      <w:r w:rsidR="000730D3">
        <w:rPr>
          <w:rFonts w:ascii="Book Antiqua" w:hAnsi="Book Antiqua" w:hint="eastAsia"/>
          <w:sz w:val="24"/>
          <w:szCs w:val="24"/>
          <w:lang w:val="en-US" w:eastAsia="zh-CN"/>
        </w:rPr>
        <w:t xml:space="preserve"> </w:t>
      </w:r>
      <w:r w:rsidR="002D51E5" w:rsidRPr="00CC6129">
        <w:rPr>
          <w:rFonts w:ascii="Book Antiqua" w:hAnsi="Book Antiqua"/>
          <w:sz w:val="24"/>
          <w:szCs w:val="24"/>
          <w:lang w:val="en-US"/>
        </w:rPr>
        <w:t>=</w:t>
      </w:r>
      <w:r w:rsidR="000730D3">
        <w:rPr>
          <w:rFonts w:ascii="Book Antiqua" w:hAnsi="Book Antiqua" w:hint="eastAsia"/>
          <w:sz w:val="24"/>
          <w:szCs w:val="24"/>
          <w:lang w:val="en-US" w:eastAsia="zh-CN"/>
        </w:rPr>
        <w:t xml:space="preserve"> </w:t>
      </w:r>
      <w:r w:rsidR="002D51E5" w:rsidRPr="00CC6129">
        <w:rPr>
          <w:rFonts w:ascii="Book Antiqua" w:hAnsi="Book Antiqua"/>
          <w:sz w:val="24"/>
          <w:szCs w:val="24"/>
          <w:lang w:val="en-US"/>
        </w:rPr>
        <w:t>5, 9.5%)</w:t>
      </w:r>
      <w:r w:rsidRPr="00CC6129">
        <w:rPr>
          <w:rFonts w:ascii="Book Antiqua" w:hAnsi="Book Antiqua"/>
          <w:sz w:val="24"/>
          <w:szCs w:val="24"/>
          <w:lang w:val="en-US"/>
        </w:rPr>
        <w:t xml:space="preserve"> or pancreatobiliary </w:t>
      </w:r>
      <w:r w:rsidR="002D51E5" w:rsidRPr="00CC6129">
        <w:rPr>
          <w:rFonts w:ascii="Book Antiqua" w:hAnsi="Book Antiqua"/>
          <w:sz w:val="24"/>
          <w:szCs w:val="24"/>
          <w:lang w:val="en-US"/>
        </w:rPr>
        <w:t>(</w:t>
      </w:r>
      <w:r w:rsidR="002D51E5" w:rsidRPr="000730D3">
        <w:rPr>
          <w:rFonts w:ascii="Book Antiqua" w:hAnsi="Book Antiqua"/>
          <w:i/>
          <w:sz w:val="24"/>
          <w:szCs w:val="24"/>
          <w:lang w:val="en-US"/>
        </w:rPr>
        <w:t>n</w:t>
      </w:r>
      <w:r w:rsidR="000730D3">
        <w:rPr>
          <w:rFonts w:ascii="Book Antiqua" w:hAnsi="Book Antiqua" w:hint="eastAsia"/>
          <w:sz w:val="24"/>
          <w:szCs w:val="24"/>
          <w:lang w:val="en-US" w:eastAsia="zh-CN"/>
        </w:rPr>
        <w:t xml:space="preserve"> </w:t>
      </w:r>
      <w:r w:rsidR="002D51E5" w:rsidRPr="00CC6129">
        <w:rPr>
          <w:rFonts w:ascii="Book Antiqua" w:hAnsi="Book Antiqua"/>
          <w:sz w:val="24"/>
          <w:szCs w:val="24"/>
          <w:lang w:val="en-US"/>
        </w:rPr>
        <w:t>=</w:t>
      </w:r>
      <w:r w:rsidR="000730D3">
        <w:rPr>
          <w:rFonts w:ascii="Book Antiqua" w:hAnsi="Book Antiqua" w:hint="eastAsia"/>
          <w:sz w:val="24"/>
          <w:szCs w:val="24"/>
          <w:lang w:val="en-US" w:eastAsia="zh-CN"/>
        </w:rPr>
        <w:t xml:space="preserve"> </w:t>
      </w:r>
      <w:r w:rsidR="002D51E5" w:rsidRPr="00CC6129">
        <w:rPr>
          <w:rFonts w:ascii="Book Antiqua" w:hAnsi="Book Antiqua"/>
          <w:sz w:val="24"/>
          <w:szCs w:val="24"/>
          <w:lang w:val="en-US"/>
        </w:rPr>
        <w:t>4, 7.7%) carcinomas.</w:t>
      </w:r>
      <w:r w:rsidR="0010680C">
        <w:rPr>
          <w:rFonts w:ascii="Book Antiqua" w:hAnsi="Book Antiqua"/>
          <w:sz w:val="24"/>
          <w:szCs w:val="24"/>
          <w:lang w:val="en-US"/>
        </w:rPr>
        <w:t xml:space="preserve"> </w:t>
      </w:r>
      <w:r w:rsidR="002D51E5" w:rsidRPr="00CC6129">
        <w:rPr>
          <w:rFonts w:ascii="Book Antiqua" w:hAnsi="Book Antiqua"/>
          <w:sz w:val="24"/>
          <w:szCs w:val="24"/>
          <w:lang w:val="en-US"/>
        </w:rPr>
        <w:t xml:space="preserve">Similarly, no association was found with other clinical variables, such as metastatic disease, </w:t>
      </w:r>
      <w:r w:rsidR="00BF42D0" w:rsidRPr="00CC6129">
        <w:rPr>
          <w:rFonts w:ascii="Book Antiqua" w:hAnsi="Book Antiqua"/>
          <w:sz w:val="24"/>
          <w:szCs w:val="24"/>
          <w:lang w:val="en-US"/>
        </w:rPr>
        <w:t xml:space="preserve">T2D, obesity, </w:t>
      </w:r>
      <w:r w:rsidR="002D51E5" w:rsidRPr="00CC6129">
        <w:rPr>
          <w:rFonts w:ascii="Book Antiqua" w:hAnsi="Book Antiqua"/>
          <w:sz w:val="24"/>
          <w:szCs w:val="24"/>
          <w:lang w:val="en-US"/>
        </w:rPr>
        <w:t xml:space="preserve">or different chemotherapy regimens, </w:t>
      </w:r>
      <w:r w:rsidR="00B64CF8" w:rsidRPr="00CC6129">
        <w:rPr>
          <w:rFonts w:ascii="Book Antiqua" w:hAnsi="Book Antiqua"/>
          <w:sz w:val="24"/>
          <w:szCs w:val="24"/>
          <w:lang w:val="en-US"/>
        </w:rPr>
        <w:t>although</w:t>
      </w:r>
      <w:r w:rsidR="002D51E5" w:rsidRPr="00CC6129">
        <w:rPr>
          <w:rFonts w:ascii="Book Antiqua" w:hAnsi="Book Antiqua"/>
          <w:sz w:val="24"/>
          <w:szCs w:val="24"/>
          <w:lang w:val="en-US"/>
        </w:rPr>
        <w:t xml:space="preserve"> VTE rates were higher in patients receiving bevacizumab (</w:t>
      </w:r>
      <w:r w:rsidR="00B13423" w:rsidRPr="00CC6129">
        <w:rPr>
          <w:rFonts w:ascii="Book Antiqua" w:hAnsi="Book Antiqua"/>
          <w:sz w:val="24"/>
          <w:szCs w:val="24"/>
          <w:lang w:val="en-US"/>
        </w:rPr>
        <w:t xml:space="preserve">17% </w:t>
      </w:r>
      <w:r w:rsidR="00B13423" w:rsidRPr="000730D3">
        <w:rPr>
          <w:rFonts w:ascii="Book Antiqua" w:hAnsi="Book Antiqua"/>
          <w:i/>
          <w:sz w:val="24"/>
          <w:szCs w:val="24"/>
          <w:lang w:val="en-US"/>
        </w:rPr>
        <w:t>vs</w:t>
      </w:r>
      <w:r w:rsidR="000730D3">
        <w:rPr>
          <w:rFonts w:ascii="Book Antiqua" w:hAnsi="Book Antiqua" w:hint="eastAsia"/>
          <w:sz w:val="24"/>
          <w:szCs w:val="24"/>
          <w:lang w:val="en-US" w:eastAsia="zh-CN"/>
        </w:rPr>
        <w:t xml:space="preserve"> </w:t>
      </w:r>
      <w:r w:rsidR="00B13423" w:rsidRPr="00CC6129">
        <w:rPr>
          <w:rFonts w:ascii="Book Antiqua" w:hAnsi="Book Antiqua"/>
          <w:sz w:val="24"/>
          <w:szCs w:val="24"/>
          <w:lang w:val="en-US"/>
        </w:rPr>
        <w:t>8</w:t>
      </w:r>
      <w:r w:rsidR="002D51E5" w:rsidRPr="00CC6129">
        <w:rPr>
          <w:rFonts w:ascii="Book Antiqua" w:hAnsi="Book Antiqua"/>
          <w:sz w:val="24"/>
          <w:szCs w:val="24"/>
          <w:lang w:val="en-US"/>
        </w:rPr>
        <w:t xml:space="preserve">%, </w:t>
      </w:r>
      <w:r w:rsidR="000730D3" w:rsidRPr="000730D3">
        <w:rPr>
          <w:rFonts w:ascii="Book Antiqua" w:hAnsi="Book Antiqua"/>
          <w:i/>
          <w:caps/>
          <w:sz w:val="24"/>
          <w:szCs w:val="24"/>
          <w:lang w:val="en-US"/>
        </w:rPr>
        <w:t>p</w:t>
      </w:r>
      <w:r w:rsidR="000730D3" w:rsidRPr="00CC6129">
        <w:rPr>
          <w:rFonts w:ascii="Book Antiqua" w:hAnsi="Book Antiqua"/>
          <w:sz w:val="24"/>
          <w:szCs w:val="24"/>
          <w:lang w:val="en-US"/>
        </w:rPr>
        <w:t xml:space="preserve"> </w:t>
      </w:r>
      <w:r w:rsidR="002D51E5" w:rsidRPr="00CC6129">
        <w:rPr>
          <w:rFonts w:ascii="Book Antiqua" w:hAnsi="Book Antiqua"/>
          <w:sz w:val="24"/>
          <w:szCs w:val="24"/>
          <w:lang w:val="en-US"/>
        </w:rPr>
        <w:t>=</w:t>
      </w:r>
      <w:r w:rsidR="000730D3">
        <w:rPr>
          <w:rFonts w:ascii="Book Antiqua" w:hAnsi="Book Antiqua" w:hint="eastAsia"/>
          <w:sz w:val="24"/>
          <w:szCs w:val="24"/>
          <w:lang w:val="en-US" w:eastAsia="zh-CN"/>
        </w:rPr>
        <w:t xml:space="preserve"> </w:t>
      </w:r>
      <w:r w:rsidR="002D51E5" w:rsidRPr="00CC6129">
        <w:rPr>
          <w:rFonts w:ascii="Book Antiqua" w:hAnsi="Book Antiqua"/>
          <w:sz w:val="24"/>
          <w:szCs w:val="24"/>
          <w:lang w:val="en-US"/>
        </w:rPr>
        <w:t>0.</w:t>
      </w:r>
      <w:r w:rsidR="00B13423" w:rsidRPr="00CC6129">
        <w:rPr>
          <w:rFonts w:ascii="Book Antiqua" w:hAnsi="Book Antiqua"/>
          <w:sz w:val="24"/>
          <w:szCs w:val="24"/>
          <w:lang w:val="en-US"/>
        </w:rPr>
        <w:t>044</w:t>
      </w:r>
      <w:r w:rsidR="002D51E5" w:rsidRPr="00CC6129">
        <w:rPr>
          <w:rFonts w:ascii="Book Antiqua" w:hAnsi="Book Antiqua"/>
          <w:sz w:val="24"/>
          <w:szCs w:val="24"/>
          <w:lang w:val="en-US"/>
        </w:rPr>
        <w:t>).</w:t>
      </w:r>
      <w:r w:rsidR="0010680C">
        <w:rPr>
          <w:rFonts w:ascii="Book Antiqua" w:hAnsi="Book Antiqua"/>
          <w:sz w:val="24"/>
          <w:szCs w:val="24"/>
          <w:lang w:val="en-US"/>
        </w:rPr>
        <w:t xml:space="preserve"> </w:t>
      </w:r>
      <w:r w:rsidR="00BF42D0" w:rsidRPr="00CC6129">
        <w:rPr>
          <w:rFonts w:ascii="Book Antiqua" w:hAnsi="Book Antiqua"/>
          <w:sz w:val="24"/>
          <w:szCs w:val="24"/>
          <w:lang w:val="en-US"/>
        </w:rPr>
        <w:t>On the other hand</w:t>
      </w:r>
      <w:r w:rsidR="002D51E5" w:rsidRPr="00CC6129">
        <w:rPr>
          <w:rFonts w:ascii="Book Antiqua" w:hAnsi="Book Antiqua"/>
          <w:sz w:val="24"/>
          <w:szCs w:val="24"/>
          <w:lang w:val="en-US"/>
        </w:rPr>
        <w:t>,</w:t>
      </w:r>
      <w:r w:rsidR="00BF42D0" w:rsidRPr="00CC6129">
        <w:rPr>
          <w:rFonts w:ascii="Book Antiqua" w:hAnsi="Book Antiqua"/>
          <w:sz w:val="24"/>
          <w:szCs w:val="24"/>
          <w:lang w:val="en-US"/>
        </w:rPr>
        <w:t xml:space="preserve"> </w:t>
      </w:r>
      <w:r w:rsidR="00BF42D0" w:rsidRPr="00CC6129">
        <w:rPr>
          <w:rFonts w:ascii="Book Antiqua" w:hAnsi="Book Antiqua"/>
          <w:sz w:val="24"/>
          <w:szCs w:val="24"/>
          <w:lang w:val="en-US"/>
        </w:rPr>
        <w:lastRenderedPageBreak/>
        <w:t>pre-treatment</w:t>
      </w:r>
      <w:r w:rsidR="002D51E5" w:rsidRPr="00CC6129">
        <w:rPr>
          <w:rFonts w:ascii="Book Antiqua" w:hAnsi="Book Antiqua"/>
          <w:sz w:val="24"/>
          <w:szCs w:val="24"/>
          <w:lang w:val="en-US"/>
        </w:rPr>
        <w:t xml:space="preserve"> </w:t>
      </w:r>
      <w:r w:rsidR="00BF42D0" w:rsidRPr="00CC6129">
        <w:rPr>
          <w:rFonts w:ascii="Book Antiqua" w:hAnsi="Book Antiqua"/>
          <w:sz w:val="24"/>
          <w:szCs w:val="24"/>
          <w:lang w:val="en-US"/>
        </w:rPr>
        <w:t>fasting blood glucose, insulin, HOMA</w:t>
      </w:r>
      <w:r w:rsidR="00CB1B39" w:rsidRPr="00CC6129">
        <w:rPr>
          <w:rFonts w:ascii="Book Antiqua" w:hAnsi="Book Antiqua"/>
          <w:sz w:val="24"/>
          <w:szCs w:val="24"/>
          <w:lang w:val="en-US"/>
        </w:rPr>
        <w:t xml:space="preserve"> index</w:t>
      </w:r>
      <w:r w:rsidR="00BF42D0" w:rsidRPr="00CC6129">
        <w:rPr>
          <w:rFonts w:ascii="Book Antiqua" w:hAnsi="Book Antiqua"/>
          <w:sz w:val="24"/>
          <w:szCs w:val="24"/>
          <w:lang w:val="en-US"/>
        </w:rPr>
        <w:t>, but not HbA</w:t>
      </w:r>
      <w:r w:rsidR="00BF42D0" w:rsidRPr="00CC6129">
        <w:rPr>
          <w:rFonts w:ascii="Book Antiqua" w:hAnsi="Book Antiqua"/>
          <w:sz w:val="24"/>
          <w:szCs w:val="24"/>
          <w:vertAlign w:val="subscript"/>
          <w:lang w:val="en-US"/>
        </w:rPr>
        <w:t>1c</w:t>
      </w:r>
      <w:r w:rsidR="00BF42D0" w:rsidRPr="00CC6129">
        <w:rPr>
          <w:rFonts w:ascii="Book Antiqua" w:hAnsi="Book Antiqua"/>
          <w:sz w:val="24"/>
          <w:szCs w:val="24"/>
          <w:lang w:val="en-US"/>
        </w:rPr>
        <w:t xml:space="preserve">, were </w:t>
      </w:r>
      <w:r w:rsidR="002417C4" w:rsidRPr="00CC6129">
        <w:rPr>
          <w:rFonts w:ascii="Book Antiqua" w:hAnsi="Book Antiqua"/>
          <w:sz w:val="24"/>
          <w:szCs w:val="24"/>
          <w:lang w:val="en-US"/>
        </w:rPr>
        <w:t>higher</w:t>
      </w:r>
      <w:r w:rsidR="00BF42D0" w:rsidRPr="00CC6129">
        <w:rPr>
          <w:rFonts w:ascii="Book Antiqua" w:hAnsi="Book Antiqua"/>
          <w:sz w:val="24"/>
          <w:szCs w:val="24"/>
          <w:lang w:val="en-US"/>
        </w:rPr>
        <w:t xml:space="preserve"> in patients who developed VTE during treatment compared with those who did not (</w:t>
      </w:r>
      <w:r w:rsidR="007B105D" w:rsidRPr="00CC6129">
        <w:rPr>
          <w:rFonts w:ascii="Book Antiqua" w:hAnsi="Book Antiqua"/>
          <w:sz w:val="24"/>
          <w:szCs w:val="24"/>
          <w:lang w:val="en-US"/>
        </w:rPr>
        <w:t>Table 2</w:t>
      </w:r>
      <w:r w:rsidR="00BF42D0" w:rsidRPr="00CC6129">
        <w:rPr>
          <w:rFonts w:ascii="Book Antiqua" w:hAnsi="Book Antiqua"/>
          <w:sz w:val="24"/>
          <w:szCs w:val="24"/>
          <w:lang w:val="en-US"/>
        </w:rPr>
        <w:t>).</w:t>
      </w:r>
    </w:p>
    <w:p w:rsidR="00401F52" w:rsidRPr="00CC6129" w:rsidRDefault="005803AB" w:rsidP="0010680C">
      <w:pPr>
        <w:snapToGrid w:val="0"/>
        <w:spacing w:after="0" w:line="360" w:lineRule="auto"/>
        <w:ind w:firstLine="284"/>
        <w:jc w:val="both"/>
        <w:rPr>
          <w:rFonts w:ascii="Book Antiqua" w:hAnsi="Book Antiqua"/>
          <w:sz w:val="24"/>
          <w:szCs w:val="24"/>
          <w:lang w:val="en-US"/>
        </w:rPr>
      </w:pPr>
      <w:r w:rsidRPr="00CC6129">
        <w:rPr>
          <w:rFonts w:ascii="Book Antiqua" w:hAnsi="Book Antiqua"/>
          <w:sz w:val="24"/>
          <w:szCs w:val="24"/>
          <w:lang w:val="en-US"/>
        </w:rPr>
        <w:t xml:space="preserve">Receiver Operating Characteristics (ROC) </w:t>
      </w:r>
      <w:r w:rsidR="00FD44C7" w:rsidRPr="00CC6129">
        <w:rPr>
          <w:rFonts w:ascii="Book Antiqua" w:hAnsi="Book Antiqua"/>
          <w:sz w:val="24"/>
          <w:szCs w:val="24"/>
          <w:lang w:val="en-US"/>
        </w:rPr>
        <w:t xml:space="preserve">curves </w:t>
      </w:r>
      <w:r w:rsidRPr="00CC6129">
        <w:rPr>
          <w:rFonts w:ascii="Book Antiqua" w:hAnsi="Book Antiqua"/>
          <w:sz w:val="24"/>
          <w:szCs w:val="24"/>
          <w:lang w:val="en-US"/>
        </w:rPr>
        <w:t xml:space="preserve">and </w:t>
      </w:r>
      <w:r w:rsidR="00FD44C7" w:rsidRPr="00CC6129">
        <w:rPr>
          <w:rFonts w:ascii="Book Antiqua" w:hAnsi="Book Antiqua"/>
          <w:sz w:val="24"/>
          <w:szCs w:val="24"/>
          <w:lang w:val="en-US"/>
        </w:rPr>
        <w:t>b</w:t>
      </w:r>
      <w:r w:rsidRPr="00CC6129">
        <w:rPr>
          <w:rFonts w:ascii="Book Antiqua" w:hAnsi="Book Antiqua"/>
          <w:sz w:val="24"/>
          <w:szCs w:val="24"/>
          <w:lang w:val="en-US"/>
        </w:rPr>
        <w:t xml:space="preserve">ayesian </w:t>
      </w:r>
      <w:r w:rsidR="00FD44C7" w:rsidRPr="00CC6129">
        <w:rPr>
          <w:rFonts w:ascii="Book Antiqua" w:hAnsi="Book Antiqua"/>
          <w:sz w:val="24"/>
          <w:szCs w:val="24"/>
          <w:lang w:val="en-US"/>
        </w:rPr>
        <w:t>a</w:t>
      </w:r>
      <w:r w:rsidRPr="00CC6129">
        <w:rPr>
          <w:rFonts w:ascii="Book Antiqua" w:hAnsi="Book Antiqua"/>
          <w:sz w:val="24"/>
          <w:szCs w:val="24"/>
          <w:lang w:val="en-US"/>
        </w:rPr>
        <w:t xml:space="preserve">nalysis </w:t>
      </w:r>
      <w:r w:rsidR="00FD44C7" w:rsidRPr="00CC6129">
        <w:rPr>
          <w:rFonts w:ascii="Book Antiqua" w:hAnsi="Book Antiqua"/>
          <w:sz w:val="24"/>
          <w:szCs w:val="24"/>
          <w:lang w:val="en-US"/>
        </w:rPr>
        <w:t xml:space="preserve">was, then, carried out to analyze the predictive performances of glycemic parameters. Details are reported in Table </w:t>
      </w:r>
      <w:r w:rsidR="007B105D" w:rsidRPr="00CC6129">
        <w:rPr>
          <w:rFonts w:ascii="Book Antiqua" w:hAnsi="Book Antiqua"/>
          <w:sz w:val="24"/>
          <w:szCs w:val="24"/>
          <w:lang w:val="en-US"/>
        </w:rPr>
        <w:t>3</w:t>
      </w:r>
      <w:r w:rsidR="00FD44C7" w:rsidRPr="00CC6129">
        <w:rPr>
          <w:rFonts w:ascii="Book Antiqua" w:hAnsi="Book Antiqua"/>
          <w:sz w:val="24"/>
          <w:szCs w:val="24"/>
          <w:lang w:val="en-US"/>
        </w:rPr>
        <w:t>, showing that pre-treatment fasting blood glucose</w:t>
      </w:r>
      <w:r w:rsidR="00DD3E42" w:rsidRPr="00CC6129">
        <w:rPr>
          <w:rFonts w:ascii="Book Antiqua" w:hAnsi="Book Antiqua"/>
          <w:sz w:val="24"/>
          <w:szCs w:val="24"/>
          <w:lang w:val="en-US"/>
        </w:rPr>
        <w:t>,</w:t>
      </w:r>
      <w:r w:rsidR="00FD44C7" w:rsidRPr="00CC6129">
        <w:rPr>
          <w:rFonts w:ascii="Book Antiqua" w:hAnsi="Book Antiqua"/>
          <w:sz w:val="24"/>
          <w:szCs w:val="24"/>
          <w:lang w:val="en-US"/>
        </w:rPr>
        <w:t xml:space="preserve"> insulin</w:t>
      </w:r>
      <w:r w:rsidR="00DD3E42" w:rsidRPr="00CC6129">
        <w:rPr>
          <w:rFonts w:ascii="Book Antiqua" w:hAnsi="Book Antiqua"/>
          <w:sz w:val="24"/>
          <w:szCs w:val="24"/>
          <w:lang w:val="en-US"/>
        </w:rPr>
        <w:t xml:space="preserve"> and the composite HOMA index</w:t>
      </w:r>
      <w:r w:rsidR="00264C41" w:rsidRPr="00CC6129">
        <w:rPr>
          <w:rFonts w:ascii="Book Antiqua" w:hAnsi="Book Antiqua"/>
          <w:sz w:val="24"/>
          <w:szCs w:val="24"/>
          <w:lang w:val="en-US"/>
        </w:rPr>
        <w:t xml:space="preserve">, but </w:t>
      </w:r>
      <w:r w:rsidR="007D6042" w:rsidRPr="00CC6129">
        <w:rPr>
          <w:rFonts w:ascii="Book Antiqua" w:hAnsi="Book Antiqua"/>
          <w:sz w:val="24"/>
          <w:szCs w:val="24"/>
          <w:lang w:val="en-US"/>
        </w:rPr>
        <w:t>to a lesser extent</w:t>
      </w:r>
      <w:r w:rsidR="00264C41" w:rsidRPr="00CC6129">
        <w:rPr>
          <w:rFonts w:ascii="Book Antiqua" w:hAnsi="Book Antiqua"/>
          <w:sz w:val="24"/>
          <w:szCs w:val="24"/>
          <w:lang w:val="en-US"/>
        </w:rPr>
        <w:t xml:space="preserve"> HbA</w:t>
      </w:r>
      <w:r w:rsidR="00264C41" w:rsidRPr="00CC6129">
        <w:rPr>
          <w:rFonts w:ascii="Book Antiqua" w:hAnsi="Book Antiqua"/>
          <w:sz w:val="24"/>
          <w:szCs w:val="24"/>
          <w:vertAlign w:val="subscript"/>
          <w:lang w:val="en-US"/>
        </w:rPr>
        <w:t>1c</w:t>
      </w:r>
      <w:r w:rsidR="00264C41" w:rsidRPr="00CC6129">
        <w:rPr>
          <w:rFonts w:ascii="Book Antiqua" w:hAnsi="Book Antiqua"/>
          <w:sz w:val="24"/>
          <w:szCs w:val="24"/>
          <w:lang w:val="en-US"/>
        </w:rPr>
        <w:t xml:space="preserve"> levels</w:t>
      </w:r>
      <w:r w:rsidR="007D6042" w:rsidRPr="00CC6129">
        <w:rPr>
          <w:rFonts w:ascii="Book Antiqua" w:hAnsi="Book Antiqua"/>
          <w:sz w:val="24"/>
          <w:szCs w:val="24"/>
          <w:lang w:val="en-US"/>
        </w:rPr>
        <w:t>,</w:t>
      </w:r>
      <w:r w:rsidR="00264C41" w:rsidRPr="00CC6129">
        <w:rPr>
          <w:rFonts w:ascii="Book Antiqua" w:hAnsi="Book Antiqua"/>
          <w:sz w:val="24"/>
          <w:szCs w:val="24"/>
          <w:lang w:val="en-US"/>
        </w:rPr>
        <w:t xml:space="preserve"> </w:t>
      </w:r>
      <w:r w:rsidR="00FD44C7" w:rsidRPr="00CC6129">
        <w:rPr>
          <w:rFonts w:ascii="Book Antiqua" w:hAnsi="Book Antiqua"/>
          <w:sz w:val="24"/>
          <w:szCs w:val="24"/>
          <w:lang w:val="en-US"/>
        </w:rPr>
        <w:t xml:space="preserve">were </w:t>
      </w:r>
      <w:r w:rsidR="00B13423" w:rsidRPr="00CC6129">
        <w:rPr>
          <w:rFonts w:ascii="Book Antiqua" w:hAnsi="Book Antiqua"/>
          <w:sz w:val="24"/>
          <w:szCs w:val="24"/>
          <w:lang w:val="en-US"/>
        </w:rPr>
        <w:t xml:space="preserve">all </w:t>
      </w:r>
      <w:r w:rsidR="00264C41" w:rsidRPr="00CC6129">
        <w:rPr>
          <w:rFonts w:ascii="Book Antiqua" w:hAnsi="Book Antiqua"/>
          <w:sz w:val="24"/>
          <w:szCs w:val="24"/>
          <w:lang w:val="en-US"/>
        </w:rPr>
        <w:t xml:space="preserve">associated with a significant probability of having or not VTE </w:t>
      </w:r>
      <w:r w:rsidR="00FD44C7" w:rsidRPr="00CC6129">
        <w:rPr>
          <w:rFonts w:ascii="Book Antiqua" w:hAnsi="Book Antiqua"/>
          <w:sz w:val="24"/>
          <w:szCs w:val="24"/>
          <w:lang w:val="en-US"/>
        </w:rPr>
        <w:t xml:space="preserve">during </w:t>
      </w:r>
      <w:r w:rsidR="00264C41" w:rsidRPr="00CC6129">
        <w:rPr>
          <w:rFonts w:ascii="Book Antiqua" w:hAnsi="Book Antiqua"/>
          <w:sz w:val="24"/>
          <w:szCs w:val="24"/>
          <w:lang w:val="en-US"/>
        </w:rPr>
        <w:t>chemotherapy.</w:t>
      </w:r>
      <w:r w:rsidR="0010680C">
        <w:rPr>
          <w:rFonts w:ascii="Book Antiqua" w:hAnsi="Book Antiqua"/>
          <w:sz w:val="24"/>
          <w:szCs w:val="24"/>
          <w:lang w:val="en-US"/>
        </w:rPr>
        <w:t xml:space="preserve"> </w:t>
      </w:r>
      <w:r w:rsidR="00FD44C7" w:rsidRPr="00CC6129">
        <w:rPr>
          <w:rFonts w:ascii="Book Antiqua" w:hAnsi="Book Antiqua"/>
          <w:sz w:val="24"/>
          <w:szCs w:val="24"/>
          <w:lang w:val="en-US"/>
        </w:rPr>
        <w:t>Hence, cut-off level</w:t>
      </w:r>
      <w:r w:rsidR="00DD3E42" w:rsidRPr="00CC6129">
        <w:rPr>
          <w:rFonts w:ascii="Book Antiqua" w:hAnsi="Book Antiqua"/>
          <w:sz w:val="24"/>
          <w:szCs w:val="24"/>
          <w:lang w:val="en-US"/>
        </w:rPr>
        <w:t xml:space="preserve">s corresponding to the </w:t>
      </w:r>
      <w:r w:rsidR="00D000C4" w:rsidRPr="00CC6129">
        <w:rPr>
          <w:rFonts w:ascii="Book Antiqua" w:hAnsi="Book Antiqua"/>
          <w:sz w:val="24"/>
          <w:szCs w:val="24"/>
          <w:lang w:val="en-US"/>
        </w:rPr>
        <w:t xml:space="preserve">criteria </w:t>
      </w:r>
      <w:r w:rsidR="00DD3E42" w:rsidRPr="00CC6129">
        <w:rPr>
          <w:rFonts w:ascii="Book Antiqua" w:hAnsi="Book Antiqua"/>
          <w:sz w:val="24"/>
          <w:szCs w:val="24"/>
          <w:lang w:val="en-US"/>
        </w:rPr>
        <w:t xml:space="preserve">associated with </w:t>
      </w:r>
      <w:r w:rsidR="00D000C4" w:rsidRPr="00CC6129">
        <w:rPr>
          <w:rFonts w:ascii="Book Antiqua" w:hAnsi="Book Antiqua"/>
          <w:sz w:val="24"/>
          <w:szCs w:val="24"/>
          <w:lang w:val="en-US"/>
        </w:rPr>
        <w:t xml:space="preserve">the </w:t>
      </w:r>
      <w:r w:rsidR="00DD3E42" w:rsidRPr="00CC6129">
        <w:rPr>
          <w:rFonts w:ascii="Book Antiqua" w:hAnsi="Book Antiqua"/>
          <w:sz w:val="24"/>
          <w:szCs w:val="24"/>
          <w:lang w:val="en-US"/>
        </w:rPr>
        <w:t>highest Youden index</w:t>
      </w:r>
      <w:r w:rsidR="00D000C4" w:rsidRPr="00CC6129">
        <w:rPr>
          <w:rFonts w:ascii="Book Antiqua" w:hAnsi="Book Antiqua"/>
          <w:sz w:val="24"/>
          <w:szCs w:val="24"/>
          <w:lang w:val="en-US"/>
        </w:rPr>
        <w:t>es</w:t>
      </w:r>
      <w:r w:rsidR="00FD44C7" w:rsidRPr="00CC6129">
        <w:rPr>
          <w:rFonts w:ascii="Book Antiqua" w:hAnsi="Book Antiqua"/>
          <w:sz w:val="24"/>
          <w:szCs w:val="24"/>
          <w:lang w:val="en-US"/>
        </w:rPr>
        <w:t xml:space="preserve"> w</w:t>
      </w:r>
      <w:r w:rsidR="00DD3E42" w:rsidRPr="00CC6129">
        <w:rPr>
          <w:rFonts w:ascii="Book Antiqua" w:hAnsi="Book Antiqua"/>
          <w:sz w:val="24"/>
          <w:szCs w:val="24"/>
          <w:lang w:val="en-US"/>
        </w:rPr>
        <w:t>ere</w:t>
      </w:r>
      <w:r w:rsidR="00FD44C7" w:rsidRPr="00CC6129">
        <w:rPr>
          <w:rFonts w:ascii="Book Antiqua" w:hAnsi="Book Antiqua"/>
          <w:sz w:val="24"/>
          <w:szCs w:val="24"/>
          <w:lang w:val="en-US"/>
        </w:rPr>
        <w:t xml:space="preserve"> employed for </w:t>
      </w:r>
      <w:r w:rsidR="003E06BC" w:rsidRPr="00CC6129">
        <w:rPr>
          <w:rFonts w:ascii="Book Antiqua" w:hAnsi="Book Antiqua"/>
          <w:sz w:val="24"/>
          <w:szCs w:val="24"/>
          <w:lang w:val="en-US"/>
        </w:rPr>
        <w:t>patients’</w:t>
      </w:r>
      <w:r w:rsidR="002417C4" w:rsidRPr="00CC6129">
        <w:rPr>
          <w:rFonts w:ascii="Book Antiqua" w:hAnsi="Book Antiqua"/>
          <w:sz w:val="24"/>
          <w:szCs w:val="24"/>
          <w:lang w:val="en-US"/>
        </w:rPr>
        <w:t xml:space="preserve"> categorization and subsequent</w:t>
      </w:r>
      <w:r w:rsidR="00FD44C7" w:rsidRPr="00CC6129">
        <w:rPr>
          <w:rFonts w:ascii="Book Antiqua" w:hAnsi="Book Antiqua"/>
          <w:sz w:val="24"/>
          <w:szCs w:val="24"/>
          <w:lang w:val="en-US"/>
        </w:rPr>
        <w:t xml:space="preserve"> analyses.</w:t>
      </w:r>
      <w:r w:rsidR="0010680C">
        <w:rPr>
          <w:rFonts w:ascii="Book Antiqua" w:hAnsi="Book Antiqua"/>
          <w:sz w:val="24"/>
          <w:szCs w:val="24"/>
          <w:lang w:val="en-US"/>
        </w:rPr>
        <w:t xml:space="preserve"> </w:t>
      </w:r>
      <w:r w:rsidR="00DD3E42" w:rsidRPr="00CC6129">
        <w:rPr>
          <w:rFonts w:ascii="Book Antiqua" w:hAnsi="Book Antiqua"/>
          <w:sz w:val="24"/>
          <w:szCs w:val="24"/>
          <w:lang w:val="en-US"/>
        </w:rPr>
        <w:t xml:space="preserve">Multivariate </w:t>
      </w:r>
      <w:r w:rsidR="00097697" w:rsidRPr="00CC6129">
        <w:rPr>
          <w:rFonts w:ascii="Book Antiqua" w:hAnsi="Book Antiqua"/>
          <w:sz w:val="24"/>
          <w:szCs w:val="24"/>
          <w:lang w:val="en-US"/>
        </w:rPr>
        <w:t>Cox proportional analysis showed that</w:t>
      </w:r>
      <w:r w:rsidR="00DD3E42" w:rsidRPr="00CC6129">
        <w:rPr>
          <w:rFonts w:ascii="Book Antiqua" w:hAnsi="Book Antiqua"/>
          <w:sz w:val="24"/>
          <w:szCs w:val="24"/>
          <w:lang w:val="en-US"/>
        </w:rPr>
        <w:t xml:space="preserve">, among all variables listed in Table </w:t>
      </w:r>
      <w:r w:rsidR="007B105D" w:rsidRPr="00CC6129">
        <w:rPr>
          <w:rFonts w:ascii="Book Antiqua" w:hAnsi="Book Antiqua"/>
          <w:sz w:val="24"/>
          <w:szCs w:val="24"/>
          <w:lang w:val="en-US"/>
        </w:rPr>
        <w:t>4</w:t>
      </w:r>
      <w:r w:rsidR="00DD3E42" w:rsidRPr="00CC6129">
        <w:rPr>
          <w:rFonts w:ascii="Book Antiqua" w:hAnsi="Book Antiqua"/>
          <w:sz w:val="24"/>
          <w:szCs w:val="24"/>
          <w:lang w:val="en-US"/>
        </w:rPr>
        <w:t>,</w:t>
      </w:r>
      <w:r w:rsidR="00097697" w:rsidRPr="00CC6129">
        <w:rPr>
          <w:rFonts w:ascii="Book Antiqua" w:hAnsi="Book Antiqua"/>
          <w:sz w:val="24"/>
          <w:szCs w:val="24"/>
          <w:lang w:val="en-US"/>
        </w:rPr>
        <w:t xml:space="preserve"> </w:t>
      </w:r>
      <w:r w:rsidR="00DD3E42" w:rsidRPr="00CC6129">
        <w:rPr>
          <w:rFonts w:ascii="Book Antiqua" w:hAnsi="Book Antiqua"/>
          <w:sz w:val="24"/>
          <w:szCs w:val="24"/>
          <w:lang w:val="en-US"/>
        </w:rPr>
        <w:t xml:space="preserve">only </w:t>
      </w:r>
      <w:r w:rsidR="00B13423" w:rsidRPr="00CC6129">
        <w:rPr>
          <w:rFonts w:ascii="Book Antiqua" w:hAnsi="Book Antiqua"/>
          <w:sz w:val="24"/>
          <w:szCs w:val="24"/>
          <w:lang w:val="en-US"/>
        </w:rPr>
        <w:t>ECOG-PS</w:t>
      </w:r>
      <w:r w:rsidR="00DD3E42" w:rsidRPr="00CC6129">
        <w:rPr>
          <w:rFonts w:ascii="Book Antiqua" w:hAnsi="Book Antiqua"/>
          <w:sz w:val="24"/>
          <w:szCs w:val="24"/>
          <w:lang w:val="en-US"/>
        </w:rPr>
        <w:t xml:space="preserve"> </w:t>
      </w:r>
      <w:r w:rsidR="000730D3" w:rsidRPr="00CC6129">
        <w:rPr>
          <w:rFonts w:ascii="Book Antiqua" w:hAnsi="Book Antiqua"/>
          <w:sz w:val="24"/>
          <w:szCs w:val="24"/>
          <w:lang w:val="en-US"/>
        </w:rPr>
        <w:t>(</w:t>
      </w:r>
      <w:r w:rsidR="00097697" w:rsidRPr="00CC6129">
        <w:rPr>
          <w:rFonts w:ascii="Book Antiqua" w:hAnsi="Book Antiqua"/>
          <w:sz w:val="24"/>
          <w:szCs w:val="24"/>
          <w:lang w:val="en-US"/>
        </w:rPr>
        <w:t xml:space="preserve">HR </w:t>
      </w:r>
      <w:r w:rsidR="000730D3">
        <w:rPr>
          <w:rFonts w:ascii="Book Antiqua" w:hAnsi="Book Antiqua" w:hint="eastAsia"/>
          <w:sz w:val="24"/>
          <w:szCs w:val="24"/>
          <w:lang w:val="en-US" w:eastAsia="zh-CN"/>
        </w:rPr>
        <w:t xml:space="preserve">= </w:t>
      </w:r>
      <w:r w:rsidR="00B13423" w:rsidRPr="00CC6129">
        <w:rPr>
          <w:rFonts w:ascii="Book Antiqua" w:hAnsi="Book Antiqua"/>
          <w:sz w:val="24"/>
          <w:szCs w:val="24"/>
          <w:lang w:val="en-US"/>
        </w:rPr>
        <w:t>2.47</w:t>
      </w:r>
      <w:r w:rsidR="000730D3">
        <w:rPr>
          <w:rFonts w:ascii="Book Antiqua" w:hAnsi="Book Antiqua" w:hint="eastAsia"/>
          <w:sz w:val="24"/>
          <w:szCs w:val="24"/>
          <w:lang w:val="en-US" w:eastAsia="zh-CN"/>
        </w:rPr>
        <w:t>,</w:t>
      </w:r>
      <w:r w:rsidR="00B13423" w:rsidRPr="00CC6129">
        <w:rPr>
          <w:rFonts w:ascii="Book Antiqua" w:hAnsi="Book Antiqua"/>
          <w:sz w:val="24"/>
          <w:szCs w:val="24"/>
          <w:lang w:val="en-US"/>
        </w:rPr>
        <w:t xml:space="preserve"> </w:t>
      </w:r>
      <w:r w:rsidR="000730D3">
        <w:rPr>
          <w:rFonts w:ascii="Book Antiqua" w:hAnsi="Book Antiqua"/>
          <w:sz w:val="24"/>
          <w:szCs w:val="24"/>
          <w:lang w:val="en-US"/>
        </w:rPr>
        <w:t>95%C</w:t>
      </w:r>
      <w:r w:rsidR="00CD450D">
        <w:rPr>
          <w:rFonts w:ascii="Book Antiqua" w:hAnsi="Book Antiqua" w:hint="eastAsia"/>
          <w:sz w:val="24"/>
          <w:szCs w:val="24"/>
          <w:lang w:val="en-US" w:eastAsia="zh-CN"/>
        </w:rPr>
        <w:t>I</w:t>
      </w:r>
      <w:r w:rsidR="00097697" w:rsidRPr="00CC6129">
        <w:rPr>
          <w:rFonts w:ascii="Book Antiqua" w:hAnsi="Book Antiqua"/>
          <w:sz w:val="24"/>
          <w:szCs w:val="24"/>
          <w:lang w:val="en-US"/>
        </w:rPr>
        <w:t xml:space="preserve">: </w:t>
      </w:r>
      <w:r w:rsidR="00B13423" w:rsidRPr="00CC6129">
        <w:rPr>
          <w:rFonts w:ascii="Book Antiqua" w:hAnsi="Book Antiqua"/>
          <w:sz w:val="24"/>
          <w:szCs w:val="24"/>
          <w:lang w:val="en-US"/>
        </w:rPr>
        <w:t>1.2</w:t>
      </w:r>
      <w:r w:rsidR="00A4570E" w:rsidRPr="00CC6129">
        <w:rPr>
          <w:rFonts w:ascii="Book Antiqua" w:hAnsi="Book Antiqua"/>
          <w:sz w:val="24"/>
          <w:szCs w:val="24"/>
          <w:lang w:val="en-US"/>
        </w:rPr>
        <w:t>2</w:t>
      </w:r>
      <w:r w:rsidR="000730D3">
        <w:rPr>
          <w:rFonts w:ascii="Book Antiqua" w:hAnsi="Book Antiqua" w:hint="eastAsia"/>
          <w:sz w:val="24"/>
          <w:szCs w:val="24"/>
          <w:lang w:val="en-US" w:eastAsia="zh-CN"/>
        </w:rPr>
        <w:t>-</w:t>
      </w:r>
      <w:r w:rsidR="00B13423" w:rsidRPr="00CC6129">
        <w:rPr>
          <w:rFonts w:ascii="Book Antiqua" w:hAnsi="Book Antiqua"/>
          <w:sz w:val="24"/>
          <w:szCs w:val="24"/>
          <w:lang w:val="en-US"/>
        </w:rPr>
        <w:t>4.99</w:t>
      </w:r>
      <w:r w:rsidR="00097697" w:rsidRPr="00CC6129">
        <w:rPr>
          <w:rFonts w:ascii="Book Antiqua" w:hAnsi="Book Antiqua"/>
          <w:sz w:val="24"/>
          <w:szCs w:val="24"/>
          <w:lang w:val="en-US"/>
        </w:rPr>
        <w:t>)</w:t>
      </w:r>
      <w:r w:rsidR="000730D3">
        <w:rPr>
          <w:rFonts w:ascii="Book Antiqua" w:hAnsi="Book Antiqua" w:hint="eastAsia"/>
          <w:sz w:val="24"/>
          <w:szCs w:val="24"/>
          <w:lang w:val="en-US" w:eastAsia="zh-CN"/>
        </w:rPr>
        <w:t xml:space="preserve"> </w:t>
      </w:r>
      <w:r w:rsidR="00097697" w:rsidRPr="00CC6129">
        <w:rPr>
          <w:rFonts w:ascii="Book Antiqua" w:hAnsi="Book Antiqua"/>
          <w:sz w:val="24"/>
          <w:szCs w:val="24"/>
          <w:lang w:val="en-US"/>
        </w:rPr>
        <w:t xml:space="preserve">and HOMA index </w:t>
      </w:r>
      <w:r w:rsidR="000730D3" w:rsidRPr="00CC6129">
        <w:rPr>
          <w:rFonts w:ascii="Book Antiqua" w:hAnsi="Book Antiqua"/>
          <w:sz w:val="24"/>
          <w:szCs w:val="24"/>
          <w:lang w:val="en-US"/>
        </w:rPr>
        <w:t>(</w:t>
      </w:r>
      <w:r w:rsidR="00097697" w:rsidRPr="00CC6129">
        <w:rPr>
          <w:rFonts w:ascii="Book Antiqua" w:hAnsi="Book Antiqua"/>
          <w:sz w:val="24"/>
          <w:szCs w:val="24"/>
          <w:lang w:val="en-US"/>
        </w:rPr>
        <w:t xml:space="preserve">HR </w:t>
      </w:r>
      <w:r w:rsidR="000730D3">
        <w:rPr>
          <w:rFonts w:ascii="Book Antiqua" w:hAnsi="Book Antiqua" w:hint="eastAsia"/>
          <w:sz w:val="24"/>
          <w:szCs w:val="24"/>
          <w:lang w:val="en-US" w:eastAsia="zh-CN"/>
        </w:rPr>
        <w:t xml:space="preserve">= </w:t>
      </w:r>
      <w:r w:rsidR="00B13423" w:rsidRPr="00CC6129">
        <w:rPr>
          <w:rFonts w:ascii="Book Antiqua" w:hAnsi="Book Antiqua"/>
          <w:sz w:val="24"/>
          <w:szCs w:val="24"/>
          <w:lang w:val="en-US"/>
        </w:rPr>
        <w:t>4.13</w:t>
      </w:r>
      <w:r w:rsidR="000730D3">
        <w:rPr>
          <w:rFonts w:ascii="Book Antiqua" w:hAnsi="Book Antiqua" w:hint="eastAsia"/>
          <w:sz w:val="24"/>
          <w:szCs w:val="24"/>
          <w:lang w:val="en-US" w:eastAsia="zh-CN"/>
        </w:rPr>
        <w:t>,</w:t>
      </w:r>
      <w:r w:rsidR="00B13423" w:rsidRPr="00CC6129">
        <w:rPr>
          <w:rFonts w:ascii="Book Antiqua" w:hAnsi="Book Antiqua"/>
          <w:sz w:val="24"/>
          <w:szCs w:val="24"/>
          <w:lang w:val="en-US"/>
        </w:rPr>
        <w:t xml:space="preserve"> </w:t>
      </w:r>
      <w:r w:rsidR="00097697" w:rsidRPr="00CC6129">
        <w:rPr>
          <w:rFonts w:ascii="Book Antiqua" w:hAnsi="Book Antiqua"/>
          <w:sz w:val="24"/>
          <w:szCs w:val="24"/>
          <w:lang w:val="en-US"/>
        </w:rPr>
        <w:t>95%</w:t>
      </w:r>
      <w:r w:rsidR="0064421C">
        <w:rPr>
          <w:rFonts w:ascii="Book Antiqua" w:hAnsi="Book Antiqua"/>
          <w:sz w:val="24"/>
          <w:szCs w:val="24"/>
          <w:lang w:val="en-US"/>
        </w:rPr>
        <w:t>CI</w:t>
      </w:r>
      <w:r w:rsidR="00097697" w:rsidRPr="00CC6129">
        <w:rPr>
          <w:rFonts w:ascii="Book Antiqua" w:hAnsi="Book Antiqua"/>
          <w:sz w:val="24"/>
          <w:szCs w:val="24"/>
          <w:lang w:val="en-US"/>
        </w:rPr>
        <w:t>:</w:t>
      </w:r>
      <w:r w:rsidR="0064421C">
        <w:rPr>
          <w:rFonts w:ascii="Book Antiqua" w:hAnsi="Book Antiqua" w:hint="eastAsia"/>
          <w:sz w:val="24"/>
          <w:szCs w:val="24"/>
          <w:lang w:val="en-US" w:eastAsia="zh-CN"/>
        </w:rPr>
        <w:t xml:space="preserve"> </w:t>
      </w:r>
      <w:r w:rsidR="00B13423" w:rsidRPr="00CC6129">
        <w:rPr>
          <w:rFonts w:ascii="Book Antiqua" w:hAnsi="Book Antiqua"/>
          <w:sz w:val="24"/>
          <w:szCs w:val="24"/>
          <w:lang w:val="en-US"/>
        </w:rPr>
        <w:t>1.63</w:t>
      </w:r>
      <w:r w:rsidR="0064421C">
        <w:rPr>
          <w:rFonts w:ascii="Book Antiqua" w:hAnsi="Book Antiqua" w:hint="eastAsia"/>
          <w:sz w:val="24"/>
          <w:szCs w:val="24"/>
          <w:lang w:val="en-US" w:eastAsia="zh-CN"/>
        </w:rPr>
        <w:t>-</w:t>
      </w:r>
      <w:r w:rsidR="00B13423" w:rsidRPr="00CC6129">
        <w:rPr>
          <w:rFonts w:ascii="Book Antiqua" w:hAnsi="Book Antiqua"/>
          <w:sz w:val="24"/>
          <w:szCs w:val="24"/>
          <w:lang w:val="en-US"/>
        </w:rPr>
        <w:t>10.5</w:t>
      </w:r>
      <w:r w:rsidR="0064421C">
        <w:rPr>
          <w:rFonts w:ascii="Book Antiqua" w:hAnsi="Book Antiqua"/>
          <w:sz w:val="24"/>
          <w:szCs w:val="24"/>
          <w:lang w:val="en-US"/>
        </w:rPr>
        <w:t>)</w:t>
      </w:r>
      <w:r w:rsidR="0064421C">
        <w:rPr>
          <w:rFonts w:ascii="Book Antiqua" w:hAnsi="Book Antiqua" w:hint="eastAsia"/>
          <w:sz w:val="24"/>
          <w:szCs w:val="24"/>
          <w:lang w:val="en-US" w:eastAsia="zh-CN"/>
        </w:rPr>
        <w:t xml:space="preserve"> </w:t>
      </w:r>
      <w:r w:rsidR="00097697" w:rsidRPr="00CC6129">
        <w:rPr>
          <w:rFonts w:ascii="Book Antiqua" w:hAnsi="Book Antiqua"/>
          <w:sz w:val="24"/>
          <w:szCs w:val="24"/>
          <w:lang w:val="en-US"/>
        </w:rPr>
        <w:t>acted as independent VTE predictors (Overall Model Fit: Chi Square</w:t>
      </w:r>
      <w:r w:rsidR="0064421C">
        <w:rPr>
          <w:rFonts w:ascii="Book Antiqua" w:hAnsi="Book Antiqua" w:hint="eastAsia"/>
          <w:sz w:val="24"/>
          <w:szCs w:val="24"/>
          <w:lang w:val="en-US" w:eastAsia="zh-CN"/>
        </w:rPr>
        <w:t xml:space="preserve"> </w:t>
      </w:r>
      <w:r w:rsidR="00097697" w:rsidRPr="00CC6129">
        <w:rPr>
          <w:rFonts w:ascii="Book Antiqua" w:hAnsi="Book Antiqua"/>
          <w:sz w:val="24"/>
          <w:szCs w:val="24"/>
          <w:lang w:val="en-US"/>
        </w:rPr>
        <w:t>=</w:t>
      </w:r>
      <w:r w:rsidR="0064421C">
        <w:rPr>
          <w:rFonts w:ascii="Book Antiqua" w:hAnsi="Book Antiqua" w:hint="eastAsia"/>
          <w:sz w:val="24"/>
          <w:szCs w:val="24"/>
          <w:lang w:val="en-US" w:eastAsia="zh-CN"/>
        </w:rPr>
        <w:t xml:space="preserve"> </w:t>
      </w:r>
      <w:r w:rsidR="00A4570E" w:rsidRPr="00CC6129">
        <w:rPr>
          <w:rFonts w:ascii="Book Antiqua" w:hAnsi="Book Antiqua"/>
          <w:sz w:val="24"/>
          <w:szCs w:val="24"/>
          <w:lang w:val="en-US"/>
        </w:rPr>
        <w:t>30.5</w:t>
      </w:r>
      <w:r w:rsidR="00DD3E42" w:rsidRPr="00CC6129">
        <w:rPr>
          <w:rFonts w:ascii="Book Antiqua" w:hAnsi="Book Antiqua"/>
          <w:sz w:val="24"/>
          <w:szCs w:val="24"/>
          <w:lang w:val="en-US"/>
        </w:rPr>
        <w:t xml:space="preserve">, </w:t>
      </w:r>
      <w:r w:rsidR="0064421C" w:rsidRPr="000730D3">
        <w:rPr>
          <w:rFonts w:ascii="Book Antiqua" w:hAnsi="Book Antiqua"/>
          <w:i/>
          <w:caps/>
          <w:sz w:val="24"/>
          <w:szCs w:val="24"/>
          <w:lang w:val="en-US"/>
        </w:rPr>
        <w:t>p</w:t>
      </w:r>
      <w:r w:rsidR="0064421C" w:rsidRPr="00CC6129">
        <w:rPr>
          <w:rFonts w:ascii="Book Antiqua" w:hAnsi="Book Antiqua"/>
          <w:sz w:val="24"/>
          <w:szCs w:val="24"/>
          <w:lang w:val="en-US"/>
        </w:rPr>
        <w:t xml:space="preserve"> </w:t>
      </w:r>
      <w:r w:rsidR="00DD3E42" w:rsidRPr="00CC6129">
        <w:rPr>
          <w:rFonts w:ascii="Book Antiqua" w:hAnsi="Book Antiqua"/>
          <w:sz w:val="24"/>
          <w:szCs w:val="24"/>
          <w:lang w:val="en-US"/>
        </w:rPr>
        <w:t>=</w:t>
      </w:r>
      <w:r w:rsidR="0064421C">
        <w:rPr>
          <w:rFonts w:ascii="Book Antiqua" w:hAnsi="Book Antiqua" w:hint="eastAsia"/>
          <w:sz w:val="24"/>
          <w:szCs w:val="24"/>
          <w:lang w:val="en-US" w:eastAsia="zh-CN"/>
        </w:rPr>
        <w:t xml:space="preserve"> </w:t>
      </w:r>
      <w:r w:rsidR="00DD3E42" w:rsidRPr="00CC6129">
        <w:rPr>
          <w:rFonts w:ascii="Book Antiqua" w:hAnsi="Book Antiqua"/>
          <w:sz w:val="24"/>
          <w:szCs w:val="24"/>
          <w:lang w:val="en-US"/>
        </w:rPr>
        <w:t>0.00</w:t>
      </w:r>
      <w:r w:rsidR="00A4570E" w:rsidRPr="00CC6129">
        <w:rPr>
          <w:rFonts w:ascii="Book Antiqua" w:hAnsi="Book Antiqua"/>
          <w:sz w:val="24"/>
          <w:szCs w:val="24"/>
          <w:lang w:val="en-US"/>
        </w:rPr>
        <w:t>04</w:t>
      </w:r>
      <w:r w:rsidR="00097697" w:rsidRPr="00CC6129">
        <w:rPr>
          <w:rFonts w:ascii="Book Antiqua" w:hAnsi="Book Antiqua"/>
          <w:sz w:val="24"/>
          <w:szCs w:val="24"/>
          <w:lang w:val="en-US"/>
        </w:rPr>
        <w:t xml:space="preserve">). </w:t>
      </w:r>
      <w:r w:rsidR="00401F52" w:rsidRPr="00CC6129">
        <w:rPr>
          <w:rFonts w:ascii="Book Antiqua" w:hAnsi="Book Antiqua"/>
          <w:sz w:val="24"/>
          <w:szCs w:val="24"/>
          <w:lang w:val="en-US"/>
        </w:rPr>
        <w:t xml:space="preserve">Of interest, when HOMA index was replaced by the individual parameters in an otherwise similar model of Cox analysis, only fasting blood glucose retained significance for VTE risk prediction [HR </w:t>
      </w:r>
      <w:r w:rsidR="00A4570E" w:rsidRPr="00CC6129">
        <w:rPr>
          <w:rFonts w:ascii="Book Antiqua" w:hAnsi="Book Antiqua"/>
          <w:sz w:val="24"/>
          <w:szCs w:val="24"/>
          <w:lang w:val="en-US"/>
        </w:rPr>
        <w:t>3.56</w:t>
      </w:r>
      <w:r w:rsidR="00DE033E">
        <w:rPr>
          <w:rFonts w:ascii="Book Antiqua" w:hAnsi="Book Antiqua"/>
          <w:sz w:val="24"/>
          <w:szCs w:val="24"/>
          <w:lang w:val="en-US"/>
        </w:rPr>
        <w:t xml:space="preserve"> (95%CI</w:t>
      </w:r>
      <w:r w:rsidR="00401F52" w:rsidRPr="00CC6129">
        <w:rPr>
          <w:rFonts w:ascii="Book Antiqua" w:hAnsi="Book Antiqua"/>
          <w:sz w:val="24"/>
          <w:szCs w:val="24"/>
          <w:lang w:val="en-US"/>
        </w:rPr>
        <w:t>: 1.</w:t>
      </w:r>
      <w:r w:rsidR="00A4570E" w:rsidRPr="00CC6129">
        <w:rPr>
          <w:rFonts w:ascii="Book Antiqua" w:hAnsi="Book Antiqua"/>
          <w:sz w:val="24"/>
          <w:szCs w:val="24"/>
          <w:lang w:val="en-US"/>
        </w:rPr>
        <w:t>51</w:t>
      </w:r>
      <w:r w:rsidR="00DE033E">
        <w:rPr>
          <w:rFonts w:ascii="Book Antiqua" w:hAnsi="Book Antiqua" w:hint="eastAsia"/>
          <w:sz w:val="24"/>
          <w:szCs w:val="24"/>
          <w:lang w:val="en-US" w:eastAsia="zh-CN"/>
        </w:rPr>
        <w:t>-</w:t>
      </w:r>
      <w:r w:rsidR="00A4570E" w:rsidRPr="00CC6129">
        <w:rPr>
          <w:rFonts w:ascii="Book Antiqua" w:hAnsi="Book Antiqua"/>
          <w:sz w:val="24"/>
          <w:szCs w:val="24"/>
          <w:lang w:val="en-US"/>
        </w:rPr>
        <w:t>8.39</w:t>
      </w:r>
      <w:r w:rsidR="00401F52" w:rsidRPr="00CC6129">
        <w:rPr>
          <w:rFonts w:ascii="Book Antiqua" w:hAnsi="Book Antiqua"/>
          <w:sz w:val="24"/>
          <w:szCs w:val="24"/>
          <w:lang w:val="en-US"/>
        </w:rPr>
        <w:t xml:space="preserve">)], along with </w:t>
      </w:r>
      <w:r w:rsidR="00A4570E" w:rsidRPr="00CC6129">
        <w:rPr>
          <w:rFonts w:ascii="Book Antiqua" w:hAnsi="Book Antiqua"/>
          <w:sz w:val="24"/>
          <w:szCs w:val="24"/>
          <w:lang w:val="en-US"/>
        </w:rPr>
        <w:t>ECOG-PS</w:t>
      </w:r>
      <w:r w:rsidR="0064421C">
        <w:rPr>
          <w:rFonts w:ascii="Book Antiqua" w:hAnsi="Book Antiqua"/>
          <w:sz w:val="24"/>
          <w:szCs w:val="24"/>
          <w:lang w:val="en-US"/>
        </w:rPr>
        <w:t xml:space="preserve"> </w:t>
      </w:r>
      <w:r w:rsidR="0064421C" w:rsidRPr="00CC6129">
        <w:rPr>
          <w:rFonts w:ascii="Book Antiqua" w:hAnsi="Book Antiqua"/>
          <w:sz w:val="24"/>
          <w:szCs w:val="24"/>
          <w:lang w:val="en-US"/>
        </w:rPr>
        <w:t>(</w:t>
      </w:r>
      <w:r w:rsidR="00401F52" w:rsidRPr="00CC6129">
        <w:rPr>
          <w:rFonts w:ascii="Book Antiqua" w:hAnsi="Book Antiqua"/>
          <w:sz w:val="24"/>
          <w:szCs w:val="24"/>
          <w:lang w:val="en-US"/>
        </w:rPr>
        <w:t xml:space="preserve">HR </w:t>
      </w:r>
      <w:r w:rsidR="0064421C">
        <w:rPr>
          <w:rFonts w:ascii="Book Antiqua" w:hAnsi="Book Antiqua" w:hint="eastAsia"/>
          <w:sz w:val="24"/>
          <w:szCs w:val="24"/>
          <w:lang w:val="en-US" w:eastAsia="zh-CN"/>
        </w:rPr>
        <w:t xml:space="preserve">= </w:t>
      </w:r>
      <w:r w:rsidR="00A4570E" w:rsidRPr="00CC6129">
        <w:rPr>
          <w:rFonts w:ascii="Book Antiqua" w:hAnsi="Book Antiqua"/>
          <w:sz w:val="24"/>
          <w:szCs w:val="24"/>
          <w:lang w:val="en-US"/>
        </w:rPr>
        <w:t>2.34</w:t>
      </w:r>
      <w:r w:rsidR="0064421C">
        <w:rPr>
          <w:rFonts w:ascii="Book Antiqua" w:hAnsi="Book Antiqua" w:hint="eastAsia"/>
          <w:sz w:val="24"/>
          <w:szCs w:val="24"/>
          <w:lang w:val="en-US" w:eastAsia="zh-CN"/>
        </w:rPr>
        <w:t>,</w:t>
      </w:r>
      <w:r w:rsidR="00401F52" w:rsidRPr="00CC6129">
        <w:rPr>
          <w:rFonts w:ascii="Book Antiqua" w:hAnsi="Book Antiqua"/>
          <w:sz w:val="24"/>
          <w:szCs w:val="24"/>
          <w:lang w:val="en-US"/>
        </w:rPr>
        <w:t xml:space="preserve"> </w:t>
      </w:r>
      <w:r w:rsidR="0064421C">
        <w:rPr>
          <w:rFonts w:ascii="Book Antiqua" w:hAnsi="Book Antiqua"/>
          <w:sz w:val="24"/>
          <w:szCs w:val="24"/>
          <w:lang w:val="en-US"/>
        </w:rPr>
        <w:t>95%CI</w:t>
      </w:r>
      <w:r w:rsidR="00401F52" w:rsidRPr="00CC6129">
        <w:rPr>
          <w:rFonts w:ascii="Book Antiqua" w:hAnsi="Book Antiqua"/>
          <w:sz w:val="24"/>
          <w:szCs w:val="24"/>
          <w:lang w:val="en-US"/>
        </w:rPr>
        <w:t>: 1.</w:t>
      </w:r>
      <w:r w:rsidR="00A4570E" w:rsidRPr="00CC6129">
        <w:rPr>
          <w:rFonts w:ascii="Book Antiqua" w:hAnsi="Book Antiqua"/>
          <w:sz w:val="24"/>
          <w:szCs w:val="24"/>
          <w:lang w:val="en-US"/>
        </w:rPr>
        <w:t>17</w:t>
      </w:r>
      <w:r w:rsidR="0064421C">
        <w:rPr>
          <w:rFonts w:ascii="Book Antiqua" w:hAnsi="Book Antiqua" w:hint="eastAsia"/>
          <w:sz w:val="24"/>
          <w:szCs w:val="24"/>
          <w:lang w:val="en-US" w:eastAsia="zh-CN"/>
        </w:rPr>
        <w:t>-</w:t>
      </w:r>
      <w:r w:rsidR="00A4570E" w:rsidRPr="00CC6129">
        <w:rPr>
          <w:rFonts w:ascii="Book Antiqua" w:hAnsi="Book Antiqua"/>
          <w:sz w:val="24"/>
          <w:szCs w:val="24"/>
          <w:lang w:val="en-US"/>
        </w:rPr>
        <w:t>4.69</w:t>
      </w:r>
      <w:r w:rsidR="00401F52" w:rsidRPr="00CC6129">
        <w:rPr>
          <w:rFonts w:ascii="Book Antiqua" w:hAnsi="Book Antiqua"/>
          <w:sz w:val="24"/>
          <w:szCs w:val="24"/>
          <w:lang w:val="en-US"/>
        </w:rPr>
        <w:t>)</w:t>
      </w:r>
      <w:r w:rsidR="0064421C">
        <w:rPr>
          <w:rFonts w:ascii="Book Antiqua" w:hAnsi="Book Antiqua" w:hint="eastAsia"/>
          <w:sz w:val="24"/>
          <w:szCs w:val="24"/>
          <w:lang w:val="en-US" w:eastAsia="zh-CN"/>
        </w:rPr>
        <w:t xml:space="preserve"> </w:t>
      </w:r>
      <w:r w:rsidR="00A4570E" w:rsidRPr="00CC6129">
        <w:rPr>
          <w:rFonts w:ascii="Book Antiqua" w:hAnsi="Book Antiqua"/>
          <w:sz w:val="24"/>
          <w:szCs w:val="24"/>
          <w:lang w:val="en-US"/>
        </w:rPr>
        <w:t xml:space="preserve">(Overall Model Fit: </w:t>
      </w:r>
      <w:r w:rsidR="00CD450D">
        <w:rPr>
          <w:rFonts w:ascii="Book Antiqua" w:hAnsi="Book Antiqua"/>
          <w:sz w:val="24"/>
          <w:szCs w:val="24"/>
          <w:lang w:val="en-US"/>
        </w:rPr>
        <w:sym w:font="Symbol" w:char="F063"/>
      </w:r>
      <w:r w:rsidR="00CD450D">
        <w:rPr>
          <w:rFonts w:ascii="Book Antiqua" w:hAnsi="Book Antiqua" w:hint="eastAsia"/>
          <w:sz w:val="24"/>
          <w:szCs w:val="24"/>
          <w:vertAlign w:val="superscript"/>
          <w:lang w:val="en-US" w:eastAsia="zh-CN"/>
        </w:rPr>
        <w:t>2</w:t>
      </w:r>
      <w:r w:rsidR="0064421C">
        <w:rPr>
          <w:rFonts w:ascii="Book Antiqua" w:hAnsi="Book Antiqua" w:hint="eastAsia"/>
          <w:sz w:val="24"/>
          <w:szCs w:val="24"/>
          <w:lang w:val="en-US" w:eastAsia="zh-CN"/>
        </w:rPr>
        <w:t xml:space="preserve"> </w:t>
      </w:r>
      <w:r w:rsidR="00A4570E" w:rsidRPr="00CC6129">
        <w:rPr>
          <w:rFonts w:ascii="Book Antiqua" w:hAnsi="Book Antiqua"/>
          <w:sz w:val="24"/>
          <w:szCs w:val="24"/>
          <w:lang w:val="en-US"/>
        </w:rPr>
        <w:t>= 36.9,</w:t>
      </w:r>
      <w:r w:rsidR="0010680C">
        <w:rPr>
          <w:rFonts w:ascii="Book Antiqua" w:hAnsi="Book Antiqua"/>
          <w:sz w:val="24"/>
          <w:szCs w:val="24"/>
          <w:lang w:val="en-US"/>
        </w:rPr>
        <w:t xml:space="preserve"> </w:t>
      </w:r>
      <w:r w:rsidR="0064421C" w:rsidRPr="000730D3">
        <w:rPr>
          <w:rFonts w:ascii="Book Antiqua" w:hAnsi="Book Antiqua"/>
          <w:i/>
          <w:caps/>
          <w:sz w:val="24"/>
          <w:szCs w:val="24"/>
          <w:lang w:val="en-US"/>
        </w:rPr>
        <w:t>p</w:t>
      </w:r>
      <w:r w:rsidR="0064421C" w:rsidRPr="00CC6129">
        <w:rPr>
          <w:rFonts w:ascii="Book Antiqua" w:hAnsi="Book Antiqua"/>
          <w:sz w:val="24"/>
          <w:szCs w:val="24"/>
          <w:lang w:val="en-US"/>
        </w:rPr>
        <w:t xml:space="preserve"> </w:t>
      </w:r>
      <w:r w:rsidR="00A4570E" w:rsidRPr="00CC6129">
        <w:rPr>
          <w:rFonts w:ascii="Book Antiqua" w:hAnsi="Book Antiqua"/>
          <w:sz w:val="24"/>
          <w:szCs w:val="24"/>
          <w:lang w:val="en-US"/>
        </w:rPr>
        <w:t>=</w:t>
      </w:r>
      <w:r w:rsidR="0064421C">
        <w:rPr>
          <w:rFonts w:ascii="Book Antiqua" w:hAnsi="Book Antiqua" w:hint="eastAsia"/>
          <w:sz w:val="24"/>
          <w:szCs w:val="24"/>
          <w:lang w:val="en-US" w:eastAsia="zh-CN"/>
        </w:rPr>
        <w:t xml:space="preserve"> </w:t>
      </w:r>
      <w:r w:rsidR="00A4570E" w:rsidRPr="00CC6129">
        <w:rPr>
          <w:rFonts w:ascii="Book Antiqua" w:hAnsi="Book Antiqua"/>
          <w:sz w:val="24"/>
          <w:szCs w:val="24"/>
          <w:lang w:val="en-US"/>
        </w:rPr>
        <w:t>0.0001)</w:t>
      </w:r>
      <w:r w:rsidR="00401F52" w:rsidRPr="00CC6129">
        <w:rPr>
          <w:rFonts w:ascii="Book Antiqua" w:hAnsi="Book Antiqua"/>
          <w:sz w:val="24"/>
          <w:szCs w:val="24"/>
          <w:lang w:val="en-US"/>
        </w:rPr>
        <w:t>.</w:t>
      </w:r>
      <w:r w:rsidR="0010680C">
        <w:rPr>
          <w:rFonts w:ascii="Book Antiqua" w:hAnsi="Book Antiqua"/>
          <w:sz w:val="24"/>
          <w:szCs w:val="24"/>
          <w:lang w:val="en-US"/>
        </w:rPr>
        <w:t xml:space="preserve"> </w:t>
      </w:r>
      <w:r w:rsidR="009F32D5" w:rsidRPr="00CC6129">
        <w:rPr>
          <w:rFonts w:ascii="Book Antiqua" w:hAnsi="Book Antiqua"/>
          <w:sz w:val="24"/>
          <w:szCs w:val="24"/>
          <w:lang w:val="en-US"/>
        </w:rPr>
        <w:t>I</w:t>
      </w:r>
      <w:r w:rsidR="00B64CF8" w:rsidRPr="00CC6129">
        <w:rPr>
          <w:rFonts w:ascii="Book Antiqua" w:hAnsi="Book Antiqua"/>
          <w:sz w:val="24"/>
          <w:szCs w:val="24"/>
          <w:lang w:val="en-US"/>
        </w:rPr>
        <w:t>nclusion of anti-cancer drugs</w:t>
      </w:r>
      <w:r w:rsidR="009F32D5" w:rsidRPr="00CC6129">
        <w:rPr>
          <w:rFonts w:ascii="Book Antiqua" w:hAnsi="Book Antiqua"/>
          <w:sz w:val="24"/>
          <w:szCs w:val="24"/>
          <w:lang w:val="en-US"/>
        </w:rPr>
        <w:t xml:space="preserve"> other than bevacizumab</w:t>
      </w:r>
      <w:r w:rsidR="00B64CF8" w:rsidRPr="00CC6129">
        <w:rPr>
          <w:rFonts w:ascii="Book Antiqua" w:hAnsi="Book Antiqua"/>
          <w:sz w:val="24"/>
          <w:szCs w:val="24"/>
          <w:lang w:val="en-US"/>
        </w:rPr>
        <w:t xml:space="preserve"> into multivariate models did not substantially modify the results obtained (data not shown).</w:t>
      </w:r>
    </w:p>
    <w:p w:rsidR="0098314F" w:rsidRPr="00CC6129" w:rsidRDefault="0098314F" w:rsidP="0010680C">
      <w:pPr>
        <w:snapToGrid w:val="0"/>
        <w:spacing w:after="0" w:line="360" w:lineRule="auto"/>
        <w:ind w:firstLine="284"/>
        <w:jc w:val="both"/>
        <w:rPr>
          <w:rFonts w:ascii="Book Antiqua" w:hAnsi="Book Antiqua"/>
          <w:sz w:val="24"/>
          <w:szCs w:val="24"/>
          <w:lang w:val="en-US"/>
        </w:rPr>
      </w:pPr>
      <w:r w:rsidRPr="00CC6129">
        <w:rPr>
          <w:rFonts w:ascii="Book Antiqua" w:hAnsi="Book Antiqua"/>
          <w:sz w:val="24"/>
          <w:szCs w:val="24"/>
          <w:lang w:val="en-US"/>
        </w:rPr>
        <w:t xml:space="preserve">Figure </w:t>
      </w:r>
      <w:r w:rsidR="007B105D" w:rsidRPr="00CC6129">
        <w:rPr>
          <w:rFonts w:ascii="Book Antiqua" w:hAnsi="Book Antiqua"/>
          <w:sz w:val="24"/>
          <w:szCs w:val="24"/>
          <w:lang w:val="en-US"/>
        </w:rPr>
        <w:t>1</w:t>
      </w:r>
      <w:r w:rsidRPr="00CC6129">
        <w:rPr>
          <w:rFonts w:ascii="Book Antiqua" w:hAnsi="Book Antiqua"/>
          <w:sz w:val="24"/>
          <w:szCs w:val="24"/>
          <w:lang w:val="en-US"/>
        </w:rPr>
        <w:t xml:space="preserve"> demonstrates the Kaplan–Meier curves for VTE-free survival of GI cancer patients stratified on the basis of pre-treatment </w:t>
      </w:r>
      <w:r w:rsidR="00DB3386" w:rsidRPr="00CC6129">
        <w:rPr>
          <w:rFonts w:ascii="Book Antiqua" w:hAnsi="Book Antiqua"/>
          <w:sz w:val="24"/>
          <w:szCs w:val="24"/>
          <w:lang w:val="en-US"/>
        </w:rPr>
        <w:t>HOMA</w:t>
      </w:r>
      <w:r w:rsidR="00022317" w:rsidRPr="00CC6129">
        <w:rPr>
          <w:rFonts w:ascii="Book Antiqua" w:hAnsi="Book Antiqua"/>
          <w:sz w:val="24"/>
          <w:szCs w:val="24"/>
          <w:lang w:val="en-US"/>
        </w:rPr>
        <w:t xml:space="preserve"> index</w:t>
      </w:r>
      <w:r w:rsidR="00DB3386" w:rsidRPr="00CC6129">
        <w:rPr>
          <w:rFonts w:ascii="Book Antiqua" w:hAnsi="Book Antiqua"/>
          <w:sz w:val="24"/>
          <w:szCs w:val="24"/>
          <w:lang w:val="en-US"/>
        </w:rPr>
        <w:t xml:space="preserve"> </w:t>
      </w:r>
      <w:r w:rsidR="00C40976" w:rsidRPr="00CC6129">
        <w:rPr>
          <w:rFonts w:ascii="Book Antiqua" w:hAnsi="Book Antiqua"/>
          <w:sz w:val="24"/>
          <w:szCs w:val="24"/>
          <w:lang w:val="en-US"/>
        </w:rPr>
        <w:t xml:space="preserve">(Figure </w:t>
      </w:r>
      <w:r w:rsidR="007B105D" w:rsidRPr="00CC6129">
        <w:rPr>
          <w:rFonts w:ascii="Book Antiqua" w:hAnsi="Book Antiqua"/>
          <w:sz w:val="24"/>
          <w:szCs w:val="24"/>
          <w:lang w:val="en-US"/>
        </w:rPr>
        <w:t>1</w:t>
      </w:r>
      <w:r w:rsidR="00C40976" w:rsidRPr="00CC6129">
        <w:rPr>
          <w:rFonts w:ascii="Book Antiqua" w:hAnsi="Book Antiqua"/>
          <w:sz w:val="24"/>
          <w:szCs w:val="24"/>
          <w:lang w:val="en-US"/>
        </w:rPr>
        <w:t>A)</w:t>
      </w:r>
      <w:r w:rsidRPr="00CC6129">
        <w:rPr>
          <w:rFonts w:ascii="Book Antiqua" w:hAnsi="Book Antiqua"/>
          <w:sz w:val="24"/>
          <w:szCs w:val="24"/>
          <w:lang w:val="en-US"/>
        </w:rPr>
        <w:t xml:space="preserve"> or </w:t>
      </w:r>
      <w:r w:rsidR="00DB3386" w:rsidRPr="00CC6129">
        <w:rPr>
          <w:rFonts w:ascii="Book Antiqua" w:hAnsi="Book Antiqua"/>
          <w:sz w:val="24"/>
          <w:szCs w:val="24"/>
          <w:lang w:val="en-US"/>
        </w:rPr>
        <w:t xml:space="preserve">blood glucose levels </w:t>
      </w:r>
      <w:r w:rsidR="00C40976" w:rsidRPr="00CC6129">
        <w:rPr>
          <w:rFonts w:ascii="Book Antiqua" w:hAnsi="Book Antiqua"/>
          <w:sz w:val="24"/>
          <w:szCs w:val="24"/>
          <w:lang w:val="en-US"/>
        </w:rPr>
        <w:t xml:space="preserve">(Figure </w:t>
      </w:r>
      <w:r w:rsidR="007B105D" w:rsidRPr="00CC6129">
        <w:rPr>
          <w:rFonts w:ascii="Book Antiqua" w:hAnsi="Book Antiqua"/>
          <w:sz w:val="24"/>
          <w:szCs w:val="24"/>
          <w:lang w:val="en-US"/>
        </w:rPr>
        <w:t>1</w:t>
      </w:r>
      <w:r w:rsidR="00C40976" w:rsidRPr="00CC6129">
        <w:rPr>
          <w:rFonts w:ascii="Book Antiqua" w:hAnsi="Book Antiqua"/>
          <w:sz w:val="24"/>
          <w:szCs w:val="24"/>
          <w:lang w:val="en-US"/>
        </w:rPr>
        <w:t>B)</w:t>
      </w:r>
      <w:r w:rsidRPr="00CC6129">
        <w:rPr>
          <w:rFonts w:ascii="Book Antiqua" w:hAnsi="Book Antiqua"/>
          <w:sz w:val="24"/>
          <w:szCs w:val="24"/>
          <w:lang w:val="en-US"/>
        </w:rPr>
        <w:t>.</w:t>
      </w:r>
      <w:r w:rsidR="0010680C">
        <w:rPr>
          <w:rFonts w:ascii="Book Antiqua" w:hAnsi="Book Antiqua"/>
          <w:sz w:val="24"/>
          <w:szCs w:val="24"/>
          <w:lang w:val="en-US"/>
        </w:rPr>
        <w:t xml:space="preserve"> </w:t>
      </w:r>
      <w:r w:rsidRPr="00CC6129">
        <w:rPr>
          <w:rFonts w:ascii="Book Antiqua" w:hAnsi="Book Antiqua"/>
          <w:sz w:val="24"/>
          <w:szCs w:val="24"/>
          <w:lang w:val="en-US"/>
        </w:rPr>
        <w:t xml:space="preserve">As shown, </w:t>
      </w:r>
      <w:r w:rsidR="00DB3386" w:rsidRPr="00CC6129">
        <w:rPr>
          <w:rFonts w:ascii="Book Antiqua" w:hAnsi="Book Antiqua"/>
          <w:sz w:val="24"/>
          <w:szCs w:val="24"/>
          <w:lang w:val="en-US"/>
        </w:rPr>
        <w:t>patients with a HOMA</w:t>
      </w:r>
      <w:r w:rsidR="00022317" w:rsidRPr="00CC6129">
        <w:rPr>
          <w:rFonts w:ascii="Book Antiqua" w:hAnsi="Book Antiqua"/>
          <w:sz w:val="24"/>
          <w:szCs w:val="24"/>
          <w:lang w:val="en-US"/>
        </w:rPr>
        <w:t xml:space="preserve"> index</w:t>
      </w:r>
      <w:r w:rsidR="00DB3386" w:rsidRPr="00CC6129">
        <w:rPr>
          <w:rFonts w:ascii="Book Antiqua" w:hAnsi="Book Antiqua"/>
          <w:sz w:val="24"/>
          <w:szCs w:val="24"/>
          <w:lang w:val="en-US"/>
        </w:rPr>
        <w:t xml:space="preserve"> &gt;</w:t>
      </w:r>
      <w:r w:rsidR="0064421C">
        <w:rPr>
          <w:rFonts w:ascii="Book Antiqua" w:hAnsi="Book Antiqua" w:hint="eastAsia"/>
          <w:sz w:val="24"/>
          <w:szCs w:val="24"/>
          <w:lang w:val="en-US" w:eastAsia="zh-CN"/>
        </w:rPr>
        <w:t xml:space="preserve"> </w:t>
      </w:r>
      <w:r w:rsidR="00DB3386" w:rsidRPr="00CC6129">
        <w:rPr>
          <w:rFonts w:ascii="Book Antiqua" w:hAnsi="Book Antiqua"/>
          <w:sz w:val="24"/>
          <w:szCs w:val="24"/>
          <w:lang w:val="en-US"/>
        </w:rPr>
        <w:t>2.6 had a worse 1-year VTE-free survival rate compared to patients with a HOMA</w:t>
      </w:r>
      <w:r w:rsidR="00022317" w:rsidRPr="00CC6129">
        <w:rPr>
          <w:rFonts w:ascii="Book Antiqua" w:hAnsi="Book Antiqua"/>
          <w:sz w:val="24"/>
          <w:szCs w:val="24"/>
          <w:lang w:val="en-US"/>
        </w:rPr>
        <w:t xml:space="preserve"> index</w:t>
      </w:r>
      <w:r w:rsidR="00DB3386" w:rsidRPr="00CC6129">
        <w:rPr>
          <w:rFonts w:ascii="Book Antiqua" w:hAnsi="Book Antiqua"/>
          <w:sz w:val="24"/>
          <w:szCs w:val="24"/>
          <w:lang w:val="en-US"/>
        </w:rPr>
        <w:t xml:space="preserve"> below this cutoff (83% </w:t>
      </w:r>
      <w:r w:rsidR="00DB3386" w:rsidRPr="0064421C">
        <w:rPr>
          <w:rFonts w:ascii="Book Antiqua" w:hAnsi="Book Antiqua"/>
          <w:i/>
          <w:sz w:val="24"/>
          <w:szCs w:val="24"/>
          <w:lang w:val="en-US"/>
        </w:rPr>
        <w:t>vs</w:t>
      </w:r>
      <w:r w:rsidR="0064421C" w:rsidRPr="0064421C">
        <w:rPr>
          <w:rFonts w:ascii="Book Antiqua" w:hAnsi="Book Antiqua" w:hint="eastAsia"/>
          <w:i/>
          <w:sz w:val="24"/>
          <w:szCs w:val="24"/>
          <w:lang w:val="en-US" w:eastAsia="zh-CN"/>
        </w:rPr>
        <w:t xml:space="preserve"> </w:t>
      </w:r>
      <w:r w:rsidR="00DB3386" w:rsidRPr="00CC6129">
        <w:rPr>
          <w:rFonts w:ascii="Book Antiqua" w:hAnsi="Book Antiqua"/>
          <w:sz w:val="24"/>
          <w:szCs w:val="24"/>
          <w:lang w:val="en-US"/>
        </w:rPr>
        <w:t>94%, log-rank</w:t>
      </w:r>
      <w:r w:rsidR="0064421C">
        <w:rPr>
          <w:rFonts w:ascii="Book Antiqua" w:hAnsi="Book Antiqua" w:hint="eastAsia"/>
          <w:sz w:val="24"/>
          <w:szCs w:val="24"/>
          <w:lang w:val="en-US" w:eastAsia="zh-CN"/>
        </w:rPr>
        <w:t xml:space="preserve"> </w:t>
      </w:r>
      <w:r w:rsidR="00DB3386" w:rsidRPr="00CC6129">
        <w:rPr>
          <w:rFonts w:ascii="Book Antiqua" w:hAnsi="Book Antiqua"/>
          <w:sz w:val="24"/>
          <w:szCs w:val="24"/>
          <w:lang w:val="en-US"/>
        </w:rPr>
        <w:t>=</w:t>
      </w:r>
      <w:r w:rsidR="0064421C">
        <w:rPr>
          <w:rFonts w:ascii="Book Antiqua" w:hAnsi="Book Antiqua" w:hint="eastAsia"/>
          <w:sz w:val="24"/>
          <w:szCs w:val="24"/>
          <w:lang w:val="en-US" w:eastAsia="zh-CN"/>
        </w:rPr>
        <w:t xml:space="preserve"> </w:t>
      </w:r>
      <w:r w:rsidR="00DB3386" w:rsidRPr="00CC6129">
        <w:rPr>
          <w:rFonts w:ascii="Book Antiqua" w:hAnsi="Book Antiqua"/>
          <w:sz w:val="24"/>
          <w:szCs w:val="24"/>
          <w:lang w:val="en-US"/>
        </w:rPr>
        <w:t xml:space="preserve">3.0, </w:t>
      </w:r>
      <w:r w:rsidR="0064421C" w:rsidRPr="000730D3">
        <w:rPr>
          <w:rFonts w:ascii="Book Antiqua" w:hAnsi="Book Antiqua"/>
          <w:i/>
          <w:caps/>
          <w:sz w:val="24"/>
          <w:szCs w:val="24"/>
          <w:lang w:val="en-US"/>
        </w:rPr>
        <w:t>p</w:t>
      </w:r>
      <w:r w:rsidR="0064421C" w:rsidRPr="00CC6129">
        <w:rPr>
          <w:rFonts w:ascii="Book Antiqua" w:hAnsi="Book Antiqua"/>
          <w:sz w:val="24"/>
          <w:szCs w:val="24"/>
          <w:lang w:val="en-US"/>
        </w:rPr>
        <w:t xml:space="preserve"> </w:t>
      </w:r>
      <w:r w:rsidR="00DB3386" w:rsidRPr="00CC6129">
        <w:rPr>
          <w:rFonts w:ascii="Book Antiqua" w:hAnsi="Book Antiqua"/>
          <w:sz w:val="24"/>
          <w:szCs w:val="24"/>
          <w:lang w:val="en-US"/>
        </w:rPr>
        <w:t>=</w:t>
      </w:r>
      <w:r w:rsidR="0064421C">
        <w:rPr>
          <w:rFonts w:ascii="Book Antiqua" w:hAnsi="Book Antiqua" w:hint="eastAsia"/>
          <w:sz w:val="24"/>
          <w:szCs w:val="24"/>
          <w:lang w:val="en-US" w:eastAsia="zh-CN"/>
        </w:rPr>
        <w:t xml:space="preserve"> </w:t>
      </w:r>
      <w:r w:rsidR="00DB3386" w:rsidRPr="00CC6129">
        <w:rPr>
          <w:rFonts w:ascii="Book Antiqua" w:hAnsi="Book Antiqua"/>
          <w:sz w:val="24"/>
          <w:szCs w:val="24"/>
          <w:lang w:val="en-US"/>
        </w:rPr>
        <w:t xml:space="preserve">0.003) (Figure </w:t>
      </w:r>
      <w:r w:rsidR="007B105D" w:rsidRPr="00CC6129">
        <w:rPr>
          <w:rFonts w:ascii="Book Antiqua" w:hAnsi="Book Antiqua"/>
          <w:sz w:val="24"/>
          <w:szCs w:val="24"/>
          <w:lang w:val="en-US"/>
        </w:rPr>
        <w:t>1</w:t>
      </w:r>
      <w:r w:rsidR="00DB3386" w:rsidRPr="00CC6129">
        <w:rPr>
          <w:rFonts w:ascii="Book Antiqua" w:hAnsi="Book Antiqua"/>
          <w:sz w:val="24"/>
          <w:szCs w:val="24"/>
          <w:lang w:val="en-US"/>
        </w:rPr>
        <w:t>A)</w:t>
      </w:r>
      <w:r w:rsidRPr="00CC6129">
        <w:rPr>
          <w:rFonts w:ascii="Book Antiqua" w:hAnsi="Book Antiqua"/>
          <w:sz w:val="24"/>
          <w:szCs w:val="24"/>
          <w:lang w:val="en-US"/>
        </w:rPr>
        <w:t>.</w:t>
      </w:r>
      <w:r w:rsidR="0010680C">
        <w:rPr>
          <w:rFonts w:ascii="Book Antiqua" w:hAnsi="Book Antiqua"/>
          <w:sz w:val="24"/>
          <w:szCs w:val="24"/>
          <w:lang w:val="en-US"/>
        </w:rPr>
        <w:t xml:space="preserve"> </w:t>
      </w:r>
      <w:r w:rsidR="00C40976" w:rsidRPr="00CC6129">
        <w:rPr>
          <w:rFonts w:ascii="Book Antiqua" w:hAnsi="Book Antiqua"/>
          <w:sz w:val="24"/>
          <w:szCs w:val="24"/>
          <w:lang w:val="en-US"/>
        </w:rPr>
        <w:t>Similarly,</w:t>
      </w:r>
      <w:r w:rsidR="00DB3386" w:rsidRPr="00CC6129">
        <w:rPr>
          <w:rFonts w:ascii="Book Antiqua" w:hAnsi="Book Antiqua"/>
          <w:sz w:val="24"/>
          <w:szCs w:val="24"/>
          <w:lang w:val="en-US"/>
        </w:rPr>
        <w:t xml:space="preserve"> patients with glucose levels &gt;103 mg/dl had a worse 1-year VTE-free survival rate compared to patients with glucose levels below this cutoff (78% </w:t>
      </w:r>
      <w:r w:rsidR="00DB3386" w:rsidRPr="0064421C">
        <w:rPr>
          <w:rFonts w:ascii="Book Antiqua" w:hAnsi="Book Antiqua"/>
          <w:i/>
          <w:sz w:val="24"/>
          <w:szCs w:val="24"/>
          <w:lang w:val="en-US"/>
        </w:rPr>
        <w:t>vs</w:t>
      </w:r>
      <w:r w:rsidR="0064421C">
        <w:rPr>
          <w:rFonts w:ascii="Book Antiqua" w:hAnsi="Book Antiqua" w:hint="eastAsia"/>
          <w:sz w:val="24"/>
          <w:szCs w:val="24"/>
          <w:lang w:val="en-US" w:eastAsia="zh-CN"/>
        </w:rPr>
        <w:t xml:space="preserve"> </w:t>
      </w:r>
      <w:r w:rsidR="00DB3386" w:rsidRPr="00CC6129">
        <w:rPr>
          <w:rFonts w:ascii="Book Antiqua" w:hAnsi="Book Antiqua"/>
          <w:sz w:val="24"/>
          <w:szCs w:val="24"/>
          <w:lang w:val="en-US"/>
        </w:rPr>
        <w:t>94%, log-rank</w:t>
      </w:r>
      <w:r w:rsidR="0064421C">
        <w:rPr>
          <w:rFonts w:ascii="Book Antiqua" w:hAnsi="Book Antiqua" w:hint="eastAsia"/>
          <w:sz w:val="24"/>
          <w:szCs w:val="24"/>
          <w:lang w:val="en-US" w:eastAsia="zh-CN"/>
        </w:rPr>
        <w:t xml:space="preserve"> </w:t>
      </w:r>
      <w:r w:rsidR="00DB3386" w:rsidRPr="00CC6129">
        <w:rPr>
          <w:rFonts w:ascii="Book Antiqua" w:hAnsi="Book Antiqua"/>
          <w:sz w:val="24"/>
          <w:szCs w:val="24"/>
          <w:lang w:val="en-US"/>
        </w:rPr>
        <w:t>=</w:t>
      </w:r>
      <w:r w:rsidR="0064421C">
        <w:rPr>
          <w:rFonts w:ascii="Book Antiqua" w:hAnsi="Book Antiqua" w:hint="eastAsia"/>
          <w:sz w:val="24"/>
          <w:szCs w:val="24"/>
          <w:lang w:val="en-US" w:eastAsia="zh-CN"/>
        </w:rPr>
        <w:t xml:space="preserve"> </w:t>
      </w:r>
      <w:r w:rsidR="00DB3386" w:rsidRPr="00CC6129">
        <w:rPr>
          <w:rFonts w:ascii="Book Antiqua" w:hAnsi="Book Antiqua"/>
          <w:sz w:val="24"/>
          <w:szCs w:val="24"/>
          <w:lang w:val="en-US"/>
        </w:rPr>
        <w:t xml:space="preserve">4.5, </w:t>
      </w:r>
      <w:r w:rsidR="0064421C" w:rsidRPr="000730D3">
        <w:rPr>
          <w:rFonts w:ascii="Book Antiqua" w:hAnsi="Book Antiqua"/>
          <w:i/>
          <w:caps/>
          <w:sz w:val="24"/>
          <w:szCs w:val="24"/>
          <w:lang w:val="en-US"/>
        </w:rPr>
        <w:t>p</w:t>
      </w:r>
      <w:r w:rsidR="0064421C" w:rsidRPr="00CC6129">
        <w:rPr>
          <w:rFonts w:ascii="Book Antiqua" w:hAnsi="Book Antiqua"/>
          <w:sz w:val="24"/>
          <w:szCs w:val="24"/>
          <w:lang w:val="en-US"/>
        </w:rPr>
        <w:t xml:space="preserve"> </w:t>
      </w:r>
      <w:r w:rsidR="00DB3386" w:rsidRPr="00CC6129">
        <w:rPr>
          <w:rFonts w:ascii="Book Antiqua" w:hAnsi="Book Antiqua"/>
          <w:sz w:val="24"/>
          <w:szCs w:val="24"/>
          <w:lang w:val="en-US"/>
        </w:rPr>
        <w:t>&lt;</w:t>
      </w:r>
      <w:r w:rsidR="0064421C">
        <w:rPr>
          <w:rFonts w:ascii="Book Antiqua" w:hAnsi="Book Antiqua" w:hint="eastAsia"/>
          <w:sz w:val="24"/>
          <w:szCs w:val="24"/>
          <w:lang w:val="en-US" w:eastAsia="zh-CN"/>
        </w:rPr>
        <w:t xml:space="preserve"> </w:t>
      </w:r>
      <w:r w:rsidR="00DB3386" w:rsidRPr="00CC6129">
        <w:rPr>
          <w:rFonts w:ascii="Book Antiqua" w:hAnsi="Book Antiqua"/>
          <w:sz w:val="24"/>
          <w:szCs w:val="24"/>
          <w:lang w:val="en-US"/>
        </w:rPr>
        <w:t xml:space="preserve">0.0001) (Figure </w:t>
      </w:r>
      <w:r w:rsidR="007B105D" w:rsidRPr="00CC6129">
        <w:rPr>
          <w:rFonts w:ascii="Book Antiqua" w:hAnsi="Book Antiqua"/>
          <w:sz w:val="24"/>
          <w:szCs w:val="24"/>
          <w:lang w:val="en-US"/>
        </w:rPr>
        <w:t>1</w:t>
      </w:r>
      <w:r w:rsidR="00DB3386" w:rsidRPr="00CC6129">
        <w:rPr>
          <w:rFonts w:ascii="Book Antiqua" w:hAnsi="Book Antiqua"/>
          <w:sz w:val="24"/>
          <w:szCs w:val="24"/>
          <w:lang w:val="en-US"/>
        </w:rPr>
        <w:t>B)</w:t>
      </w:r>
      <w:r w:rsidR="00C40976" w:rsidRPr="00CC6129">
        <w:rPr>
          <w:rFonts w:ascii="Book Antiqua" w:hAnsi="Book Antiqua"/>
          <w:sz w:val="24"/>
          <w:szCs w:val="24"/>
          <w:lang w:val="en-US"/>
        </w:rPr>
        <w:t>.</w:t>
      </w:r>
      <w:r w:rsidR="0010680C">
        <w:rPr>
          <w:rFonts w:ascii="Book Antiqua" w:hAnsi="Book Antiqua"/>
          <w:sz w:val="24"/>
          <w:szCs w:val="24"/>
          <w:lang w:val="en-US"/>
        </w:rPr>
        <w:t xml:space="preserve"> </w:t>
      </w:r>
      <w:r w:rsidR="00DB3386" w:rsidRPr="00CC6129">
        <w:rPr>
          <w:rFonts w:ascii="Book Antiqua" w:hAnsi="Book Antiqua"/>
          <w:sz w:val="24"/>
          <w:szCs w:val="24"/>
          <w:lang w:val="en-US"/>
        </w:rPr>
        <w:t>These</w:t>
      </w:r>
      <w:r w:rsidRPr="00CC6129">
        <w:rPr>
          <w:rFonts w:ascii="Book Antiqua" w:hAnsi="Book Antiqua"/>
          <w:sz w:val="24"/>
          <w:szCs w:val="24"/>
          <w:lang w:val="en-US"/>
        </w:rPr>
        <w:t xml:space="preserve"> results were </w:t>
      </w:r>
      <w:r w:rsidR="00DB3386" w:rsidRPr="00CC6129">
        <w:rPr>
          <w:rFonts w:ascii="Book Antiqua" w:hAnsi="Book Antiqua"/>
          <w:sz w:val="24"/>
          <w:szCs w:val="24"/>
          <w:lang w:val="en-US"/>
        </w:rPr>
        <w:t xml:space="preserve">substantially </w:t>
      </w:r>
      <w:r w:rsidRPr="00CC6129">
        <w:rPr>
          <w:rFonts w:ascii="Book Antiqua" w:hAnsi="Book Antiqua"/>
          <w:sz w:val="24"/>
          <w:szCs w:val="24"/>
          <w:lang w:val="en-US"/>
        </w:rPr>
        <w:t xml:space="preserve">confirmed in a sub-set of </w:t>
      </w:r>
      <w:r w:rsidR="00DB3386" w:rsidRPr="00CC6129">
        <w:rPr>
          <w:rFonts w:ascii="Book Antiqua" w:hAnsi="Book Antiqua"/>
          <w:sz w:val="24"/>
          <w:szCs w:val="24"/>
          <w:lang w:val="en-US"/>
        </w:rPr>
        <w:t>261 non-obese non-diabetic GI cancer patients</w:t>
      </w:r>
      <w:r w:rsidRPr="00CC6129">
        <w:rPr>
          <w:rFonts w:ascii="Book Antiqua" w:hAnsi="Book Antiqua"/>
          <w:sz w:val="24"/>
          <w:szCs w:val="24"/>
          <w:lang w:val="en-US"/>
        </w:rPr>
        <w:t xml:space="preserve"> (Figure </w:t>
      </w:r>
      <w:r w:rsidR="007B105D" w:rsidRPr="00CC6129">
        <w:rPr>
          <w:rFonts w:ascii="Book Antiqua" w:hAnsi="Book Antiqua"/>
          <w:sz w:val="24"/>
          <w:szCs w:val="24"/>
          <w:lang w:val="en-US"/>
        </w:rPr>
        <w:t>2</w:t>
      </w:r>
      <w:r w:rsidRPr="00CC6129">
        <w:rPr>
          <w:rFonts w:ascii="Book Antiqua" w:hAnsi="Book Antiqua"/>
          <w:sz w:val="24"/>
          <w:szCs w:val="24"/>
          <w:lang w:val="en-US"/>
        </w:rPr>
        <w:t xml:space="preserve">). </w:t>
      </w:r>
    </w:p>
    <w:p w:rsidR="0064421C" w:rsidRDefault="0064421C" w:rsidP="0010680C">
      <w:pPr>
        <w:snapToGrid w:val="0"/>
        <w:spacing w:after="0" w:line="360" w:lineRule="auto"/>
        <w:jc w:val="both"/>
        <w:rPr>
          <w:rFonts w:ascii="Book Antiqua" w:hAnsi="Book Antiqua"/>
          <w:sz w:val="24"/>
          <w:szCs w:val="24"/>
          <w:lang w:val="en-US" w:eastAsia="zh-CN"/>
        </w:rPr>
      </w:pPr>
    </w:p>
    <w:p w:rsidR="007E6D72" w:rsidRPr="00CC6129" w:rsidRDefault="007E6D72" w:rsidP="0010680C">
      <w:pPr>
        <w:snapToGrid w:val="0"/>
        <w:spacing w:after="0" w:line="360" w:lineRule="auto"/>
        <w:jc w:val="both"/>
        <w:rPr>
          <w:rFonts w:ascii="Book Antiqua" w:hAnsi="Book Antiqua"/>
          <w:b/>
          <w:sz w:val="24"/>
          <w:szCs w:val="24"/>
          <w:lang w:val="en-US"/>
        </w:rPr>
      </w:pPr>
      <w:r w:rsidRPr="00CC6129">
        <w:rPr>
          <w:rFonts w:ascii="Book Antiqua" w:hAnsi="Book Antiqua"/>
          <w:b/>
          <w:sz w:val="24"/>
          <w:szCs w:val="24"/>
          <w:lang w:val="en-US"/>
        </w:rPr>
        <w:t>DISCUSSION</w:t>
      </w:r>
    </w:p>
    <w:p w:rsidR="00D70E54" w:rsidRPr="00CC6129" w:rsidRDefault="000F4264" w:rsidP="0064421C">
      <w:pPr>
        <w:snapToGrid w:val="0"/>
        <w:spacing w:after="0" w:line="360" w:lineRule="auto"/>
        <w:jc w:val="both"/>
        <w:rPr>
          <w:rFonts w:ascii="Book Antiqua" w:hAnsi="Book Antiqua"/>
          <w:sz w:val="24"/>
          <w:szCs w:val="24"/>
          <w:lang w:val="en-US"/>
        </w:rPr>
      </w:pPr>
      <w:r w:rsidRPr="00CC6129">
        <w:rPr>
          <w:rFonts w:ascii="Book Antiqua" w:hAnsi="Book Antiqua"/>
          <w:sz w:val="24"/>
          <w:szCs w:val="24"/>
          <w:lang w:val="en-US"/>
        </w:rPr>
        <w:lastRenderedPageBreak/>
        <w:t xml:space="preserve">Diabetes </w:t>
      </w:r>
      <w:r w:rsidR="00D70E54" w:rsidRPr="00CC6129">
        <w:rPr>
          <w:rFonts w:ascii="Book Antiqua" w:hAnsi="Book Antiqua"/>
          <w:sz w:val="24"/>
          <w:szCs w:val="24"/>
          <w:lang w:val="en-US"/>
        </w:rPr>
        <w:t xml:space="preserve">and obesity </w:t>
      </w:r>
      <w:r w:rsidRPr="00CC6129">
        <w:rPr>
          <w:rFonts w:ascii="Book Antiqua" w:hAnsi="Book Antiqua"/>
          <w:sz w:val="24"/>
          <w:szCs w:val="24"/>
          <w:lang w:val="en-US"/>
        </w:rPr>
        <w:t>ha</w:t>
      </w:r>
      <w:r w:rsidR="00D70E54" w:rsidRPr="00CC6129">
        <w:rPr>
          <w:rFonts w:ascii="Book Antiqua" w:hAnsi="Book Antiqua"/>
          <w:sz w:val="24"/>
          <w:szCs w:val="24"/>
          <w:lang w:val="en-US"/>
        </w:rPr>
        <w:t>ve</w:t>
      </w:r>
      <w:r w:rsidRPr="00CC6129">
        <w:rPr>
          <w:rFonts w:ascii="Book Antiqua" w:hAnsi="Book Antiqua"/>
          <w:sz w:val="24"/>
          <w:szCs w:val="24"/>
          <w:lang w:val="en-US"/>
        </w:rPr>
        <w:t xml:space="preserve"> often </w:t>
      </w:r>
      <w:r w:rsidR="00A0652F" w:rsidRPr="00CC6129">
        <w:rPr>
          <w:rFonts w:ascii="Book Antiqua" w:hAnsi="Book Antiqua"/>
          <w:sz w:val="24"/>
          <w:szCs w:val="24"/>
          <w:lang w:val="en-US"/>
        </w:rPr>
        <w:t xml:space="preserve">been </w:t>
      </w:r>
      <w:r w:rsidRPr="00CC6129">
        <w:rPr>
          <w:rFonts w:ascii="Book Antiqua" w:hAnsi="Book Antiqua"/>
          <w:sz w:val="24"/>
          <w:szCs w:val="24"/>
          <w:lang w:val="en-US"/>
        </w:rPr>
        <w:t>related with increased risk of VTE</w:t>
      </w:r>
      <w:r w:rsidR="00D70E54" w:rsidRPr="00CC6129">
        <w:rPr>
          <w:rFonts w:ascii="Book Antiqua" w:hAnsi="Book Antiqua"/>
          <w:sz w:val="24"/>
          <w:szCs w:val="24"/>
          <w:lang w:val="en-US"/>
        </w:rPr>
        <w:t xml:space="preserve"> in the general population</w:t>
      </w:r>
      <w:r w:rsidRPr="00CC6129">
        <w:rPr>
          <w:rFonts w:ascii="Book Antiqua" w:hAnsi="Book Antiqua"/>
          <w:sz w:val="24"/>
          <w:szCs w:val="24"/>
          <w:lang w:val="en-US"/>
        </w:rPr>
        <w:t>, but the evidences on the</w:t>
      </w:r>
      <w:r w:rsidR="00D70E54" w:rsidRPr="00CC6129">
        <w:rPr>
          <w:rFonts w:ascii="Book Antiqua" w:hAnsi="Book Antiqua"/>
          <w:sz w:val="24"/>
          <w:szCs w:val="24"/>
          <w:lang w:val="en-US"/>
        </w:rPr>
        <w:t>ir</w:t>
      </w:r>
      <w:r w:rsidRPr="00CC6129">
        <w:rPr>
          <w:rFonts w:ascii="Book Antiqua" w:hAnsi="Book Antiqua"/>
          <w:sz w:val="24"/>
          <w:szCs w:val="24"/>
          <w:lang w:val="en-US"/>
        </w:rPr>
        <w:t xml:space="preserve"> association </w:t>
      </w:r>
      <w:r w:rsidR="00D70E54" w:rsidRPr="00CC6129">
        <w:rPr>
          <w:rFonts w:ascii="Book Antiqua" w:hAnsi="Book Antiqua"/>
          <w:sz w:val="24"/>
          <w:szCs w:val="24"/>
          <w:lang w:val="en-US"/>
        </w:rPr>
        <w:t>in the oncology setting</w:t>
      </w:r>
      <w:r w:rsidRPr="00CC6129">
        <w:rPr>
          <w:rFonts w:ascii="Book Antiqua" w:hAnsi="Book Antiqua"/>
          <w:sz w:val="24"/>
          <w:szCs w:val="24"/>
          <w:lang w:val="en-US"/>
        </w:rPr>
        <w:t xml:space="preserve"> are </w:t>
      </w:r>
      <w:r w:rsidR="00F9216D" w:rsidRPr="00CC6129">
        <w:rPr>
          <w:rFonts w:ascii="Book Antiqua" w:hAnsi="Book Antiqua"/>
          <w:sz w:val="24"/>
          <w:szCs w:val="24"/>
          <w:lang w:val="en-US"/>
        </w:rPr>
        <w:t>sparse</w:t>
      </w:r>
      <w:r w:rsidRPr="00CC6129">
        <w:rPr>
          <w:rFonts w:ascii="Book Antiqua" w:hAnsi="Book Antiqua"/>
          <w:sz w:val="24"/>
          <w:szCs w:val="24"/>
          <w:lang w:val="en-US"/>
        </w:rPr>
        <w:t xml:space="preserve">. </w:t>
      </w:r>
      <w:r w:rsidR="00B55408" w:rsidRPr="00CC6129">
        <w:rPr>
          <w:rFonts w:ascii="Book Antiqua" w:hAnsi="Book Antiqua"/>
          <w:sz w:val="24"/>
          <w:szCs w:val="24"/>
          <w:lang w:val="en-US"/>
        </w:rPr>
        <w:t xml:space="preserve">Here we report, for the first time to our knowledge, that a </w:t>
      </w:r>
      <w:r w:rsidR="00D70E54" w:rsidRPr="00CC6129">
        <w:rPr>
          <w:rFonts w:ascii="Book Antiqua" w:hAnsi="Book Antiqua"/>
          <w:sz w:val="24"/>
          <w:szCs w:val="24"/>
          <w:lang w:val="en-US"/>
        </w:rPr>
        <w:t>condition of IR (assessed by the glucose/insulin composite HOMA index)</w:t>
      </w:r>
      <w:r w:rsidR="00B55408" w:rsidRPr="00CC6129">
        <w:rPr>
          <w:rFonts w:ascii="Book Antiqua" w:hAnsi="Book Antiqua"/>
          <w:sz w:val="24"/>
          <w:szCs w:val="24"/>
          <w:lang w:val="en-US"/>
        </w:rPr>
        <w:t xml:space="preserve"> associates to an increased risk of VTE in </w:t>
      </w:r>
      <w:r w:rsidR="009C49CB" w:rsidRPr="00CC6129">
        <w:rPr>
          <w:rFonts w:ascii="Book Antiqua" w:hAnsi="Book Antiqua"/>
          <w:sz w:val="24"/>
          <w:szCs w:val="24"/>
          <w:lang w:val="en-US"/>
        </w:rPr>
        <w:t>GI</w:t>
      </w:r>
      <w:r w:rsidR="00B55408" w:rsidRPr="00CC6129">
        <w:rPr>
          <w:rFonts w:ascii="Book Antiqua" w:hAnsi="Book Antiqua"/>
          <w:sz w:val="24"/>
          <w:szCs w:val="24"/>
          <w:lang w:val="en-US"/>
        </w:rPr>
        <w:t xml:space="preserve"> cancer out-patients on active chemotherapy.</w:t>
      </w:r>
      <w:r w:rsidR="0010680C">
        <w:rPr>
          <w:rFonts w:ascii="Book Antiqua" w:hAnsi="Book Antiqua"/>
          <w:sz w:val="24"/>
          <w:szCs w:val="24"/>
          <w:lang w:val="en-US"/>
        </w:rPr>
        <w:t xml:space="preserve"> </w:t>
      </w:r>
      <w:r w:rsidR="00774871" w:rsidRPr="00CC6129">
        <w:rPr>
          <w:rFonts w:ascii="Book Antiqua" w:hAnsi="Book Antiqua"/>
          <w:sz w:val="24"/>
          <w:szCs w:val="24"/>
          <w:lang w:val="en-US"/>
        </w:rPr>
        <w:t xml:space="preserve">In particular, we demonstrate </w:t>
      </w:r>
      <w:r w:rsidR="00681CD6" w:rsidRPr="00CC6129">
        <w:rPr>
          <w:rFonts w:ascii="Book Antiqua" w:hAnsi="Book Antiqua"/>
          <w:sz w:val="24"/>
          <w:szCs w:val="24"/>
          <w:lang w:val="en-US"/>
        </w:rPr>
        <w:t xml:space="preserve">that </w:t>
      </w:r>
      <w:r w:rsidR="00D70E54" w:rsidRPr="00CC6129">
        <w:rPr>
          <w:rFonts w:ascii="Book Antiqua" w:hAnsi="Book Antiqua"/>
          <w:sz w:val="24"/>
          <w:szCs w:val="24"/>
          <w:lang w:val="en-US"/>
        </w:rPr>
        <w:t>a HOMA</w:t>
      </w:r>
      <w:r w:rsidR="00681CD6" w:rsidRPr="00CC6129">
        <w:rPr>
          <w:rFonts w:ascii="Book Antiqua" w:hAnsi="Book Antiqua"/>
          <w:sz w:val="24"/>
          <w:szCs w:val="24"/>
          <w:lang w:val="en-US"/>
        </w:rPr>
        <w:t xml:space="preserve"> index</w:t>
      </w:r>
      <w:r w:rsidR="00774871" w:rsidRPr="00CC6129">
        <w:rPr>
          <w:rFonts w:ascii="Book Antiqua" w:hAnsi="Book Antiqua"/>
          <w:sz w:val="24"/>
          <w:szCs w:val="24"/>
          <w:lang w:val="en-US"/>
        </w:rPr>
        <w:t xml:space="preserve"> &gt;</w:t>
      </w:r>
      <w:r w:rsidR="00CD450D">
        <w:rPr>
          <w:rFonts w:ascii="Book Antiqua" w:hAnsi="Book Antiqua" w:hint="eastAsia"/>
          <w:sz w:val="24"/>
          <w:szCs w:val="24"/>
          <w:lang w:val="en-US" w:eastAsia="zh-CN"/>
        </w:rPr>
        <w:t xml:space="preserve"> </w:t>
      </w:r>
      <w:r w:rsidR="00D70E54" w:rsidRPr="00CC6129">
        <w:rPr>
          <w:rFonts w:ascii="Book Antiqua" w:hAnsi="Book Antiqua"/>
          <w:sz w:val="24"/>
          <w:szCs w:val="24"/>
          <w:lang w:val="en-US"/>
        </w:rPr>
        <w:t>2.6</w:t>
      </w:r>
      <w:r w:rsidR="00774871" w:rsidRPr="00CC6129">
        <w:rPr>
          <w:rFonts w:ascii="Book Antiqua" w:hAnsi="Book Antiqua"/>
          <w:sz w:val="24"/>
          <w:szCs w:val="24"/>
          <w:lang w:val="en-US"/>
        </w:rPr>
        <w:t xml:space="preserve"> </w:t>
      </w:r>
      <w:r w:rsidR="00AD3322" w:rsidRPr="00CC6129">
        <w:rPr>
          <w:rFonts w:ascii="Book Antiqua" w:hAnsi="Book Antiqua"/>
          <w:sz w:val="24"/>
          <w:szCs w:val="24"/>
          <w:lang w:val="en-US"/>
        </w:rPr>
        <w:t>at time of</w:t>
      </w:r>
      <w:r w:rsidR="00774871" w:rsidRPr="00CC6129">
        <w:rPr>
          <w:rFonts w:ascii="Book Antiqua" w:hAnsi="Book Antiqua"/>
          <w:sz w:val="24"/>
          <w:szCs w:val="24"/>
          <w:lang w:val="en-US"/>
        </w:rPr>
        <w:t xml:space="preserve"> chemotherapy start </w:t>
      </w:r>
      <w:r w:rsidR="00E70B08" w:rsidRPr="00CC6129">
        <w:rPr>
          <w:rFonts w:ascii="Book Antiqua" w:hAnsi="Book Antiqua"/>
          <w:sz w:val="24"/>
          <w:szCs w:val="24"/>
          <w:lang w:val="en-US"/>
        </w:rPr>
        <w:t>i</w:t>
      </w:r>
      <w:r w:rsidR="00774871" w:rsidRPr="00CC6129">
        <w:rPr>
          <w:rFonts w:ascii="Book Antiqua" w:hAnsi="Book Antiqua"/>
          <w:sz w:val="24"/>
          <w:szCs w:val="24"/>
          <w:lang w:val="en-US"/>
        </w:rPr>
        <w:t xml:space="preserve">s predictive </w:t>
      </w:r>
      <w:r w:rsidR="00F9216D" w:rsidRPr="00CC6129">
        <w:rPr>
          <w:rFonts w:ascii="Book Antiqua" w:hAnsi="Book Antiqua"/>
          <w:sz w:val="24"/>
          <w:szCs w:val="24"/>
          <w:lang w:val="en-US"/>
        </w:rPr>
        <w:t>for</w:t>
      </w:r>
      <w:r w:rsidR="00774871" w:rsidRPr="00CC6129">
        <w:rPr>
          <w:rFonts w:ascii="Book Antiqua" w:hAnsi="Book Antiqua"/>
          <w:sz w:val="24"/>
          <w:szCs w:val="24"/>
          <w:lang w:val="en-US"/>
        </w:rPr>
        <w:t xml:space="preserve"> a first VTE event, independently of </w:t>
      </w:r>
      <w:r w:rsidR="00181F72" w:rsidRPr="00CC6129">
        <w:rPr>
          <w:rFonts w:ascii="Book Antiqua" w:hAnsi="Book Antiqua"/>
          <w:sz w:val="24"/>
          <w:szCs w:val="24"/>
          <w:lang w:val="en-US"/>
        </w:rPr>
        <w:t xml:space="preserve">T2D, obesity or </w:t>
      </w:r>
      <w:r w:rsidR="00774871" w:rsidRPr="00CC6129">
        <w:rPr>
          <w:rFonts w:ascii="Book Antiqua" w:hAnsi="Book Antiqua"/>
          <w:sz w:val="24"/>
          <w:szCs w:val="24"/>
          <w:lang w:val="en-US"/>
        </w:rPr>
        <w:t xml:space="preserve">other well known risk factors, such as tumor site and stage </w:t>
      </w:r>
      <w:r w:rsidR="004447BA" w:rsidRPr="00CC6129">
        <w:rPr>
          <w:rFonts w:ascii="Book Antiqua" w:hAnsi="Book Antiqua"/>
          <w:sz w:val="24"/>
          <w:szCs w:val="24"/>
          <w:lang w:val="en-US"/>
        </w:rPr>
        <w:t>or</w:t>
      </w:r>
      <w:r w:rsidR="00774871" w:rsidRPr="00CC6129">
        <w:rPr>
          <w:rFonts w:ascii="Book Antiqua" w:hAnsi="Book Antiqua"/>
          <w:sz w:val="24"/>
          <w:szCs w:val="24"/>
          <w:lang w:val="en-US"/>
        </w:rPr>
        <w:t xml:space="preserve"> ECOG-PS.</w:t>
      </w:r>
      <w:r w:rsidR="0010680C">
        <w:rPr>
          <w:rFonts w:ascii="Book Antiqua" w:hAnsi="Book Antiqua"/>
          <w:sz w:val="24"/>
          <w:szCs w:val="24"/>
          <w:lang w:val="en-US"/>
        </w:rPr>
        <w:t xml:space="preserve"> </w:t>
      </w:r>
      <w:r w:rsidR="00D70E54" w:rsidRPr="00CC6129">
        <w:rPr>
          <w:rFonts w:ascii="Book Antiqua" w:hAnsi="Book Antiqua"/>
          <w:sz w:val="24"/>
          <w:szCs w:val="24"/>
          <w:lang w:val="en-US"/>
        </w:rPr>
        <w:t xml:space="preserve">This correlation appears to be strongly dependent on blood glucose levels, rather than </w:t>
      </w:r>
      <w:r w:rsidR="00A0652F" w:rsidRPr="00CC6129">
        <w:rPr>
          <w:rFonts w:ascii="Book Antiqua" w:hAnsi="Book Antiqua"/>
          <w:sz w:val="24"/>
          <w:szCs w:val="24"/>
          <w:lang w:val="en-US"/>
        </w:rPr>
        <w:t xml:space="preserve">on </w:t>
      </w:r>
      <w:r w:rsidR="00D70E54" w:rsidRPr="00CC6129">
        <w:rPr>
          <w:rFonts w:ascii="Book Antiqua" w:hAnsi="Book Antiqua"/>
          <w:sz w:val="24"/>
          <w:szCs w:val="24"/>
          <w:lang w:val="en-US"/>
        </w:rPr>
        <w:t xml:space="preserve">insulin, as demonstrated </w:t>
      </w:r>
      <w:r w:rsidR="00A0652F" w:rsidRPr="00CC6129">
        <w:rPr>
          <w:rFonts w:ascii="Book Antiqua" w:hAnsi="Book Antiqua"/>
          <w:sz w:val="24"/>
          <w:szCs w:val="24"/>
          <w:lang w:val="en-US"/>
        </w:rPr>
        <w:t xml:space="preserve">by </w:t>
      </w:r>
      <w:r w:rsidR="00D70E54" w:rsidRPr="00CC6129">
        <w:rPr>
          <w:rFonts w:ascii="Book Antiqua" w:hAnsi="Book Antiqua"/>
          <w:sz w:val="24"/>
          <w:szCs w:val="24"/>
          <w:lang w:val="en-US"/>
        </w:rPr>
        <w:t xml:space="preserve">multivariate analyses in which glycemia, but not insulinemia, </w:t>
      </w:r>
      <w:r w:rsidR="00AC340F" w:rsidRPr="00CC6129">
        <w:rPr>
          <w:rFonts w:ascii="Book Antiqua" w:hAnsi="Book Antiqua"/>
          <w:sz w:val="24"/>
          <w:szCs w:val="24"/>
          <w:lang w:val="en-US"/>
        </w:rPr>
        <w:t>confirm</w:t>
      </w:r>
      <w:r w:rsidR="00D70E54" w:rsidRPr="00CC6129">
        <w:rPr>
          <w:rFonts w:ascii="Book Antiqua" w:hAnsi="Book Antiqua"/>
          <w:sz w:val="24"/>
          <w:szCs w:val="24"/>
          <w:lang w:val="en-US"/>
        </w:rPr>
        <w:t xml:space="preserve">ed </w:t>
      </w:r>
      <w:r w:rsidR="00AC340F" w:rsidRPr="00CC6129">
        <w:rPr>
          <w:rFonts w:ascii="Book Antiqua" w:hAnsi="Book Antiqua"/>
          <w:sz w:val="24"/>
          <w:szCs w:val="24"/>
          <w:lang w:val="en-US"/>
        </w:rPr>
        <w:t>its independent association with VTE.</w:t>
      </w:r>
      <w:r w:rsidR="0010680C">
        <w:rPr>
          <w:rFonts w:ascii="Book Antiqua" w:hAnsi="Book Antiqua"/>
          <w:sz w:val="24"/>
          <w:szCs w:val="24"/>
          <w:lang w:val="en-US"/>
        </w:rPr>
        <w:t xml:space="preserve"> </w:t>
      </w:r>
      <w:r w:rsidR="00181F72" w:rsidRPr="00CC6129">
        <w:rPr>
          <w:rFonts w:ascii="Book Antiqua" w:hAnsi="Book Antiqua"/>
          <w:sz w:val="24"/>
          <w:szCs w:val="24"/>
          <w:lang w:val="en-US"/>
        </w:rPr>
        <w:t>Of note</w:t>
      </w:r>
      <w:r w:rsidR="00AC340F" w:rsidRPr="00CC6129">
        <w:rPr>
          <w:rFonts w:ascii="Book Antiqua" w:hAnsi="Book Antiqua"/>
          <w:sz w:val="24"/>
          <w:szCs w:val="24"/>
          <w:lang w:val="en-US"/>
        </w:rPr>
        <w:t xml:space="preserve">, </w:t>
      </w:r>
      <w:r w:rsidR="00E467BE" w:rsidRPr="00CC6129">
        <w:rPr>
          <w:rFonts w:ascii="Book Antiqua" w:hAnsi="Book Antiqua"/>
          <w:sz w:val="24"/>
          <w:szCs w:val="24"/>
          <w:lang w:val="en-US"/>
        </w:rPr>
        <w:t>HbA</w:t>
      </w:r>
      <w:r w:rsidR="00E467BE" w:rsidRPr="00CC6129">
        <w:rPr>
          <w:rFonts w:ascii="Book Antiqua" w:hAnsi="Book Antiqua"/>
          <w:sz w:val="24"/>
          <w:szCs w:val="24"/>
          <w:vertAlign w:val="subscript"/>
          <w:lang w:val="en-US"/>
        </w:rPr>
        <w:t xml:space="preserve">1c </w:t>
      </w:r>
      <w:r w:rsidR="00E467BE" w:rsidRPr="00CC6129">
        <w:rPr>
          <w:rFonts w:ascii="Book Antiqua" w:hAnsi="Book Antiqua"/>
          <w:sz w:val="24"/>
          <w:szCs w:val="24"/>
          <w:lang w:val="en-US"/>
        </w:rPr>
        <w:t xml:space="preserve">– a marker of sustained hyperglycemia over the </w:t>
      </w:r>
      <w:r w:rsidR="00181F72" w:rsidRPr="00CC6129">
        <w:rPr>
          <w:rFonts w:ascii="Book Antiqua" w:hAnsi="Book Antiqua"/>
          <w:sz w:val="24"/>
          <w:szCs w:val="24"/>
          <w:lang w:val="en-US"/>
        </w:rPr>
        <w:t xml:space="preserve">previous 2-3 months – associated with VTE </w:t>
      </w:r>
      <w:r w:rsidR="00A0652F" w:rsidRPr="00CC6129">
        <w:rPr>
          <w:rFonts w:ascii="Book Antiqua" w:hAnsi="Book Antiqua"/>
          <w:sz w:val="24"/>
          <w:szCs w:val="24"/>
          <w:lang w:val="en-US"/>
        </w:rPr>
        <w:t xml:space="preserve">only </w:t>
      </w:r>
      <w:r w:rsidR="00181F72" w:rsidRPr="00CC6129">
        <w:rPr>
          <w:rFonts w:ascii="Book Antiqua" w:hAnsi="Book Antiqua"/>
          <w:sz w:val="24"/>
          <w:szCs w:val="24"/>
          <w:lang w:val="en-US"/>
        </w:rPr>
        <w:t>in non diabetic GI cancer patients, with a HR of 3.1</w:t>
      </w:r>
      <w:r w:rsidR="0064421C">
        <w:rPr>
          <w:rFonts w:ascii="Book Antiqua" w:hAnsi="Book Antiqua"/>
          <w:sz w:val="24"/>
          <w:szCs w:val="24"/>
          <w:lang w:val="en-US"/>
        </w:rPr>
        <w:t>2 (95%CI</w:t>
      </w:r>
      <w:r w:rsidR="00181F72" w:rsidRPr="00CC6129">
        <w:rPr>
          <w:rFonts w:ascii="Book Antiqua" w:hAnsi="Book Antiqua"/>
          <w:sz w:val="24"/>
          <w:szCs w:val="24"/>
          <w:lang w:val="en-US"/>
        </w:rPr>
        <w:t>: 1.21</w:t>
      </w:r>
      <w:r w:rsidR="0064421C">
        <w:rPr>
          <w:rFonts w:ascii="Book Antiqua" w:hAnsi="Book Antiqua" w:hint="eastAsia"/>
          <w:sz w:val="24"/>
          <w:szCs w:val="24"/>
          <w:lang w:val="en-US" w:eastAsia="zh-CN"/>
        </w:rPr>
        <w:t>-</w:t>
      </w:r>
      <w:r w:rsidR="00181F72" w:rsidRPr="00CC6129">
        <w:rPr>
          <w:rFonts w:ascii="Book Antiqua" w:hAnsi="Book Antiqua"/>
          <w:sz w:val="24"/>
          <w:szCs w:val="24"/>
          <w:lang w:val="en-US"/>
        </w:rPr>
        <w:t xml:space="preserve">8.07, </w:t>
      </w:r>
      <w:r w:rsidR="0064421C" w:rsidRPr="000730D3">
        <w:rPr>
          <w:rFonts w:ascii="Book Antiqua" w:hAnsi="Book Antiqua"/>
          <w:i/>
          <w:caps/>
          <w:sz w:val="24"/>
          <w:szCs w:val="24"/>
          <w:lang w:val="en-US"/>
        </w:rPr>
        <w:t>p</w:t>
      </w:r>
      <w:r w:rsidR="0064421C" w:rsidRPr="00CC6129">
        <w:rPr>
          <w:rFonts w:ascii="Book Antiqua" w:hAnsi="Book Antiqua"/>
          <w:sz w:val="24"/>
          <w:szCs w:val="24"/>
          <w:lang w:val="en-US"/>
        </w:rPr>
        <w:t xml:space="preserve"> </w:t>
      </w:r>
      <w:r w:rsidR="00181F72" w:rsidRPr="00CC6129">
        <w:rPr>
          <w:rFonts w:ascii="Book Antiqua" w:hAnsi="Book Antiqua"/>
          <w:sz w:val="24"/>
          <w:szCs w:val="24"/>
          <w:lang w:val="en-US"/>
        </w:rPr>
        <w:t>=</w:t>
      </w:r>
      <w:r w:rsidR="0064421C">
        <w:rPr>
          <w:rFonts w:ascii="Book Antiqua" w:hAnsi="Book Antiqua" w:hint="eastAsia"/>
          <w:sz w:val="24"/>
          <w:szCs w:val="24"/>
          <w:lang w:val="en-US" w:eastAsia="zh-CN"/>
        </w:rPr>
        <w:t xml:space="preserve"> </w:t>
      </w:r>
      <w:r w:rsidR="00181F72" w:rsidRPr="00CC6129">
        <w:rPr>
          <w:rFonts w:ascii="Book Antiqua" w:hAnsi="Book Antiqua"/>
          <w:sz w:val="24"/>
          <w:szCs w:val="24"/>
          <w:lang w:val="en-US"/>
        </w:rPr>
        <w:t>0.02) independently of sex, age, BMI, IGT, ECOG-PS, and tumor site and stage, possibly as a result of the confounding effect of glycemic pharmacologic control in T2D (data not shown).</w:t>
      </w:r>
    </w:p>
    <w:p w:rsidR="00097697" w:rsidRPr="00CC6129" w:rsidRDefault="00B55408" w:rsidP="0010680C">
      <w:pPr>
        <w:snapToGrid w:val="0"/>
        <w:spacing w:after="0" w:line="360" w:lineRule="auto"/>
        <w:ind w:firstLine="284"/>
        <w:jc w:val="both"/>
        <w:rPr>
          <w:rFonts w:ascii="Book Antiqua" w:hAnsi="Book Antiqua"/>
          <w:sz w:val="24"/>
          <w:szCs w:val="24"/>
          <w:lang w:val="en-US"/>
        </w:rPr>
      </w:pPr>
      <w:r w:rsidRPr="00CC6129">
        <w:rPr>
          <w:rFonts w:ascii="Book Antiqua" w:hAnsi="Book Antiqua"/>
          <w:sz w:val="24"/>
          <w:szCs w:val="24"/>
          <w:lang w:val="en-US"/>
        </w:rPr>
        <w:t>The</w:t>
      </w:r>
      <w:r w:rsidR="00694A35" w:rsidRPr="00CC6129">
        <w:rPr>
          <w:rFonts w:ascii="Book Antiqua" w:hAnsi="Book Antiqua"/>
          <w:sz w:val="24"/>
          <w:szCs w:val="24"/>
          <w:lang w:val="en-US"/>
        </w:rPr>
        <w:t>se</w:t>
      </w:r>
      <w:r w:rsidRPr="00CC6129">
        <w:rPr>
          <w:rFonts w:ascii="Book Antiqua" w:hAnsi="Book Antiqua"/>
          <w:sz w:val="24"/>
          <w:szCs w:val="24"/>
          <w:lang w:val="en-US"/>
        </w:rPr>
        <w:t xml:space="preserve"> results are scarcely comparable with literature data, as the majority of the studies investigated the predictive role of </w:t>
      </w:r>
      <w:r w:rsidR="003017D9" w:rsidRPr="00CC6129">
        <w:rPr>
          <w:rFonts w:ascii="Book Antiqua" w:hAnsi="Book Antiqua"/>
          <w:sz w:val="24"/>
          <w:szCs w:val="24"/>
          <w:lang w:val="en-US"/>
        </w:rPr>
        <w:t xml:space="preserve">these metabolic features </w:t>
      </w:r>
      <w:r w:rsidRPr="00CC6129">
        <w:rPr>
          <w:rFonts w:ascii="Book Antiqua" w:hAnsi="Book Antiqua"/>
          <w:sz w:val="24"/>
          <w:szCs w:val="24"/>
          <w:lang w:val="en-US"/>
        </w:rPr>
        <w:t>in the general population.</w:t>
      </w:r>
      <w:r w:rsidR="0010680C">
        <w:rPr>
          <w:rFonts w:ascii="Book Antiqua" w:hAnsi="Book Antiqua"/>
          <w:sz w:val="24"/>
          <w:szCs w:val="24"/>
          <w:lang w:val="en-US"/>
        </w:rPr>
        <w:t xml:space="preserve"> </w:t>
      </w:r>
      <w:r w:rsidRPr="00CC6129">
        <w:rPr>
          <w:rFonts w:ascii="Book Antiqua" w:hAnsi="Book Antiqua"/>
          <w:sz w:val="24"/>
          <w:szCs w:val="24"/>
          <w:lang w:val="en-US"/>
        </w:rPr>
        <w:t xml:space="preserve">Nonetheless, the finding of an independent predictive role </w:t>
      </w:r>
      <w:r w:rsidR="00694A35" w:rsidRPr="00CC6129">
        <w:rPr>
          <w:rFonts w:ascii="Book Antiqua" w:hAnsi="Book Antiqua"/>
          <w:sz w:val="24"/>
          <w:szCs w:val="24"/>
          <w:lang w:val="en-US"/>
        </w:rPr>
        <w:t>of</w:t>
      </w:r>
      <w:r w:rsidRPr="00CC6129">
        <w:rPr>
          <w:rFonts w:ascii="Book Antiqua" w:hAnsi="Book Antiqua"/>
          <w:sz w:val="24"/>
          <w:szCs w:val="24"/>
          <w:lang w:val="en-US"/>
        </w:rPr>
        <w:t xml:space="preserve"> elevated fasting blood glucose levels</w:t>
      </w:r>
      <w:r w:rsidR="00694A35" w:rsidRPr="00CC6129">
        <w:rPr>
          <w:rFonts w:ascii="Book Antiqua" w:hAnsi="Book Antiqua"/>
          <w:sz w:val="24"/>
          <w:szCs w:val="24"/>
          <w:lang w:val="en-US"/>
        </w:rPr>
        <w:t xml:space="preserve"> in the GI cancer setting is in agreement </w:t>
      </w:r>
      <w:r w:rsidR="00F940D7" w:rsidRPr="00CC6129">
        <w:rPr>
          <w:rFonts w:ascii="Book Antiqua" w:hAnsi="Book Antiqua"/>
          <w:sz w:val="24"/>
          <w:szCs w:val="24"/>
          <w:lang w:val="en-US"/>
        </w:rPr>
        <w:t>with the results by Tala et al., demonstrating a 4.1 odds ratio of venous thromboembolism in critically ill children with hyperglycemia</w:t>
      </w:r>
      <w:r w:rsidR="00F940D7" w:rsidRPr="00CC6129">
        <w:rPr>
          <w:rFonts w:ascii="Book Antiqua" w:hAnsi="Book Antiqua"/>
          <w:sz w:val="24"/>
          <w:szCs w:val="24"/>
          <w:vertAlign w:val="superscript"/>
          <w:lang w:val="en-US"/>
        </w:rPr>
        <w:t>[18]</w:t>
      </w:r>
      <w:r w:rsidR="00F9216D" w:rsidRPr="00CC6129">
        <w:rPr>
          <w:rFonts w:ascii="Book Antiqua" w:hAnsi="Book Antiqua"/>
          <w:sz w:val="24"/>
          <w:szCs w:val="24"/>
          <w:lang w:val="en-US"/>
        </w:rPr>
        <w:t>.</w:t>
      </w:r>
      <w:r w:rsidR="0010680C">
        <w:rPr>
          <w:rFonts w:ascii="Book Antiqua" w:hAnsi="Book Antiqua"/>
          <w:sz w:val="24"/>
          <w:szCs w:val="24"/>
          <w:lang w:val="en-US"/>
        </w:rPr>
        <w:t xml:space="preserve"> </w:t>
      </w:r>
      <w:r w:rsidR="00F9216D" w:rsidRPr="00CC6129">
        <w:rPr>
          <w:rFonts w:ascii="Book Antiqua" w:hAnsi="Book Antiqua"/>
          <w:sz w:val="24"/>
          <w:szCs w:val="24"/>
          <w:lang w:val="en-US"/>
        </w:rPr>
        <w:t>Similarly,</w:t>
      </w:r>
      <w:r w:rsidR="00F940D7" w:rsidRPr="00CC6129">
        <w:rPr>
          <w:rFonts w:ascii="Book Antiqua" w:hAnsi="Book Antiqua"/>
          <w:sz w:val="24"/>
          <w:szCs w:val="24"/>
          <w:lang w:val="en-US"/>
        </w:rPr>
        <w:t xml:space="preserve"> Di Minno et al., indicat</w:t>
      </w:r>
      <w:r w:rsidR="005732F5" w:rsidRPr="00CC6129">
        <w:rPr>
          <w:rFonts w:ascii="Book Antiqua" w:hAnsi="Book Antiqua"/>
          <w:sz w:val="24"/>
          <w:szCs w:val="24"/>
          <w:lang w:val="en-US"/>
        </w:rPr>
        <w:t>ed</w:t>
      </w:r>
      <w:r w:rsidR="00F940D7" w:rsidRPr="00CC6129">
        <w:rPr>
          <w:rFonts w:ascii="Book Antiqua" w:hAnsi="Book Antiqua"/>
          <w:sz w:val="24"/>
          <w:szCs w:val="24"/>
          <w:lang w:val="en-US"/>
        </w:rPr>
        <w:t xml:space="preserve"> that impaired fasting glucose independently predicted idiopathic </w:t>
      </w:r>
      <w:r w:rsidR="00BC404F" w:rsidRPr="00CC6129">
        <w:rPr>
          <w:rFonts w:ascii="Book Antiqua" w:hAnsi="Book Antiqua"/>
          <w:sz w:val="24"/>
          <w:szCs w:val="24"/>
          <w:lang w:val="en-US"/>
        </w:rPr>
        <w:t>VTE</w:t>
      </w:r>
      <w:r w:rsidR="00F940D7" w:rsidRPr="00CC6129">
        <w:rPr>
          <w:rFonts w:ascii="Book Antiqua" w:hAnsi="Book Antiqua"/>
          <w:sz w:val="24"/>
          <w:szCs w:val="24"/>
          <w:lang w:val="en-US"/>
        </w:rPr>
        <w:t xml:space="preserve"> in </w:t>
      </w:r>
      <w:r w:rsidR="00BC404F" w:rsidRPr="00CC6129">
        <w:rPr>
          <w:rFonts w:ascii="Book Antiqua" w:hAnsi="Book Antiqua"/>
          <w:sz w:val="24"/>
          <w:szCs w:val="24"/>
          <w:lang w:val="en-US"/>
        </w:rPr>
        <w:t>adults</w:t>
      </w:r>
      <w:r w:rsidR="00F940D7" w:rsidRPr="00CC6129">
        <w:rPr>
          <w:rFonts w:ascii="Book Antiqua" w:hAnsi="Book Antiqua"/>
          <w:sz w:val="24"/>
          <w:szCs w:val="24"/>
          <w:vertAlign w:val="superscript"/>
          <w:lang w:val="en-US"/>
        </w:rPr>
        <w:t>[14]</w:t>
      </w:r>
      <w:r w:rsidR="00F940D7" w:rsidRPr="00CC6129">
        <w:rPr>
          <w:rFonts w:ascii="Book Antiqua" w:hAnsi="Book Antiqua"/>
          <w:sz w:val="24"/>
          <w:szCs w:val="24"/>
          <w:lang w:val="en-US"/>
        </w:rPr>
        <w:t>.</w:t>
      </w:r>
      <w:r w:rsidR="0010680C">
        <w:rPr>
          <w:rFonts w:ascii="Book Antiqua" w:hAnsi="Book Antiqua"/>
          <w:sz w:val="24"/>
          <w:szCs w:val="24"/>
          <w:lang w:val="en-US"/>
        </w:rPr>
        <w:t xml:space="preserve"> </w:t>
      </w:r>
      <w:r w:rsidR="00B805BE" w:rsidRPr="00CC6129">
        <w:rPr>
          <w:rFonts w:ascii="Book Antiqua" w:hAnsi="Book Antiqua"/>
          <w:sz w:val="24"/>
          <w:szCs w:val="24"/>
          <w:lang w:val="en-US"/>
        </w:rPr>
        <w:t xml:space="preserve">Furthermore, </w:t>
      </w:r>
      <w:r w:rsidR="003017D9" w:rsidRPr="00CC6129">
        <w:rPr>
          <w:rFonts w:ascii="Book Antiqua" w:hAnsi="Book Antiqua"/>
          <w:sz w:val="24"/>
          <w:szCs w:val="24"/>
          <w:lang w:val="en-US"/>
        </w:rPr>
        <w:t xml:space="preserve">the data here reported </w:t>
      </w:r>
      <w:r w:rsidR="00097697" w:rsidRPr="00CC6129">
        <w:rPr>
          <w:rFonts w:ascii="Book Antiqua" w:hAnsi="Book Antiqua"/>
          <w:sz w:val="24"/>
          <w:szCs w:val="24"/>
          <w:lang w:val="en-US"/>
        </w:rPr>
        <w:t>are partial</w:t>
      </w:r>
      <w:r w:rsidR="003017D9" w:rsidRPr="00CC6129">
        <w:rPr>
          <w:rFonts w:ascii="Book Antiqua" w:hAnsi="Book Antiqua"/>
          <w:sz w:val="24"/>
          <w:szCs w:val="24"/>
          <w:lang w:val="en-US"/>
        </w:rPr>
        <w:t>ly</w:t>
      </w:r>
      <w:r w:rsidR="00097697" w:rsidRPr="00CC6129">
        <w:rPr>
          <w:rFonts w:ascii="Book Antiqua" w:hAnsi="Book Antiqua"/>
          <w:sz w:val="24"/>
          <w:szCs w:val="24"/>
          <w:lang w:val="en-US"/>
        </w:rPr>
        <w:t xml:space="preserve"> </w:t>
      </w:r>
      <w:r w:rsidR="003017D9" w:rsidRPr="00CC6129">
        <w:rPr>
          <w:rFonts w:ascii="Book Antiqua" w:hAnsi="Book Antiqua"/>
          <w:sz w:val="24"/>
          <w:szCs w:val="24"/>
          <w:lang w:val="en-US"/>
        </w:rPr>
        <w:t xml:space="preserve">in </w:t>
      </w:r>
      <w:r w:rsidR="00097697" w:rsidRPr="00CC6129">
        <w:rPr>
          <w:rFonts w:ascii="Book Antiqua" w:hAnsi="Book Antiqua"/>
          <w:sz w:val="24"/>
          <w:szCs w:val="24"/>
          <w:lang w:val="en-US"/>
        </w:rPr>
        <w:t xml:space="preserve">agreement with </w:t>
      </w:r>
      <w:r w:rsidR="003017D9" w:rsidRPr="00CC6129">
        <w:rPr>
          <w:rFonts w:ascii="Book Antiqua" w:hAnsi="Book Antiqua"/>
          <w:sz w:val="24"/>
          <w:szCs w:val="24"/>
          <w:lang w:val="en-US"/>
        </w:rPr>
        <w:t>previously published</w:t>
      </w:r>
      <w:r w:rsidR="00097697" w:rsidRPr="00CC6129">
        <w:rPr>
          <w:rFonts w:ascii="Book Antiqua" w:hAnsi="Book Antiqua"/>
          <w:sz w:val="24"/>
          <w:szCs w:val="24"/>
          <w:lang w:val="en-US"/>
        </w:rPr>
        <w:t xml:space="preserve"> </w:t>
      </w:r>
      <w:r w:rsidR="003017D9" w:rsidRPr="00CC6129">
        <w:rPr>
          <w:rFonts w:ascii="Book Antiqua" w:hAnsi="Book Antiqua"/>
          <w:sz w:val="24"/>
          <w:szCs w:val="24"/>
          <w:lang w:val="en-US"/>
        </w:rPr>
        <w:t xml:space="preserve">results </w:t>
      </w:r>
      <w:r w:rsidR="006A1D8A" w:rsidRPr="00CC6129">
        <w:rPr>
          <w:rFonts w:ascii="Book Antiqua" w:hAnsi="Book Antiqua"/>
          <w:sz w:val="24"/>
          <w:szCs w:val="24"/>
          <w:lang w:val="en-US"/>
        </w:rPr>
        <w:t xml:space="preserve">demonstrating that high </w:t>
      </w:r>
      <w:r w:rsidR="00681CD6" w:rsidRPr="00CC6129">
        <w:rPr>
          <w:rFonts w:ascii="Book Antiqua" w:hAnsi="Book Antiqua"/>
          <w:sz w:val="24"/>
          <w:szCs w:val="24"/>
          <w:lang w:val="en-US"/>
        </w:rPr>
        <w:t>HOMA</w:t>
      </w:r>
      <w:r w:rsidR="006A1D8A" w:rsidRPr="00CC6129">
        <w:rPr>
          <w:rFonts w:ascii="Book Antiqua" w:hAnsi="Book Antiqua"/>
          <w:sz w:val="24"/>
          <w:szCs w:val="24"/>
          <w:lang w:val="en-US"/>
        </w:rPr>
        <w:t xml:space="preserve"> scores were associated with an increased risk of VTE</w:t>
      </w:r>
      <w:r w:rsidR="004E7716" w:rsidRPr="00CC6129">
        <w:rPr>
          <w:rFonts w:ascii="Book Antiqua" w:hAnsi="Book Antiqua"/>
          <w:sz w:val="24"/>
          <w:szCs w:val="24"/>
          <w:lang w:val="en-US"/>
        </w:rPr>
        <w:t xml:space="preserve"> in the general population</w:t>
      </w:r>
      <w:r w:rsidR="006A1D8A" w:rsidRPr="00CC6129">
        <w:rPr>
          <w:rFonts w:ascii="Book Antiqua" w:hAnsi="Book Antiqua"/>
          <w:sz w:val="24"/>
          <w:szCs w:val="24"/>
          <w:lang w:val="en-US"/>
        </w:rPr>
        <w:t xml:space="preserve">, which, however, was dependent </w:t>
      </w:r>
      <w:r w:rsidR="00880B1B" w:rsidRPr="00CC6129">
        <w:rPr>
          <w:rFonts w:ascii="Book Antiqua" w:hAnsi="Book Antiqua"/>
          <w:sz w:val="24"/>
          <w:szCs w:val="24"/>
          <w:lang w:val="en-US"/>
        </w:rPr>
        <w:t>on</w:t>
      </w:r>
      <w:r w:rsidR="0010680C">
        <w:rPr>
          <w:rFonts w:ascii="Book Antiqua" w:hAnsi="Book Antiqua"/>
          <w:sz w:val="24"/>
          <w:szCs w:val="24"/>
          <w:lang w:val="en-US"/>
        </w:rPr>
        <w:t xml:space="preserve"> </w:t>
      </w:r>
      <w:r w:rsidR="006A1D8A" w:rsidRPr="00CC6129">
        <w:rPr>
          <w:rFonts w:ascii="Book Antiqua" w:hAnsi="Book Antiqua"/>
          <w:sz w:val="24"/>
          <w:szCs w:val="24"/>
          <w:lang w:val="en-US"/>
        </w:rPr>
        <w:t>BMI</w:t>
      </w:r>
      <w:r w:rsidR="006A1D8A" w:rsidRPr="00CC6129">
        <w:rPr>
          <w:rFonts w:ascii="Book Antiqua" w:hAnsi="Book Antiqua"/>
          <w:sz w:val="24"/>
          <w:szCs w:val="24"/>
          <w:vertAlign w:val="superscript"/>
          <w:lang w:val="en-US"/>
        </w:rPr>
        <w:t>[19]</w:t>
      </w:r>
      <w:r w:rsidR="005732F5" w:rsidRPr="00CC6129">
        <w:rPr>
          <w:rFonts w:ascii="Book Antiqua" w:hAnsi="Book Antiqua"/>
          <w:sz w:val="24"/>
          <w:szCs w:val="24"/>
          <w:lang w:val="en-US"/>
        </w:rPr>
        <w:t>.</w:t>
      </w:r>
      <w:r w:rsidR="0010680C">
        <w:rPr>
          <w:rFonts w:ascii="Book Antiqua" w:hAnsi="Book Antiqua"/>
          <w:sz w:val="24"/>
          <w:szCs w:val="24"/>
          <w:lang w:val="en-US"/>
        </w:rPr>
        <w:t xml:space="preserve"> </w:t>
      </w:r>
      <w:r w:rsidR="005732F5" w:rsidRPr="00CC6129">
        <w:rPr>
          <w:rFonts w:ascii="Book Antiqua" w:hAnsi="Book Antiqua"/>
          <w:sz w:val="24"/>
          <w:szCs w:val="24"/>
          <w:lang w:val="en-US"/>
        </w:rPr>
        <w:t xml:space="preserve">This finding </w:t>
      </w:r>
      <w:r w:rsidR="00880B1B" w:rsidRPr="00CC6129">
        <w:rPr>
          <w:rFonts w:ascii="Book Antiqua" w:hAnsi="Book Antiqua"/>
          <w:sz w:val="24"/>
          <w:szCs w:val="24"/>
          <w:lang w:val="en-US"/>
        </w:rPr>
        <w:t>was</w:t>
      </w:r>
      <w:r w:rsidR="005732F5" w:rsidRPr="00CC6129">
        <w:rPr>
          <w:rFonts w:ascii="Book Antiqua" w:hAnsi="Book Antiqua"/>
          <w:sz w:val="24"/>
          <w:szCs w:val="24"/>
          <w:lang w:val="en-US"/>
        </w:rPr>
        <w:t xml:space="preserve"> further</w:t>
      </w:r>
      <w:r w:rsidR="00880B1B" w:rsidRPr="00CC6129">
        <w:rPr>
          <w:rFonts w:ascii="Book Antiqua" w:hAnsi="Book Antiqua"/>
          <w:sz w:val="24"/>
          <w:szCs w:val="24"/>
          <w:lang w:val="en-US"/>
        </w:rPr>
        <w:t xml:space="preserve"> confirmed by Gariani et al., who suggest</w:t>
      </w:r>
      <w:r w:rsidR="004E7716" w:rsidRPr="00CC6129">
        <w:rPr>
          <w:rFonts w:ascii="Book Antiqua" w:hAnsi="Book Antiqua"/>
          <w:sz w:val="24"/>
          <w:szCs w:val="24"/>
          <w:lang w:val="en-US"/>
        </w:rPr>
        <w:t>ed</w:t>
      </w:r>
      <w:r w:rsidR="00880B1B" w:rsidRPr="00CC6129">
        <w:rPr>
          <w:rFonts w:ascii="Book Antiqua" w:hAnsi="Book Antiqua"/>
          <w:sz w:val="24"/>
          <w:szCs w:val="24"/>
          <w:lang w:val="en-US"/>
        </w:rPr>
        <w:t xml:space="preserve"> </w:t>
      </w:r>
      <w:r w:rsidR="00097697" w:rsidRPr="00CC6129">
        <w:rPr>
          <w:rFonts w:ascii="Book Antiqua" w:hAnsi="Book Antiqua"/>
          <w:sz w:val="24"/>
          <w:szCs w:val="24"/>
          <w:lang w:val="en-US"/>
        </w:rPr>
        <w:t>that the increased risk of diabetes-associated VTE might result from confounders (i.e., obesity) rather than an intrinsic effect of diabetes</w:t>
      </w:r>
      <w:r w:rsidR="00880B1B" w:rsidRPr="00CC6129">
        <w:rPr>
          <w:rFonts w:ascii="Book Antiqua" w:hAnsi="Book Antiqua"/>
          <w:sz w:val="24"/>
          <w:szCs w:val="24"/>
          <w:vertAlign w:val="superscript"/>
          <w:lang w:val="en-US"/>
        </w:rPr>
        <w:t>[24]</w:t>
      </w:r>
      <w:r w:rsidR="00097697" w:rsidRPr="00CC6129">
        <w:rPr>
          <w:rFonts w:ascii="Book Antiqua" w:hAnsi="Book Antiqua"/>
          <w:sz w:val="24"/>
          <w:szCs w:val="24"/>
          <w:lang w:val="en-US"/>
        </w:rPr>
        <w:t>.</w:t>
      </w:r>
      <w:r w:rsidR="0010680C">
        <w:rPr>
          <w:rFonts w:ascii="Book Antiqua" w:hAnsi="Book Antiqua"/>
          <w:sz w:val="24"/>
          <w:szCs w:val="24"/>
          <w:lang w:val="en-US"/>
        </w:rPr>
        <w:t xml:space="preserve"> </w:t>
      </w:r>
      <w:r w:rsidR="00880B1B" w:rsidRPr="00CC6129">
        <w:rPr>
          <w:rFonts w:ascii="Book Antiqua" w:hAnsi="Book Antiqua"/>
          <w:sz w:val="24"/>
          <w:szCs w:val="24"/>
          <w:lang w:val="en-US"/>
        </w:rPr>
        <w:t>On the other hand</w:t>
      </w:r>
      <w:r w:rsidR="00097697" w:rsidRPr="00CC6129">
        <w:rPr>
          <w:rFonts w:ascii="Book Antiqua" w:hAnsi="Book Antiqua"/>
          <w:sz w:val="24"/>
          <w:szCs w:val="24"/>
          <w:lang w:val="en-US"/>
        </w:rPr>
        <w:t xml:space="preserve">, the predictive value of </w:t>
      </w:r>
      <w:r w:rsidR="00880B1B" w:rsidRPr="00CC6129">
        <w:rPr>
          <w:rFonts w:ascii="Book Antiqua" w:hAnsi="Book Antiqua"/>
          <w:sz w:val="24"/>
          <w:szCs w:val="24"/>
          <w:lang w:val="en-US"/>
        </w:rPr>
        <w:t>HOMA index</w:t>
      </w:r>
      <w:r w:rsidR="00097697" w:rsidRPr="00CC6129">
        <w:rPr>
          <w:rFonts w:ascii="Book Antiqua" w:hAnsi="Book Antiqua"/>
          <w:sz w:val="24"/>
          <w:szCs w:val="24"/>
          <w:lang w:val="en-US"/>
        </w:rPr>
        <w:t xml:space="preserve"> in our analysis was independent of a condition of overweight/obesity, </w:t>
      </w:r>
      <w:r w:rsidR="005732F5" w:rsidRPr="00CC6129">
        <w:rPr>
          <w:rFonts w:ascii="Book Antiqua" w:hAnsi="Book Antiqua"/>
          <w:sz w:val="24"/>
          <w:szCs w:val="24"/>
          <w:lang w:val="en-US"/>
        </w:rPr>
        <w:t>validating</w:t>
      </w:r>
      <w:r w:rsidR="00413DD8" w:rsidRPr="00CC6129">
        <w:rPr>
          <w:rFonts w:ascii="Book Antiqua" w:hAnsi="Book Antiqua"/>
          <w:sz w:val="24"/>
          <w:szCs w:val="24"/>
          <w:lang w:val="en-US"/>
        </w:rPr>
        <w:t xml:space="preserve"> our previous </w:t>
      </w:r>
      <w:r w:rsidR="005732F5" w:rsidRPr="00CC6129">
        <w:rPr>
          <w:rFonts w:ascii="Book Antiqua" w:hAnsi="Book Antiqua"/>
          <w:sz w:val="24"/>
          <w:szCs w:val="24"/>
          <w:lang w:val="en-US"/>
        </w:rPr>
        <w:t>results</w:t>
      </w:r>
      <w:r w:rsidR="00413DD8" w:rsidRPr="00CC6129">
        <w:rPr>
          <w:rFonts w:ascii="Book Antiqua" w:hAnsi="Book Antiqua"/>
          <w:sz w:val="24"/>
          <w:szCs w:val="24"/>
          <w:lang w:val="en-US"/>
        </w:rPr>
        <w:t xml:space="preserve"> in a breast cancer cohort, in </w:t>
      </w:r>
      <w:r w:rsidR="00413DD8" w:rsidRPr="00CC6129">
        <w:rPr>
          <w:rFonts w:ascii="Book Antiqua" w:hAnsi="Book Antiqua"/>
          <w:sz w:val="24"/>
          <w:szCs w:val="24"/>
          <w:lang w:val="en-US"/>
        </w:rPr>
        <w:lastRenderedPageBreak/>
        <w:t xml:space="preserve">which a HOMA index greater than 2.5 </w:t>
      </w:r>
      <w:r w:rsidR="007A31D9" w:rsidRPr="00CC6129">
        <w:rPr>
          <w:rFonts w:ascii="Book Antiqua" w:hAnsi="Book Antiqua"/>
          <w:sz w:val="24"/>
          <w:szCs w:val="24"/>
          <w:lang w:val="en-US"/>
        </w:rPr>
        <w:t xml:space="preserve">(the </w:t>
      </w:r>
      <w:r w:rsidR="00413DD8" w:rsidRPr="00CC6129">
        <w:rPr>
          <w:rFonts w:ascii="Book Antiqua" w:hAnsi="Book Antiqua"/>
          <w:sz w:val="24"/>
          <w:szCs w:val="24"/>
          <w:lang w:val="en-US"/>
        </w:rPr>
        <w:t>cutoff for normality</w:t>
      </w:r>
      <w:r w:rsidR="007A31D9" w:rsidRPr="00CC6129">
        <w:rPr>
          <w:rFonts w:ascii="Book Antiqua" w:hAnsi="Book Antiqua"/>
          <w:sz w:val="24"/>
          <w:szCs w:val="24"/>
          <w:lang w:val="en-US"/>
        </w:rPr>
        <w:t>)</w:t>
      </w:r>
      <w:r w:rsidR="00413DD8" w:rsidRPr="00CC6129">
        <w:rPr>
          <w:rFonts w:ascii="Book Antiqua" w:hAnsi="Book Antiqua"/>
          <w:sz w:val="24"/>
          <w:szCs w:val="24"/>
          <w:lang w:val="en-US"/>
        </w:rPr>
        <w:t xml:space="preserve"> predicted chemotherapy-associated VTE, independently of other components of the metabolic syndrome (BMI, T2D and HDL cholesterol)</w:t>
      </w:r>
      <w:r w:rsidR="00413DD8" w:rsidRPr="00CC6129">
        <w:rPr>
          <w:rFonts w:ascii="Book Antiqua" w:hAnsi="Book Antiqua"/>
          <w:sz w:val="24"/>
          <w:szCs w:val="24"/>
          <w:vertAlign w:val="superscript"/>
          <w:lang w:val="en-US"/>
        </w:rPr>
        <w:t>[20]</w:t>
      </w:r>
      <w:r w:rsidR="00097697" w:rsidRPr="00CC6129">
        <w:rPr>
          <w:rFonts w:ascii="Book Antiqua" w:hAnsi="Book Antiqua"/>
          <w:sz w:val="24"/>
          <w:szCs w:val="24"/>
          <w:lang w:val="en-US"/>
        </w:rPr>
        <w:t>.</w:t>
      </w:r>
    </w:p>
    <w:p w:rsidR="004E7716" w:rsidRPr="00CC6129" w:rsidRDefault="00204E6B" w:rsidP="0010680C">
      <w:pPr>
        <w:snapToGrid w:val="0"/>
        <w:spacing w:after="0" w:line="360" w:lineRule="auto"/>
        <w:ind w:firstLine="284"/>
        <w:jc w:val="both"/>
        <w:rPr>
          <w:rFonts w:ascii="Book Antiqua" w:hAnsi="Book Antiqua"/>
          <w:sz w:val="24"/>
          <w:szCs w:val="24"/>
          <w:lang w:val="en-US"/>
        </w:rPr>
      </w:pPr>
      <w:r w:rsidRPr="00CC6129">
        <w:rPr>
          <w:rFonts w:ascii="Book Antiqua" w:hAnsi="Book Antiqua"/>
          <w:sz w:val="24"/>
          <w:szCs w:val="24"/>
          <w:lang w:val="en-US"/>
        </w:rPr>
        <w:t xml:space="preserve">As stated above, the possibility of a causal link between hyperglycemia and VTE occurrence is biologically plausible and supported by the finding that </w:t>
      </w:r>
      <w:r w:rsidR="007A31D9" w:rsidRPr="00CC6129">
        <w:rPr>
          <w:rFonts w:ascii="Book Antiqua" w:hAnsi="Book Antiqua"/>
          <w:sz w:val="24"/>
          <w:szCs w:val="24"/>
          <w:lang w:val="en-US"/>
        </w:rPr>
        <w:t xml:space="preserve">increased </w:t>
      </w:r>
      <w:r w:rsidRPr="00CC6129">
        <w:rPr>
          <w:rFonts w:ascii="Book Antiqua" w:hAnsi="Book Antiqua"/>
          <w:sz w:val="24"/>
          <w:szCs w:val="24"/>
          <w:lang w:val="en-US"/>
        </w:rPr>
        <w:t>blood glucose levels enhances blood coagulation in healthy non-diabetic individuals</w:t>
      </w:r>
      <w:r w:rsidRPr="00CC6129">
        <w:rPr>
          <w:rFonts w:ascii="Book Antiqua" w:hAnsi="Book Antiqua"/>
          <w:sz w:val="24"/>
          <w:szCs w:val="24"/>
          <w:vertAlign w:val="superscript"/>
          <w:lang w:val="en-US"/>
        </w:rPr>
        <w:t>[21]</w:t>
      </w:r>
      <w:r w:rsidRPr="00CC6129">
        <w:rPr>
          <w:rFonts w:ascii="Book Antiqua" w:hAnsi="Book Antiqua"/>
          <w:sz w:val="24"/>
          <w:szCs w:val="24"/>
          <w:lang w:val="en-US"/>
        </w:rPr>
        <w:t>.</w:t>
      </w:r>
      <w:r w:rsidR="0010680C">
        <w:rPr>
          <w:rFonts w:ascii="Book Antiqua" w:hAnsi="Book Antiqua"/>
          <w:sz w:val="24"/>
          <w:szCs w:val="24"/>
          <w:lang w:val="en-US"/>
        </w:rPr>
        <w:t xml:space="preserve"> </w:t>
      </w:r>
      <w:r w:rsidRPr="00CC6129">
        <w:rPr>
          <w:rFonts w:ascii="Book Antiqua" w:hAnsi="Book Antiqua"/>
          <w:sz w:val="24"/>
          <w:szCs w:val="24"/>
          <w:lang w:val="en-US"/>
        </w:rPr>
        <w:t>Additional evidence on the role of h</w:t>
      </w:r>
      <w:r w:rsidR="004E7716" w:rsidRPr="00CC6129">
        <w:rPr>
          <w:rFonts w:ascii="Book Antiqua" w:hAnsi="Book Antiqua"/>
          <w:sz w:val="24"/>
          <w:szCs w:val="24"/>
          <w:lang w:val="en-US"/>
        </w:rPr>
        <w:t xml:space="preserve">yperglycemia </w:t>
      </w:r>
      <w:r w:rsidRPr="00CC6129">
        <w:rPr>
          <w:rFonts w:ascii="Book Antiqua" w:hAnsi="Book Antiqua"/>
          <w:sz w:val="24"/>
          <w:szCs w:val="24"/>
          <w:lang w:val="en-US"/>
        </w:rPr>
        <w:t>on</w:t>
      </w:r>
      <w:r w:rsidR="004E7716" w:rsidRPr="00CC6129">
        <w:rPr>
          <w:rFonts w:ascii="Book Antiqua" w:hAnsi="Book Antiqua"/>
          <w:sz w:val="24"/>
          <w:szCs w:val="24"/>
          <w:lang w:val="en-US"/>
        </w:rPr>
        <w:t xml:space="preserve"> coagulation</w:t>
      </w:r>
      <w:r w:rsidRPr="00CC6129">
        <w:rPr>
          <w:rFonts w:ascii="Book Antiqua" w:hAnsi="Book Antiqua"/>
          <w:sz w:val="24"/>
          <w:szCs w:val="24"/>
          <w:lang w:val="en-US"/>
        </w:rPr>
        <w:t xml:space="preserve"> activation derives from experimental data suggesting that </w:t>
      </w:r>
      <w:r w:rsidR="004E7716" w:rsidRPr="00CC6129">
        <w:rPr>
          <w:rFonts w:ascii="Book Antiqua" w:hAnsi="Book Antiqua"/>
          <w:sz w:val="24"/>
          <w:szCs w:val="24"/>
          <w:lang w:val="en-US"/>
        </w:rPr>
        <w:t>hyperglycemia may cause vessel damage through at least three apparently unrelated pathways: advanced glycation end product formation, activation of protein kinase C, and sorbitol accumulation by way of the polyol pathway (</w:t>
      </w:r>
      <w:r w:rsidRPr="00CC6129">
        <w:rPr>
          <w:rFonts w:ascii="Book Antiqua" w:hAnsi="Book Antiqua"/>
          <w:sz w:val="24"/>
          <w:szCs w:val="24"/>
          <w:lang w:val="en-US"/>
        </w:rPr>
        <w:t>for a review see</w:t>
      </w:r>
      <w:r w:rsidRPr="00CC6129">
        <w:rPr>
          <w:rFonts w:ascii="Book Antiqua" w:hAnsi="Book Antiqua"/>
          <w:sz w:val="24"/>
          <w:szCs w:val="24"/>
          <w:vertAlign w:val="superscript"/>
          <w:lang w:val="en-US"/>
        </w:rPr>
        <w:t>[24]</w:t>
      </w:r>
      <w:r w:rsidR="004E7716" w:rsidRPr="00CC6129">
        <w:rPr>
          <w:rFonts w:ascii="Book Antiqua" w:hAnsi="Book Antiqua"/>
          <w:sz w:val="24"/>
          <w:szCs w:val="24"/>
          <w:lang w:val="en-US"/>
        </w:rPr>
        <w:t>). Furthermore, hyperglycemia via increased oxidative stress, and receptor for advanced glycation end products activation, increases the activation of transcription factor-</w:t>
      </w:r>
      <w:r w:rsidR="004E7716" w:rsidRPr="00CC6129">
        <w:rPr>
          <w:rFonts w:ascii="Book Antiqua" w:hAnsi="Book Antiqua"/>
          <w:sz w:val="24"/>
          <w:szCs w:val="24"/>
          <w:lang w:val="en-US"/>
        </w:rPr>
        <w:t>B in endothelial cells</w:t>
      </w:r>
      <w:r w:rsidR="002E1D1D" w:rsidRPr="00CC6129">
        <w:rPr>
          <w:rFonts w:ascii="Book Antiqua" w:hAnsi="Book Antiqua"/>
          <w:sz w:val="24"/>
          <w:szCs w:val="24"/>
          <w:lang w:val="en-US"/>
        </w:rPr>
        <w:t>, thus</w:t>
      </w:r>
      <w:r w:rsidR="004E7716" w:rsidRPr="00CC6129">
        <w:rPr>
          <w:rFonts w:ascii="Book Antiqua" w:hAnsi="Book Antiqua"/>
          <w:sz w:val="24"/>
          <w:szCs w:val="24"/>
          <w:lang w:val="en-US"/>
        </w:rPr>
        <w:t xml:space="preserve"> caus</w:t>
      </w:r>
      <w:r w:rsidR="002E1D1D" w:rsidRPr="00CC6129">
        <w:rPr>
          <w:rFonts w:ascii="Book Antiqua" w:hAnsi="Book Antiqua"/>
          <w:sz w:val="24"/>
          <w:szCs w:val="24"/>
          <w:lang w:val="en-US"/>
        </w:rPr>
        <w:t>ing</w:t>
      </w:r>
      <w:r w:rsidR="004E7716" w:rsidRPr="00CC6129">
        <w:rPr>
          <w:rFonts w:ascii="Book Antiqua" w:hAnsi="Book Antiqua"/>
          <w:sz w:val="24"/>
          <w:szCs w:val="24"/>
          <w:lang w:val="en-US"/>
        </w:rPr>
        <w:t xml:space="preserve"> a switch of the endothelial functions toward a pro-thrombotic, pro-inflammatory condition</w:t>
      </w:r>
      <w:r w:rsidR="007A31D9" w:rsidRPr="00CC6129">
        <w:rPr>
          <w:rFonts w:ascii="Book Antiqua" w:hAnsi="Book Antiqua"/>
          <w:sz w:val="24"/>
          <w:szCs w:val="24"/>
          <w:lang w:val="en-US"/>
        </w:rPr>
        <w:t>. This</w:t>
      </w:r>
      <w:r w:rsidR="004E7716" w:rsidRPr="00CC6129">
        <w:rPr>
          <w:rFonts w:ascii="Book Antiqua" w:hAnsi="Book Antiqua"/>
          <w:sz w:val="24"/>
          <w:szCs w:val="24"/>
          <w:lang w:val="en-US"/>
        </w:rPr>
        <w:t xml:space="preserve">, together with an altered platelet metabolism and changes in intraplatelet signaling pathways, contributes to the pathogenesis of </w:t>
      </w:r>
      <w:r w:rsidR="007A31D9" w:rsidRPr="00CC6129">
        <w:rPr>
          <w:rFonts w:ascii="Book Antiqua" w:hAnsi="Book Antiqua"/>
          <w:sz w:val="24"/>
          <w:szCs w:val="24"/>
          <w:lang w:val="en-US"/>
        </w:rPr>
        <w:t xml:space="preserve">the </w:t>
      </w:r>
      <w:r w:rsidR="004E7716" w:rsidRPr="00CC6129">
        <w:rPr>
          <w:rFonts w:ascii="Book Antiqua" w:hAnsi="Book Antiqua"/>
          <w:sz w:val="24"/>
          <w:szCs w:val="24"/>
          <w:lang w:val="en-US"/>
        </w:rPr>
        <w:t xml:space="preserve">thrombotic complications of </w:t>
      </w:r>
      <w:r w:rsidR="002E1D1D" w:rsidRPr="00CC6129">
        <w:rPr>
          <w:rFonts w:ascii="Book Antiqua" w:hAnsi="Book Antiqua"/>
          <w:sz w:val="24"/>
          <w:szCs w:val="24"/>
          <w:lang w:val="en-US"/>
        </w:rPr>
        <w:t>T2D</w:t>
      </w:r>
      <w:r w:rsidR="002E1D1D" w:rsidRPr="00CC6129">
        <w:rPr>
          <w:rFonts w:ascii="Book Antiqua" w:hAnsi="Book Antiqua"/>
          <w:sz w:val="24"/>
          <w:szCs w:val="24"/>
          <w:vertAlign w:val="superscript"/>
          <w:lang w:val="en-US"/>
        </w:rPr>
        <w:t>[24]</w:t>
      </w:r>
      <w:r w:rsidR="004E7716" w:rsidRPr="00CC6129">
        <w:rPr>
          <w:rFonts w:ascii="Book Antiqua" w:hAnsi="Book Antiqua"/>
          <w:sz w:val="24"/>
          <w:szCs w:val="24"/>
          <w:lang w:val="en-US"/>
        </w:rPr>
        <w:t>.</w:t>
      </w:r>
      <w:r w:rsidR="0010680C">
        <w:rPr>
          <w:rFonts w:ascii="Book Antiqua" w:hAnsi="Book Antiqua"/>
          <w:sz w:val="24"/>
          <w:szCs w:val="24"/>
          <w:lang w:val="en-US"/>
        </w:rPr>
        <w:t xml:space="preserve"> </w:t>
      </w:r>
      <w:r w:rsidR="002E1D1D" w:rsidRPr="00CC6129">
        <w:rPr>
          <w:rFonts w:ascii="Book Antiqua" w:hAnsi="Book Antiqua"/>
          <w:sz w:val="24"/>
          <w:szCs w:val="24"/>
          <w:lang w:val="en-US"/>
        </w:rPr>
        <w:t xml:space="preserve">Of interest, </w:t>
      </w:r>
      <w:r w:rsidR="0003768F" w:rsidRPr="00CC6129">
        <w:rPr>
          <w:rFonts w:ascii="Book Antiqua" w:hAnsi="Book Antiqua"/>
          <w:sz w:val="24"/>
          <w:szCs w:val="24"/>
          <w:lang w:val="en-US"/>
        </w:rPr>
        <w:t>in this study</w:t>
      </w:r>
      <w:r w:rsidR="007A31D9" w:rsidRPr="00CC6129">
        <w:rPr>
          <w:rFonts w:ascii="Book Antiqua" w:hAnsi="Book Antiqua"/>
          <w:sz w:val="24"/>
          <w:szCs w:val="24"/>
          <w:lang w:val="en-US"/>
        </w:rPr>
        <w:t>,</w:t>
      </w:r>
      <w:r w:rsidR="0003768F" w:rsidRPr="00CC6129">
        <w:rPr>
          <w:rFonts w:ascii="Book Antiqua" w:hAnsi="Book Antiqua"/>
          <w:sz w:val="24"/>
          <w:szCs w:val="24"/>
          <w:lang w:val="en-US"/>
        </w:rPr>
        <w:t xml:space="preserve"> elevated HbA</w:t>
      </w:r>
      <w:r w:rsidR="0003768F" w:rsidRPr="00CC6129">
        <w:rPr>
          <w:rFonts w:ascii="Book Antiqua" w:hAnsi="Book Antiqua"/>
          <w:sz w:val="24"/>
          <w:szCs w:val="24"/>
          <w:vertAlign w:val="subscript"/>
          <w:lang w:val="en-US"/>
        </w:rPr>
        <w:t>1c</w:t>
      </w:r>
      <w:r w:rsidR="00DB3AC7" w:rsidRPr="00CC6129">
        <w:rPr>
          <w:rFonts w:ascii="Book Antiqua" w:hAnsi="Book Antiqua"/>
          <w:sz w:val="24"/>
          <w:szCs w:val="24"/>
          <w:lang w:val="en-US"/>
        </w:rPr>
        <w:t xml:space="preserve"> </w:t>
      </w:r>
      <w:r w:rsidR="0003768F" w:rsidRPr="00CC6129">
        <w:rPr>
          <w:rFonts w:ascii="Book Antiqua" w:hAnsi="Book Antiqua"/>
          <w:sz w:val="24"/>
          <w:szCs w:val="24"/>
          <w:lang w:val="en-US"/>
        </w:rPr>
        <w:t xml:space="preserve">levels </w:t>
      </w:r>
      <w:r w:rsidR="00DB3AC7" w:rsidRPr="00CC6129">
        <w:rPr>
          <w:rFonts w:ascii="Book Antiqua" w:hAnsi="Book Antiqua"/>
          <w:sz w:val="24"/>
          <w:szCs w:val="24"/>
          <w:lang w:val="en-US"/>
        </w:rPr>
        <w:t>w</w:t>
      </w:r>
      <w:r w:rsidR="0003768F" w:rsidRPr="00CC6129">
        <w:rPr>
          <w:rFonts w:ascii="Book Antiqua" w:hAnsi="Book Antiqua"/>
          <w:sz w:val="24"/>
          <w:szCs w:val="24"/>
          <w:lang w:val="en-US"/>
        </w:rPr>
        <w:t>ere</w:t>
      </w:r>
      <w:r w:rsidR="00DB3AC7" w:rsidRPr="00CC6129">
        <w:rPr>
          <w:rFonts w:ascii="Book Antiqua" w:hAnsi="Book Antiqua"/>
          <w:sz w:val="24"/>
          <w:szCs w:val="24"/>
          <w:lang w:val="en-US"/>
        </w:rPr>
        <w:t xml:space="preserve"> significantly associated </w:t>
      </w:r>
      <w:r w:rsidR="007A31D9" w:rsidRPr="00CC6129">
        <w:rPr>
          <w:rFonts w:ascii="Book Antiqua" w:hAnsi="Book Antiqua"/>
          <w:sz w:val="24"/>
          <w:szCs w:val="24"/>
          <w:lang w:val="en-US"/>
        </w:rPr>
        <w:t xml:space="preserve">with </w:t>
      </w:r>
      <w:r w:rsidR="0003768F" w:rsidRPr="00CC6129">
        <w:rPr>
          <w:rFonts w:ascii="Book Antiqua" w:hAnsi="Book Antiqua"/>
          <w:sz w:val="24"/>
          <w:szCs w:val="24"/>
          <w:lang w:val="en-US"/>
        </w:rPr>
        <w:t>increased mean platelet volumes (a marker of platelet hyperactivity available for 214 patients) either in the overall cohort (regression coefficient</w:t>
      </w:r>
      <w:r w:rsidR="0064421C">
        <w:rPr>
          <w:rFonts w:ascii="Book Antiqua" w:hAnsi="Book Antiqua" w:hint="eastAsia"/>
          <w:sz w:val="24"/>
          <w:szCs w:val="24"/>
          <w:lang w:val="en-US" w:eastAsia="zh-CN"/>
        </w:rPr>
        <w:t xml:space="preserve"> </w:t>
      </w:r>
      <w:r w:rsidR="0003768F" w:rsidRPr="00CC6129">
        <w:rPr>
          <w:rFonts w:ascii="Book Antiqua" w:hAnsi="Book Antiqua"/>
          <w:sz w:val="24"/>
          <w:szCs w:val="24"/>
          <w:lang w:val="en-US"/>
        </w:rPr>
        <w:t xml:space="preserve">= 0.235, </w:t>
      </w:r>
      <w:r w:rsidR="0064421C" w:rsidRPr="000730D3">
        <w:rPr>
          <w:rFonts w:ascii="Book Antiqua" w:hAnsi="Book Antiqua"/>
          <w:i/>
          <w:caps/>
          <w:sz w:val="24"/>
          <w:szCs w:val="24"/>
          <w:lang w:val="en-US"/>
        </w:rPr>
        <w:t>p</w:t>
      </w:r>
      <w:r w:rsidR="0064421C" w:rsidRPr="00CC6129">
        <w:rPr>
          <w:rFonts w:ascii="Book Antiqua" w:hAnsi="Book Antiqua"/>
          <w:sz w:val="24"/>
          <w:szCs w:val="24"/>
          <w:lang w:val="en-US"/>
        </w:rPr>
        <w:t xml:space="preserve"> </w:t>
      </w:r>
      <w:r w:rsidR="0003768F" w:rsidRPr="00CC6129">
        <w:rPr>
          <w:rFonts w:ascii="Book Antiqua" w:hAnsi="Book Antiqua"/>
          <w:sz w:val="24"/>
          <w:szCs w:val="24"/>
          <w:lang w:val="en-US"/>
        </w:rPr>
        <w:t>=</w:t>
      </w:r>
      <w:r w:rsidR="0064421C">
        <w:rPr>
          <w:rFonts w:ascii="Book Antiqua" w:hAnsi="Book Antiqua" w:hint="eastAsia"/>
          <w:sz w:val="24"/>
          <w:szCs w:val="24"/>
          <w:lang w:val="en-US" w:eastAsia="zh-CN"/>
        </w:rPr>
        <w:t xml:space="preserve"> </w:t>
      </w:r>
      <w:r w:rsidR="0003768F" w:rsidRPr="00CC6129">
        <w:rPr>
          <w:rFonts w:ascii="Book Antiqua" w:hAnsi="Book Antiqua"/>
          <w:sz w:val="24"/>
          <w:szCs w:val="24"/>
          <w:lang w:val="en-US"/>
        </w:rPr>
        <w:t xml:space="preserve">0.0006) or in non-diabetic non-obese </w:t>
      </w:r>
      <w:r w:rsidR="00DB3AC7" w:rsidRPr="00CC6129">
        <w:rPr>
          <w:rFonts w:ascii="Book Antiqua" w:hAnsi="Book Antiqua"/>
          <w:sz w:val="24"/>
          <w:szCs w:val="24"/>
          <w:lang w:val="en-US"/>
        </w:rPr>
        <w:t>(</w:t>
      </w:r>
      <w:r w:rsidR="0003768F" w:rsidRPr="00CC6129">
        <w:rPr>
          <w:rFonts w:ascii="Book Antiqua" w:hAnsi="Book Antiqua"/>
          <w:sz w:val="24"/>
          <w:szCs w:val="24"/>
          <w:lang w:val="en-US"/>
        </w:rPr>
        <w:t>regression coefficient</w:t>
      </w:r>
      <w:r w:rsidR="0064421C">
        <w:rPr>
          <w:rFonts w:ascii="Book Antiqua" w:hAnsi="Book Antiqua" w:hint="eastAsia"/>
          <w:sz w:val="24"/>
          <w:szCs w:val="24"/>
          <w:lang w:val="en-US" w:eastAsia="zh-CN"/>
        </w:rPr>
        <w:t xml:space="preserve"> </w:t>
      </w:r>
      <w:r w:rsidR="0003768F" w:rsidRPr="00CC6129">
        <w:rPr>
          <w:rFonts w:ascii="Book Antiqua" w:hAnsi="Book Antiqua"/>
          <w:sz w:val="24"/>
          <w:szCs w:val="24"/>
          <w:lang w:val="en-US"/>
        </w:rPr>
        <w:t xml:space="preserve">= 0.239, </w:t>
      </w:r>
      <w:r w:rsidR="0064421C" w:rsidRPr="000730D3">
        <w:rPr>
          <w:rFonts w:ascii="Book Antiqua" w:hAnsi="Book Antiqua"/>
          <w:i/>
          <w:caps/>
          <w:sz w:val="24"/>
          <w:szCs w:val="24"/>
          <w:lang w:val="en-US"/>
        </w:rPr>
        <w:t>p</w:t>
      </w:r>
      <w:r w:rsidR="0064421C" w:rsidRPr="00CC6129">
        <w:rPr>
          <w:rFonts w:ascii="Book Antiqua" w:hAnsi="Book Antiqua"/>
          <w:sz w:val="24"/>
          <w:szCs w:val="24"/>
          <w:lang w:val="en-US"/>
        </w:rPr>
        <w:t xml:space="preserve"> </w:t>
      </w:r>
      <w:r w:rsidR="0003768F" w:rsidRPr="00CC6129">
        <w:rPr>
          <w:rFonts w:ascii="Book Antiqua" w:hAnsi="Book Antiqua"/>
          <w:sz w:val="24"/>
          <w:szCs w:val="24"/>
          <w:lang w:val="en-US"/>
        </w:rPr>
        <w:t>=</w:t>
      </w:r>
      <w:r w:rsidR="0064421C">
        <w:rPr>
          <w:rFonts w:ascii="Book Antiqua" w:hAnsi="Book Antiqua" w:hint="eastAsia"/>
          <w:sz w:val="24"/>
          <w:szCs w:val="24"/>
          <w:lang w:val="en-US" w:eastAsia="zh-CN"/>
        </w:rPr>
        <w:t xml:space="preserve"> </w:t>
      </w:r>
      <w:r w:rsidR="0003768F" w:rsidRPr="00CC6129">
        <w:rPr>
          <w:rFonts w:ascii="Book Antiqua" w:hAnsi="Book Antiqua"/>
          <w:sz w:val="24"/>
          <w:szCs w:val="24"/>
          <w:lang w:val="en-US"/>
        </w:rPr>
        <w:t>0.004)</w:t>
      </w:r>
      <w:r w:rsidR="00DB3AC7" w:rsidRPr="00CC6129">
        <w:rPr>
          <w:rFonts w:ascii="Book Antiqua" w:hAnsi="Book Antiqua"/>
          <w:sz w:val="24"/>
          <w:szCs w:val="24"/>
          <w:lang w:val="en-US"/>
        </w:rPr>
        <w:t xml:space="preserve"> </w:t>
      </w:r>
      <w:r w:rsidR="0003768F" w:rsidRPr="00CC6129">
        <w:rPr>
          <w:rFonts w:ascii="Book Antiqua" w:hAnsi="Book Antiqua"/>
          <w:sz w:val="24"/>
          <w:szCs w:val="24"/>
          <w:lang w:val="en-US"/>
        </w:rPr>
        <w:t>GI cancer patients</w:t>
      </w:r>
      <w:r w:rsidR="0018517D" w:rsidRPr="00CC6129">
        <w:rPr>
          <w:rFonts w:ascii="Book Antiqua" w:hAnsi="Book Antiqua"/>
          <w:sz w:val="24"/>
          <w:szCs w:val="24"/>
          <w:lang w:val="en-US"/>
        </w:rPr>
        <w:t>, independently of age, sex or BMI</w:t>
      </w:r>
      <w:r w:rsidR="0003768F" w:rsidRPr="00CC6129">
        <w:rPr>
          <w:rFonts w:ascii="Book Antiqua" w:hAnsi="Book Antiqua"/>
          <w:sz w:val="24"/>
          <w:szCs w:val="24"/>
          <w:lang w:val="en-US"/>
        </w:rPr>
        <w:t xml:space="preserve"> (data not shown), thus suggesting a role for sustained hyperglycemia in the procoagulant status of these patients</w:t>
      </w:r>
      <w:r w:rsidR="00DB3AC7" w:rsidRPr="00CC6129">
        <w:rPr>
          <w:rFonts w:ascii="Book Antiqua" w:hAnsi="Book Antiqua"/>
          <w:sz w:val="24"/>
          <w:szCs w:val="24"/>
          <w:lang w:val="en-US"/>
        </w:rPr>
        <w:t>.</w:t>
      </w:r>
      <w:r w:rsidR="0010680C">
        <w:rPr>
          <w:rFonts w:ascii="Book Antiqua" w:hAnsi="Book Antiqua"/>
          <w:sz w:val="24"/>
          <w:szCs w:val="24"/>
          <w:lang w:val="en-US"/>
        </w:rPr>
        <w:t xml:space="preserve"> </w:t>
      </w:r>
      <w:r w:rsidR="0018517D" w:rsidRPr="00CC6129">
        <w:rPr>
          <w:rFonts w:ascii="Book Antiqua" w:hAnsi="Book Antiqua"/>
          <w:sz w:val="24"/>
          <w:szCs w:val="24"/>
          <w:lang w:val="en-US"/>
        </w:rPr>
        <w:t>However, this hypothesis is purely speculative, since the</w:t>
      </w:r>
      <w:r w:rsidR="007A31D9" w:rsidRPr="00CC6129">
        <w:rPr>
          <w:rFonts w:ascii="Book Antiqua" w:hAnsi="Book Antiqua"/>
          <w:sz w:val="24"/>
          <w:szCs w:val="24"/>
          <w:lang w:val="en-US"/>
        </w:rPr>
        <w:t xml:space="preserve"> present</w:t>
      </w:r>
      <w:r w:rsidR="0018517D" w:rsidRPr="00CC6129">
        <w:rPr>
          <w:rFonts w:ascii="Book Antiqua" w:hAnsi="Book Antiqua"/>
          <w:sz w:val="24"/>
          <w:szCs w:val="24"/>
          <w:lang w:val="en-US"/>
        </w:rPr>
        <w:t xml:space="preserve"> study was not specifically designed to address this issue and</w:t>
      </w:r>
      <w:r w:rsidR="00DB3AC7" w:rsidRPr="00CC6129">
        <w:rPr>
          <w:rFonts w:ascii="Book Antiqua" w:hAnsi="Book Antiqua"/>
          <w:sz w:val="24"/>
          <w:szCs w:val="24"/>
          <w:lang w:val="en-US"/>
        </w:rPr>
        <w:t xml:space="preserve">, </w:t>
      </w:r>
      <w:r w:rsidR="0018517D" w:rsidRPr="00CC6129">
        <w:rPr>
          <w:rFonts w:ascii="Book Antiqua" w:hAnsi="Book Antiqua"/>
          <w:sz w:val="24"/>
          <w:szCs w:val="24"/>
          <w:lang w:val="en-US"/>
        </w:rPr>
        <w:t>as such</w:t>
      </w:r>
      <w:r w:rsidR="00DB3AC7" w:rsidRPr="00CC6129">
        <w:rPr>
          <w:rFonts w:ascii="Book Antiqua" w:hAnsi="Book Antiqua"/>
          <w:sz w:val="24"/>
          <w:szCs w:val="24"/>
          <w:lang w:val="en-US"/>
        </w:rPr>
        <w:t xml:space="preserve">, </w:t>
      </w:r>
      <w:r w:rsidR="0018517D" w:rsidRPr="00CC6129">
        <w:rPr>
          <w:rFonts w:ascii="Book Antiqua" w:hAnsi="Book Antiqua"/>
          <w:sz w:val="24"/>
          <w:szCs w:val="24"/>
          <w:lang w:val="en-US"/>
        </w:rPr>
        <w:t>it deserves further investigation.</w:t>
      </w:r>
    </w:p>
    <w:p w:rsidR="00FD70F1" w:rsidRPr="00CC6129" w:rsidRDefault="009C49CB" w:rsidP="0010680C">
      <w:pPr>
        <w:snapToGrid w:val="0"/>
        <w:spacing w:after="0" w:line="360" w:lineRule="auto"/>
        <w:ind w:firstLine="284"/>
        <w:jc w:val="both"/>
        <w:rPr>
          <w:rFonts w:ascii="Book Antiqua" w:hAnsi="Book Antiqua"/>
          <w:sz w:val="24"/>
          <w:szCs w:val="24"/>
          <w:lang w:val="en-US"/>
        </w:rPr>
      </w:pPr>
      <w:r w:rsidRPr="00CC6129">
        <w:rPr>
          <w:rFonts w:ascii="Book Antiqua" w:hAnsi="Book Antiqua"/>
          <w:sz w:val="24"/>
          <w:szCs w:val="24"/>
          <w:lang w:val="en-US"/>
        </w:rPr>
        <w:t>Whichever the mechanism involved, cancer-associated VTE</w:t>
      </w:r>
      <w:r w:rsidR="00B03A59" w:rsidRPr="00CC6129">
        <w:rPr>
          <w:rFonts w:ascii="Book Antiqua" w:hAnsi="Book Antiqua"/>
          <w:sz w:val="24"/>
          <w:szCs w:val="24"/>
          <w:lang w:val="en-US"/>
        </w:rPr>
        <w:t xml:space="preserve"> poses serious concerns both in terms of patient care and health costs, while thromboprophylaxis could provide an opportunity to substantially improve clinical management. Nonetheless, </w:t>
      </w:r>
      <w:r w:rsidR="004E7716" w:rsidRPr="00CC6129">
        <w:rPr>
          <w:rFonts w:ascii="Book Antiqua" w:hAnsi="Book Antiqua"/>
          <w:sz w:val="24"/>
          <w:szCs w:val="24"/>
          <w:lang w:val="en-US"/>
        </w:rPr>
        <w:t xml:space="preserve">international </w:t>
      </w:r>
      <w:r w:rsidR="00B03A59" w:rsidRPr="00CC6129">
        <w:rPr>
          <w:rFonts w:ascii="Book Antiqua" w:hAnsi="Book Antiqua"/>
          <w:sz w:val="24"/>
          <w:szCs w:val="24"/>
          <w:lang w:val="en-US"/>
        </w:rPr>
        <w:t xml:space="preserve">consensus guidelines do not recommend routine prophylaxis for the primary prevention of VTE in cancer outpatients receiving chemotherapy, except for </w:t>
      </w:r>
      <w:r w:rsidR="004E7716" w:rsidRPr="00CC6129">
        <w:rPr>
          <w:rFonts w:ascii="Book Antiqua" w:hAnsi="Book Antiqua"/>
          <w:sz w:val="24"/>
          <w:szCs w:val="24"/>
          <w:lang w:val="en-US"/>
        </w:rPr>
        <w:t xml:space="preserve">pancreatic cancer or </w:t>
      </w:r>
      <w:r w:rsidR="00B03A59" w:rsidRPr="00CC6129">
        <w:rPr>
          <w:rFonts w:ascii="Book Antiqua" w:hAnsi="Book Antiqua"/>
          <w:sz w:val="24"/>
          <w:szCs w:val="24"/>
          <w:lang w:val="en-US"/>
        </w:rPr>
        <w:t>selected high-risk patients</w:t>
      </w:r>
      <w:r w:rsidR="004E7716" w:rsidRPr="00CC6129">
        <w:rPr>
          <w:rFonts w:ascii="Book Antiqua" w:hAnsi="Book Antiqua"/>
          <w:sz w:val="24"/>
          <w:szCs w:val="24"/>
          <w:vertAlign w:val="superscript"/>
          <w:lang w:val="en-US"/>
        </w:rPr>
        <w:t>[23,</w:t>
      </w:r>
      <w:r w:rsidR="00DE033E">
        <w:rPr>
          <w:rFonts w:ascii="Book Antiqua" w:hAnsi="Book Antiqua" w:hint="eastAsia"/>
          <w:sz w:val="24"/>
          <w:szCs w:val="24"/>
          <w:vertAlign w:val="superscript"/>
          <w:lang w:val="en-US" w:eastAsia="zh-CN"/>
        </w:rPr>
        <w:t>25,</w:t>
      </w:r>
      <w:r w:rsidR="004E7716" w:rsidRPr="00CC6129">
        <w:rPr>
          <w:rFonts w:ascii="Book Antiqua" w:hAnsi="Book Antiqua"/>
          <w:sz w:val="24"/>
          <w:szCs w:val="24"/>
          <w:vertAlign w:val="superscript"/>
          <w:lang w:val="en-US"/>
        </w:rPr>
        <w:t>26]</w:t>
      </w:r>
      <w:r w:rsidR="00B03A59" w:rsidRPr="00CC6129">
        <w:rPr>
          <w:rFonts w:ascii="Book Antiqua" w:hAnsi="Book Antiqua"/>
          <w:sz w:val="24"/>
          <w:szCs w:val="24"/>
          <w:lang w:val="en-US"/>
        </w:rPr>
        <w:t>.</w:t>
      </w:r>
      <w:r w:rsidR="0010680C">
        <w:rPr>
          <w:rFonts w:ascii="Book Antiqua" w:hAnsi="Book Antiqua"/>
          <w:sz w:val="24"/>
          <w:szCs w:val="24"/>
          <w:lang w:val="en-US"/>
        </w:rPr>
        <w:t xml:space="preserve"> </w:t>
      </w:r>
      <w:r w:rsidR="00383475" w:rsidRPr="00CC6129">
        <w:rPr>
          <w:rFonts w:ascii="Book Antiqua" w:hAnsi="Book Antiqua"/>
          <w:sz w:val="24"/>
          <w:szCs w:val="24"/>
          <w:lang w:val="en-US"/>
        </w:rPr>
        <w:t xml:space="preserve">To </w:t>
      </w:r>
      <w:r w:rsidR="00383475" w:rsidRPr="00CC6129">
        <w:rPr>
          <w:rFonts w:ascii="Book Antiqua" w:hAnsi="Book Antiqua"/>
          <w:sz w:val="24"/>
          <w:szCs w:val="24"/>
          <w:lang w:val="en-US"/>
        </w:rPr>
        <w:lastRenderedPageBreak/>
        <w:t xml:space="preserve">aid in VTE risk assessment, </w:t>
      </w:r>
      <w:r w:rsidR="008D0A80" w:rsidRPr="00CC6129">
        <w:rPr>
          <w:rFonts w:ascii="Book Antiqua" w:hAnsi="Book Antiqua"/>
          <w:sz w:val="24"/>
          <w:szCs w:val="24"/>
          <w:lang w:val="en-US"/>
        </w:rPr>
        <w:t>the use of Khorana score is currently recommended</w:t>
      </w:r>
      <w:r w:rsidR="008D0A80" w:rsidRPr="00CC6129">
        <w:rPr>
          <w:rFonts w:ascii="Book Antiqua" w:hAnsi="Book Antiqua"/>
          <w:sz w:val="24"/>
          <w:szCs w:val="24"/>
          <w:vertAlign w:val="superscript"/>
          <w:lang w:val="en-US"/>
        </w:rPr>
        <w:t>[23]</w:t>
      </w:r>
      <w:r w:rsidR="008D0A80" w:rsidRPr="00CC6129">
        <w:rPr>
          <w:rFonts w:ascii="Book Antiqua" w:hAnsi="Book Antiqua"/>
          <w:sz w:val="24"/>
          <w:szCs w:val="24"/>
          <w:lang w:val="en-US"/>
        </w:rPr>
        <w:t>. In the present study, the Khorana score was used to provide an initial estimate of VTE risk in GI cancer patients.</w:t>
      </w:r>
      <w:r w:rsidR="0010680C">
        <w:rPr>
          <w:rFonts w:ascii="Book Antiqua" w:hAnsi="Book Antiqua"/>
          <w:sz w:val="24"/>
          <w:szCs w:val="24"/>
          <w:lang w:val="en-US"/>
        </w:rPr>
        <w:t xml:space="preserve"> </w:t>
      </w:r>
      <w:r w:rsidR="00311D7A" w:rsidRPr="00CC6129">
        <w:rPr>
          <w:rFonts w:ascii="Book Antiqua" w:hAnsi="Book Antiqua"/>
          <w:sz w:val="24"/>
          <w:szCs w:val="24"/>
          <w:lang w:val="en-US"/>
        </w:rPr>
        <w:t xml:space="preserve">However, </w:t>
      </w:r>
      <w:r w:rsidR="00491BAA" w:rsidRPr="00CC6129">
        <w:rPr>
          <w:rFonts w:ascii="Book Antiqua" w:hAnsi="Book Antiqua"/>
          <w:sz w:val="24"/>
          <w:szCs w:val="24"/>
          <w:lang w:val="en-US"/>
        </w:rPr>
        <w:t>it</w:t>
      </w:r>
      <w:r w:rsidR="00311D7A" w:rsidRPr="00CC6129">
        <w:rPr>
          <w:rFonts w:ascii="Book Antiqua" w:hAnsi="Book Antiqua"/>
          <w:sz w:val="24"/>
          <w:szCs w:val="24"/>
          <w:lang w:val="en-US"/>
        </w:rPr>
        <w:t xml:space="preserve"> correctly </w:t>
      </w:r>
      <w:r w:rsidR="005732F5" w:rsidRPr="00CC6129">
        <w:rPr>
          <w:rFonts w:ascii="Book Antiqua" w:hAnsi="Book Antiqua"/>
          <w:sz w:val="24"/>
          <w:szCs w:val="24"/>
          <w:lang w:val="en-US"/>
        </w:rPr>
        <w:t>identified VTE</w:t>
      </w:r>
      <w:r w:rsidR="00311D7A" w:rsidRPr="00CC6129">
        <w:rPr>
          <w:rFonts w:ascii="Book Antiqua" w:hAnsi="Book Antiqua"/>
          <w:sz w:val="24"/>
          <w:szCs w:val="24"/>
          <w:lang w:val="en-US"/>
        </w:rPr>
        <w:t xml:space="preserve"> only </w:t>
      </w:r>
      <w:r w:rsidR="005732F5" w:rsidRPr="00CC6129">
        <w:rPr>
          <w:rFonts w:ascii="Book Antiqua" w:hAnsi="Book Antiqua"/>
          <w:sz w:val="24"/>
          <w:szCs w:val="24"/>
          <w:lang w:val="en-US"/>
        </w:rPr>
        <w:t>in two</w:t>
      </w:r>
      <w:r w:rsidR="00311D7A" w:rsidRPr="00CC6129">
        <w:rPr>
          <w:rFonts w:ascii="Book Antiqua" w:hAnsi="Book Antiqua"/>
          <w:sz w:val="24"/>
          <w:szCs w:val="24"/>
          <w:lang w:val="en-US"/>
        </w:rPr>
        <w:t xml:space="preserve"> </w:t>
      </w:r>
      <w:r w:rsidR="005732F5" w:rsidRPr="00CC6129">
        <w:rPr>
          <w:rFonts w:ascii="Book Antiqua" w:hAnsi="Book Antiqua"/>
          <w:sz w:val="24"/>
          <w:szCs w:val="24"/>
          <w:lang w:val="en-US"/>
        </w:rPr>
        <w:t xml:space="preserve">gastric cancer patients (one normoweight diabetic and one overweight non diabetic) </w:t>
      </w:r>
      <w:r w:rsidR="00311D7A" w:rsidRPr="00CC6129">
        <w:rPr>
          <w:rFonts w:ascii="Book Antiqua" w:hAnsi="Book Antiqua"/>
          <w:sz w:val="24"/>
          <w:szCs w:val="24"/>
          <w:lang w:val="en-US"/>
        </w:rPr>
        <w:t>out of 25 patients classified as high-risk</w:t>
      </w:r>
      <w:r w:rsidR="005732F5" w:rsidRPr="00CC6129">
        <w:rPr>
          <w:rFonts w:ascii="Book Antiqua" w:hAnsi="Book Antiqua"/>
          <w:sz w:val="24"/>
          <w:szCs w:val="24"/>
          <w:lang w:val="en-US"/>
        </w:rPr>
        <w:t xml:space="preserve">, </w:t>
      </w:r>
      <w:r w:rsidR="00C3475E" w:rsidRPr="00CC6129">
        <w:rPr>
          <w:rFonts w:ascii="Book Antiqua" w:hAnsi="Book Antiqua"/>
          <w:sz w:val="24"/>
          <w:szCs w:val="24"/>
          <w:lang w:val="en-US"/>
        </w:rPr>
        <w:t xml:space="preserve">both </w:t>
      </w:r>
      <w:r w:rsidR="004344D0" w:rsidRPr="00CC6129">
        <w:rPr>
          <w:rFonts w:ascii="Book Antiqua" w:hAnsi="Book Antiqua"/>
          <w:sz w:val="24"/>
          <w:szCs w:val="24"/>
          <w:lang w:val="en-US"/>
        </w:rPr>
        <w:t>with</w:t>
      </w:r>
      <w:r w:rsidR="00311D7A" w:rsidRPr="00CC6129">
        <w:rPr>
          <w:rFonts w:ascii="Book Antiqua" w:hAnsi="Book Antiqua"/>
          <w:sz w:val="24"/>
          <w:szCs w:val="24"/>
          <w:lang w:val="en-US"/>
        </w:rPr>
        <w:t xml:space="preserve"> IR.</w:t>
      </w:r>
      <w:r w:rsidR="0010680C">
        <w:rPr>
          <w:rFonts w:ascii="Book Antiqua" w:hAnsi="Book Antiqua"/>
          <w:sz w:val="24"/>
          <w:szCs w:val="24"/>
          <w:lang w:val="en-US"/>
        </w:rPr>
        <w:t xml:space="preserve"> </w:t>
      </w:r>
      <w:r w:rsidR="00311D7A" w:rsidRPr="00CC6129">
        <w:rPr>
          <w:rFonts w:ascii="Book Antiqua" w:hAnsi="Book Antiqua"/>
          <w:sz w:val="24"/>
          <w:szCs w:val="24"/>
          <w:lang w:val="en-US"/>
        </w:rPr>
        <w:t>Conversely, 8.6% and 11% of patients classified as low- or intermediate-risk according to Khorana</w:t>
      </w:r>
      <w:r w:rsidR="007A31D9" w:rsidRPr="00CC6129">
        <w:rPr>
          <w:rFonts w:ascii="Book Antiqua" w:hAnsi="Book Antiqua"/>
          <w:sz w:val="24"/>
          <w:szCs w:val="24"/>
          <w:lang w:val="en-US"/>
        </w:rPr>
        <w:t>,</w:t>
      </w:r>
      <w:r w:rsidR="00491BAA" w:rsidRPr="00CC6129">
        <w:rPr>
          <w:rFonts w:ascii="Book Antiqua" w:hAnsi="Book Antiqua"/>
          <w:sz w:val="24"/>
          <w:szCs w:val="24"/>
          <w:lang w:val="en-US"/>
        </w:rPr>
        <w:t xml:space="preserve"> had VTE.</w:t>
      </w:r>
      <w:r w:rsidR="0010680C">
        <w:rPr>
          <w:rFonts w:ascii="Book Antiqua" w:hAnsi="Book Antiqua"/>
          <w:sz w:val="24"/>
          <w:szCs w:val="24"/>
          <w:lang w:val="en-US"/>
        </w:rPr>
        <w:t xml:space="preserve"> </w:t>
      </w:r>
      <w:r w:rsidR="005F6567" w:rsidRPr="00CC6129">
        <w:rPr>
          <w:rFonts w:ascii="Book Antiqua" w:hAnsi="Book Antiqua"/>
          <w:sz w:val="24"/>
          <w:szCs w:val="24"/>
          <w:lang w:val="en-US"/>
        </w:rPr>
        <w:t xml:space="preserve">This is in agreement with recent findings suggesting that the major weakness of this scoring system is represented by </w:t>
      </w:r>
      <w:r w:rsidR="00CE4416" w:rsidRPr="00CC6129">
        <w:rPr>
          <w:rFonts w:ascii="Book Antiqua" w:hAnsi="Book Antiqua"/>
          <w:sz w:val="24"/>
          <w:szCs w:val="24"/>
          <w:lang w:val="en-US"/>
        </w:rPr>
        <w:t>the</w:t>
      </w:r>
      <w:r w:rsidR="005F6567" w:rsidRPr="00CC6129">
        <w:rPr>
          <w:rFonts w:ascii="Book Antiqua" w:hAnsi="Book Antiqua"/>
          <w:sz w:val="24"/>
          <w:szCs w:val="24"/>
          <w:lang w:val="en-US"/>
        </w:rPr>
        <w:t xml:space="preserve"> high proportion of </w:t>
      </w:r>
      <w:r w:rsidR="005732F5" w:rsidRPr="00CC6129">
        <w:rPr>
          <w:rFonts w:ascii="Book Antiqua" w:hAnsi="Book Antiqua"/>
          <w:sz w:val="24"/>
          <w:szCs w:val="24"/>
          <w:lang w:val="en-US"/>
        </w:rPr>
        <w:t xml:space="preserve">the </w:t>
      </w:r>
      <w:r w:rsidR="005F6567" w:rsidRPr="00CC6129">
        <w:rPr>
          <w:rFonts w:ascii="Book Antiqua" w:hAnsi="Book Antiqua"/>
          <w:sz w:val="24"/>
          <w:szCs w:val="24"/>
          <w:lang w:val="en-US"/>
        </w:rPr>
        <w:t>patients (&gt;</w:t>
      </w:r>
      <w:r w:rsidR="0064421C">
        <w:rPr>
          <w:rFonts w:ascii="Book Antiqua" w:hAnsi="Book Antiqua" w:hint="eastAsia"/>
          <w:sz w:val="24"/>
          <w:szCs w:val="24"/>
          <w:lang w:val="en-US" w:eastAsia="zh-CN"/>
        </w:rPr>
        <w:t xml:space="preserve"> </w:t>
      </w:r>
      <w:r w:rsidR="005F6567" w:rsidRPr="00CC6129">
        <w:rPr>
          <w:rFonts w:ascii="Book Antiqua" w:hAnsi="Book Antiqua"/>
          <w:sz w:val="24"/>
          <w:szCs w:val="24"/>
          <w:lang w:val="en-US"/>
        </w:rPr>
        <w:t>50%) falling into the</w:t>
      </w:r>
      <w:r w:rsidR="00CE4416" w:rsidRPr="00CC6129">
        <w:rPr>
          <w:rFonts w:ascii="Book Antiqua" w:hAnsi="Book Antiqua"/>
          <w:sz w:val="24"/>
          <w:szCs w:val="24"/>
          <w:lang w:val="en-US"/>
        </w:rPr>
        <w:t xml:space="preserve"> intermediate risk category</w:t>
      </w:r>
      <w:r w:rsidR="00CE4416" w:rsidRPr="00CC6129">
        <w:rPr>
          <w:rFonts w:ascii="Book Antiqua" w:hAnsi="Book Antiqua"/>
          <w:sz w:val="24"/>
          <w:szCs w:val="24"/>
          <w:vertAlign w:val="superscript"/>
          <w:lang w:val="en-US"/>
        </w:rPr>
        <w:t>[27]</w:t>
      </w:r>
      <w:r w:rsidR="00CE4416" w:rsidRPr="00CC6129">
        <w:rPr>
          <w:rFonts w:ascii="Book Antiqua" w:hAnsi="Book Antiqua"/>
          <w:sz w:val="24"/>
          <w:szCs w:val="24"/>
          <w:lang w:val="en-US"/>
        </w:rPr>
        <w:t xml:space="preserve">, which </w:t>
      </w:r>
      <w:r w:rsidR="00C3475E" w:rsidRPr="00CC6129">
        <w:rPr>
          <w:rFonts w:ascii="Book Antiqua" w:hAnsi="Book Antiqua"/>
          <w:sz w:val="24"/>
          <w:szCs w:val="24"/>
          <w:lang w:val="en-US"/>
        </w:rPr>
        <w:t xml:space="preserve">also </w:t>
      </w:r>
      <w:r w:rsidR="00CE4416" w:rsidRPr="00CC6129">
        <w:rPr>
          <w:rFonts w:ascii="Book Antiqua" w:hAnsi="Book Antiqua"/>
          <w:sz w:val="24"/>
          <w:szCs w:val="24"/>
          <w:lang w:val="en-US"/>
        </w:rPr>
        <w:t>encompasses the majority of events</w:t>
      </w:r>
      <w:r w:rsidR="005F6567" w:rsidRPr="00CC6129">
        <w:rPr>
          <w:rFonts w:ascii="Book Antiqua" w:hAnsi="Book Antiqua"/>
          <w:sz w:val="24"/>
          <w:szCs w:val="24"/>
          <w:vertAlign w:val="superscript"/>
          <w:lang w:val="en-US"/>
        </w:rPr>
        <w:t>[</w:t>
      </w:r>
      <w:r w:rsidR="00CE4416" w:rsidRPr="00CC6129">
        <w:rPr>
          <w:rFonts w:ascii="Book Antiqua" w:hAnsi="Book Antiqua"/>
          <w:sz w:val="24"/>
          <w:szCs w:val="24"/>
          <w:vertAlign w:val="superscript"/>
          <w:lang w:val="en-US"/>
        </w:rPr>
        <w:t>27-29</w:t>
      </w:r>
      <w:r w:rsidR="005F6567" w:rsidRPr="00CC6129">
        <w:rPr>
          <w:rFonts w:ascii="Book Antiqua" w:hAnsi="Book Antiqua"/>
          <w:sz w:val="24"/>
          <w:szCs w:val="24"/>
          <w:vertAlign w:val="superscript"/>
          <w:lang w:val="en-US"/>
        </w:rPr>
        <w:t>]</w:t>
      </w:r>
      <w:r w:rsidR="005F6567" w:rsidRPr="00CC6129">
        <w:rPr>
          <w:rFonts w:ascii="Book Antiqua" w:hAnsi="Book Antiqua"/>
          <w:sz w:val="24"/>
          <w:szCs w:val="24"/>
          <w:lang w:val="en-US"/>
        </w:rPr>
        <w:t>.</w:t>
      </w:r>
      <w:r w:rsidR="0010680C">
        <w:rPr>
          <w:rFonts w:ascii="Book Antiqua" w:hAnsi="Book Antiqua"/>
          <w:sz w:val="24"/>
          <w:szCs w:val="24"/>
          <w:lang w:val="en-US"/>
        </w:rPr>
        <w:t xml:space="preserve"> </w:t>
      </w:r>
      <w:r w:rsidR="00C3475E" w:rsidRPr="00CC6129">
        <w:rPr>
          <w:rFonts w:ascii="Book Antiqua" w:hAnsi="Book Antiqua"/>
          <w:sz w:val="24"/>
          <w:szCs w:val="24"/>
          <w:lang w:val="en-US"/>
        </w:rPr>
        <w:t>At this point</w:t>
      </w:r>
      <w:r w:rsidR="007A31D9" w:rsidRPr="00CC6129">
        <w:rPr>
          <w:rFonts w:ascii="Book Antiqua" w:hAnsi="Book Antiqua"/>
          <w:sz w:val="24"/>
          <w:szCs w:val="24"/>
          <w:lang w:val="en-US"/>
        </w:rPr>
        <w:t>,</w:t>
      </w:r>
      <w:r w:rsidR="00C3475E" w:rsidRPr="00CC6129">
        <w:rPr>
          <w:rFonts w:ascii="Book Antiqua" w:hAnsi="Book Antiqua"/>
          <w:sz w:val="24"/>
          <w:szCs w:val="24"/>
          <w:lang w:val="en-US"/>
        </w:rPr>
        <w:t xml:space="preserve"> it should be emphasized </w:t>
      </w:r>
      <w:r w:rsidR="00491BAA" w:rsidRPr="00CC6129">
        <w:rPr>
          <w:rFonts w:ascii="Book Antiqua" w:hAnsi="Book Antiqua"/>
          <w:sz w:val="24"/>
          <w:szCs w:val="24"/>
          <w:lang w:val="en-US"/>
        </w:rPr>
        <w:t>that</w:t>
      </w:r>
      <w:r w:rsidR="00C3475E" w:rsidRPr="00CC6129">
        <w:rPr>
          <w:rFonts w:ascii="Book Antiqua" w:hAnsi="Book Antiqua"/>
          <w:sz w:val="24"/>
          <w:szCs w:val="24"/>
          <w:lang w:val="en-US"/>
        </w:rPr>
        <w:t>,</w:t>
      </w:r>
      <w:r w:rsidR="00491BAA" w:rsidRPr="00CC6129">
        <w:rPr>
          <w:rFonts w:ascii="Book Antiqua" w:hAnsi="Book Antiqua"/>
          <w:sz w:val="24"/>
          <w:szCs w:val="24"/>
          <w:lang w:val="en-US"/>
        </w:rPr>
        <w:t xml:space="preserve"> in the </w:t>
      </w:r>
      <w:r w:rsidR="005F6567" w:rsidRPr="00CC6129">
        <w:rPr>
          <w:rFonts w:ascii="Book Antiqua" w:hAnsi="Book Antiqua"/>
          <w:sz w:val="24"/>
          <w:szCs w:val="24"/>
          <w:lang w:val="en-US"/>
        </w:rPr>
        <w:t xml:space="preserve">low- or </w:t>
      </w:r>
      <w:r w:rsidR="00491BAA" w:rsidRPr="00CC6129">
        <w:rPr>
          <w:rFonts w:ascii="Book Antiqua" w:hAnsi="Book Antiqua"/>
          <w:sz w:val="24"/>
          <w:szCs w:val="24"/>
          <w:lang w:val="en-US"/>
        </w:rPr>
        <w:t>intermediate</w:t>
      </w:r>
      <w:r w:rsidR="005F6567" w:rsidRPr="00CC6129">
        <w:rPr>
          <w:rFonts w:ascii="Book Antiqua" w:hAnsi="Book Antiqua"/>
          <w:sz w:val="24"/>
          <w:szCs w:val="24"/>
          <w:lang w:val="en-US"/>
        </w:rPr>
        <w:t>-</w:t>
      </w:r>
      <w:r w:rsidR="00491BAA" w:rsidRPr="00CC6129">
        <w:rPr>
          <w:rFonts w:ascii="Book Antiqua" w:hAnsi="Book Antiqua"/>
          <w:sz w:val="24"/>
          <w:szCs w:val="24"/>
          <w:lang w:val="en-US"/>
        </w:rPr>
        <w:t xml:space="preserve">risk </w:t>
      </w:r>
      <w:r w:rsidR="005F6567" w:rsidRPr="00CC6129">
        <w:rPr>
          <w:rFonts w:ascii="Book Antiqua" w:hAnsi="Book Antiqua"/>
          <w:sz w:val="24"/>
          <w:szCs w:val="24"/>
          <w:lang w:val="en-US"/>
        </w:rPr>
        <w:t>classes</w:t>
      </w:r>
      <w:r w:rsidR="00C3475E" w:rsidRPr="00CC6129">
        <w:rPr>
          <w:rFonts w:ascii="Book Antiqua" w:hAnsi="Book Antiqua"/>
          <w:sz w:val="24"/>
          <w:szCs w:val="24"/>
          <w:lang w:val="en-US"/>
        </w:rPr>
        <w:t>,</w:t>
      </w:r>
      <w:r w:rsidR="005F6567" w:rsidRPr="00CC6129">
        <w:rPr>
          <w:rFonts w:ascii="Book Antiqua" w:hAnsi="Book Antiqua"/>
          <w:sz w:val="24"/>
          <w:szCs w:val="24"/>
          <w:lang w:val="en-US"/>
        </w:rPr>
        <w:t xml:space="preserve"> 13 of 17 (77%) and </w:t>
      </w:r>
      <w:r w:rsidR="00491BAA" w:rsidRPr="00CC6129">
        <w:rPr>
          <w:rFonts w:ascii="Book Antiqua" w:hAnsi="Book Antiqua"/>
          <w:sz w:val="24"/>
          <w:szCs w:val="24"/>
          <w:lang w:val="en-US"/>
        </w:rPr>
        <w:t xml:space="preserve">11 of 13 </w:t>
      </w:r>
      <w:r w:rsidR="005F6567" w:rsidRPr="00CC6129">
        <w:rPr>
          <w:rFonts w:ascii="Book Antiqua" w:hAnsi="Book Antiqua"/>
          <w:sz w:val="24"/>
          <w:szCs w:val="24"/>
          <w:lang w:val="en-US"/>
        </w:rPr>
        <w:t xml:space="preserve">(85%) </w:t>
      </w:r>
      <w:r w:rsidR="00491BAA" w:rsidRPr="00CC6129">
        <w:rPr>
          <w:rFonts w:ascii="Book Antiqua" w:hAnsi="Book Antiqua"/>
          <w:sz w:val="24"/>
          <w:szCs w:val="24"/>
          <w:lang w:val="en-US"/>
        </w:rPr>
        <w:t>patients with VTE</w:t>
      </w:r>
      <w:r w:rsidR="005F6567" w:rsidRPr="00CC6129">
        <w:rPr>
          <w:rFonts w:ascii="Book Antiqua" w:hAnsi="Book Antiqua"/>
          <w:sz w:val="24"/>
          <w:szCs w:val="24"/>
          <w:lang w:val="en-US"/>
        </w:rPr>
        <w:t>, respectively,</w:t>
      </w:r>
      <w:r w:rsidR="004344D0" w:rsidRPr="00CC6129">
        <w:rPr>
          <w:rFonts w:ascii="Book Antiqua" w:hAnsi="Book Antiqua"/>
          <w:sz w:val="24"/>
          <w:szCs w:val="24"/>
          <w:lang w:val="en-US"/>
        </w:rPr>
        <w:t xml:space="preserve"> had a</w:t>
      </w:r>
      <w:r w:rsidR="00491BAA" w:rsidRPr="00CC6129">
        <w:rPr>
          <w:rFonts w:ascii="Book Antiqua" w:hAnsi="Book Antiqua"/>
          <w:sz w:val="24"/>
          <w:szCs w:val="24"/>
          <w:lang w:val="en-US"/>
        </w:rPr>
        <w:t xml:space="preserve"> HOMA</w:t>
      </w:r>
      <w:r w:rsidR="004D7F9B" w:rsidRPr="00CC6129">
        <w:rPr>
          <w:rFonts w:ascii="Book Antiqua" w:hAnsi="Book Antiqua"/>
          <w:sz w:val="24"/>
          <w:szCs w:val="24"/>
          <w:lang w:val="en-US"/>
        </w:rPr>
        <w:t xml:space="preserve"> index</w:t>
      </w:r>
      <w:r w:rsidR="00491BAA" w:rsidRPr="00CC6129">
        <w:rPr>
          <w:rFonts w:ascii="Book Antiqua" w:hAnsi="Book Antiqua"/>
          <w:sz w:val="24"/>
          <w:szCs w:val="24"/>
          <w:lang w:val="en-US"/>
        </w:rPr>
        <w:t xml:space="preserve"> above the 2.6 cut-off</w:t>
      </w:r>
      <w:r w:rsidR="005F6567" w:rsidRPr="00CC6129">
        <w:rPr>
          <w:rFonts w:ascii="Book Antiqua" w:hAnsi="Book Antiqua"/>
          <w:sz w:val="24"/>
          <w:szCs w:val="24"/>
          <w:lang w:val="en-US"/>
        </w:rPr>
        <w:t>.</w:t>
      </w:r>
      <w:r w:rsidR="0010680C">
        <w:rPr>
          <w:rFonts w:ascii="Book Antiqua" w:hAnsi="Book Antiqua"/>
          <w:sz w:val="24"/>
          <w:szCs w:val="24"/>
          <w:lang w:val="en-US"/>
        </w:rPr>
        <w:t xml:space="preserve"> </w:t>
      </w:r>
      <w:r w:rsidR="004D7F9B" w:rsidRPr="00CC6129">
        <w:rPr>
          <w:rFonts w:ascii="Book Antiqua" w:hAnsi="Book Antiqua"/>
          <w:sz w:val="24"/>
          <w:szCs w:val="24"/>
          <w:lang w:val="en-US"/>
        </w:rPr>
        <w:t xml:space="preserve">Thus, </w:t>
      </w:r>
      <w:r w:rsidR="00681CD6" w:rsidRPr="00CC6129">
        <w:rPr>
          <w:rFonts w:ascii="Book Antiqua" w:hAnsi="Book Antiqua"/>
          <w:sz w:val="24"/>
          <w:szCs w:val="24"/>
          <w:lang w:val="en-US"/>
        </w:rPr>
        <w:t xml:space="preserve">HOMA </w:t>
      </w:r>
      <w:r w:rsidR="003C6E97" w:rsidRPr="00CC6129">
        <w:rPr>
          <w:rFonts w:ascii="Book Antiqua" w:hAnsi="Book Antiqua"/>
          <w:sz w:val="24"/>
          <w:szCs w:val="24"/>
          <w:lang w:val="en-US"/>
        </w:rPr>
        <w:t>index</w:t>
      </w:r>
      <w:r w:rsidR="005F6567" w:rsidRPr="00CC6129">
        <w:rPr>
          <w:rFonts w:ascii="Book Antiqua" w:hAnsi="Book Antiqua"/>
          <w:sz w:val="24"/>
          <w:szCs w:val="24"/>
          <w:lang w:val="en-US"/>
        </w:rPr>
        <w:t xml:space="preserve">, </w:t>
      </w:r>
      <w:r w:rsidR="004D7F9B" w:rsidRPr="00CC6129">
        <w:rPr>
          <w:rFonts w:ascii="Book Antiqua" w:hAnsi="Book Antiqua"/>
          <w:sz w:val="24"/>
          <w:szCs w:val="24"/>
          <w:lang w:val="en-US"/>
        </w:rPr>
        <w:t xml:space="preserve">or other glucose metabolism parameters, could be employed in </w:t>
      </w:r>
      <w:r w:rsidR="005F6567" w:rsidRPr="00CC6129">
        <w:rPr>
          <w:rFonts w:ascii="Book Antiqua" w:hAnsi="Book Antiqua"/>
          <w:sz w:val="24"/>
          <w:szCs w:val="24"/>
          <w:lang w:val="en-US"/>
        </w:rPr>
        <w:t xml:space="preserve">expanded risk scoring models, </w:t>
      </w:r>
      <w:r w:rsidR="003A0627" w:rsidRPr="00CC6129">
        <w:rPr>
          <w:rFonts w:ascii="Book Antiqua" w:hAnsi="Book Antiqua"/>
          <w:sz w:val="24"/>
          <w:szCs w:val="24"/>
          <w:lang w:val="en-US"/>
        </w:rPr>
        <w:t>or newly developed clinical decision support systems</w:t>
      </w:r>
      <w:r w:rsidR="003A0627" w:rsidRPr="00CC6129">
        <w:rPr>
          <w:rFonts w:ascii="Book Antiqua" w:hAnsi="Book Antiqua"/>
          <w:sz w:val="24"/>
          <w:szCs w:val="24"/>
          <w:vertAlign w:val="superscript"/>
          <w:lang w:val="en-US"/>
        </w:rPr>
        <w:t>[30]</w:t>
      </w:r>
      <w:r w:rsidR="003A0627" w:rsidRPr="00CC6129">
        <w:rPr>
          <w:rFonts w:ascii="Book Antiqua" w:hAnsi="Book Antiqua"/>
          <w:sz w:val="24"/>
          <w:szCs w:val="24"/>
          <w:lang w:val="en-US"/>
        </w:rPr>
        <w:t xml:space="preserve"> </w:t>
      </w:r>
      <w:r w:rsidR="004D7F9B" w:rsidRPr="00CC6129">
        <w:rPr>
          <w:rFonts w:ascii="Book Antiqua" w:hAnsi="Book Antiqua"/>
          <w:sz w:val="24"/>
          <w:szCs w:val="24"/>
          <w:lang w:val="en-US"/>
        </w:rPr>
        <w:t>without causing an excessive increase in patient</w:t>
      </w:r>
      <w:r w:rsidR="003C6E97" w:rsidRPr="00CC6129">
        <w:rPr>
          <w:rFonts w:ascii="Book Antiqua" w:hAnsi="Book Antiqua"/>
          <w:sz w:val="24"/>
          <w:szCs w:val="24"/>
          <w:lang w:val="en-US"/>
        </w:rPr>
        <w:t>s’</w:t>
      </w:r>
      <w:r w:rsidR="004D7F9B" w:rsidRPr="00CC6129">
        <w:rPr>
          <w:rFonts w:ascii="Book Antiqua" w:hAnsi="Book Antiqua"/>
          <w:sz w:val="24"/>
          <w:szCs w:val="24"/>
          <w:lang w:val="en-US"/>
        </w:rPr>
        <w:t xml:space="preserve"> management costs</w:t>
      </w:r>
      <w:r w:rsidR="005F6567" w:rsidRPr="00CC6129">
        <w:rPr>
          <w:rFonts w:ascii="Book Antiqua" w:hAnsi="Book Antiqua"/>
          <w:sz w:val="24"/>
          <w:szCs w:val="24"/>
          <w:lang w:val="en-US"/>
        </w:rPr>
        <w:t>.</w:t>
      </w:r>
    </w:p>
    <w:p w:rsidR="00B0216A" w:rsidRPr="00CC6129" w:rsidRDefault="00FD70F1" w:rsidP="0010680C">
      <w:pPr>
        <w:snapToGrid w:val="0"/>
        <w:spacing w:after="0" w:line="360" w:lineRule="auto"/>
        <w:ind w:firstLine="284"/>
        <w:jc w:val="both"/>
        <w:rPr>
          <w:rFonts w:ascii="Book Antiqua" w:hAnsi="Book Antiqua"/>
          <w:sz w:val="24"/>
          <w:szCs w:val="24"/>
          <w:lang w:val="en-US"/>
        </w:rPr>
      </w:pPr>
      <w:r w:rsidRPr="00CC6129">
        <w:rPr>
          <w:rFonts w:ascii="Book Antiqua" w:hAnsi="Book Antiqua"/>
          <w:sz w:val="24"/>
          <w:szCs w:val="24"/>
          <w:lang w:val="en-US"/>
        </w:rPr>
        <w:t>There are some limitations to acknowledge</w:t>
      </w:r>
      <w:r w:rsidR="005732F5" w:rsidRPr="00CC6129">
        <w:rPr>
          <w:rFonts w:ascii="Book Antiqua" w:hAnsi="Book Antiqua"/>
          <w:sz w:val="24"/>
          <w:szCs w:val="24"/>
          <w:lang w:val="en-US"/>
        </w:rPr>
        <w:t xml:space="preserve"> for this study</w:t>
      </w:r>
      <w:r w:rsidRPr="00CC6129">
        <w:rPr>
          <w:rFonts w:ascii="Book Antiqua" w:hAnsi="Book Antiqua"/>
          <w:sz w:val="24"/>
          <w:szCs w:val="24"/>
          <w:lang w:val="en-US"/>
        </w:rPr>
        <w:t>.</w:t>
      </w:r>
      <w:r w:rsidR="0010680C">
        <w:rPr>
          <w:rFonts w:ascii="Book Antiqua" w:hAnsi="Book Antiqua"/>
          <w:sz w:val="24"/>
          <w:szCs w:val="24"/>
          <w:lang w:val="en-US"/>
        </w:rPr>
        <w:t xml:space="preserve"> </w:t>
      </w:r>
      <w:r w:rsidRPr="00CC6129">
        <w:rPr>
          <w:rFonts w:ascii="Book Antiqua" w:hAnsi="Book Antiqua"/>
          <w:sz w:val="24"/>
          <w:szCs w:val="24"/>
          <w:lang w:val="en-US"/>
        </w:rPr>
        <w:t>First of all, glucose metabolic parameters were retrospectively evaluated.</w:t>
      </w:r>
      <w:r w:rsidR="0010680C">
        <w:rPr>
          <w:rFonts w:ascii="Book Antiqua" w:hAnsi="Book Antiqua"/>
          <w:sz w:val="24"/>
          <w:szCs w:val="24"/>
          <w:lang w:val="en-US"/>
        </w:rPr>
        <w:t xml:space="preserve"> </w:t>
      </w:r>
      <w:r w:rsidRPr="00CC6129">
        <w:rPr>
          <w:rFonts w:ascii="Book Antiqua" w:hAnsi="Book Antiqua"/>
          <w:sz w:val="24"/>
          <w:szCs w:val="24"/>
          <w:lang w:val="en-US"/>
        </w:rPr>
        <w:t>However, all eligible consecutive patients within the designated timeframe were included and prospectively followed up, and all measurements were performed while blinded to the patient outcome.</w:t>
      </w:r>
      <w:r w:rsidR="0010680C">
        <w:rPr>
          <w:rFonts w:ascii="Book Antiqua" w:hAnsi="Book Antiqua"/>
          <w:sz w:val="24"/>
          <w:szCs w:val="24"/>
          <w:lang w:val="en-US"/>
        </w:rPr>
        <w:t xml:space="preserve"> </w:t>
      </w:r>
      <w:r w:rsidRPr="00CC6129">
        <w:rPr>
          <w:rFonts w:ascii="Book Antiqua" w:hAnsi="Book Antiqua"/>
          <w:sz w:val="24"/>
          <w:szCs w:val="24"/>
          <w:lang w:val="en-US"/>
        </w:rPr>
        <w:t>Secondly, recruitment was mono-institutional, and therefore might have limited external validity. Finally, analyses were conducted on a relatively small sample size, ultimately leading to a small number of events.</w:t>
      </w:r>
      <w:r w:rsidR="0010680C">
        <w:rPr>
          <w:rFonts w:ascii="Book Antiqua" w:hAnsi="Book Antiqua"/>
          <w:sz w:val="24"/>
          <w:szCs w:val="24"/>
          <w:lang w:val="en-US"/>
        </w:rPr>
        <w:t xml:space="preserve"> </w:t>
      </w:r>
      <w:r w:rsidRPr="00CC6129">
        <w:rPr>
          <w:rFonts w:ascii="Book Antiqua" w:hAnsi="Book Antiqua"/>
          <w:sz w:val="24"/>
          <w:szCs w:val="24"/>
          <w:lang w:val="en-US"/>
        </w:rPr>
        <w:t>Nonetheless, the results here reported suggest that a deregulation of glucose metabolism might contribute to VTE pathogenesis in chemotherapy-treated ambulatory cancer patients.</w:t>
      </w:r>
      <w:r w:rsidR="0010680C">
        <w:rPr>
          <w:rFonts w:ascii="Book Antiqua" w:hAnsi="Book Antiqua"/>
          <w:sz w:val="24"/>
          <w:szCs w:val="24"/>
          <w:lang w:val="en-US"/>
        </w:rPr>
        <w:t xml:space="preserve"> </w:t>
      </w:r>
      <w:r w:rsidRPr="00CC6129">
        <w:rPr>
          <w:rFonts w:ascii="Book Antiqua" w:hAnsi="Book Antiqua"/>
          <w:sz w:val="24"/>
          <w:szCs w:val="24"/>
          <w:lang w:val="en-US"/>
        </w:rPr>
        <w:t xml:space="preserve">To the best of our knowledge, this is the first evidence </w:t>
      </w:r>
      <w:r w:rsidR="005732F5" w:rsidRPr="00CC6129">
        <w:rPr>
          <w:rFonts w:ascii="Book Antiqua" w:hAnsi="Book Antiqua"/>
          <w:sz w:val="24"/>
          <w:szCs w:val="24"/>
          <w:lang w:val="en-US"/>
        </w:rPr>
        <w:t>reporting</w:t>
      </w:r>
      <w:r w:rsidRPr="00CC6129">
        <w:rPr>
          <w:rFonts w:ascii="Book Antiqua" w:hAnsi="Book Antiqua"/>
          <w:sz w:val="24"/>
          <w:szCs w:val="24"/>
          <w:lang w:val="en-US"/>
        </w:rPr>
        <w:t xml:space="preserve"> an association between </w:t>
      </w:r>
      <w:r w:rsidR="00681CD6" w:rsidRPr="00CC6129">
        <w:rPr>
          <w:rFonts w:ascii="Book Antiqua" w:hAnsi="Book Antiqua"/>
          <w:sz w:val="24"/>
          <w:szCs w:val="24"/>
          <w:lang w:val="en-US"/>
        </w:rPr>
        <w:t xml:space="preserve">HOMA </w:t>
      </w:r>
      <w:r w:rsidR="003C6E97" w:rsidRPr="00CC6129">
        <w:rPr>
          <w:rFonts w:ascii="Book Antiqua" w:hAnsi="Book Antiqua"/>
          <w:sz w:val="24"/>
          <w:szCs w:val="24"/>
          <w:lang w:val="en-US"/>
        </w:rPr>
        <w:t xml:space="preserve">index </w:t>
      </w:r>
      <w:r w:rsidRPr="00CC6129">
        <w:rPr>
          <w:rFonts w:ascii="Book Antiqua" w:hAnsi="Book Antiqua"/>
          <w:sz w:val="24"/>
          <w:szCs w:val="24"/>
          <w:lang w:val="en-US"/>
        </w:rPr>
        <w:t>and VTE in GI cancer patients.</w:t>
      </w:r>
      <w:r w:rsidR="0010680C">
        <w:rPr>
          <w:rFonts w:ascii="Book Antiqua" w:hAnsi="Book Antiqua"/>
          <w:sz w:val="24"/>
          <w:szCs w:val="24"/>
          <w:lang w:val="en-US"/>
        </w:rPr>
        <w:t xml:space="preserve"> </w:t>
      </w:r>
      <w:r w:rsidRPr="00CC6129">
        <w:rPr>
          <w:rFonts w:ascii="Book Antiqua" w:hAnsi="Book Antiqua"/>
          <w:sz w:val="24"/>
          <w:szCs w:val="24"/>
          <w:lang w:val="en-US"/>
        </w:rPr>
        <w:t>At present, we may hypothesize that chemotherapy triggers a pro-thrombotic state, subdued in patients with hyperglycemia, independently of clinically overt T2D.</w:t>
      </w:r>
      <w:r w:rsidR="0010680C">
        <w:rPr>
          <w:rFonts w:ascii="Book Antiqua" w:hAnsi="Book Antiqua"/>
          <w:sz w:val="24"/>
          <w:szCs w:val="24"/>
          <w:lang w:val="en-US"/>
        </w:rPr>
        <w:t xml:space="preserve"> </w:t>
      </w:r>
      <w:r w:rsidRPr="00CC6129">
        <w:rPr>
          <w:rFonts w:ascii="Book Antiqua" w:hAnsi="Book Antiqua"/>
          <w:sz w:val="24"/>
          <w:szCs w:val="24"/>
          <w:lang w:val="en-US"/>
        </w:rPr>
        <w:t xml:space="preserve">Additional studies are required to validate this theory, </w:t>
      </w:r>
      <w:r w:rsidR="00372065" w:rsidRPr="00CC6129">
        <w:rPr>
          <w:rFonts w:ascii="Book Antiqua" w:hAnsi="Book Antiqua"/>
          <w:sz w:val="24"/>
          <w:szCs w:val="24"/>
          <w:lang w:val="en-US"/>
        </w:rPr>
        <w:t>as</w:t>
      </w:r>
      <w:r w:rsidRPr="00CC6129">
        <w:rPr>
          <w:rFonts w:ascii="Book Antiqua" w:hAnsi="Book Antiqua"/>
          <w:sz w:val="24"/>
          <w:szCs w:val="24"/>
          <w:lang w:val="en-US"/>
        </w:rPr>
        <w:t xml:space="preserve"> VTE can be influenced by </w:t>
      </w:r>
      <w:r w:rsidR="00372065" w:rsidRPr="00CC6129">
        <w:rPr>
          <w:rFonts w:ascii="Book Antiqua" w:hAnsi="Book Antiqua"/>
          <w:sz w:val="24"/>
          <w:szCs w:val="24"/>
          <w:lang w:val="en-US"/>
        </w:rPr>
        <w:t>many</w:t>
      </w:r>
      <w:r w:rsidRPr="00CC6129">
        <w:rPr>
          <w:rFonts w:ascii="Book Antiqua" w:hAnsi="Book Antiqua"/>
          <w:sz w:val="24"/>
          <w:szCs w:val="24"/>
          <w:lang w:val="en-US"/>
        </w:rPr>
        <w:t xml:space="preserve"> environmental or inherited factors </w:t>
      </w:r>
      <w:r w:rsidR="007A31D9" w:rsidRPr="00CC6129">
        <w:rPr>
          <w:rFonts w:ascii="Book Antiqua" w:hAnsi="Book Antiqua"/>
          <w:sz w:val="24"/>
          <w:szCs w:val="24"/>
          <w:lang w:val="en-US"/>
        </w:rPr>
        <w:t xml:space="preserve">that </w:t>
      </w:r>
      <w:r w:rsidRPr="00CC6129">
        <w:rPr>
          <w:rFonts w:ascii="Book Antiqua" w:hAnsi="Book Antiqua"/>
          <w:sz w:val="24"/>
          <w:szCs w:val="24"/>
          <w:lang w:val="en-US"/>
        </w:rPr>
        <w:t xml:space="preserve">increase the </w:t>
      </w:r>
      <w:r w:rsidR="00372065" w:rsidRPr="00CC6129">
        <w:rPr>
          <w:rFonts w:ascii="Book Antiqua" w:hAnsi="Book Antiqua"/>
          <w:sz w:val="24"/>
          <w:szCs w:val="24"/>
          <w:lang w:val="en-US"/>
        </w:rPr>
        <w:t>likelihood</w:t>
      </w:r>
      <w:r w:rsidRPr="00CC6129">
        <w:rPr>
          <w:rFonts w:ascii="Book Antiqua" w:hAnsi="Book Antiqua"/>
          <w:sz w:val="24"/>
          <w:szCs w:val="24"/>
          <w:lang w:val="en-US"/>
        </w:rPr>
        <w:t xml:space="preserve"> of detecting spurious associations.</w:t>
      </w:r>
    </w:p>
    <w:p w:rsidR="00097697" w:rsidRPr="00CC6129" w:rsidRDefault="00097697" w:rsidP="0010680C">
      <w:pPr>
        <w:snapToGrid w:val="0"/>
        <w:spacing w:after="0" w:line="360" w:lineRule="auto"/>
        <w:ind w:firstLine="284"/>
        <w:jc w:val="both"/>
        <w:rPr>
          <w:rFonts w:ascii="Book Antiqua" w:hAnsi="Book Antiqua"/>
          <w:sz w:val="24"/>
          <w:szCs w:val="24"/>
          <w:lang w:val="en-US"/>
        </w:rPr>
      </w:pPr>
      <w:r w:rsidRPr="00CC6129">
        <w:rPr>
          <w:rFonts w:ascii="Book Antiqua" w:hAnsi="Book Antiqua"/>
          <w:sz w:val="24"/>
          <w:szCs w:val="24"/>
          <w:lang w:val="en-US"/>
        </w:rPr>
        <w:lastRenderedPageBreak/>
        <w:t xml:space="preserve">In conclusion, </w:t>
      </w:r>
      <w:r w:rsidR="00372065" w:rsidRPr="00CC6129">
        <w:rPr>
          <w:rFonts w:ascii="Book Antiqua" w:hAnsi="Book Antiqua"/>
          <w:sz w:val="24"/>
          <w:szCs w:val="24"/>
          <w:lang w:val="en-US"/>
        </w:rPr>
        <w:t xml:space="preserve">the results here reported demonstrate that the evaluation of glucose metabolic asset may allow for VTE risk stratification in GI cancer, helping </w:t>
      </w:r>
      <w:r w:rsidR="00E86C07" w:rsidRPr="00CC6129">
        <w:rPr>
          <w:rFonts w:ascii="Book Antiqua" w:hAnsi="Book Antiqua"/>
          <w:sz w:val="24"/>
          <w:szCs w:val="24"/>
          <w:lang w:val="en-US"/>
        </w:rPr>
        <w:t xml:space="preserve">to </w:t>
      </w:r>
      <w:r w:rsidR="00372065" w:rsidRPr="00CC6129">
        <w:rPr>
          <w:rFonts w:ascii="Book Antiqua" w:hAnsi="Book Antiqua"/>
          <w:sz w:val="24"/>
          <w:szCs w:val="24"/>
          <w:lang w:val="en-US"/>
        </w:rPr>
        <w:t xml:space="preserve">identify chemotherapy-treated patients who </w:t>
      </w:r>
      <w:r w:rsidR="00E86C07" w:rsidRPr="00CC6129">
        <w:rPr>
          <w:rFonts w:ascii="Book Antiqua" w:hAnsi="Book Antiqua"/>
          <w:sz w:val="24"/>
          <w:szCs w:val="24"/>
          <w:lang w:val="en-US"/>
        </w:rPr>
        <w:t xml:space="preserve">might </w:t>
      </w:r>
      <w:r w:rsidR="00372065" w:rsidRPr="00CC6129">
        <w:rPr>
          <w:rFonts w:ascii="Book Antiqua" w:hAnsi="Book Antiqua"/>
          <w:sz w:val="24"/>
          <w:szCs w:val="24"/>
          <w:lang w:val="en-US"/>
        </w:rPr>
        <w:t>benefit from thromboprophylaxis.</w:t>
      </w:r>
      <w:r w:rsidR="0010680C">
        <w:rPr>
          <w:rFonts w:ascii="Book Antiqua" w:hAnsi="Book Antiqua"/>
          <w:sz w:val="24"/>
          <w:szCs w:val="24"/>
          <w:lang w:val="en-US"/>
        </w:rPr>
        <w:t xml:space="preserve"> </w:t>
      </w:r>
      <w:r w:rsidR="00372065" w:rsidRPr="00CC6129">
        <w:rPr>
          <w:rFonts w:ascii="Book Antiqua" w:hAnsi="Book Antiqua"/>
          <w:sz w:val="24"/>
          <w:szCs w:val="24"/>
          <w:lang w:val="en-US"/>
        </w:rPr>
        <w:t>Further multicenter prospective studies involving a larger number of patients are presently needed.</w:t>
      </w:r>
    </w:p>
    <w:p w:rsidR="00372065" w:rsidRPr="00CC6129" w:rsidRDefault="00372065" w:rsidP="0010680C">
      <w:pPr>
        <w:snapToGrid w:val="0"/>
        <w:spacing w:after="0" w:line="360" w:lineRule="auto"/>
        <w:ind w:firstLine="284"/>
        <w:jc w:val="both"/>
        <w:rPr>
          <w:rFonts w:ascii="Book Antiqua" w:hAnsi="Book Antiqua"/>
          <w:bCs/>
          <w:sz w:val="24"/>
          <w:szCs w:val="24"/>
          <w:lang w:val="en-US"/>
        </w:rPr>
      </w:pPr>
    </w:p>
    <w:p w:rsidR="00372065" w:rsidRPr="00CC6129" w:rsidRDefault="00372065" w:rsidP="0010680C">
      <w:pPr>
        <w:snapToGrid w:val="0"/>
        <w:spacing w:after="0" w:line="360" w:lineRule="auto"/>
        <w:jc w:val="both"/>
        <w:rPr>
          <w:rFonts w:ascii="Book Antiqua" w:hAnsi="Book Antiqua"/>
          <w:b/>
          <w:bCs/>
          <w:sz w:val="24"/>
          <w:szCs w:val="24"/>
          <w:lang w:val="en-US"/>
        </w:rPr>
      </w:pPr>
      <w:r w:rsidRPr="00CC6129">
        <w:rPr>
          <w:rFonts w:ascii="Book Antiqua" w:hAnsi="Book Antiqua"/>
          <w:b/>
          <w:bCs/>
          <w:sz w:val="24"/>
          <w:szCs w:val="24"/>
          <w:lang w:val="en-US"/>
        </w:rPr>
        <w:t>ACKNOWLEDGEMENTS</w:t>
      </w:r>
    </w:p>
    <w:p w:rsidR="00372065" w:rsidRPr="00CC6129" w:rsidRDefault="00372065" w:rsidP="0064421C">
      <w:pPr>
        <w:snapToGrid w:val="0"/>
        <w:spacing w:after="0" w:line="360" w:lineRule="auto"/>
        <w:jc w:val="both"/>
        <w:rPr>
          <w:rFonts w:ascii="Book Antiqua" w:hAnsi="Book Antiqua"/>
          <w:bCs/>
          <w:sz w:val="24"/>
          <w:szCs w:val="24"/>
          <w:lang w:val="en-US"/>
        </w:rPr>
      </w:pPr>
      <w:r w:rsidRPr="00CC6129">
        <w:rPr>
          <w:rFonts w:ascii="Book Antiqua" w:hAnsi="Book Antiqua"/>
          <w:bCs/>
          <w:sz w:val="24"/>
          <w:szCs w:val="24"/>
          <w:lang w:val="en-US"/>
        </w:rPr>
        <w:t>The team expresses deep gratitude to all patients and their families for providing the opportunity to conduct the present research project. Authors also wish to thank the nursery staff of the Day Hospital of the Medical Oncology Unit, Tor Vergata Clinical Center who have contributed and supported the researchers to the overall success of the PTV Bio.Ca.Re. project.</w:t>
      </w:r>
    </w:p>
    <w:p w:rsidR="007B0F0A" w:rsidRPr="00CC6129" w:rsidRDefault="007B0F0A" w:rsidP="0010680C">
      <w:pPr>
        <w:snapToGrid w:val="0"/>
        <w:spacing w:after="0" w:line="360" w:lineRule="auto"/>
        <w:jc w:val="both"/>
        <w:rPr>
          <w:rFonts w:ascii="Book Antiqua" w:hAnsi="Book Antiqua"/>
          <w:bCs/>
          <w:sz w:val="24"/>
          <w:szCs w:val="24"/>
          <w:lang w:val="en-US"/>
        </w:rPr>
      </w:pPr>
    </w:p>
    <w:p w:rsidR="0000339E" w:rsidRPr="00CC6129" w:rsidRDefault="0000339E" w:rsidP="0010680C">
      <w:pPr>
        <w:snapToGrid w:val="0"/>
        <w:spacing w:after="0" w:line="360" w:lineRule="auto"/>
        <w:jc w:val="both"/>
        <w:rPr>
          <w:rFonts w:ascii="Book Antiqua" w:hAnsi="Book Antiqua"/>
          <w:b/>
          <w:sz w:val="24"/>
          <w:szCs w:val="24"/>
          <w:lang w:val="en-US"/>
        </w:rPr>
      </w:pPr>
      <w:bookmarkStart w:id="32" w:name="OLE_LINK677"/>
      <w:bookmarkStart w:id="33" w:name="OLE_LINK678"/>
      <w:bookmarkStart w:id="34" w:name="OLE_LINK733"/>
      <w:bookmarkStart w:id="35" w:name="OLE_LINK861"/>
      <w:bookmarkStart w:id="36" w:name="OLE_LINK937"/>
      <w:bookmarkStart w:id="37" w:name="OLE_LINK961"/>
      <w:bookmarkStart w:id="38" w:name="OLE_LINK990"/>
      <w:bookmarkStart w:id="39" w:name="OLE_LINK1069"/>
      <w:bookmarkStart w:id="40" w:name="OLE_LINK1096"/>
      <w:bookmarkStart w:id="41" w:name="OLE_LINK1097"/>
      <w:bookmarkStart w:id="42" w:name="OLE_LINK399"/>
      <w:bookmarkStart w:id="43" w:name="OLE_LINK546"/>
      <w:bookmarkStart w:id="44" w:name="OLE_LINK594"/>
      <w:bookmarkStart w:id="45" w:name="OLE_LINK621"/>
      <w:bookmarkStart w:id="46" w:name="OLE_LINK953"/>
      <w:bookmarkStart w:id="47" w:name="OLE_LINK1019"/>
      <w:bookmarkStart w:id="48" w:name="OLE_LINK610"/>
      <w:bookmarkStart w:id="49" w:name="OLE_LINK967"/>
      <w:r w:rsidRPr="00CC6129">
        <w:rPr>
          <w:rFonts w:ascii="Book Antiqua" w:hAnsi="Book Antiqua"/>
          <w:b/>
          <w:sz w:val="24"/>
          <w:szCs w:val="24"/>
          <w:lang w:val="en-US"/>
        </w:rPr>
        <w:t>COMMENTS</w:t>
      </w:r>
    </w:p>
    <w:p w:rsidR="0000339E" w:rsidRPr="00CC6129" w:rsidRDefault="0000339E" w:rsidP="0010680C">
      <w:pPr>
        <w:autoSpaceDE w:val="0"/>
        <w:autoSpaceDN w:val="0"/>
        <w:adjustRightInd w:val="0"/>
        <w:snapToGrid w:val="0"/>
        <w:spacing w:after="0" w:line="360" w:lineRule="auto"/>
        <w:jc w:val="both"/>
        <w:rPr>
          <w:rFonts w:ascii="Book Antiqua" w:hAnsi="Book Antiqua" w:cs="Book Antiqua"/>
          <w:b/>
          <w:i/>
          <w:iCs/>
          <w:sz w:val="24"/>
          <w:szCs w:val="24"/>
          <w:lang w:val="en-US"/>
        </w:rPr>
      </w:pPr>
      <w:bookmarkStart w:id="50" w:name="OLE_LINK729"/>
      <w:bookmarkStart w:id="51" w:name="OLE_LINK730"/>
      <w:r w:rsidRPr="00CC6129">
        <w:rPr>
          <w:rFonts w:ascii="Book Antiqua" w:hAnsi="Book Antiqua" w:cs="Book Antiqua"/>
          <w:b/>
          <w:i/>
          <w:iCs/>
          <w:sz w:val="24"/>
          <w:szCs w:val="24"/>
          <w:lang w:val="en-US"/>
        </w:rPr>
        <w:t>Background</w:t>
      </w:r>
    </w:p>
    <w:p w:rsidR="0000339E" w:rsidRPr="00CC6129" w:rsidRDefault="0071796B" w:rsidP="0010680C">
      <w:pPr>
        <w:autoSpaceDE w:val="0"/>
        <w:autoSpaceDN w:val="0"/>
        <w:adjustRightInd w:val="0"/>
        <w:snapToGrid w:val="0"/>
        <w:spacing w:after="0" w:line="360" w:lineRule="auto"/>
        <w:jc w:val="both"/>
        <w:rPr>
          <w:rFonts w:ascii="Book Antiqua" w:hAnsi="Book Antiqua" w:cs="Book Antiqua"/>
          <w:iCs/>
          <w:sz w:val="24"/>
          <w:szCs w:val="24"/>
          <w:lang w:val="en-US"/>
        </w:rPr>
      </w:pPr>
      <w:r w:rsidRPr="00CC6129">
        <w:rPr>
          <w:rFonts w:ascii="Book Antiqua" w:hAnsi="Book Antiqua" w:cs="Book Antiqua"/>
          <w:iCs/>
          <w:sz w:val="24"/>
          <w:szCs w:val="24"/>
          <w:lang w:val="en-US"/>
        </w:rPr>
        <w:t xml:space="preserve">The possibility of a causal link between hyperglycemia and </w:t>
      </w:r>
      <w:r w:rsidR="0064421C" w:rsidRPr="00CC6129">
        <w:rPr>
          <w:rFonts w:ascii="Book Antiqua" w:hAnsi="Book Antiqua"/>
          <w:bCs/>
          <w:sz w:val="24"/>
          <w:szCs w:val="24"/>
          <w:lang w:val="en-US"/>
        </w:rPr>
        <w:t>venous thromboembolism (VTE)</w:t>
      </w:r>
      <w:r w:rsidR="0064421C">
        <w:rPr>
          <w:rFonts w:ascii="Book Antiqua" w:hAnsi="Book Antiqua" w:cs="Book Antiqua" w:hint="eastAsia"/>
          <w:iCs/>
          <w:sz w:val="24"/>
          <w:szCs w:val="24"/>
          <w:lang w:val="en-US" w:eastAsia="zh-CN"/>
        </w:rPr>
        <w:t xml:space="preserve"> </w:t>
      </w:r>
      <w:r w:rsidRPr="00CC6129">
        <w:rPr>
          <w:rFonts w:ascii="Book Antiqua" w:hAnsi="Book Antiqua" w:cs="Book Antiqua"/>
          <w:iCs/>
          <w:sz w:val="24"/>
          <w:szCs w:val="24"/>
          <w:lang w:val="en-US"/>
        </w:rPr>
        <w:t>occurrence is supported by the experimental finding that, in healthy non-diabetic subjects, increasing blood glucose levels enhances blood coagulation.</w:t>
      </w:r>
      <w:r w:rsidR="0010680C">
        <w:rPr>
          <w:rFonts w:ascii="Book Antiqua" w:hAnsi="Book Antiqua" w:cs="Book Antiqua"/>
          <w:iCs/>
          <w:sz w:val="24"/>
          <w:szCs w:val="24"/>
          <w:lang w:val="en-US"/>
        </w:rPr>
        <w:t xml:space="preserve"> </w:t>
      </w:r>
      <w:r w:rsidRPr="00CC6129">
        <w:rPr>
          <w:rFonts w:ascii="Book Antiqua" w:hAnsi="Book Antiqua" w:cs="Book Antiqua"/>
          <w:iCs/>
          <w:sz w:val="24"/>
          <w:szCs w:val="24"/>
          <w:lang w:val="en-US"/>
        </w:rPr>
        <w:t xml:space="preserve">Accordingly, metabolic markers of impaired glucose metabolism have been associated with an increased risk of VTE in the general population, </w:t>
      </w:r>
      <w:r w:rsidR="00C15801" w:rsidRPr="00CC6129">
        <w:rPr>
          <w:rFonts w:ascii="Book Antiqua" w:hAnsi="Book Antiqua" w:cs="Book Antiqua"/>
          <w:iCs/>
          <w:sz w:val="24"/>
          <w:szCs w:val="24"/>
          <w:lang w:val="en-US"/>
        </w:rPr>
        <w:t xml:space="preserve">but </w:t>
      </w:r>
      <w:r w:rsidRPr="00CC6129">
        <w:rPr>
          <w:rFonts w:ascii="Book Antiqua" w:hAnsi="Book Antiqua" w:cs="Book Antiqua"/>
          <w:iCs/>
          <w:sz w:val="24"/>
          <w:szCs w:val="24"/>
          <w:lang w:val="en-US"/>
        </w:rPr>
        <w:t xml:space="preserve">little is known </w:t>
      </w:r>
      <w:r w:rsidR="00C15801" w:rsidRPr="00CC6129">
        <w:rPr>
          <w:rFonts w:ascii="Book Antiqua" w:hAnsi="Book Antiqua" w:cs="Book Antiqua"/>
          <w:iCs/>
          <w:sz w:val="24"/>
          <w:szCs w:val="24"/>
          <w:lang w:val="en-US"/>
        </w:rPr>
        <w:t>about</w:t>
      </w:r>
      <w:r w:rsidRPr="00CC6129">
        <w:rPr>
          <w:rFonts w:ascii="Book Antiqua" w:hAnsi="Book Antiqua" w:cs="Book Antiqua"/>
          <w:iCs/>
          <w:sz w:val="24"/>
          <w:szCs w:val="24"/>
          <w:lang w:val="en-US"/>
        </w:rPr>
        <w:t xml:space="preserve"> the</w:t>
      </w:r>
      <w:r w:rsidR="00C15801" w:rsidRPr="00CC6129">
        <w:rPr>
          <w:rFonts w:ascii="Book Antiqua" w:hAnsi="Book Antiqua" w:cs="Book Antiqua"/>
          <w:iCs/>
          <w:sz w:val="24"/>
          <w:szCs w:val="24"/>
          <w:lang w:val="en-US"/>
        </w:rPr>
        <w:t>ir</w:t>
      </w:r>
      <w:r w:rsidRPr="00CC6129">
        <w:rPr>
          <w:rFonts w:ascii="Book Antiqua" w:hAnsi="Book Antiqua" w:cs="Book Antiqua"/>
          <w:iCs/>
          <w:sz w:val="24"/>
          <w:szCs w:val="24"/>
          <w:lang w:val="en-US"/>
        </w:rPr>
        <w:t xml:space="preserve"> </w:t>
      </w:r>
      <w:r w:rsidR="00C15801" w:rsidRPr="00CC6129">
        <w:rPr>
          <w:rFonts w:ascii="Book Antiqua" w:hAnsi="Book Antiqua" w:cs="Book Antiqua"/>
          <w:iCs/>
          <w:sz w:val="24"/>
          <w:szCs w:val="24"/>
          <w:lang w:val="en-US"/>
        </w:rPr>
        <w:t>predictive significance in chemotherapy-treated cancer</w:t>
      </w:r>
      <w:r w:rsidR="007B05C6" w:rsidRPr="00CC6129">
        <w:rPr>
          <w:rFonts w:ascii="Book Antiqua" w:hAnsi="Book Antiqua" w:cs="Book Antiqua"/>
          <w:iCs/>
          <w:sz w:val="24"/>
          <w:szCs w:val="24"/>
          <w:lang w:val="en-US"/>
        </w:rPr>
        <w:t xml:space="preserve"> patients</w:t>
      </w:r>
      <w:r w:rsidRPr="00CC6129">
        <w:rPr>
          <w:rFonts w:ascii="Book Antiqua" w:hAnsi="Book Antiqua" w:cs="Book Antiqua"/>
          <w:iCs/>
          <w:sz w:val="24"/>
          <w:szCs w:val="24"/>
          <w:lang w:val="en-US"/>
        </w:rPr>
        <w:t>.</w:t>
      </w:r>
      <w:r w:rsidR="0010680C">
        <w:rPr>
          <w:rFonts w:ascii="Book Antiqua" w:hAnsi="Book Antiqua" w:cs="Book Antiqua"/>
          <w:iCs/>
          <w:sz w:val="24"/>
          <w:szCs w:val="24"/>
          <w:lang w:val="en-US"/>
        </w:rPr>
        <w:t xml:space="preserve"> </w:t>
      </w:r>
      <w:r w:rsidRPr="00CC6129">
        <w:rPr>
          <w:rFonts w:ascii="Book Antiqua" w:hAnsi="Book Antiqua" w:cs="Book Antiqua"/>
          <w:iCs/>
          <w:sz w:val="24"/>
          <w:szCs w:val="24"/>
          <w:lang w:val="en-US"/>
        </w:rPr>
        <w:t xml:space="preserve">The few available data come from </w:t>
      </w:r>
      <w:r w:rsidR="007B05C6" w:rsidRPr="00CC6129">
        <w:rPr>
          <w:rFonts w:ascii="Book Antiqua" w:hAnsi="Book Antiqua" w:cs="Book Antiqua"/>
          <w:iCs/>
          <w:sz w:val="24"/>
          <w:szCs w:val="24"/>
          <w:lang w:val="en-US"/>
        </w:rPr>
        <w:t xml:space="preserve">a </w:t>
      </w:r>
      <w:r w:rsidR="00702F8B" w:rsidRPr="00CC6129">
        <w:rPr>
          <w:rFonts w:ascii="Book Antiqua" w:hAnsi="Book Antiqua" w:cs="Book Antiqua"/>
          <w:iCs/>
          <w:sz w:val="24"/>
          <w:szCs w:val="24"/>
          <w:lang w:val="en-US"/>
        </w:rPr>
        <w:t>recent</w:t>
      </w:r>
      <w:r w:rsidR="007B05C6" w:rsidRPr="00CC6129">
        <w:rPr>
          <w:rFonts w:ascii="Book Antiqua" w:hAnsi="Book Antiqua" w:cs="Book Antiqua"/>
          <w:iCs/>
          <w:sz w:val="24"/>
          <w:szCs w:val="24"/>
          <w:lang w:val="en-US"/>
        </w:rPr>
        <w:t xml:space="preserve"> study </w:t>
      </w:r>
      <w:r w:rsidR="007B05C6" w:rsidRPr="00CC6129">
        <w:rPr>
          <w:rFonts w:ascii="Book Antiqua" w:hAnsi="Book Antiqua"/>
          <w:sz w:val="24"/>
          <w:szCs w:val="24"/>
          <w:lang w:val="en-US"/>
        </w:rPr>
        <w:t>demonstrating that breast cancer women with insulin resistance had an increased risk of chemotherapy-associated VTE</w:t>
      </w:r>
      <w:r w:rsidR="0060777C" w:rsidRPr="00CC6129">
        <w:rPr>
          <w:rFonts w:ascii="Book Antiqua" w:hAnsi="Book Antiqua"/>
          <w:sz w:val="24"/>
          <w:szCs w:val="24"/>
          <w:lang w:val="en-US"/>
        </w:rPr>
        <w:t>,</w:t>
      </w:r>
      <w:r w:rsidR="007B05C6" w:rsidRPr="00CC6129">
        <w:rPr>
          <w:rFonts w:ascii="Book Antiqua" w:hAnsi="Book Antiqua"/>
          <w:sz w:val="24"/>
          <w:szCs w:val="24"/>
          <w:lang w:val="en-US"/>
        </w:rPr>
        <w:t xml:space="preserve"> independently of </w:t>
      </w:r>
      <w:r w:rsidR="0060777C" w:rsidRPr="00CC6129">
        <w:rPr>
          <w:rFonts w:ascii="Book Antiqua" w:hAnsi="Book Antiqua"/>
          <w:sz w:val="24"/>
          <w:szCs w:val="24"/>
          <w:lang w:val="en-US"/>
        </w:rPr>
        <w:t>type 2 diabetes</w:t>
      </w:r>
      <w:r w:rsidR="007B05C6" w:rsidRPr="00CC6129">
        <w:rPr>
          <w:rFonts w:ascii="Book Antiqua" w:hAnsi="Book Antiqua"/>
          <w:sz w:val="24"/>
          <w:szCs w:val="24"/>
          <w:lang w:val="en-US"/>
        </w:rPr>
        <w:t xml:space="preserve">, </w:t>
      </w:r>
      <w:r w:rsidR="00702F8B" w:rsidRPr="00CC6129">
        <w:rPr>
          <w:rFonts w:ascii="Book Antiqua" w:hAnsi="Book Antiqua"/>
          <w:sz w:val="24"/>
          <w:szCs w:val="24"/>
          <w:lang w:val="en-US"/>
        </w:rPr>
        <w:t xml:space="preserve">obesity, </w:t>
      </w:r>
      <w:r w:rsidR="007B05C6" w:rsidRPr="00CC6129">
        <w:rPr>
          <w:rFonts w:ascii="Book Antiqua" w:hAnsi="Book Antiqua"/>
          <w:sz w:val="24"/>
          <w:szCs w:val="24"/>
          <w:lang w:val="en-US"/>
        </w:rPr>
        <w:t>or other related risk factors</w:t>
      </w:r>
      <w:r w:rsidRPr="00CC6129">
        <w:rPr>
          <w:rFonts w:ascii="Book Antiqua" w:hAnsi="Book Antiqua" w:cs="Book Antiqua"/>
          <w:iCs/>
          <w:sz w:val="24"/>
          <w:szCs w:val="24"/>
          <w:lang w:val="en-US"/>
        </w:rPr>
        <w:t>.</w:t>
      </w:r>
    </w:p>
    <w:p w:rsidR="0060777C" w:rsidRPr="00CC6129" w:rsidRDefault="0060777C" w:rsidP="0010680C">
      <w:pPr>
        <w:autoSpaceDE w:val="0"/>
        <w:autoSpaceDN w:val="0"/>
        <w:adjustRightInd w:val="0"/>
        <w:snapToGrid w:val="0"/>
        <w:spacing w:after="0" w:line="360" w:lineRule="auto"/>
        <w:jc w:val="both"/>
        <w:rPr>
          <w:rFonts w:ascii="Book Antiqua" w:hAnsi="Book Antiqua" w:cs="Book Antiqua"/>
          <w:iCs/>
          <w:sz w:val="24"/>
          <w:szCs w:val="24"/>
          <w:lang w:val="en-US"/>
        </w:rPr>
      </w:pPr>
    </w:p>
    <w:p w:rsidR="0000339E" w:rsidRPr="00CC6129" w:rsidRDefault="0000339E" w:rsidP="0010680C">
      <w:pPr>
        <w:autoSpaceDE w:val="0"/>
        <w:autoSpaceDN w:val="0"/>
        <w:adjustRightInd w:val="0"/>
        <w:snapToGrid w:val="0"/>
        <w:spacing w:after="0" w:line="360" w:lineRule="auto"/>
        <w:jc w:val="both"/>
        <w:rPr>
          <w:rFonts w:ascii="Book Antiqua" w:hAnsi="Book Antiqua" w:cs="Book Antiqua"/>
          <w:b/>
          <w:i/>
          <w:iCs/>
          <w:sz w:val="24"/>
          <w:szCs w:val="24"/>
          <w:lang w:val="en-US"/>
        </w:rPr>
      </w:pPr>
      <w:r w:rsidRPr="00CC6129">
        <w:rPr>
          <w:rFonts w:ascii="Book Antiqua" w:hAnsi="Book Antiqua" w:cs="Book Antiqua"/>
          <w:b/>
          <w:i/>
          <w:iCs/>
          <w:sz w:val="24"/>
          <w:szCs w:val="24"/>
          <w:lang w:val="en-US"/>
        </w:rPr>
        <w:t>Research frontiers</w:t>
      </w:r>
    </w:p>
    <w:p w:rsidR="0000339E" w:rsidRPr="00CC6129" w:rsidRDefault="0060777C" w:rsidP="0010680C">
      <w:pPr>
        <w:autoSpaceDE w:val="0"/>
        <w:autoSpaceDN w:val="0"/>
        <w:adjustRightInd w:val="0"/>
        <w:snapToGrid w:val="0"/>
        <w:spacing w:after="0" w:line="360" w:lineRule="auto"/>
        <w:jc w:val="both"/>
        <w:rPr>
          <w:rFonts w:ascii="Book Antiqua" w:hAnsi="Book Antiqua" w:cs="Book Antiqua"/>
          <w:sz w:val="24"/>
          <w:szCs w:val="24"/>
          <w:lang w:val="en-US"/>
        </w:rPr>
      </w:pPr>
      <w:r w:rsidRPr="00CC6129">
        <w:rPr>
          <w:rFonts w:ascii="Book Antiqua" w:hAnsi="Book Antiqua" w:cs="Book Antiqua"/>
          <w:sz w:val="24"/>
          <w:szCs w:val="24"/>
          <w:lang w:val="en-US"/>
        </w:rPr>
        <w:t xml:space="preserve">Future investigations specifically designed to address the </w:t>
      </w:r>
      <w:r w:rsidR="0071220B" w:rsidRPr="00CC6129">
        <w:rPr>
          <w:rFonts w:ascii="Book Antiqua" w:hAnsi="Book Antiqua" w:cs="Book Antiqua"/>
          <w:sz w:val="24"/>
          <w:szCs w:val="24"/>
          <w:lang w:val="en-US"/>
        </w:rPr>
        <w:t xml:space="preserve">predictive </w:t>
      </w:r>
      <w:r w:rsidRPr="00CC6129">
        <w:rPr>
          <w:rFonts w:ascii="Book Antiqua" w:hAnsi="Book Antiqua" w:cs="Book Antiqua"/>
          <w:sz w:val="24"/>
          <w:szCs w:val="24"/>
          <w:lang w:val="en-US"/>
        </w:rPr>
        <w:t xml:space="preserve">role of insulin resistance or hyperglycemia </w:t>
      </w:r>
      <w:r w:rsidR="0071220B" w:rsidRPr="00CC6129">
        <w:rPr>
          <w:rFonts w:ascii="Book Antiqua" w:hAnsi="Book Antiqua" w:cs="Book Antiqua"/>
          <w:sz w:val="24"/>
          <w:szCs w:val="24"/>
          <w:lang w:val="en-US"/>
        </w:rPr>
        <w:t>for</w:t>
      </w:r>
      <w:r w:rsidRPr="00CC6129">
        <w:rPr>
          <w:rFonts w:ascii="Book Antiqua" w:hAnsi="Book Antiqua" w:cs="Book Antiqua"/>
          <w:sz w:val="24"/>
          <w:szCs w:val="24"/>
          <w:lang w:val="en-US"/>
        </w:rPr>
        <w:t xml:space="preserve"> </w:t>
      </w:r>
      <w:r w:rsidR="0071220B" w:rsidRPr="00CC6129">
        <w:rPr>
          <w:rFonts w:ascii="Book Antiqua" w:hAnsi="Book Antiqua" w:cs="Book Antiqua"/>
          <w:sz w:val="24"/>
          <w:szCs w:val="24"/>
          <w:lang w:val="en-US"/>
        </w:rPr>
        <w:t>VTE risk assessment</w:t>
      </w:r>
      <w:r w:rsidRPr="00CC6129">
        <w:rPr>
          <w:rFonts w:ascii="Book Antiqua" w:hAnsi="Book Antiqua" w:cs="Book Antiqua"/>
          <w:sz w:val="24"/>
          <w:szCs w:val="24"/>
          <w:lang w:val="en-US"/>
        </w:rPr>
        <w:t xml:space="preserve"> may provide the rationale for </w:t>
      </w:r>
      <w:r w:rsidR="0071220B" w:rsidRPr="00CC6129">
        <w:rPr>
          <w:rFonts w:ascii="Book Antiqua" w:hAnsi="Book Antiqua" w:cs="Book Antiqua"/>
          <w:sz w:val="24"/>
          <w:szCs w:val="24"/>
          <w:lang w:val="en-US"/>
        </w:rPr>
        <w:t>their inclusion in expanded risk scoring models, or newly developed clinical decision support systems.</w:t>
      </w:r>
    </w:p>
    <w:p w:rsidR="0060777C" w:rsidRPr="00CC6129" w:rsidRDefault="0060777C" w:rsidP="0010680C">
      <w:pPr>
        <w:autoSpaceDE w:val="0"/>
        <w:autoSpaceDN w:val="0"/>
        <w:adjustRightInd w:val="0"/>
        <w:snapToGrid w:val="0"/>
        <w:spacing w:after="0" w:line="360" w:lineRule="auto"/>
        <w:jc w:val="both"/>
        <w:rPr>
          <w:rFonts w:ascii="Book Antiqua" w:hAnsi="Book Antiqua" w:cs="Book Antiqua"/>
          <w:sz w:val="24"/>
          <w:szCs w:val="24"/>
          <w:lang w:val="en-US"/>
        </w:rPr>
      </w:pPr>
    </w:p>
    <w:p w:rsidR="0000339E" w:rsidRPr="00CC6129" w:rsidRDefault="0000339E" w:rsidP="0010680C">
      <w:pPr>
        <w:snapToGrid w:val="0"/>
        <w:spacing w:after="0" w:line="360" w:lineRule="auto"/>
        <w:jc w:val="both"/>
        <w:rPr>
          <w:rFonts w:ascii="Book Antiqua" w:hAnsi="Book Antiqua" w:cs="Book Antiqua"/>
          <w:b/>
          <w:i/>
          <w:iCs/>
          <w:sz w:val="24"/>
          <w:szCs w:val="24"/>
          <w:lang w:val="en-US"/>
        </w:rPr>
      </w:pPr>
      <w:r w:rsidRPr="00CC6129">
        <w:rPr>
          <w:rFonts w:ascii="Book Antiqua" w:hAnsi="Book Antiqua" w:cs="Book Antiqua"/>
          <w:b/>
          <w:i/>
          <w:iCs/>
          <w:sz w:val="24"/>
          <w:szCs w:val="24"/>
          <w:lang w:val="en-US"/>
        </w:rPr>
        <w:lastRenderedPageBreak/>
        <w:t>Innovations and breakthrough</w:t>
      </w:r>
    </w:p>
    <w:p w:rsidR="0000339E" w:rsidRPr="00CC6129" w:rsidRDefault="0071220B" w:rsidP="0010680C">
      <w:pPr>
        <w:snapToGrid w:val="0"/>
        <w:spacing w:after="0" w:line="360" w:lineRule="auto"/>
        <w:jc w:val="both"/>
        <w:rPr>
          <w:rFonts w:ascii="Book Antiqua" w:hAnsi="Book Antiqua" w:cs="Book Antiqua"/>
          <w:sz w:val="24"/>
          <w:szCs w:val="24"/>
          <w:lang w:val="en-US"/>
        </w:rPr>
      </w:pPr>
      <w:r w:rsidRPr="00CC6129">
        <w:rPr>
          <w:rFonts w:ascii="Book Antiqua" w:hAnsi="Book Antiqua" w:cs="Book Antiqua"/>
          <w:sz w:val="24"/>
          <w:szCs w:val="24"/>
          <w:lang w:val="en-US"/>
        </w:rPr>
        <w:t xml:space="preserve">This study provides evidences that pre-treatment blood glucose levels or the composite </w:t>
      </w:r>
      <w:r w:rsidR="00CD450D" w:rsidRPr="00CC6129">
        <w:rPr>
          <w:rFonts w:ascii="Book Antiqua" w:hAnsi="Book Antiqua"/>
          <w:bCs/>
          <w:sz w:val="24"/>
          <w:szCs w:val="24"/>
          <w:lang w:val="en-US"/>
        </w:rPr>
        <w:t>homeostasis model of risk assessment (HOMA)</w:t>
      </w:r>
      <w:r w:rsidR="00CD450D">
        <w:rPr>
          <w:rFonts w:ascii="Book Antiqua" w:hAnsi="Book Antiqua" w:hint="eastAsia"/>
          <w:bCs/>
          <w:sz w:val="24"/>
          <w:szCs w:val="24"/>
          <w:lang w:val="en-US" w:eastAsia="zh-CN"/>
        </w:rPr>
        <w:t xml:space="preserve"> </w:t>
      </w:r>
      <w:r w:rsidRPr="00CC6129">
        <w:rPr>
          <w:rFonts w:ascii="Book Antiqua" w:hAnsi="Book Antiqua" w:cs="Book Antiqua"/>
          <w:sz w:val="24"/>
          <w:szCs w:val="24"/>
          <w:lang w:val="en-US"/>
        </w:rPr>
        <w:t xml:space="preserve">index </w:t>
      </w:r>
      <w:r w:rsidR="00702F8B" w:rsidRPr="00CC6129">
        <w:rPr>
          <w:rFonts w:ascii="Book Antiqua" w:hAnsi="Book Antiqua"/>
          <w:sz w:val="24"/>
          <w:szCs w:val="24"/>
          <w:lang w:val="en-US"/>
        </w:rPr>
        <w:t>may allow for VTE risk stratification in GI cancer patients</w:t>
      </w:r>
      <w:r w:rsidRPr="00CC6129">
        <w:rPr>
          <w:rFonts w:ascii="Book Antiqua" w:hAnsi="Book Antiqua" w:cs="Book Antiqua"/>
          <w:sz w:val="24"/>
          <w:szCs w:val="24"/>
          <w:lang w:val="en-US"/>
        </w:rPr>
        <w:t xml:space="preserve">. Glycemic metabolic markers should be carefully monitored, independently of </w:t>
      </w:r>
      <w:r w:rsidR="00702F8B" w:rsidRPr="00CC6129">
        <w:rPr>
          <w:rFonts w:ascii="Book Antiqua" w:hAnsi="Book Antiqua"/>
          <w:sz w:val="24"/>
          <w:szCs w:val="24"/>
          <w:lang w:val="en-US"/>
        </w:rPr>
        <w:t>type 2 diabetes or obesity</w:t>
      </w:r>
      <w:r w:rsidRPr="00CC6129">
        <w:rPr>
          <w:rFonts w:ascii="Book Antiqua" w:hAnsi="Book Antiqua" w:cs="Book Antiqua"/>
          <w:sz w:val="24"/>
          <w:szCs w:val="24"/>
          <w:lang w:val="en-US"/>
        </w:rPr>
        <w:t xml:space="preserve">, as they could provide important information for VTE risk </w:t>
      </w:r>
      <w:r w:rsidR="00702F8B" w:rsidRPr="00CC6129">
        <w:rPr>
          <w:rFonts w:ascii="Book Antiqua" w:hAnsi="Book Antiqua" w:cs="Book Antiqua"/>
          <w:sz w:val="24"/>
          <w:szCs w:val="24"/>
          <w:lang w:val="en-US"/>
        </w:rPr>
        <w:t>prediction</w:t>
      </w:r>
      <w:r w:rsidRPr="00CC6129">
        <w:rPr>
          <w:rFonts w:ascii="Book Antiqua" w:hAnsi="Book Antiqua" w:cs="Book Antiqua"/>
          <w:sz w:val="24"/>
          <w:szCs w:val="24"/>
          <w:lang w:val="en-US"/>
        </w:rPr>
        <w:t>.</w:t>
      </w:r>
    </w:p>
    <w:p w:rsidR="0071220B" w:rsidRPr="00CC6129" w:rsidRDefault="0071220B" w:rsidP="0010680C">
      <w:pPr>
        <w:snapToGrid w:val="0"/>
        <w:spacing w:after="0" w:line="360" w:lineRule="auto"/>
        <w:jc w:val="both"/>
        <w:rPr>
          <w:rFonts w:ascii="Book Antiqua" w:hAnsi="Book Antiqua" w:cs="Book Antiqua"/>
          <w:sz w:val="24"/>
          <w:szCs w:val="24"/>
          <w:lang w:val="en-US"/>
        </w:rPr>
      </w:pPr>
    </w:p>
    <w:p w:rsidR="0000339E" w:rsidRPr="00CC6129" w:rsidRDefault="0000339E" w:rsidP="0010680C">
      <w:pPr>
        <w:snapToGrid w:val="0"/>
        <w:spacing w:after="0" w:line="360" w:lineRule="auto"/>
        <w:jc w:val="both"/>
        <w:rPr>
          <w:rFonts w:ascii="Book Antiqua" w:hAnsi="Book Antiqua" w:cs="Book Antiqua"/>
          <w:b/>
          <w:i/>
          <w:iCs/>
          <w:sz w:val="24"/>
          <w:szCs w:val="24"/>
          <w:lang w:val="en-US"/>
        </w:rPr>
      </w:pPr>
      <w:r w:rsidRPr="00CC6129">
        <w:rPr>
          <w:rFonts w:ascii="Book Antiqua" w:hAnsi="Book Antiqua" w:cs="Book Antiqua"/>
          <w:b/>
          <w:i/>
          <w:iCs/>
          <w:sz w:val="24"/>
          <w:szCs w:val="24"/>
          <w:lang w:val="en-US"/>
        </w:rPr>
        <w:t>Applications</w:t>
      </w:r>
    </w:p>
    <w:p w:rsidR="0000339E" w:rsidRPr="00CC6129" w:rsidRDefault="00702F8B" w:rsidP="0010680C">
      <w:pPr>
        <w:snapToGrid w:val="0"/>
        <w:spacing w:after="0" w:line="360" w:lineRule="auto"/>
        <w:jc w:val="both"/>
        <w:rPr>
          <w:rFonts w:ascii="Book Antiqua" w:hAnsi="Book Antiqua"/>
          <w:sz w:val="24"/>
          <w:szCs w:val="24"/>
          <w:lang w:val="en-US"/>
        </w:rPr>
      </w:pPr>
      <w:r w:rsidRPr="00CC6129">
        <w:rPr>
          <w:rFonts w:ascii="Book Antiqua" w:hAnsi="Book Antiqua"/>
          <w:sz w:val="24"/>
          <w:szCs w:val="24"/>
          <w:lang w:val="en-US"/>
        </w:rPr>
        <w:t>Clinicians should be alert to the pro-coagulant risk of impaired glycemic control and advise patients about lifestyle intervention, weight loss, and exercise as a part of their therapeutic plan.</w:t>
      </w:r>
      <w:r w:rsidR="0010680C">
        <w:rPr>
          <w:rFonts w:ascii="Book Antiqua" w:hAnsi="Book Antiqua"/>
          <w:sz w:val="24"/>
          <w:szCs w:val="24"/>
          <w:lang w:val="en-US"/>
        </w:rPr>
        <w:t xml:space="preserve"> </w:t>
      </w:r>
      <w:r w:rsidRPr="00CC6129">
        <w:rPr>
          <w:rFonts w:ascii="Book Antiqua" w:hAnsi="Book Antiqua"/>
          <w:sz w:val="24"/>
          <w:szCs w:val="24"/>
          <w:lang w:val="en-US"/>
        </w:rPr>
        <w:t>In the context of a precision medicine approach, incorporation of pre-treatment fasting glycemia – or HOMA index – in expanded risk scoring models, or newly developed clinical decision support systems might improve risk prediction without causing an excessive increase in patients’ management costs.</w:t>
      </w:r>
    </w:p>
    <w:p w:rsidR="00702F8B" w:rsidRPr="00CC6129" w:rsidRDefault="00702F8B" w:rsidP="0010680C">
      <w:pPr>
        <w:snapToGrid w:val="0"/>
        <w:spacing w:after="0" w:line="360" w:lineRule="auto"/>
        <w:jc w:val="both"/>
        <w:rPr>
          <w:rFonts w:ascii="Book Antiqua" w:hAnsi="Book Antiqua" w:cs="Book Antiqua"/>
          <w:iCs/>
          <w:sz w:val="24"/>
          <w:szCs w:val="24"/>
          <w:lang w:val="en-US"/>
        </w:rPr>
      </w:pPr>
    </w:p>
    <w:p w:rsidR="0000339E" w:rsidRPr="00CC6129" w:rsidRDefault="007B0F0A" w:rsidP="0010680C">
      <w:pPr>
        <w:snapToGrid w:val="0"/>
        <w:spacing w:after="0" w:line="360" w:lineRule="auto"/>
        <w:jc w:val="both"/>
        <w:rPr>
          <w:rFonts w:ascii="Book Antiqua" w:hAnsi="Book Antiqua" w:cs="Book Antiqua"/>
          <w:b/>
          <w:i/>
          <w:iCs/>
          <w:sz w:val="24"/>
          <w:szCs w:val="24"/>
          <w:lang w:val="en-US"/>
        </w:rPr>
      </w:pPr>
      <w:r w:rsidRPr="00CC6129">
        <w:rPr>
          <w:rFonts w:ascii="Book Antiqua" w:hAnsi="Book Antiqua" w:cs="Book Antiqua"/>
          <w:b/>
          <w:i/>
          <w:iCs/>
          <w:sz w:val="24"/>
          <w:szCs w:val="24"/>
          <w:lang w:val="en-US"/>
        </w:rPr>
        <w:t>Terminology</w:t>
      </w:r>
    </w:p>
    <w:p w:rsidR="0000339E" w:rsidRPr="00CC6129" w:rsidRDefault="00702F8B" w:rsidP="0010680C">
      <w:pPr>
        <w:snapToGrid w:val="0"/>
        <w:spacing w:after="0" w:line="360" w:lineRule="auto"/>
        <w:jc w:val="both"/>
        <w:rPr>
          <w:rFonts w:ascii="Book Antiqua" w:hAnsi="Book Antiqua"/>
          <w:sz w:val="24"/>
          <w:szCs w:val="24"/>
          <w:lang w:val="en-US"/>
        </w:rPr>
      </w:pPr>
      <w:r w:rsidRPr="00CC6129">
        <w:rPr>
          <w:rFonts w:ascii="Book Antiqua" w:hAnsi="Book Antiqua"/>
          <w:sz w:val="24"/>
          <w:szCs w:val="24"/>
          <w:lang w:val="en-US"/>
        </w:rPr>
        <w:t>HbA</w:t>
      </w:r>
      <w:r w:rsidRPr="00CC6129">
        <w:rPr>
          <w:rFonts w:ascii="Book Antiqua" w:hAnsi="Book Antiqua"/>
          <w:sz w:val="24"/>
          <w:szCs w:val="24"/>
          <w:vertAlign w:val="subscript"/>
          <w:lang w:val="en-US"/>
        </w:rPr>
        <w:t>1c</w:t>
      </w:r>
      <w:r w:rsidRPr="00CC6129">
        <w:rPr>
          <w:rFonts w:ascii="Book Antiqua" w:hAnsi="Book Antiqua"/>
          <w:sz w:val="24"/>
          <w:szCs w:val="24"/>
          <w:lang w:val="en-US"/>
        </w:rPr>
        <w:t xml:space="preserve"> provides an estimate of average blood glucose levels over the previous three months and is used </w:t>
      </w:r>
      <w:r w:rsidR="00DC1D3D" w:rsidRPr="00CC6129">
        <w:rPr>
          <w:rFonts w:ascii="Book Antiqua" w:hAnsi="Book Antiqua"/>
          <w:sz w:val="24"/>
          <w:szCs w:val="24"/>
          <w:lang w:val="en-US"/>
        </w:rPr>
        <w:t xml:space="preserve">as a marker of glycemic control </w:t>
      </w:r>
      <w:r w:rsidRPr="00CC6129">
        <w:rPr>
          <w:rFonts w:ascii="Book Antiqua" w:hAnsi="Book Antiqua"/>
          <w:sz w:val="24"/>
          <w:szCs w:val="24"/>
          <w:lang w:val="en-US"/>
        </w:rPr>
        <w:t>in the management of type 2 diabetes.</w:t>
      </w:r>
      <w:r w:rsidR="0010680C">
        <w:rPr>
          <w:rFonts w:ascii="Book Antiqua" w:hAnsi="Book Antiqua"/>
          <w:sz w:val="24"/>
          <w:szCs w:val="24"/>
          <w:lang w:val="en-US"/>
        </w:rPr>
        <w:t xml:space="preserve"> </w:t>
      </w:r>
      <w:r w:rsidRPr="00CC6129">
        <w:rPr>
          <w:rFonts w:ascii="Book Antiqua" w:hAnsi="Book Antiqua"/>
          <w:sz w:val="24"/>
          <w:szCs w:val="24"/>
          <w:lang w:val="en-US"/>
        </w:rPr>
        <w:t>HOMA index</w:t>
      </w:r>
      <w:r w:rsidR="00DC1D3D" w:rsidRPr="00CC6129">
        <w:rPr>
          <w:rFonts w:ascii="Book Antiqua" w:hAnsi="Book Antiqua"/>
          <w:sz w:val="24"/>
          <w:szCs w:val="24"/>
          <w:lang w:val="en-US"/>
        </w:rPr>
        <w:t>, derived from blood glucose and insulin levels, is a non invasive parameter of insulin resistance in pathologic states, such as diabetes and obesity.</w:t>
      </w:r>
    </w:p>
    <w:p w:rsidR="00702F8B" w:rsidRPr="00CC6129" w:rsidRDefault="00702F8B" w:rsidP="0010680C">
      <w:pPr>
        <w:snapToGrid w:val="0"/>
        <w:spacing w:after="0" w:line="360" w:lineRule="auto"/>
        <w:jc w:val="both"/>
        <w:rPr>
          <w:rFonts w:ascii="Book Antiqua" w:hAnsi="Book Antiqua" w:cs="Book Antiqua"/>
          <w:iCs/>
          <w:sz w:val="24"/>
          <w:szCs w:val="24"/>
          <w:lang w:val="en-US"/>
        </w:rPr>
      </w:pPr>
    </w:p>
    <w:p w:rsidR="0000339E" w:rsidRPr="00CC6129" w:rsidRDefault="0000339E" w:rsidP="0010680C">
      <w:pPr>
        <w:snapToGrid w:val="0"/>
        <w:spacing w:after="0" w:line="360" w:lineRule="auto"/>
        <w:jc w:val="both"/>
        <w:rPr>
          <w:rFonts w:ascii="Book Antiqua" w:hAnsi="Book Antiqua" w:cs="Times New Roman"/>
          <w:sz w:val="24"/>
          <w:szCs w:val="24"/>
          <w:lang w:val="en-GB"/>
        </w:rPr>
      </w:pPr>
      <w:bookmarkStart w:id="52" w:name="OLE_LINK493"/>
      <w:bookmarkStart w:id="53" w:name="OLE_LINK494"/>
      <w:r w:rsidRPr="00CC6129">
        <w:rPr>
          <w:rFonts w:ascii="Book Antiqua" w:hAnsi="Book Antiqua" w:cs="Book Antiqua"/>
          <w:b/>
          <w:i/>
          <w:iCs/>
          <w:sz w:val="24"/>
          <w:szCs w:val="24"/>
          <w:lang w:val="en-US"/>
        </w:rPr>
        <w:t>Peer-review</w:t>
      </w:r>
      <w:bookmarkEnd w:id="32"/>
      <w:bookmarkEnd w:id="33"/>
      <w:bookmarkEnd w:id="34"/>
      <w:bookmarkEnd w:id="35"/>
      <w:bookmarkEnd w:id="36"/>
      <w:bookmarkEnd w:id="37"/>
      <w:bookmarkEnd w:id="38"/>
      <w:bookmarkEnd w:id="39"/>
      <w:bookmarkEnd w:id="40"/>
      <w:bookmarkEnd w:id="41"/>
      <w:bookmarkEnd w:id="50"/>
      <w:bookmarkEnd w:id="51"/>
      <w:r w:rsidRPr="00CC6129">
        <w:rPr>
          <w:rFonts w:ascii="Book Antiqua" w:hAnsi="Book Antiqua" w:cs="Times New Roman"/>
          <w:b/>
          <w:sz w:val="24"/>
          <w:szCs w:val="24"/>
          <w:lang w:val="en-GB"/>
        </w:rPr>
        <w:t xml:space="preserve"> </w:t>
      </w:r>
      <w:bookmarkEnd w:id="42"/>
      <w:bookmarkEnd w:id="43"/>
      <w:bookmarkEnd w:id="44"/>
      <w:bookmarkEnd w:id="45"/>
      <w:bookmarkEnd w:id="46"/>
      <w:bookmarkEnd w:id="47"/>
      <w:bookmarkEnd w:id="52"/>
      <w:bookmarkEnd w:id="53"/>
    </w:p>
    <w:bookmarkEnd w:id="48"/>
    <w:bookmarkEnd w:id="49"/>
    <w:p w:rsidR="007B0F0A" w:rsidRPr="00CC6129" w:rsidRDefault="00DC1D3D" w:rsidP="0010680C">
      <w:pPr>
        <w:snapToGrid w:val="0"/>
        <w:spacing w:after="0" w:line="360" w:lineRule="auto"/>
        <w:jc w:val="both"/>
        <w:rPr>
          <w:rFonts w:ascii="Book Antiqua" w:hAnsi="Book Antiqua"/>
          <w:bCs/>
          <w:sz w:val="24"/>
          <w:szCs w:val="24"/>
          <w:lang w:val="en-US"/>
        </w:rPr>
      </w:pPr>
      <w:r w:rsidRPr="00CC6129">
        <w:rPr>
          <w:rFonts w:ascii="Book Antiqua" w:hAnsi="Book Antiqua"/>
          <w:bCs/>
          <w:sz w:val="24"/>
          <w:szCs w:val="24"/>
          <w:lang w:val="en-US"/>
        </w:rPr>
        <w:t>The article is interesting, methods of the study are presented concisely and there are no objections about it.</w:t>
      </w:r>
      <w:r w:rsidR="0010680C">
        <w:rPr>
          <w:rFonts w:ascii="Book Antiqua" w:hAnsi="Book Antiqua"/>
          <w:bCs/>
          <w:sz w:val="24"/>
          <w:szCs w:val="24"/>
          <w:lang w:val="en-US"/>
        </w:rPr>
        <w:t xml:space="preserve"> </w:t>
      </w:r>
      <w:r w:rsidRPr="00CC6129">
        <w:rPr>
          <w:rFonts w:ascii="Book Antiqua" w:hAnsi="Book Antiqua"/>
          <w:bCs/>
          <w:sz w:val="24"/>
          <w:szCs w:val="24"/>
          <w:lang w:val="en-US"/>
        </w:rPr>
        <w:t>The study deals with an important problem of treatment strategy in the large group of cancer patients, though the small number of subjects tends to show preliminary character of the study and does not allow to</w:t>
      </w:r>
      <w:r w:rsidR="0064421C">
        <w:rPr>
          <w:rFonts w:ascii="Book Antiqua" w:hAnsi="Book Antiqua" w:hint="eastAsia"/>
          <w:bCs/>
          <w:sz w:val="24"/>
          <w:szCs w:val="24"/>
          <w:lang w:val="en-US" w:eastAsia="zh-CN"/>
        </w:rPr>
        <w:t xml:space="preserve"> </w:t>
      </w:r>
      <w:r w:rsidRPr="00CC6129">
        <w:rPr>
          <w:rFonts w:ascii="Book Antiqua" w:hAnsi="Book Antiqua"/>
          <w:bCs/>
          <w:sz w:val="24"/>
          <w:szCs w:val="24"/>
          <w:lang w:val="en-US"/>
        </w:rPr>
        <w:t>draw population conclusions.</w:t>
      </w:r>
    </w:p>
    <w:p w:rsidR="00E873B9" w:rsidRPr="00CC6129" w:rsidRDefault="00E873B9" w:rsidP="0010680C">
      <w:pPr>
        <w:snapToGrid w:val="0"/>
        <w:spacing w:after="0" w:line="360" w:lineRule="auto"/>
        <w:jc w:val="both"/>
        <w:rPr>
          <w:rFonts w:ascii="Book Antiqua" w:hAnsi="Book Antiqua"/>
          <w:b/>
          <w:sz w:val="24"/>
          <w:szCs w:val="24"/>
          <w:lang w:val="en-US"/>
        </w:rPr>
      </w:pPr>
      <w:r w:rsidRPr="00CC6129">
        <w:rPr>
          <w:rFonts w:ascii="Book Antiqua" w:hAnsi="Book Antiqua"/>
          <w:b/>
          <w:sz w:val="24"/>
          <w:szCs w:val="24"/>
          <w:lang w:val="en-US"/>
        </w:rPr>
        <w:br w:type="page"/>
      </w:r>
    </w:p>
    <w:p w:rsidR="00E873B9" w:rsidRPr="00CC6129" w:rsidRDefault="00E873B9" w:rsidP="0010680C">
      <w:pPr>
        <w:snapToGrid w:val="0"/>
        <w:spacing w:after="0" w:line="360" w:lineRule="auto"/>
        <w:jc w:val="both"/>
        <w:rPr>
          <w:rFonts w:ascii="Book Antiqua" w:hAnsi="Book Antiqua"/>
          <w:b/>
          <w:sz w:val="24"/>
          <w:szCs w:val="24"/>
          <w:lang w:val="en-US"/>
        </w:rPr>
      </w:pPr>
      <w:r w:rsidRPr="00CC6129">
        <w:rPr>
          <w:rFonts w:ascii="Book Antiqua" w:hAnsi="Book Antiqua"/>
          <w:b/>
          <w:sz w:val="24"/>
          <w:szCs w:val="24"/>
          <w:lang w:val="en-US"/>
        </w:rPr>
        <w:lastRenderedPageBreak/>
        <w:t>REFERENCES</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1 </w:t>
      </w:r>
      <w:r w:rsidRPr="008630D1">
        <w:rPr>
          <w:rFonts w:ascii="Book Antiqua" w:eastAsia="SimSun" w:hAnsi="Book Antiqua" w:cs="Times New Roman"/>
          <w:b/>
          <w:kern w:val="2"/>
          <w:sz w:val="24"/>
          <w:szCs w:val="24"/>
          <w:lang w:val="en-US" w:eastAsia="zh-CN"/>
        </w:rPr>
        <w:t>Khorana AA</w:t>
      </w:r>
      <w:r w:rsidRPr="008630D1">
        <w:rPr>
          <w:rFonts w:ascii="Book Antiqua" w:eastAsia="SimSun" w:hAnsi="Book Antiqua" w:cs="Times New Roman"/>
          <w:kern w:val="2"/>
          <w:sz w:val="24"/>
          <w:szCs w:val="24"/>
          <w:lang w:val="en-US" w:eastAsia="zh-CN"/>
        </w:rPr>
        <w:t xml:space="preserve">, Dalal M, Lin J, Connolly GC. Incidence and predictors of venous thromboembolism (VTE) among ambulatory high-risk cancer patients undergoing chemotherapy in the United States. </w:t>
      </w:r>
      <w:r w:rsidRPr="008630D1">
        <w:rPr>
          <w:rFonts w:ascii="Book Antiqua" w:eastAsia="SimSun" w:hAnsi="Book Antiqua" w:cs="Times New Roman"/>
          <w:i/>
          <w:kern w:val="2"/>
          <w:sz w:val="24"/>
          <w:szCs w:val="24"/>
          <w:lang w:val="en-US" w:eastAsia="zh-CN"/>
        </w:rPr>
        <w:t>Cancer</w:t>
      </w:r>
      <w:r w:rsidRPr="008630D1">
        <w:rPr>
          <w:rFonts w:ascii="Book Antiqua" w:eastAsia="SimSun" w:hAnsi="Book Antiqua" w:cs="Times New Roman"/>
          <w:kern w:val="2"/>
          <w:sz w:val="24"/>
          <w:szCs w:val="24"/>
          <w:lang w:val="en-US" w:eastAsia="zh-CN"/>
        </w:rPr>
        <w:t xml:space="preserve"> 2013; </w:t>
      </w:r>
      <w:r w:rsidRPr="008630D1">
        <w:rPr>
          <w:rFonts w:ascii="Book Antiqua" w:eastAsia="SimSun" w:hAnsi="Book Antiqua" w:cs="Times New Roman"/>
          <w:b/>
          <w:kern w:val="2"/>
          <w:sz w:val="24"/>
          <w:szCs w:val="24"/>
          <w:lang w:val="en-US" w:eastAsia="zh-CN"/>
        </w:rPr>
        <w:t>119</w:t>
      </w:r>
      <w:r w:rsidRPr="008630D1">
        <w:rPr>
          <w:rFonts w:ascii="Book Antiqua" w:eastAsia="SimSun" w:hAnsi="Book Antiqua" w:cs="Times New Roman"/>
          <w:kern w:val="2"/>
          <w:sz w:val="24"/>
          <w:szCs w:val="24"/>
          <w:lang w:val="en-US" w:eastAsia="zh-CN"/>
        </w:rPr>
        <w:t>: 648-655 [PMID: 22893596 DOI: 10.1002/cncr.27772]</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2 </w:t>
      </w:r>
      <w:r w:rsidRPr="008630D1">
        <w:rPr>
          <w:rFonts w:ascii="Book Antiqua" w:eastAsia="SimSun" w:hAnsi="Book Antiqua" w:cs="Times New Roman"/>
          <w:b/>
          <w:kern w:val="2"/>
          <w:sz w:val="24"/>
          <w:szCs w:val="24"/>
          <w:lang w:val="en-US" w:eastAsia="zh-CN"/>
        </w:rPr>
        <w:t>Walker AJ</w:t>
      </w:r>
      <w:r w:rsidRPr="008630D1">
        <w:rPr>
          <w:rFonts w:ascii="Book Antiqua" w:eastAsia="SimSun" w:hAnsi="Book Antiqua" w:cs="Times New Roman"/>
          <w:kern w:val="2"/>
          <w:sz w:val="24"/>
          <w:szCs w:val="24"/>
          <w:lang w:val="en-US" w:eastAsia="zh-CN"/>
        </w:rPr>
        <w:t xml:space="preserve">, Card TR, West J, Crooks C, Grainge MJ. Incidence of venous thromboembolism in patients with cancer - a cohort study using linked United Kingdom databases. </w:t>
      </w:r>
      <w:r w:rsidRPr="008630D1">
        <w:rPr>
          <w:rFonts w:ascii="Book Antiqua" w:eastAsia="SimSun" w:hAnsi="Book Antiqua" w:cs="Times New Roman"/>
          <w:i/>
          <w:kern w:val="2"/>
          <w:sz w:val="24"/>
          <w:szCs w:val="24"/>
          <w:lang w:val="en-US" w:eastAsia="zh-CN"/>
        </w:rPr>
        <w:t>Eur J Cancer</w:t>
      </w:r>
      <w:r w:rsidRPr="008630D1">
        <w:rPr>
          <w:rFonts w:ascii="Book Antiqua" w:eastAsia="SimSun" w:hAnsi="Book Antiqua" w:cs="Times New Roman"/>
          <w:kern w:val="2"/>
          <w:sz w:val="24"/>
          <w:szCs w:val="24"/>
          <w:lang w:val="en-US" w:eastAsia="zh-CN"/>
        </w:rPr>
        <w:t xml:space="preserve"> 2013; </w:t>
      </w:r>
      <w:r w:rsidRPr="008630D1">
        <w:rPr>
          <w:rFonts w:ascii="Book Antiqua" w:eastAsia="SimSun" w:hAnsi="Book Antiqua" w:cs="Times New Roman"/>
          <w:b/>
          <w:kern w:val="2"/>
          <w:sz w:val="24"/>
          <w:szCs w:val="24"/>
          <w:lang w:val="en-US" w:eastAsia="zh-CN"/>
        </w:rPr>
        <w:t>49</w:t>
      </w:r>
      <w:r w:rsidRPr="008630D1">
        <w:rPr>
          <w:rFonts w:ascii="Book Antiqua" w:eastAsia="SimSun" w:hAnsi="Book Antiqua" w:cs="Times New Roman"/>
          <w:kern w:val="2"/>
          <w:sz w:val="24"/>
          <w:szCs w:val="24"/>
          <w:lang w:val="en-US" w:eastAsia="zh-CN"/>
        </w:rPr>
        <w:t>: 1404-1413 [PMID: 23146958 DOI: 10.1016/j.ejca.2012.10.021]</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3 </w:t>
      </w:r>
      <w:r w:rsidRPr="008630D1">
        <w:rPr>
          <w:rFonts w:ascii="Book Antiqua" w:eastAsia="SimSun" w:hAnsi="Book Antiqua" w:cs="Times New Roman"/>
          <w:b/>
          <w:kern w:val="2"/>
          <w:sz w:val="24"/>
          <w:szCs w:val="24"/>
          <w:lang w:val="en-US" w:eastAsia="zh-CN"/>
        </w:rPr>
        <w:t>Petterson TM</w:t>
      </w:r>
      <w:r w:rsidRPr="008630D1">
        <w:rPr>
          <w:rFonts w:ascii="Book Antiqua" w:eastAsia="SimSun" w:hAnsi="Book Antiqua" w:cs="Times New Roman"/>
          <w:kern w:val="2"/>
          <w:sz w:val="24"/>
          <w:szCs w:val="24"/>
          <w:lang w:val="en-US" w:eastAsia="zh-CN"/>
        </w:rPr>
        <w:t xml:space="preserve">, Marks RS, Ashrani AA, Bailey KR, Heit JA. Risk of site-specific cancer in incident venous thromboembolism: a population-based study. </w:t>
      </w:r>
      <w:r w:rsidRPr="008630D1">
        <w:rPr>
          <w:rFonts w:ascii="Book Antiqua" w:eastAsia="SimSun" w:hAnsi="Book Antiqua" w:cs="Times New Roman"/>
          <w:i/>
          <w:kern w:val="2"/>
          <w:sz w:val="24"/>
          <w:szCs w:val="24"/>
          <w:lang w:val="en-US" w:eastAsia="zh-CN"/>
        </w:rPr>
        <w:t>Thromb Res</w:t>
      </w:r>
      <w:r w:rsidRPr="008630D1">
        <w:rPr>
          <w:rFonts w:ascii="Book Antiqua" w:eastAsia="SimSun" w:hAnsi="Book Antiqua" w:cs="Times New Roman"/>
          <w:kern w:val="2"/>
          <w:sz w:val="24"/>
          <w:szCs w:val="24"/>
          <w:lang w:val="en-US" w:eastAsia="zh-CN"/>
        </w:rPr>
        <w:t xml:space="preserve"> 2015; </w:t>
      </w:r>
      <w:r w:rsidRPr="008630D1">
        <w:rPr>
          <w:rFonts w:ascii="Book Antiqua" w:eastAsia="SimSun" w:hAnsi="Book Antiqua" w:cs="Times New Roman"/>
          <w:b/>
          <w:kern w:val="2"/>
          <w:sz w:val="24"/>
          <w:szCs w:val="24"/>
          <w:lang w:val="en-US" w:eastAsia="zh-CN"/>
        </w:rPr>
        <w:t>135</w:t>
      </w:r>
      <w:r w:rsidRPr="008630D1">
        <w:rPr>
          <w:rFonts w:ascii="Book Antiqua" w:eastAsia="SimSun" w:hAnsi="Book Antiqua" w:cs="Times New Roman"/>
          <w:kern w:val="2"/>
          <w:sz w:val="24"/>
          <w:szCs w:val="24"/>
          <w:lang w:val="en-US" w:eastAsia="zh-CN"/>
        </w:rPr>
        <w:t>: 472-478 [PMID: 25547213 DOI: 10.1016/j.thromres.2014.12.013]</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4 </w:t>
      </w:r>
      <w:r w:rsidRPr="008630D1">
        <w:rPr>
          <w:rFonts w:ascii="Book Antiqua" w:eastAsia="SimSun" w:hAnsi="Book Antiqua" w:cs="Times New Roman"/>
          <w:b/>
          <w:kern w:val="2"/>
          <w:sz w:val="24"/>
          <w:szCs w:val="24"/>
          <w:lang w:val="en-US" w:eastAsia="zh-CN"/>
        </w:rPr>
        <w:t>Ferroni P</w:t>
      </w:r>
      <w:r w:rsidRPr="008630D1">
        <w:rPr>
          <w:rFonts w:ascii="Book Antiqua" w:eastAsia="SimSun" w:hAnsi="Book Antiqua" w:cs="Times New Roman"/>
          <w:kern w:val="2"/>
          <w:sz w:val="24"/>
          <w:szCs w:val="24"/>
          <w:lang w:val="en-US" w:eastAsia="zh-CN"/>
        </w:rPr>
        <w:t xml:space="preserve">, Formica V, Roselli M, Guadagni F. Thromboembolic events in patients treated with anti-angiogenic drugs. </w:t>
      </w:r>
      <w:r w:rsidRPr="008630D1">
        <w:rPr>
          <w:rFonts w:ascii="Book Antiqua" w:eastAsia="SimSun" w:hAnsi="Book Antiqua" w:cs="Times New Roman"/>
          <w:i/>
          <w:kern w:val="2"/>
          <w:sz w:val="24"/>
          <w:szCs w:val="24"/>
          <w:lang w:val="en-US" w:eastAsia="zh-CN"/>
        </w:rPr>
        <w:t>Curr Vasc Pharmacol</w:t>
      </w:r>
      <w:r w:rsidRPr="008630D1">
        <w:rPr>
          <w:rFonts w:ascii="Book Antiqua" w:eastAsia="SimSun" w:hAnsi="Book Antiqua" w:cs="Times New Roman"/>
          <w:kern w:val="2"/>
          <w:sz w:val="24"/>
          <w:szCs w:val="24"/>
          <w:lang w:val="en-US" w:eastAsia="zh-CN"/>
        </w:rPr>
        <w:t xml:space="preserve"> 2010; </w:t>
      </w:r>
      <w:r w:rsidRPr="008630D1">
        <w:rPr>
          <w:rFonts w:ascii="Book Antiqua" w:eastAsia="SimSun" w:hAnsi="Book Antiqua" w:cs="Times New Roman"/>
          <w:b/>
          <w:kern w:val="2"/>
          <w:sz w:val="24"/>
          <w:szCs w:val="24"/>
          <w:lang w:val="en-US" w:eastAsia="zh-CN"/>
        </w:rPr>
        <w:t>8</w:t>
      </w:r>
      <w:r w:rsidRPr="008630D1">
        <w:rPr>
          <w:rFonts w:ascii="Book Antiqua" w:eastAsia="SimSun" w:hAnsi="Book Antiqua" w:cs="Times New Roman"/>
          <w:kern w:val="2"/>
          <w:sz w:val="24"/>
          <w:szCs w:val="24"/>
          <w:lang w:val="en-US" w:eastAsia="zh-CN"/>
        </w:rPr>
        <w:t>: 102-113 [PMID: 19485903 DOI: 10.2174/157016110790226660]</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5 </w:t>
      </w:r>
      <w:r w:rsidRPr="008630D1">
        <w:rPr>
          <w:rFonts w:ascii="Book Antiqua" w:eastAsia="SimSun" w:hAnsi="Book Antiqua" w:cs="Times New Roman"/>
          <w:b/>
          <w:kern w:val="2"/>
          <w:sz w:val="24"/>
          <w:szCs w:val="24"/>
          <w:lang w:val="en-US" w:eastAsia="zh-CN"/>
        </w:rPr>
        <w:t>Petrauskiene V</w:t>
      </w:r>
      <w:r w:rsidRPr="008630D1">
        <w:rPr>
          <w:rFonts w:ascii="Book Antiqua" w:eastAsia="SimSun" w:hAnsi="Book Antiqua" w:cs="Times New Roman"/>
          <w:kern w:val="2"/>
          <w:sz w:val="24"/>
          <w:szCs w:val="24"/>
          <w:lang w:val="en-US" w:eastAsia="zh-CN"/>
        </w:rPr>
        <w:t xml:space="preserve">, Falk M, Waernbaum I, Norberg M, Eriksson JW. The risk of venous thromboembolism is markedly elevated in patients with diabetes. </w:t>
      </w:r>
      <w:r w:rsidRPr="008630D1">
        <w:rPr>
          <w:rFonts w:ascii="Book Antiqua" w:eastAsia="SimSun" w:hAnsi="Book Antiqua" w:cs="Times New Roman"/>
          <w:i/>
          <w:kern w:val="2"/>
          <w:sz w:val="24"/>
          <w:szCs w:val="24"/>
          <w:lang w:val="en-US" w:eastAsia="zh-CN"/>
        </w:rPr>
        <w:t>Diabetologia</w:t>
      </w:r>
      <w:r w:rsidRPr="008630D1">
        <w:rPr>
          <w:rFonts w:ascii="Book Antiqua" w:eastAsia="SimSun" w:hAnsi="Book Antiqua" w:cs="Times New Roman"/>
          <w:kern w:val="2"/>
          <w:sz w:val="24"/>
          <w:szCs w:val="24"/>
          <w:lang w:val="en-US" w:eastAsia="zh-CN"/>
        </w:rPr>
        <w:t xml:space="preserve"> 2005; </w:t>
      </w:r>
      <w:r w:rsidRPr="008630D1">
        <w:rPr>
          <w:rFonts w:ascii="Book Antiqua" w:eastAsia="SimSun" w:hAnsi="Book Antiqua" w:cs="Times New Roman"/>
          <w:b/>
          <w:kern w:val="2"/>
          <w:sz w:val="24"/>
          <w:szCs w:val="24"/>
          <w:lang w:val="en-US" w:eastAsia="zh-CN"/>
        </w:rPr>
        <w:t>48</w:t>
      </w:r>
      <w:r w:rsidRPr="008630D1">
        <w:rPr>
          <w:rFonts w:ascii="Book Antiqua" w:eastAsia="SimSun" w:hAnsi="Book Antiqua" w:cs="Times New Roman"/>
          <w:kern w:val="2"/>
          <w:sz w:val="24"/>
          <w:szCs w:val="24"/>
          <w:lang w:val="en-US" w:eastAsia="zh-CN"/>
        </w:rPr>
        <w:t>: 1017-1021 [PMID: 15778859 DOI: 10.1007/s00125-005-1715-5]</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6 </w:t>
      </w:r>
      <w:r w:rsidRPr="008630D1">
        <w:rPr>
          <w:rFonts w:ascii="Book Antiqua" w:eastAsia="SimSun" w:hAnsi="Book Antiqua" w:cs="Times New Roman"/>
          <w:b/>
          <w:kern w:val="2"/>
          <w:sz w:val="24"/>
          <w:szCs w:val="24"/>
          <w:lang w:val="en-US" w:eastAsia="zh-CN"/>
        </w:rPr>
        <w:t>Stein PD</w:t>
      </w:r>
      <w:r w:rsidRPr="008630D1">
        <w:rPr>
          <w:rFonts w:ascii="Book Antiqua" w:eastAsia="SimSun" w:hAnsi="Book Antiqua" w:cs="Times New Roman"/>
          <w:kern w:val="2"/>
          <w:sz w:val="24"/>
          <w:szCs w:val="24"/>
          <w:lang w:val="en-US" w:eastAsia="zh-CN"/>
        </w:rPr>
        <w:t xml:space="preserve">, Goldman J, Matta F, Yaekoub AY. Diabetes mellitus and risk of venous thromboembolism. </w:t>
      </w:r>
      <w:r w:rsidRPr="008630D1">
        <w:rPr>
          <w:rFonts w:ascii="Book Antiqua" w:eastAsia="SimSun" w:hAnsi="Book Antiqua" w:cs="Times New Roman"/>
          <w:i/>
          <w:kern w:val="2"/>
          <w:sz w:val="24"/>
          <w:szCs w:val="24"/>
          <w:lang w:val="en-US" w:eastAsia="zh-CN"/>
        </w:rPr>
        <w:t>Am J Med Sci</w:t>
      </w:r>
      <w:r w:rsidRPr="008630D1">
        <w:rPr>
          <w:rFonts w:ascii="Book Antiqua" w:eastAsia="SimSun" w:hAnsi="Book Antiqua" w:cs="Times New Roman"/>
          <w:kern w:val="2"/>
          <w:sz w:val="24"/>
          <w:szCs w:val="24"/>
          <w:lang w:val="en-US" w:eastAsia="zh-CN"/>
        </w:rPr>
        <w:t xml:space="preserve"> 2009; </w:t>
      </w:r>
      <w:r w:rsidRPr="008630D1">
        <w:rPr>
          <w:rFonts w:ascii="Book Antiqua" w:eastAsia="SimSun" w:hAnsi="Book Antiqua" w:cs="Times New Roman"/>
          <w:b/>
          <w:kern w:val="2"/>
          <w:sz w:val="24"/>
          <w:szCs w:val="24"/>
          <w:lang w:val="en-US" w:eastAsia="zh-CN"/>
        </w:rPr>
        <w:t>337</w:t>
      </w:r>
      <w:r w:rsidRPr="008630D1">
        <w:rPr>
          <w:rFonts w:ascii="Book Antiqua" w:eastAsia="SimSun" w:hAnsi="Book Antiqua" w:cs="Times New Roman"/>
          <w:kern w:val="2"/>
          <w:sz w:val="24"/>
          <w:szCs w:val="24"/>
          <w:lang w:val="en-US" w:eastAsia="zh-CN"/>
        </w:rPr>
        <w:t>: 259-264 [PMID: 19365171 DOI: 10.1097/MAJ.0b013e31818bbb8b]</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7 </w:t>
      </w:r>
      <w:r w:rsidRPr="008630D1">
        <w:rPr>
          <w:rFonts w:ascii="Book Antiqua" w:eastAsia="SimSun" w:hAnsi="Book Antiqua" w:cs="Times New Roman"/>
          <w:b/>
          <w:kern w:val="2"/>
          <w:sz w:val="24"/>
          <w:szCs w:val="24"/>
          <w:lang w:val="en-US" w:eastAsia="zh-CN"/>
        </w:rPr>
        <w:t>Eyadiel C</w:t>
      </w:r>
      <w:r w:rsidRPr="008630D1">
        <w:rPr>
          <w:rFonts w:ascii="Book Antiqua" w:eastAsia="SimSun" w:hAnsi="Book Antiqua" w:cs="Times New Roman"/>
          <w:kern w:val="2"/>
          <w:sz w:val="24"/>
          <w:szCs w:val="24"/>
          <w:lang w:val="en-US" w:eastAsia="zh-CN"/>
        </w:rPr>
        <w:t xml:space="preserve">, Hamm RM, Scheid DC. In adults with type 2 diabetes mellitus, are patients with poor control more likely to develop venous thromboembolism compared to patients with good control? </w:t>
      </w:r>
      <w:r w:rsidRPr="008630D1">
        <w:rPr>
          <w:rFonts w:ascii="Book Antiqua" w:eastAsia="SimSun" w:hAnsi="Book Antiqua" w:cs="Times New Roman"/>
          <w:i/>
          <w:kern w:val="2"/>
          <w:sz w:val="24"/>
          <w:szCs w:val="24"/>
          <w:lang w:val="en-US" w:eastAsia="zh-CN"/>
        </w:rPr>
        <w:t>J Okla State Med Assoc</w:t>
      </w:r>
      <w:r w:rsidRPr="008630D1">
        <w:rPr>
          <w:rFonts w:ascii="Book Antiqua" w:eastAsia="SimSun" w:hAnsi="Book Antiqua" w:cs="Times New Roman"/>
          <w:kern w:val="2"/>
          <w:sz w:val="24"/>
          <w:szCs w:val="24"/>
          <w:lang w:val="en-US" w:eastAsia="zh-CN"/>
        </w:rPr>
        <w:t xml:space="preserve"> 2014; </w:t>
      </w:r>
      <w:r w:rsidRPr="008630D1">
        <w:rPr>
          <w:rFonts w:ascii="Book Antiqua" w:eastAsia="SimSun" w:hAnsi="Book Antiqua" w:cs="Times New Roman"/>
          <w:b/>
          <w:kern w:val="2"/>
          <w:sz w:val="24"/>
          <w:szCs w:val="24"/>
          <w:lang w:val="en-US" w:eastAsia="zh-CN"/>
        </w:rPr>
        <w:t>107</w:t>
      </w:r>
      <w:r w:rsidRPr="008630D1">
        <w:rPr>
          <w:rFonts w:ascii="Book Antiqua" w:eastAsia="SimSun" w:hAnsi="Book Antiqua" w:cs="Times New Roman"/>
          <w:kern w:val="2"/>
          <w:sz w:val="24"/>
          <w:szCs w:val="24"/>
          <w:lang w:val="en-US" w:eastAsia="zh-CN"/>
        </w:rPr>
        <w:t>: 65-66 [PMID: 24761554]</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8 </w:t>
      </w:r>
      <w:r w:rsidRPr="008630D1">
        <w:rPr>
          <w:rFonts w:ascii="Book Antiqua" w:eastAsia="SimSun" w:hAnsi="Book Antiqua" w:cs="Times New Roman"/>
          <w:b/>
          <w:kern w:val="2"/>
          <w:sz w:val="24"/>
          <w:szCs w:val="24"/>
          <w:lang w:val="en-US" w:eastAsia="zh-CN"/>
        </w:rPr>
        <w:t>Mi Y</w:t>
      </w:r>
      <w:r w:rsidRPr="008630D1">
        <w:rPr>
          <w:rFonts w:ascii="Book Antiqua" w:eastAsia="SimSun" w:hAnsi="Book Antiqua" w:cs="Times New Roman"/>
          <w:kern w:val="2"/>
          <w:sz w:val="24"/>
          <w:szCs w:val="24"/>
          <w:lang w:val="en-US" w:eastAsia="zh-CN"/>
        </w:rPr>
        <w:t xml:space="preserve">, Yan S, Lu Y, Liang Y, Li C. Venous thromboembolism has the same risk factors as atherosclerosis: A PRISMA-compliant systemic review and meta-analysis. </w:t>
      </w:r>
      <w:r w:rsidRPr="008630D1">
        <w:rPr>
          <w:rFonts w:ascii="Book Antiqua" w:eastAsia="SimSun" w:hAnsi="Book Antiqua" w:cs="Times New Roman"/>
          <w:i/>
          <w:kern w:val="2"/>
          <w:sz w:val="24"/>
          <w:szCs w:val="24"/>
          <w:lang w:val="en-US" w:eastAsia="zh-CN"/>
        </w:rPr>
        <w:t xml:space="preserve">Medicine </w:t>
      </w:r>
      <w:r w:rsidRPr="00CD450D">
        <w:rPr>
          <w:rFonts w:ascii="Book Antiqua" w:eastAsia="SimSun" w:hAnsi="Book Antiqua" w:cs="Times New Roman"/>
          <w:kern w:val="2"/>
          <w:sz w:val="24"/>
          <w:szCs w:val="24"/>
          <w:lang w:val="en-US" w:eastAsia="zh-CN"/>
        </w:rPr>
        <w:t xml:space="preserve">(Baltimore) </w:t>
      </w:r>
      <w:r w:rsidRPr="008630D1">
        <w:rPr>
          <w:rFonts w:ascii="Book Antiqua" w:eastAsia="SimSun" w:hAnsi="Book Antiqua" w:cs="Times New Roman"/>
          <w:kern w:val="2"/>
          <w:sz w:val="24"/>
          <w:szCs w:val="24"/>
          <w:lang w:val="en-US" w:eastAsia="zh-CN"/>
        </w:rPr>
        <w:t xml:space="preserve">2016; </w:t>
      </w:r>
      <w:r w:rsidRPr="008630D1">
        <w:rPr>
          <w:rFonts w:ascii="Book Antiqua" w:eastAsia="SimSun" w:hAnsi="Book Antiqua" w:cs="Times New Roman"/>
          <w:b/>
          <w:kern w:val="2"/>
          <w:sz w:val="24"/>
          <w:szCs w:val="24"/>
          <w:lang w:val="en-US" w:eastAsia="zh-CN"/>
        </w:rPr>
        <w:t>95</w:t>
      </w:r>
      <w:r w:rsidRPr="008630D1">
        <w:rPr>
          <w:rFonts w:ascii="Book Antiqua" w:eastAsia="SimSun" w:hAnsi="Book Antiqua" w:cs="Times New Roman"/>
          <w:kern w:val="2"/>
          <w:sz w:val="24"/>
          <w:szCs w:val="24"/>
          <w:lang w:val="en-US" w:eastAsia="zh-CN"/>
        </w:rPr>
        <w:t>: e4495 [PMID: 27512866 DOI: 10.1097/MD.0000000000004495]</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9 </w:t>
      </w:r>
      <w:r w:rsidRPr="008630D1">
        <w:rPr>
          <w:rFonts w:ascii="Book Antiqua" w:eastAsia="SimSun" w:hAnsi="Book Antiqua" w:cs="Times New Roman"/>
          <w:b/>
          <w:kern w:val="2"/>
          <w:sz w:val="24"/>
          <w:szCs w:val="24"/>
          <w:lang w:val="en-US" w:eastAsia="zh-CN"/>
        </w:rPr>
        <w:t>Steffen LM</w:t>
      </w:r>
      <w:r w:rsidRPr="008630D1">
        <w:rPr>
          <w:rFonts w:ascii="Book Antiqua" w:eastAsia="SimSun" w:hAnsi="Book Antiqua" w:cs="Times New Roman"/>
          <w:kern w:val="2"/>
          <w:sz w:val="24"/>
          <w:szCs w:val="24"/>
          <w:lang w:val="en-US" w:eastAsia="zh-CN"/>
        </w:rPr>
        <w:t xml:space="preserve">, Cushman M, Peacock JM, Heckbert SR, Jacobs DR Jr, Rosamond WD, Folsom AR. Metabolic syndrome and risk of venous thromboembolism: Longitudinal </w:t>
      </w:r>
      <w:r w:rsidRPr="008630D1">
        <w:rPr>
          <w:rFonts w:ascii="Book Antiqua" w:eastAsia="SimSun" w:hAnsi="Book Antiqua" w:cs="Times New Roman"/>
          <w:kern w:val="2"/>
          <w:sz w:val="24"/>
          <w:szCs w:val="24"/>
          <w:lang w:val="en-US" w:eastAsia="zh-CN"/>
        </w:rPr>
        <w:lastRenderedPageBreak/>
        <w:t xml:space="preserve">Investigation of Thromboembolism Etiology. </w:t>
      </w:r>
      <w:r w:rsidRPr="008630D1">
        <w:rPr>
          <w:rFonts w:ascii="Book Antiqua" w:eastAsia="SimSun" w:hAnsi="Book Antiqua" w:cs="Times New Roman"/>
          <w:i/>
          <w:kern w:val="2"/>
          <w:sz w:val="24"/>
          <w:szCs w:val="24"/>
          <w:lang w:val="en-US" w:eastAsia="zh-CN"/>
        </w:rPr>
        <w:t>J Thromb Haemost</w:t>
      </w:r>
      <w:r w:rsidRPr="008630D1">
        <w:rPr>
          <w:rFonts w:ascii="Book Antiqua" w:eastAsia="SimSun" w:hAnsi="Book Antiqua" w:cs="Times New Roman"/>
          <w:kern w:val="2"/>
          <w:sz w:val="24"/>
          <w:szCs w:val="24"/>
          <w:lang w:val="en-US" w:eastAsia="zh-CN"/>
        </w:rPr>
        <w:t xml:space="preserve"> 2009; </w:t>
      </w:r>
      <w:r w:rsidRPr="008630D1">
        <w:rPr>
          <w:rFonts w:ascii="Book Antiqua" w:eastAsia="SimSun" w:hAnsi="Book Antiqua" w:cs="Times New Roman"/>
          <w:b/>
          <w:kern w:val="2"/>
          <w:sz w:val="24"/>
          <w:szCs w:val="24"/>
          <w:lang w:val="en-US" w:eastAsia="zh-CN"/>
        </w:rPr>
        <w:t>7</w:t>
      </w:r>
      <w:r w:rsidRPr="008630D1">
        <w:rPr>
          <w:rFonts w:ascii="Book Antiqua" w:eastAsia="SimSun" w:hAnsi="Book Antiqua" w:cs="Times New Roman"/>
          <w:kern w:val="2"/>
          <w:sz w:val="24"/>
          <w:szCs w:val="24"/>
          <w:lang w:val="en-US" w:eastAsia="zh-CN"/>
        </w:rPr>
        <w:t>: 746-751 [PMID: 19175496 DOI: 10.1111/j.1538-7836.2009.03295.x]</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10 </w:t>
      </w:r>
      <w:r w:rsidRPr="008630D1">
        <w:rPr>
          <w:rFonts w:ascii="Book Antiqua" w:eastAsia="SimSun" w:hAnsi="Book Antiqua" w:cs="Times New Roman"/>
          <w:b/>
          <w:kern w:val="2"/>
          <w:sz w:val="24"/>
          <w:szCs w:val="24"/>
          <w:lang w:val="en-US" w:eastAsia="zh-CN"/>
        </w:rPr>
        <w:t>Delluc A</w:t>
      </w:r>
      <w:r w:rsidRPr="008630D1">
        <w:rPr>
          <w:rFonts w:ascii="Book Antiqua" w:eastAsia="SimSun" w:hAnsi="Book Antiqua" w:cs="Times New Roman"/>
          <w:kern w:val="2"/>
          <w:sz w:val="24"/>
          <w:szCs w:val="24"/>
          <w:lang w:val="en-US" w:eastAsia="zh-CN"/>
        </w:rPr>
        <w:t xml:space="preserve">, De Moreuil C, Kerspern H, Le Moigne E, Mottier D, Tromeur C, Carre JL, Le Gal G, Lacut K. Body mass index, a major confounder to insulin resistance association with unprovoked venous thromboembolism. Results from the EDITH case-control study. </w:t>
      </w:r>
      <w:r w:rsidRPr="008630D1">
        <w:rPr>
          <w:rFonts w:ascii="Book Antiqua" w:eastAsia="SimSun" w:hAnsi="Book Antiqua" w:cs="Times New Roman"/>
          <w:i/>
          <w:kern w:val="2"/>
          <w:sz w:val="24"/>
          <w:szCs w:val="24"/>
          <w:lang w:val="en-US" w:eastAsia="zh-CN"/>
        </w:rPr>
        <w:t>Thromb Haemost</w:t>
      </w:r>
      <w:r w:rsidRPr="008630D1">
        <w:rPr>
          <w:rFonts w:ascii="Book Antiqua" w:eastAsia="SimSun" w:hAnsi="Book Antiqua" w:cs="Times New Roman"/>
          <w:kern w:val="2"/>
          <w:sz w:val="24"/>
          <w:szCs w:val="24"/>
          <w:lang w:val="en-US" w:eastAsia="zh-CN"/>
        </w:rPr>
        <w:t xml:space="preserve"> 2013; </w:t>
      </w:r>
      <w:r w:rsidRPr="008630D1">
        <w:rPr>
          <w:rFonts w:ascii="Book Antiqua" w:eastAsia="SimSun" w:hAnsi="Book Antiqua" w:cs="Times New Roman"/>
          <w:b/>
          <w:kern w:val="2"/>
          <w:sz w:val="24"/>
          <w:szCs w:val="24"/>
          <w:lang w:val="en-US" w:eastAsia="zh-CN"/>
        </w:rPr>
        <w:t>110</w:t>
      </w:r>
      <w:r w:rsidRPr="008630D1">
        <w:rPr>
          <w:rFonts w:ascii="Book Antiqua" w:eastAsia="SimSun" w:hAnsi="Book Antiqua" w:cs="Times New Roman"/>
          <w:kern w:val="2"/>
          <w:sz w:val="24"/>
          <w:szCs w:val="24"/>
          <w:lang w:val="en-US" w:eastAsia="zh-CN"/>
        </w:rPr>
        <w:t>: 593-597 [PMID: 23803721 DOI: 10.1160/TH13-01-0048]</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11 </w:t>
      </w:r>
      <w:r w:rsidRPr="008630D1">
        <w:rPr>
          <w:rFonts w:ascii="Book Antiqua" w:eastAsia="SimSun" w:hAnsi="Book Antiqua" w:cs="Times New Roman"/>
          <w:b/>
          <w:kern w:val="2"/>
          <w:sz w:val="24"/>
          <w:szCs w:val="24"/>
          <w:lang w:val="en-US" w:eastAsia="zh-CN"/>
        </w:rPr>
        <w:t>Puurunen MK</w:t>
      </w:r>
      <w:r w:rsidRPr="008630D1">
        <w:rPr>
          <w:rFonts w:ascii="Book Antiqua" w:eastAsia="SimSun" w:hAnsi="Book Antiqua" w:cs="Times New Roman"/>
          <w:kern w:val="2"/>
          <w:sz w:val="24"/>
          <w:szCs w:val="24"/>
          <w:lang w:val="en-US" w:eastAsia="zh-CN"/>
        </w:rPr>
        <w:t xml:space="preserve">, Gona PN, Larson MG, Murabito JM, Magnani JW, O'Donnell CJ. Epidemiology of venous thromboembolism in the Framingham Heart Study. </w:t>
      </w:r>
      <w:r w:rsidRPr="008630D1">
        <w:rPr>
          <w:rFonts w:ascii="Book Antiqua" w:eastAsia="SimSun" w:hAnsi="Book Antiqua" w:cs="Times New Roman"/>
          <w:i/>
          <w:kern w:val="2"/>
          <w:sz w:val="24"/>
          <w:szCs w:val="24"/>
          <w:lang w:val="en-US" w:eastAsia="zh-CN"/>
        </w:rPr>
        <w:t>Thromb Res</w:t>
      </w:r>
      <w:r w:rsidRPr="008630D1">
        <w:rPr>
          <w:rFonts w:ascii="Book Antiqua" w:eastAsia="SimSun" w:hAnsi="Book Antiqua" w:cs="Times New Roman"/>
          <w:kern w:val="2"/>
          <w:sz w:val="24"/>
          <w:szCs w:val="24"/>
          <w:lang w:val="en-US" w:eastAsia="zh-CN"/>
        </w:rPr>
        <w:t xml:space="preserve"> 2016; </w:t>
      </w:r>
      <w:r w:rsidRPr="008630D1">
        <w:rPr>
          <w:rFonts w:ascii="Book Antiqua" w:eastAsia="SimSun" w:hAnsi="Book Antiqua" w:cs="Times New Roman"/>
          <w:b/>
          <w:kern w:val="2"/>
          <w:sz w:val="24"/>
          <w:szCs w:val="24"/>
          <w:lang w:val="en-US" w:eastAsia="zh-CN"/>
        </w:rPr>
        <w:t>145</w:t>
      </w:r>
      <w:r w:rsidRPr="008630D1">
        <w:rPr>
          <w:rFonts w:ascii="Book Antiqua" w:eastAsia="SimSun" w:hAnsi="Book Antiqua" w:cs="Times New Roman"/>
          <w:kern w:val="2"/>
          <w:sz w:val="24"/>
          <w:szCs w:val="24"/>
          <w:lang w:val="en-US" w:eastAsia="zh-CN"/>
        </w:rPr>
        <w:t>: 27-33 [PMID: 27442716 DOI: 10.1016/j.thromres.2016.06.033]</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12 </w:t>
      </w:r>
      <w:r w:rsidRPr="008630D1">
        <w:rPr>
          <w:rFonts w:ascii="Book Antiqua" w:eastAsia="SimSun" w:hAnsi="Book Antiqua" w:cs="Times New Roman"/>
          <w:b/>
          <w:kern w:val="2"/>
          <w:sz w:val="24"/>
          <w:szCs w:val="24"/>
          <w:lang w:val="en-US" w:eastAsia="zh-CN"/>
        </w:rPr>
        <w:t>Christensen DH</w:t>
      </w:r>
      <w:r w:rsidRPr="008630D1">
        <w:rPr>
          <w:rFonts w:ascii="Book Antiqua" w:eastAsia="SimSun" w:hAnsi="Book Antiqua" w:cs="Times New Roman"/>
          <w:kern w:val="2"/>
          <w:sz w:val="24"/>
          <w:szCs w:val="24"/>
          <w:lang w:val="en-US" w:eastAsia="zh-CN"/>
        </w:rPr>
        <w:t xml:space="preserve">, Horváth-Puhó E, Thomsen RW, Knudsen ST, Dekkers O, Prandoni P, Sørensen HT. Venous thromboembolism and risk of cancer in patients with diabetes mellitus. </w:t>
      </w:r>
      <w:r w:rsidRPr="008630D1">
        <w:rPr>
          <w:rFonts w:ascii="Book Antiqua" w:eastAsia="SimSun" w:hAnsi="Book Antiqua" w:cs="Times New Roman"/>
          <w:i/>
          <w:kern w:val="2"/>
          <w:sz w:val="24"/>
          <w:szCs w:val="24"/>
          <w:lang w:val="en-US" w:eastAsia="zh-CN"/>
        </w:rPr>
        <w:t>J Diabetes Complications</w:t>
      </w:r>
      <w:r w:rsidRPr="008630D1">
        <w:rPr>
          <w:rFonts w:ascii="Book Antiqua" w:eastAsia="SimSun" w:hAnsi="Book Antiqua" w:cs="Times New Roman"/>
          <w:kern w:val="2"/>
          <w:sz w:val="24"/>
          <w:szCs w:val="24"/>
          <w:lang w:val="en-US" w:eastAsia="zh-CN"/>
        </w:rPr>
        <w:t xml:space="preserve"> 2016; </w:t>
      </w:r>
      <w:r w:rsidRPr="008630D1">
        <w:rPr>
          <w:rFonts w:ascii="Book Antiqua" w:eastAsia="SimSun" w:hAnsi="Book Antiqua" w:cs="Times New Roman"/>
          <w:b/>
          <w:kern w:val="2"/>
          <w:sz w:val="24"/>
          <w:szCs w:val="24"/>
          <w:lang w:val="en-US" w:eastAsia="zh-CN"/>
        </w:rPr>
        <w:t>30</w:t>
      </w:r>
      <w:r w:rsidRPr="008630D1">
        <w:rPr>
          <w:rFonts w:ascii="Book Antiqua" w:eastAsia="SimSun" w:hAnsi="Book Antiqua" w:cs="Times New Roman"/>
          <w:kern w:val="2"/>
          <w:sz w:val="24"/>
          <w:szCs w:val="24"/>
          <w:lang w:val="en-US" w:eastAsia="zh-CN"/>
        </w:rPr>
        <w:t>: 603-607 [PMID: 26874682 DOI: 10.1016/j.jdiacomp.2016.01.011]</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13 </w:t>
      </w:r>
      <w:r w:rsidRPr="008630D1">
        <w:rPr>
          <w:rFonts w:ascii="Book Antiqua" w:eastAsia="SimSun" w:hAnsi="Book Antiqua" w:cs="Times New Roman"/>
          <w:b/>
          <w:kern w:val="2"/>
          <w:sz w:val="24"/>
          <w:szCs w:val="24"/>
          <w:lang w:val="en-US" w:eastAsia="zh-CN"/>
        </w:rPr>
        <w:t>Heit JA</w:t>
      </w:r>
      <w:r w:rsidRPr="008630D1">
        <w:rPr>
          <w:rFonts w:ascii="Book Antiqua" w:eastAsia="SimSun" w:hAnsi="Book Antiqua" w:cs="Times New Roman"/>
          <w:kern w:val="2"/>
          <w:sz w:val="24"/>
          <w:szCs w:val="24"/>
          <w:lang w:val="en-US" w:eastAsia="zh-CN"/>
        </w:rPr>
        <w:t xml:space="preserve">. Epidemiology of venous thromboembolism. </w:t>
      </w:r>
      <w:r w:rsidRPr="008630D1">
        <w:rPr>
          <w:rFonts w:ascii="Book Antiqua" w:eastAsia="SimSun" w:hAnsi="Book Antiqua" w:cs="Times New Roman"/>
          <w:i/>
          <w:kern w:val="2"/>
          <w:sz w:val="24"/>
          <w:szCs w:val="24"/>
          <w:lang w:val="en-US" w:eastAsia="zh-CN"/>
        </w:rPr>
        <w:t>Nat Rev Cardiol</w:t>
      </w:r>
      <w:r w:rsidRPr="008630D1">
        <w:rPr>
          <w:rFonts w:ascii="Book Antiqua" w:eastAsia="SimSun" w:hAnsi="Book Antiqua" w:cs="Times New Roman"/>
          <w:kern w:val="2"/>
          <w:sz w:val="24"/>
          <w:szCs w:val="24"/>
          <w:lang w:val="en-US" w:eastAsia="zh-CN"/>
        </w:rPr>
        <w:t xml:space="preserve"> 2015; </w:t>
      </w:r>
      <w:r w:rsidRPr="008630D1">
        <w:rPr>
          <w:rFonts w:ascii="Book Antiqua" w:eastAsia="SimSun" w:hAnsi="Book Antiqua" w:cs="Times New Roman"/>
          <w:b/>
          <w:kern w:val="2"/>
          <w:sz w:val="24"/>
          <w:szCs w:val="24"/>
          <w:lang w:val="en-US" w:eastAsia="zh-CN"/>
        </w:rPr>
        <w:t>12</w:t>
      </w:r>
      <w:r w:rsidRPr="008630D1">
        <w:rPr>
          <w:rFonts w:ascii="Book Antiqua" w:eastAsia="SimSun" w:hAnsi="Book Antiqua" w:cs="Times New Roman"/>
          <w:kern w:val="2"/>
          <w:sz w:val="24"/>
          <w:szCs w:val="24"/>
          <w:lang w:val="en-US" w:eastAsia="zh-CN"/>
        </w:rPr>
        <w:t>: 464-474 [PMID: 26076949 DOI: 10.1038/nrcardio.2015.83]</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14 </w:t>
      </w:r>
      <w:r w:rsidRPr="008630D1">
        <w:rPr>
          <w:rFonts w:ascii="Book Antiqua" w:eastAsia="SimSun" w:hAnsi="Book Antiqua" w:cs="Times New Roman"/>
          <w:b/>
          <w:kern w:val="2"/>
          <w:sz w:val="24"/>
          <w:szCs w:val="24"/>
          <w:lang w:val="en-US" w:eastAsia="zh-CN"/>
        </w:rPr>
        <w:t>Di Minno MN</w:t>
      </w:r>
      <w:r w:rsidRPr="008630D1">
        <w:rPr>
          <w:rFonts w:ascii="Book Antiqua" w:eastAsia="SimSun" w:hAnsi="Book Antiqua" w:cs="Times New Roman"/>
          <w:kern w:val="2"/>
          <w:sz w:val="24"/>
          <w:szCs w:val="24"/>
          <w:lang w:val="en-US" w:eastAsia="zh-CN"/>
        </w:rPr>
        <w:t xml:space="preserve">, Tufano A, Guida A, Di Capua M, De Gregorio AM, Cerbone AM, Tarantino G, Di Minno G. Abnormally high prevalence of major components of the metabolic syndrome in subjects with early-onset idiopathic venous thromboembolism. </w:t>
      </w:r>
      <w:r w:rsidRPr="008630D1">
        <w:rPr>
          <w:rFonts w:ascii="Book Antiqua" w:eastAsia="SimSun" w:hAnsi="Book Antiqua" w:cs="Times New Roman"/>
          <w:i/>
          <w:kern w:val="2"/>
          <w:sz w:val="24"/>
          <w:szCs w:val="24"/>
          <w:lang w:val="en-US" w:eastAsia="zh-CN"/>
        </w:rPr>
        <w:t>Thromb Res</w:t>
      </w:r>
      <w:r w:rsidRPr="008630D1">
        <w:rPr>
          <w:rFonts w:ascii="Book Antiqua" w:eastAsia="SimSun" w:hAnsi="Book Antiqua" w:cs="Times New Roman"/>
          <w:kern w:val="2"/>
          <w:sz w:val="24"/>
          <w:szCs w:val="24"/>
          <w:lang w:val="en-US" w:eastAsia="zh-CN"/>
        </w:rPr>
        <w:t xml:space="preserve"> 2011; </w:t>
      </w:r>
      <w:r w:rsidRPr="008630D1">
        <w:rPr>
          <w:rFonts w:ascii="Book Antiqua" w:eastAsia="SimSun" w:hAnsi="Book Antiqua" w:cs="Times New Roman"/>
          <w:b/>
          <w:kern w:val="2"/>
          <w:sz w:val="24"/>
          <w:szCs w:val="24"/>
          <w:lang w:val="en-US" w:eastAsia="zh-CN"/>
        </w:rPr>
        <w:t>127</w:t>
      </w:r>
      <w:r w:rsidRPr="008630D1">
        <w:rPr>
          <w:rFonts w:ascii="Book Antiqua" w:eastAsia="SimSun" w:hAnsi="Book Antiqua" w:cs="Times New Roman"/>
          <w:kern w:val="2"/>
          <w:sz w:val="24"/>
          <w:szCs w:val="24"/>
          <w:lang w:val="en-US" w:eastAsia="zh-CN"/>
        </w:rPr>
        <w:t>: 193-197 [PMID: 21236470 DOI: 10.1016/j.thromres.2010.12.005]</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15 </w:t>
      </w:r>
      <w:r w:rsidRPr="008630D1">
        <w:rPr>
          <w:rFonts w:ascii="Book Antiqua" w:eastAsia="SimSun" w:hAnsi="Book Antiqua" w:cs="Times New Roman"/>
          <w:b/>
          <w:kern w:val="2"/>
          <w:sz w:val="24"/>
          <w:szCs w:val="24"/>
          <w:lang w:val="en-US" w:eastAsia="zh-CN"/>
        </w:rPr>
        <w:t>Dentali F</w:t>
      </w:r>
      <w:r w:rsidRPr="008630D1">
        <w:rPr>
          <w:rFonts w:ascii="Book Antiqua" w:eastAsia="SimSun" w:hAnsi="Book Antiqua" w:cs="Times New Roman"/>
          <w:kern w:val="2"/>
          <w:sz w:val="24"/>
          <w:szCs w:val="24"/>
          <w:lang w:val="en-US" w:eastAsia="zh-CN"/>
        </w:rPr>
        <w:t xml:space="preserve">, Squizzato A, Caprioli M, Fiore V, Bernasconi M, Paganini E, Ageno W, Venco A, Grandi AM. Prevalence of arterial and venous thromboembolic events in diabetic patients with and without the metabolic syndrome: a cross sectional study. </w:t>
      </w:r>
      <w:r w:rsidRPr="008630D1">
        <w:rPr>
          <w:rFonts w:ascii="Book Antiqua" w:eastAsia="SimSun" w:hAnsi="Book Antiqua" w:cs="Times New Roman"/>
          <w:i/>
          <w:kern w:val="2"/>
          <w:sz w:val="24"/>
          <w:szCs w:val="24"/>
          <w:lang w:val="en-US" w:eastAsia="zh-CN"/>
        </w:rPr>
        <w:t>Thromb Res</w:t>
      </w:r>
      <w:r w:rsidRPr="008630D1">
        <w:rPr>
          <w:rFonts w:ascii="Book Antiqua" w:eastAsia="SimSun" w:hAnsi="Book Antiqua" w:cs="Times New Roman"/>
          <w:kern w:val="2"/>
          <w:sz w:val="24"/>
          <w:szCs w:val="24"/>
          <w:lang w:val="en-US" w:eastAsia="zh-CN"/>
        </w:rPr>
        <w:t xml:space="preserve"> 2011; </w:t>
      </w:r>
      <w:r w:rsidRPr="008630D1">
        <w:rPr>
          <w:rFonts w:ascii="Book Antiqua" w:eastAsia="SimSun" w:hAnsi="Book Antiqua" w:cs="Times New Roman"/>
          <w:b/>
          <w:kern w:val="2"/>
          <w:sz w:val="24"/>
          <w:szCs w:val="24"/>
          <w:lang w:val="en-US" w:eastAsia="zh-CN"/>
        </w:rPr>
        <w:t>127</w:t>
      </w:r>
      <w:r w:rsidRPr="008630D1">
        <w:rPr>
          <w:rFonts w:ascii="Book Antiqua" w:eastAsia="SimSun" w:hAnsi="Book Antiqua" w:cs="Times New Roman"/>
          <w:kern w:val="2"/>
          <w:sz w:val="24"/>
          <w:szCs w:val="24"/>
          <w:lang w:val="en-US" w:eastAsia="zh-CN"/>
        </w:rPr>
        <w:t>: 299-302 [PMID: 21216446 DOI: 10.1016/j.thromres.2010.12.006]</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16 </w:t>
      </w:r>
      <w:r w:rsidRPr="008630D1">
        <w:rPr>
          <w:rFonts w:ascii="Book Antiqua" w:eastAsia="SimSun" w:hAnsi="Book Antiqua" w:cs="Times New Roman"/>
          <w:b/>
          <w:kern w:val="2"/>
          <w:sz w:val="24"/>
          <w:szCs w:val="24"/>
          <w:lang w:val="en-US" w:eastAsia="zh-CN"/>
        </w:rPr>
        <w:t>Bell EJ</w:t>
      </w:r>
      <w:r w:rsidRPr="008630D1">
        <w:rPr>
          <w:rFonts w:ascii="Book Antiqua" w:eastAsia="SimSun" w:hAnsi="Book Antiqua" w:cs="Times New Roman"/>
          <w:kern w:val="2"/>
          <w:sz w:val="24"/>
          <w:szCs w:val="24"/>
          <w:lang w:val="en-US" w:eastAsia="zh-CN"/>
        </w:rPr>
        <w:t xml:space="preserve">, Selvin E, Lutsey PL, Nambi V, Cushman M, Folsom AR. Glycemia (hemoglobin A1c) and incident venous thromboembolism in the Atherosclerosis Risk in Communities cohort study. </w:t>
      </w:r>
      <w:r w:rsidRPr="008630D1">
        <w:rPr>
          <w:rFonts w:ascii="Book Antiqua" w:eastAsia="SimSun" w:hAnsi="Book Antiqua" w:cs="Times New Roman"/>
          <w:i/>
          <w:kern w:val="2"/>
          <w:sz w:val="24"/>
          <w:szCs w:val="24"/>
          <w:lang w:val="en-US" w:eastAsia="zh-CN"/>
        </w:rPr>
        <w:t>Vasc Med</w:t>
      </w:r>
      <w:r w:rsidRPr="008630D1">
        <w:rPr>
          <w:rFonts w:ascii="Book Antiqua" w:eastAsia="SimSun" w:hAnsi="Book Antiqua" w:cs="Times New Roman"/>
          <w:kern w:val="2"/>
          <w:sz w:val="24"/>
          <w:szCs w:val="24"/>
          <w:lang w:val="en-US" w:eastAsia="zh-CN"/>
        </w:rPr>
        <w:t xml:space="preserve"> 2013; </w:t>
      </w:r>
      <w:r w:rsidRPr="008630D1">
        <w:rPr>
          <w:rFonts w:ascii="Book Antiqua" w:eastAsia="SimSun" w:hAnsi="Book Antiqua" w:cs="Times New Roman"/>
          <w:b/>
          <w:kern w:val="2"/>
          <w:sz w:val="24"/>
          <w:szCs w:val="24"/>
          <w:lang w:val="en-US" w:eastAsia="zh-CN"/>
        </w:rPr>
        <w:t>18</w:t>
      </w:r>
      <w:r w:rsidRPr="008630D1">
        <w:rPr>
          <w:rFonts w:ascii="Book Antiqua" w:eastAsia="SimSun" w:hAnsi="Book Antiqua" w:cs="Times New Roman"/>
          <w:kern w:val="2"/>
          <w:sz w:val="24"/>
          <w:szCs w:val="24"/>
          <w:lang w:val="en-US" w:eastAsia="zh-CN"/>
        </w:rPr>
        <w:t>: 245-250 [PMID: 24165467 DOI: 10.1177/1358863X13506764]</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17 </w:t>
      </w:r>
      <w:r w:rsidRPr="008630D1">
        <w:rPr>
          <w:rFonts w:ascii="Book Antiqua" w:eastAsia="SimSun" w:hAnsi="Book Antiqua" w:cs="Times New Roman"/>
          <w:b/>
          <w:kern w:val="2"/>
          <w:sz w:val="24"/>
          <w:szCs w:val="24"/>
          <w:lang w:val="en-US" w:eastAsia="zh-CN"/>
        </w:rPr>
        <w:t>Hermanides J</w:t>
      </w:r>
      <w:r w:rsidRPr="008630D1">
        <w:rPr>
          <w:rFonts w:ascii="Book Antiqua" w:eastAsia="SimSun" w:hAnsi="Book Antiqua" w:cs="Times New Roman"/>
          <w:kern w:val="2"/>
          <w:sz w:val="24"/>
          <w:szCs w:val="24"/>
          <w:lang w:val="en-US" w:eastAsia="zh-CN"/>
        </w:rPr>
        <w:t xml:space="preserve">, Cohn DM, Devries JH, Kamphuisen PW, Huijgen R, Meijers JC, Hoekstra JB, Büller HR. Venous thrombosis is associated with hyperglycemia at </w:t>
      </w:r>
      <w:r w:rsidRPr="008630D1">
        <w:rPr>
          <w:rFonts w:ascii="Book Antiqua" w:eastAsia="SimSun" w:hAnsi="Book Antiqua" w:cs="Times New Roman"/>
          <w:kern w:val="2"/>
          <w:sz w:val="24"/>
          <w:szCs w:val="24"/>
          <w:lang w:val="en-US" w:eastAsia="zh-CN"/>
        </w:rPr>
        <w:lastRenderedPageBreak/>
        <w:t xml:space="preserve">diagnosis: a case-control study. </w:t>
      </w:r>
      <w:r w:rsidRPr="008630D1">
        <w:rPr>
          <w:rFonts w:ascii="Book Antiqua" w:eastAsia="SimSun" w:hAnsi="Book Antiqua" w:cs="Times New Roman"/>
          <w:i/>
          <w:kern w:val="2"/>
          <w:sz w:val="24"/>
          <w:szCs w:val="24"/>
          <w:lang w:val="en-US" w:eastAsia="zh-CN"/>
        </w:rPr>
        <w:t>J Thromb Haemost</w:t>
      </w:r>
      <w:r w:rsidRPr="008630D1">
        <w:rPr>
          <w:rFonts w:ascii="Book Antiqua" w:eastAsia="SimSun" w:hAnsi="Book Antiqua" w:cs="Times New Roman"/>
          <w:kern w:val="2"/>
          <w:sz w:val="24"/>
          <w:szCs w:val="24"/>
          <w:lang w:val="en-US" w:eastAsia="zh-CN"/>
        </w:rPr>
        <w:t xml:space="preserve"> 2009; </w:t>
      </w:r>
      <w:r w:rsidRPr="008630D1">
        <w:rPr>
          <w:rFonts w:ascii="Book Antiqua" w:eastAsia="SimSun" w:hAnsi="Book Antiqua" w:cs="Times New Roman"/>
          <w:b/>
          <w:kern w:val="2"/>
          <w:sz w:val="24"/>
          <w:szCs w:val="24"/>
          <w:lang w:val="en-US" w:eastAsia="zh-CN"/>
        </w:rPr>
        <w:t>7</w:t>
      </w:r>
      <w:r w:rsidRPr="008630D1">
        <w:rPr>
          <w:rFonts w:ascii="Book Antiqua" w:eastAsia="SimSun" w:hAnsi="Book Antiqua" w:cs="Times New Roman"/>
          <w:kern w:val="2"/>
          <w:sz w:val="24"/>
          <w:szCs w:val="24"/>
          <w:lang w:val="en-US" w:eastAsia="zh-CN"/>
        </w:rPr>
        <w:t>: 945-949 [PMID: 19422464 DOI: 10.1111/j.1538-7836.2009.03442.x]</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18 </w:t>
      </w:r>
      <w:r w:rsidRPr="008630D1">
        <w:rPr>
          <w:rFonts w:ascii="Book Antiqua" w:eastAsia="SimSun" w:hAnsi="Book Antiqua" w:cs="Times New Roman"/>
          <w:b/>
          <w:kern w:val="2"/>
          <w:sz w:val="24"/>
          <w:szCs w:val="24"/>
          <w:lang w:val="en-US" w:eastAsia="zh-CN"/>
        </w:rPr>
        <w:t>Tala JA</w:t>
      </w:r>
      <w:r w:rsidRPr="008630D1">
        <w:rPr>
          <w:rFonts w:ascii="Book Antiqua" w:eastAsia="SimSun" w:hAnsi="Book Antiqua" w:cs="Times New Roman"/>
          <w:kern w:val="2"/>
          <w:sz w:val="24"/>
          <w:szCs w:val="24"/>
          <w:lang w:val="en-US" w:eastAsia="zh-CN"/>
        </w:rPr>
        <w:t xml:space="preserve">, Silva CT, Pemira S, Vidal E, Faustino EV. Blood glucose as a marker of venous thromboembolism in critically ill children. </w:t>
      </w:r>
      <w:r w:rsidRPr="008630D1">
        <w:rPr>
          <w:rFonts w:ascii="Book Antiqua" w:eastAsia="SimSun" w:hAnsi="Book Antiqua" w:cs="Times New Roman"/>
          <w:i/>
          <w:kern w:val="2"/>
          <w:sz w:val="24"/>
          <w:szCs w:val="24"/>
          <w:lang w:val="en-US" w:eastAsia="zh-CN"/>
        </w:rPr>
        <w:t>J Thromb Haemost</w:t>
      </w:r>
      <w:r w:rsidRPr="008630D1">
        <w:rPr>
          <w:rFonts w:ascii="Book Antiqua" w:eastAsia="SimSun" w:hAnsi="Book Antiqua" w:cs="Times New Roman"/>
          <w:kern w:val="2"/>
          <w:sz w:val="24"/>
          <w:szCs w:val="24"/>
          <w:lang w:val="en-US" w:eastAsia="zh-CN"/>
        </w:rPr>
        <w:t xml:space="preserve"> 2014; </w:t>
      </w:r>
      <w:r w:rsidRPr="008630D1">
        <w:rPr>
          <w:rFonts w:ascii="Book Antiqua" w:eastAsia="SimSun" w:hAnsi="Book Antiqua" w:cs="Times New Roman"/>
          <w:b/>
          <w:kern w:val="2"/>
          <w:sz w:val="24"/>
          <w:szCs w:val="24"/>
          <w:lang w:val="en-US" w:eastAsia="zh-CN"/>
        </w:rPr>
        <w:t>12</w:t>
      </w:r>
      <w:r w:rsidRPr="008630D1">
        <w:rPr>
          <w:rFonts w:ascii="Book Antiqua" w:eastAsia="SimSun" w:hAnsi="Book Antiqua" w:cs="Times New Roman"/>
          <w:kern w:val="2"/>
          <w:sz w:val="24"/>
          <w:szCs w:val="24"/>
          <w:lang w:val="en-US" w:eastAsia="zh-CN"/>
        </w:rPr>
        <w:t>: 891-896 [PMID: 24708410 DOI: 10.1111/jth.12583]</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19 </w:t>
      </w:r>
      <w:r w:rsidRPr="008630D1">
        <w:rPr>
          <w:rFonts w:ascii="Book Antiqua" w:eastAsia="SimSun" w:hAnsi="Book Antiqua" w:cs="Times New Roman"/>
          <w:b/>
          <w:kern w:val="2"/>
          <w:sz w:val="24"/>
          <w:szCs w:val="24"/>
          <w:lang w:val="en-US" w:eastAsia="zh-CN"/>
        </w:rPr>
        <w:t>Van Schouwenburg IM</w:t>
      </w:r>
      <w:r w:rsidRPr="008630D1">
        <w:rPr>
          <w:rFonts w:ascii="Book Antiqua" w:eastAsia="SimSun" w:hAnsi="Book Antiqua" w:cs="Times New Roman"/>
          <w:kern w:val="2"/>
          <w:sz w:val="24"/>
          <w:szCs w:val="24"/>
          <w:lang w:val="en-US" w:eastAsia="zh-CN"/>
        </w:rPr>
        <w:t xml:space="preserve">, Mahmoodi BK, Veeger NJ, Bakker SJ, Kluin-Nelemans HC, Meijer K, Gansevoort RT. Insulin resistance and risk of venous thromboembolism: results of a population-based cohort study. </w:t>
      </w:r>
      <w:r w:rsidRPr="008630D1">
        <w:rPr>
          <w:rFonts w:ascii="Book Antiqua" w:eastAsia="SimSun" w:hAnsi="Book Antiqua" w:cs="Times New Roman"/>
          <w:i/>
          <w:kern w:val="2"/>
          <w:sz w:val="24"/>
          <w:szCs w:val="24"/>
          <w:lang w:val="en-US" w:eastAsia="zh-CN"/>
        </w:rPr>
        <w:t>J Thromb Haemost</w:t>
      </w:r>
      <w:r w:rsidRPr="008630D1">
        <w:rPr>
          <w:rFonts w:ascii="Book Antiqua" w:eastAsia="SimSun" w:hAnsi="Book Antiqua" w:cs="Times New Roman"/>
          <w:kern w:val="2"/>
          <w:sz w:val="24"/>
          <w:szCs w:val="24"/>
          <w:lang w:val="en-US" w:eastAsia="zh-CN"/>
        </w:rPr>
        <w:t xml:space="preserve"> 2012; </w:t>
      </w:r>
      <w:r w:rsidRPr="008630D1">
        <w:rPr>
          <w:rFonts w:ascii="Book Antiqua" w:eastAsia="SimSun" w:hAnsi="Book Antiqua" w:cs="Times New Roman"/>
          <w:b/>
          <w:kern w:val="2"/>
          <w:sz w:val="24"/>
          <w:szCs w:val="24"/>
          <w:lang w:val="en-US" w:eastAsia="zh-CN"/>
        </w:rPr>
        <w:t>10</w:t>
      </w:r>
      <w:r w:rsidRPr="008630D1">
        <w:rPr>
          <w:rFonts w:ascii="Book Antiqua" w:eastAsia="SimSun" w:hAnsi="Book Antiqua" w:cs="Times New Roman"/>
          <w:kern w:val="2"/>
          <w:sz w:val="24"/>
          <w:szCs w:val="24"/>
          <w:lang w:val="en-US" w:eastAsia="zh-CN"/>
        </w:rPr>
        <w:t>: 1012-1018 [PMID: 22443091 DOI: 10.1111/j.1538-7836.2012.04707.x]</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20 </w:t>
      </w:r>
      <w:r w:rsidRPr="008630D1">
        <w:rPr>
          <w:rFonts w:ascii="Book Antiqua" w:eastAsia="SimSun" w:hAnsi="Book Antiqua" w:cs="Times New Roman"/>
          <w:b/>
          <w:kern w:val="2"/>
          <w:sz w:val="24"/>
          <w:szCs w:val="24"/>
          <w:lang w:val="en-US" w:eastAsia="zh-CN"/>
        </w:rPr>
        <w:t>Ferroni P</w:t>
      </w:r>
      <w:r w:rsidRPr="008630D1">
        <w:rPr>
          <w:rFonts w:ascii="Book Antiqua" w:eastAsia="SimSun" w:hAnsi="Book Antiqua" w:cs="Times New Roman"/>
          <w:kern w:val="2"/>
          <w:sz w:val="24"/>
          <w:szCs w:val="24"/>
          <w:lang w:val="en-US" w:eastAsia="zh-CN"/>
        </w:rPr>
        <w:t xml:space="preserve">, Roselli M, Riondino S, Cavaliere F, Guadagni F. Insulin resistance as a predictor of venous thromboembolism in breast cancer. </w:t>
      </w:r>
      <w:r w:rsidRPr="008630D1">
        <w:rPr>
          <w:rFonts w:ascii="Book Antiqua" w:eastAsia="SimSun" w:hAnsi="Book Antiqua" w:cs="Times New Roman"/>
          <w:i/>
          <w:kern w:val="2"/>
          <w:sz w:val="24"/>
          <w:szCs w:val="24"/>
          <w:lang w:val="en-US" w:eastAsia="zh-CN"/>
        </w:rPr>
        <w:t>Endocr Relat Cancer</w:t>
      </w:r>
      <w:r w:rsidRPr="008630D1">
        <w:rPr>
          <w:rFonts w:ascii="Book Antiqua" w:eastAsia="SimSun" w:hAnsi="Book Antiqua" w:cs="Times New Roman"/>
          <w:kern w:val="2"/>
          <w:sz w:val="24"/>
          <w:szCs w:val="24"/>
          <w:lang w:val="en-US" w:eastAsia="zh-CN"/>
        </w:rPr>
        <w:t xml:space="preserve"> 2016; </w:t>
      </w:r>
      <w:r w:rsidRPr="008630D1">
        <w:rPr>
          <w:rFonts w:ascii="Book Antiqua" w:eastAsia="SimSun" w:hAnsi="Book Antiqua" w:cs="Times New Roman"/>
          <w:b/>
          <w:kern w:val="2"/>
          <w:sz w:val="24"/>
          <w:szCs w:val="24"/>
          <w:lang w:val="en-US" w:eastAsia="zh-CN"/>
        </w:rPr>
        <w:t>23</w:t>
      </w:r>
      <w:r w:rsidRPr="008630D1">
        <w:rPr>
          <w:rFonts w:ascii="Book Antiqua" w:eastAsia="SimSun" w:hAnsi="Book Antiqua" w:cs="Times New Roman"/>
          <w:kern w:val="2"/>
          <w:sz w:val="24"/>
          <w:szCs w:val="24"/>
          <w:lang w:val="en-US" w:eastAsia="zh-CN"/>
        </w:rPr>
        <w:t>: L25-L28 [PMID: 27185869 DOI: 10.1530/ERC-16-0187]</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21 </w:t>
      </w:r>
      <w:r w:rsidRPr="008630D1">
        <w:rPr>
          <w:rFonts w:ascii="Book Antiqua" w:eastAsia="SimSun" w:hAnsi="Book Antiqua" w:cs="Times New Roman"/>
          <w:b/>
          <w:kern w:val="2"/>
          <w:sz w:val="24"/>
          <w:szCs w:val="24"/>
          <w:lang w:val="en-US" w:eastAsia="zh-CN"/>
        </w:rPr>
        <w:t>Stegenga ME</w:t>
      </w:r>
      <w:r w:rsidRPr="008630D1">
        <w:rPr>
          <w:rFonts w:ascii="Book Antiqua" w:eastAsia="SimSun" w:hAnsi="Book Antiqua" w:cs="Times New Roman"/>
          <w:kern w:val="2"/>
          <w:sz w:val="24"/>
          <w:szCs w:val="24"/>
          <w:lang w:val="en-US" w:eastAsia="zh-CN"/>
        </w:rPr>
        <w:t xml:space="preserve">, van der Crabben SN, Blümer RM, Levi M, Meijers JC, Serlie MJ, Tanck MW, Sauerwein HP, van der Poll T. Hyperglycemia enhances coagulation and reduces neutrophil degranulation, whereas hyperinsulinemia inhibits fibrinolysis during human endotoxemia. </w:t>
      </w:r>
      <w:r w:rsidRPr="008630D1">
        <w:rPr>
          <w:rFonts w:ascii="Book Antiqua" w:eastAsia="SimSun" w:hAnsi="Book Antiqua" w:cs="Times New Roman"/>
          <w:i/>
          <w:kern w:val="2"/>
          <w:sz w:val="24"/>
          <w:szCs w:val="24"/>
          <w:lang w:val="en-US" w:eastAsia="zh-CN"/>
        </w:rPr>
        <w:t>Blood</w:t>
      </w:r>
      <w:r w:rsidRPr="008630D1">
        <w:rPr>
          <w:rFonts w:ascii="Book Antiqua" w:eastAsia="SimSun" w:hAnsi="Book Antiqua" w:cs="Times New Roman"/>
          <w:kern w:val="2"/>
          <w:sz w:val="24"/>
          <w:szCs w:val="24"/>
          <w:lang w:val="en-US" w:eastAsia="zh-CN"/>
        </w:rPr>
        <w:t xml:space="preserve"> 2008; </w:t>
      </w:r>
      <w:r w:rsidRPr="008630D1">
        <w:rPr>
          <w:rFonts w:ascii="Book Antiqua" w:eastAsia="SimSun" w:hAnsi="Book Antiqua" w:cs="Times New Roman"/>
          <w:b/>
          <w:kern w:val="2"/>
          <w:sz w:val="24"/>
          <w:szCs w:val="24"/>
          <w:lang w:val="en-US" w:eastAsia="zh-CN"/>
        </w:rPr>
        <w:t>112</w:t>
      </w:r>
      <w:r w:rsidRPr="008630D1">
        <w:rPr>
          <w:rFonts w:ascii="Book Antiqua" w:eastAsia="SimSun" w:hAnsi="Book Antiqua" w:cs="Times New Roman"/>
          <w:kern w:val="2"/>
          <w:sz w:val="24"/>
          <w:szCs w:val="24"/>
          <w:lang w:val="en-US" w:eastAsia="zh-CN"/>
        </w:rPr>
        <w:t>: 82-89 [PMID: 18316629 DOI: 10.1182/blood-2007-11-121723]</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22 </w:t>
      </w:r>
      <w:r w:rsidRPr="008630D1">
        <w:rPr>
          <w:rFonts w:ascii="Book Antiqua" w:eastAsia="SimSun" w:hAnsi="Book Antiqua" w:cs="Times New Roman"/>
          <w:b/>
          <w:kern w:val="2"/>
          <w:sz w:val="24"/>
          <w:szCs w:val="24"/>
          <w:lang w:val="en-US" w:eastAsia="zh-CN"/>
        </w:rPr>
        <w:t>Lerstad G</w:t>
      </w:r>
      <w:r w:rsidRPr="008630D1">
        <w:rPr>
          <w:rFonts w:ascii="Book Antiqua" w:eastAsia="SimSun" w:hAnsi="Book Antiqua" w:cs="Times New Roman"/>
          <w:kern w:val="2"/>
          <w:sz w:val="24"/>
          <w:szCs w:val="24"/>
          <w:lang w:val="en-US" w:eastAsia="zh-CN"/>
        </w:rPr>
        <w:t xml:space="preserve">, Brodin EE, Enga KF, Jorde R, Schirmer H, Njølstad I, Svartberg J, Braekkan SK, Hansen JB. Hyperglycemia, assessed according to HbA1c , and future risk of venous thromboembolism: the Tromsø study. </w:t>
      </w:r>
      <w:r w:rsidRPr="008630D1">
        <w:rPr>
          <w:rFonts w:ascii="Book Antiqua" w:eastAsia="SimSun" w:hAnsi="Book Antiqua" w:cs="Times New Roman"/>
          <w:i/>
          <w:kern w:val="2"/>
          <w:sz w:val="24"/>
          <w:szCs w:val="24"/>
          <w:lang w:val="en-US" w:eastAsia="zh-CN"/>
        </w:rPr>
        <w:t>J Thromb Haemost</w:t>
      </w:r>
      <w:r w:rsidRPr="008630D1">
        <w:rPr>
          <w:rFonts w:ascii="Book Antiqua" w:eastAsia="SimSun" w:hAnsi="Book Antiqua" w:cs="Times New Roman"/>
          <w:kern w:val="2"/>
          <w:sz w:val="24"/>
          <w:szCs w:val="24"/>
          <w:lang w:val="en-US" w:eastAsia="zh-CN"/>
        </w:rPr>
        <w:t xml:space="preserve"> 2014; </w:t>
      </w:r>
      <w:r w:rsidRPr="008630D1">
        <w:rPr>
          <w:rFonts w:ascii="Book Antiqua" w:eastAsia="SimSun" w:hAnsi="Book Antiqua" w:cs="Times New Roman"/>
          <w:b/>
          <w:kern w:val="2"/>
          <w:sz w:val="24"/>
          <w:szCs w:val="24"/>
          <w:lang w:val="en-US" w:eastAsia="zh-CN"/>
        </w:rPr>
        <w:t>12</w:t>
      </w:r>
      <w:r w:rsidRPr="008630D1">
        <w:rPr>
          <w:rFonts w:ascii="Book Antiqua" w:eastAsia="SimSun" w:hAnsi="Book Antiqua" w:cs="Times New Roman"/>
          <w:kern w:val="2"/>
          <w:sz w:val="24"/>
          <w:szCs w:val="24"/>
          <w:lang w:val="en-US" w:eastAsia="zh-CN"/>
        </w:rPr>
        <w:t>: 313-319 [PMID: 24382156 DOI: 10.1111/jth.12498]</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23 </w:t>
      </w:r>
      <w:r w:rsidRPr="008630D1">
        <w:rPr>
          <w:rFonts w:ascii="Book Antiqua" w:eastAsia="SimSun" w:hAnsi="Book Antiqua" w:cs="Times New Roman"/>
          <w:b/>
          <w:kern w:val="2"/>
          <w:sz w:val="24"/>
          <w:szCs w:val="24"/>
          <w:lang w:val="en-US" w:eastAsia="zh-CN"/>
        </w:rPr>
        <w:t>Khorana AA</w:t>
      </w:r>
      <w:r w:rsidRPr="008630D1">
        <w:rPr>
          <w:rFonts w:ascii="Book Antiqua" w:eastAsia="SimSun" w:hAnsi="Book Antiqua" w:cs="Times New Roman"/>
          <w:kern w:val="2"/>
          <w:sz w:val="24"/>
          <w:szCs w:val="24"/>
          <w:lang w:val="en-US" w:eastAsia="zh-CN"/>
        </w:rPr>
        <w:t xml:space="preserve">, Otten HM, Zwicker JI, Connolly GC, Bancel DF, Pabinger I; Subcommittee on Haemostasis and Malignancy of the Scientific and Standardization Committee of the International Society on Thrombosis and Hemostasis. Prevention of venous thromboembolism in cancer outpatients: guidance from the SSC of the ISTH. </w:t>
      </w:r>
      <w:r w:rsidRPr="008630D1">
        <w:rPr>
          <w:rFonts w:ascii="Book Antiqua" w:eastAsia="SimSun" w:hAnsi="Book Antiqua" w:cs="Times New Roman"/>
          <w:i/>
          <w:kern w:val="2"/>
          <w:sz w:val="24"/>
          <w:szCs w:val="24"/>
          <w:lang w:val="en-US" w:eastAsia="zh-CN"/>
        </w:rPr>
        <w:t>J Thromb Haemost</w:t>
      </w:r>
      <w:r w:rsidRPr="008630D1">
        <w:rPr>
          <w:rFonts w:ascii="Book Antiqua" w:eastAsia="SimSun" w:hAnsi="Book Antiqua" w:cs="Times New Roman"/>
          <w:kern w:val="2"/>
          <w:sz w:val="24"/>
          <w:szCs w:val="24"/>
          <w:lang w:val="en-US" w:eastAsia="zh-CN"/>
        </w:rPr>
        <w:t xml:space="preserve"> 2014; </w:t>
      </w:r>
      <w:r w:rsidRPr="008630D1">
        <w:rPr>
          <w:rFonts w:ascii="Book Antiqua" w:eastAsia="SimSun" w:hAnsi="Book Antiqua" w:cs="Times New Roman"/>
          <w:b/>
          <w:kern w:val="2"/>
          <w:sz w:val="24"/>
          <w:szCs w:val="24"/>
          <w:lang w:val="en-US" w:eastAsia="zh-CN"/>
        </w:rPr>
        <w:t>12</w:t>
      </w:r>
      <w:r w:rsidRPr="008630D1">
        <w:rPr>
          <w:rFonts w:ascii="Book Antiqua" w:eastAsia="SimSun" w:hAnsi="Book Antiqua" w:cs="Times New Roman"/>
          <w:kern w:val="2"/>
          <w:sz w:val="24"/>
          <w:szCs w:val="24"/>
          <w:lang w:val="en-US" w:eastAsia="zh-CN"/>
        </w:rPr>
        <w:t>: 1928-1931 [PMID: 25208230 DOI: 10.1111/jth.12725]</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24 </w:t>
      </w:r>
      <w:r w:rsidRPr="008630D1">
        <w:rPr>
          <w:rFonts w:ascii="Book Antiqua" w:eastAsia="SimSun" w:hAnsi="Book Antiqua" w:cs="Times New Roman"/>
          <w:b/>
          <w:kern w:val="2"/>
          <w:sz w:val="24"/>
          <w:szCs w:val="24"/>
          <w:lang w:val="en-US" w:eastAsia="zh-CN"/>
        </w:rPr>
        <w:t>Ferroni P</w:t>
      </w:r>
      <w:r w:rsidRPr="008630D1">
        <w:rPr>
          <w:rFonts w:ascii="Book Antiqua" w:eastAsia="SimSun" w:hAnsi="Book Antiqua" w:cs="Times New Roman"/>
          <w:kern w:val="2"/>
          <w:sz w:val="24"/>
          <w:szCs w:val="24"/>
          <w:lang w:val="en-US" w:eastAsia="zh-CN"/>
        </w:rPr>
        <w:t xml:space="preserve">, Basili S, Falco A, Davì G. Platelet activation in type 2 diabetes mellitus. </w:t>
      </w:r>
      <w:r w:rsidRPr="008630D1">
        <w:rPr>
          <w:rFonts w:ascii="Book Antiqua" w:eastAsia="SimSun" w:hAnsi="Book Antiqua" w:cs="Times New Roman"/>
          <w:i/>
          <w:kern w:val="2"/>
          <w:sz w:val="24"/>
          <w:szCs w:val="24"/>
          <w:lang w:val="en-US" w:eastAsia="zh-CN"/>
        </w:rPr>
        <w:t>J Thromb Haemost</w:t>
      </w:r>
      <w:r w:rsidRPr="008630D1">
        <w:rPr>
          <w:rFonts w:ascii="Book Antiqua" w:eastAsia="SimSun" w:hAnsi="Book Antiqua" w:cs="Times New Roman"/>
          <w:kern w:val="2"/>
          <w:sz w:val="24"/>
          <w:szCs w:val="24"/>
          <w:lang w:val="en-US" w:eastAsia="zh-CN"/>
        </w:rPr>
        <w:t xml:space="preserve"> 2004; </w:t>
      </w:r>
      <w:r w:rsidRPr="008630D1">
        <w:rPr>
          <w:rFonts w:ascii="Book Antiqua" w:eastAsia="SimSun" w:hAnsi="Book Antiqua" w:cs="Times New Roman"/>
          <w:b/>
          <w:kern w:val="2"/>
          <w:sz w:val="24"/>
          <w:szCs w:val="24"/>
          <w:lang w:val="en-US" w:eastAsia="zh-CN"/>
        </w:rPr>
        <w:t>2</w:t>
      </w:r>
      <w:r w:rsidRPr="008630D1">
        <w:rPr>
          <w:rFonts w:ascii="Book Antiqua" w:eastAsia="SimSun" w:hAnsi="Book Antiqua" w:cs="Times New Roman"/>
          <w:kern w:val="2"/>
          <w:sz w:val="24"/>
          <w:szCs w:val="24"/>
          <w:lang w:val="en-US" w:eastAsia="zh-CN"/>
        </w:rPr>
        <w:t>: 1282-1291 [PMID: 15304032 DOI: 10.1111/j.1538-7836.2004.00836.x]</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25 </w:t>
      </w:r>
      <w:r w:rsidRPr="008630D1">
        <w:rPr>
          <w:rFonts w:ascii="Book Antiqua" w:eastAsia="SimSun" w:hAnsi="Book Antiqua" w:cs="Times New Roman"/>
          <w:b/>
          <w:kern w:val="2"/>
          <w:sz w:val="24"/>
          <w:szCs w:val="24"/>
          <w:lang w:val="en-US" w:eastAsia="zh-CN"/>
        </w:rPr>
        <w:t>Gariani K</w:t>
      </w:r>
      <w:r w:rsidRPr="008630D1">
        <w:rPr>
          <w:rFonts w:ascii="Book Antiqua" w:eastAsia="SimSun" w:hAnsi="Book Antiqua" w:cs="Times New Roman"/>
          <w:kern w:val="2"/>
          <w:sz w:val="24"/>
          <w:szCs w:val="24"/>
          <w:lang w:val="en-US" w:eastAsia="zh-CN"/>
        </w:rPr>
        <w:t xml:space="preserve">, Mavrakanas T, Combescure C, Perrier A, Marti C. Is diabetes mellitus a risk factor for venous thromboembolism? A systematic review and meta-analysis of </w:t>
      </w:r>
      <w:r w:rsidRPr="008630D1">
        <w:rPr>
          <w:rFonts w:ascii="Book Antiqua" w:eastAsia="SimSun" w:hAnsi="Book Antiqua" w:cs="Times New Roman"/>
          <w:kern w:val="2"/>
          <w:sz w:val="24"/>
          <w:szCs w:val="24"/>
          <w:lang w:val="en-US" w:eastAsia="zh-CN"/>
        </w:rPr>
        <w:lastRenderedPageBreak/>
        <w:t xml:space="preserve">case-control and cohort studies. </w:t>
      </w:r>
      <w:r w:rsidRPr="008630D1">
        <w:rPr>
          <w:rFonts w:ascii="Book Antiqua" w:eastAsia="SimSun" w:hAnsi="Book Antiqua" w:cs="Times New Roman"/>
          <w:i/>
          <w:kern w:val="2"/>
          <w:sz w:val="24"/>
          <w:szCs w:val="24"/>
          <w:lang w:val="en-US" w:eastAsia="zh-CN"/>
        </w:rPr>
        <w:t>Eur J Intern Med</w:t>
      </w:r>
      <w:r w:rsidRPr="008630D1">
        <w:rPr>
          <w:rFonts w:ascii="Book Antiqua" w:eastAsia="SimSun" w:hAnsi="Book Antiqua" w:cs="Times New Roman"/>
          <w:kern w:val="2"/>
          <w:sz w:val="24"/>
          <w:szCs w:val="24"/>
          <w:lang w:val="en-US" w:eastAsia="zh-CN"/>
        </w:rPr>
        <w:t xml:space="preserve"> 2016; </w:t>
      </w:r>
      <w:r w:rsidRPr="008630D1">
        <w:rPr>
          <w:rFonts w:ascii="Book Antiqua" w:eastAsia="SimSun" w:hAnsi="Book Antiqua" w:cs="Times New Roman"/>
          <w:b/>
          <w:kern w:val="2"/>
          <w:sz w:val="24"/>
          <w:szCs w:val="24"/>
          <w:lang w:val="en-US" w:eastAsia="zh-CN"/>
        </w:rPr>
        <w:t>28</w:t>
      </w:r>
      <w:r w:rsidRPr="008630D1">
        <w:rPr>
          <w:rFonts w:ascii="Book Antiqua" w:eastAsia="SimSun" w:hAnsi="Book Antiqua" w:cs="Times New Roman"/>
          <w:kern w:val="2"/>
          <w:sz w:val="24"/>
          <w:szCs w:val="24"/>
          <w:lang w:val="en-US" w:eastAsia="zh-CN"/>
        </w:rPr>
        <w:t>: 52-58 [PMID: 26507303 DOI: 10.1016/j.ejim.2015.10.001]</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26 </w:t>
      </w:r>
      <w:r w:rsidRPr="008630D1">
        <w:rPr>
          <w:rFonts w:ascii="Book Antiqua" w:eastAsia="SimSun" w:hAnsi="Book Antiqua" w:cs="Times New Roman"/>
          <w:b/>
          <w:kern w:val="2"/>
          <w:sz w:val="24"/>
          <w:szCs w:val="24"/>
          <w:lang w:val="en-US" w:eastAsia="zh-CN"/>
        </w:rPr>
        <w:t>Lyman GH</w:t>
      </w:r>
      <w:r w:rsidRPr="008630D1">
        <w:rPr>
          <w:rFonts w:ascii="Book Antiqua" w:eastAsia="SimSun" w:hAnsi="Book Antiqua" w:cs="Times New Roman"/>
          <w:kern w:val="2"/>
          <w:sz w:val="24"/>
          <w:szCs w:val="24"/>
          <w:lang w:val="en-US" w:eastAsia="zh-CN"/>
        </w:rPr>
        <w:t xml:space="preserve">, Bohlke K, Khorana AA, Kuderer NM, Lee AY, Arcelus JI, Balaban EP, Clarke JM, Flowers CR, Francis CW, Gates LE, Kakkar AK, Key NS, Levine MN, Liebman HA, Tempero MA, Wong SL, Somerfield MR, Falanga A; American Society of Clinical Oncology. Venous thromboembolism prophylaxis and treatment in patients with cancer: american society of clinical oncology clinical practice guideline update 2014. </w:t>
      </w:r>
      <w:r w:rsidRPr="008630D1">
        <w:rPr>
          <w:rFonts w:ascii="Book Antiqua" w:eastAsia="SimSun" w:hAnsi="Book Antiqua" w:cs="Times New Roman"/>
          <w:i/>
          <w:kern w:val="2"/>
          <w:sz w:val="24"/>
          <w:szCs w:val="24"/>
          <w:lang w:val="en-US" w:eastAsia="zh-CN"/>
        </w:rPr>
        <w:t>J Clin Oncol</w:t>
      </w:r>
      <w:r w:rsidRPr="008630D1">
        <w:rPr>
          <w:rFonts w:ascii="Book Antiqua" w:eastAsia="SimSun" w:hAnsi="Book Antiqua" w:cs="Times New Roman"/>
          <w:kern w:val="2"/>
          <w:sz w:val="24"/>
          <w:szCs w:val="24"/>
          <w:lang w:val="en-US" w:eastAsia="zh-CN"/>
        </w:rPr>
        <w:t xml:space="preserve"> 2015; </w:t>
      </w:r>
      <w:r w:rsidRPr="008630D1">
        <w:rPr>
          <w:rFonts w:ascii="Book Antiqua" w:eastAsia="SimSun" w:hAnsi="Book Antiqua" w:cs="Times New Roman"/>
          <w:b/>
          <w:kern w:val="2"/>
          <w:sz w:val="24"/>
          <w:szCs w:val="24"/>
          <w:lang w:val="en-US" w:eastAsia="zh-CN"/>
        </w:rPr>
        <w:t>33</w:t>
      </w:r>
      <w:r w:rsidRPr="008630D1">
        <w:rPr>
          <w:rFonts w:ascii="Book Antiqua" w:eastAsia="SimSun" w:hAnsi="Book Antiqua" w:cs="Times New Roman"/>
          <w:kern w:val="2"/>
          <w:sz w:val="24"/>
          <w:szCs w:val="24"/>
          <w:lang w:val="en-US" w:eastAsia="zh-CN"/>
        </w:rPr>
        <w:t>: 654-656 [PMID: 25605844 DOI: 10.1200/JCO.2014.59.7351]</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27 </w:t>
      </w:r>
      <w:r w:rsidRPr="008630D1">
        <w:rPr>
          <w:rFonts w:ascii="Book Antiqua" w:eastAsia="SimSun" w:hAnsi="Book Antiqua" w:cs="Times New Roman"/>
          <w:b/>
          <w:kern w:val="2"/>
          <w:sz w:val="24"/>
          <w:szCs w:val="24"/>
          <w:lang w:val="en-US" w:eastAsia="zh-CN"/>
        </w:rPr>
        <w:t>Mansfield AS</w:t>
      </w:r>
      <w:r w:rsidRPr="008630D1">
        <w:rPr>
          <w:rFonts w:ascii="Book Antiqua" w:eastAsia="SimSun" w:hAnsi="Book Antiqua" w:cs="Times New Roman"/>
          <w:kern w:val="2"/>
          <w:sz w:val="24"/>
          <w:szCs w:val="24"/>
          <w:lang w:val="en-US" w:eastAsia="zh-CN"/>
        </w:rPr>
        <w:t xml:space="preserve">, Tafur AJ, Wang CE, Kourelis TV, Wysokinska EM, Yang P. Predictors of active cancer thromboembolic outcomes: validation of the Khorana score among patients with lung cancer. </w:t>
      </w:r>
      <w:r w:rsidRPr="008630D1">
        <w:rPr>
          <w:rFonts w:ascii="Book Antiqua" w:eastAsia="SimSun" w:hAnsi="Book Antiqua" w:cs="Times New Roman"/>
          <w:i/>
          <w:kern w:val="2"/>
          <w:sz w:val="24"/>
          <w:szCs w:val="24"/>
          <w:lang w:val="en-US" w:eastAsia="zh-CN"/>
        </w:rPr>
        <w:t>J Thromb Haemost</w:t>
      </w:r>
      <w:r w:rsidRPr="008630D1">
        <w:rPr>
          <w:rFonts w:ascii="Book Antiqua" w:eastAsia="SimSun" w:hAnsi="Book Antiqua" w:cs="Times New Roman"/>
          <w:kern w:val="2"/>
          <w:sz w:val="24"/>
          <w:szCs w:val="24"/>
          <w:lang w:val="en-US" w:eastAsia="zh-CN"/>
        </w:rPr>
        <w:t xml:space="preserve"> 2016; </w:t>
      </w:r>
      <w:r w:rsidRPr="008630D1">
        <w:rPr>
          <w:rFonts w:ascii="Book Antiqua" w:eastAsia="SimSun" w:hAnsi="Book Antiqua" w:cs="Times New Roman"/>
          <w:b/>
          <w:kern w:val="2"/>
          <w:sz w:val="24"/>
          <w:szCs w:val="24"/>
          <w:lang w:val="en-US" w:eastAsia="zh-CN"/>
        </w:rPr>
        <w:t>14</w:t>
      </w:r>
      <w:r w:rsidRPr="008630D1">
        <w:rPr>
          <w:rFonts w:ascii="Book Antiqua" w:eastAsia="SimSun" w:hAnsi="Book Antiqua" w:cs="Times New Roman"/>
          <w:kern w:val="2"/>
          <w:sz w:val="24"/>
          <w:szCs w:val="24"/>
          <w:lang w:val="en-US" w:eastAsia="zh-CN"/>
        </w:rPr>
        <w:t>: 1773-1778 [PMID: 27273134 DOI: 10.1111/jth.13378]</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28 </w:t>
      </w:r>
      <w:r w:rsidRPr="008630D1">
        <w:rPr>
          <w:rFonts w:ascii="Book Antiqua" w:eastAsia="SimSun" w:hAnsi="Book Antiqua" w:cs="Times New Roman"/>
          <w:b/>
          <w:kern w:val="2"/>
          <w:sz w:val="24"/>
          <w:szCs w:val="24"/>
          <w:lang w:val="en-US" w:eastAsia="zh-CN"/>
        </w:rPr>
        <w:t>Srikanthan A</w:t>
      </w:r>
      <w:r w:rsidRPr="008630D1">
        <w:rPr>
          <w:rFonts w:ascii="Book Antiqua" w:eastAsia="SimSun" w:hAnsi="Book Antiqua" w:cs="Times New Roman"/>
          <w:kern w:val="2"/>
          <w:sz w:val="24"/>
          <w:szCs w:val="24"/>
          <w:lang w:val="en-US" w:eastAsia="zh-CN"/>
        </w:rPr>
        <w:t xml:space="preserve">, Tran B, Beausoleil M, Jewett MA, Hamilton RJ, Sturgeon JF, O'Malley M, Anson-Cartwright L, Chung PW, Warde PR, Winquist E, Moore MJ, Amir E, Bedard PL. Large retroperitoneal lymphadenopathy as a predictor of venous thromboembolism in patients with disseminated germ cell tumors treated with chemotherapy. </w:t>
      </w:r>
      <w:r w:rsidRPr="008630D1">
        <w:rPr>
          <w:rFonts w:ascii="Book Antiqua" w:eastAsia="SimSun" w:hAnsi="Book Antiqua" w:cs="Times New Roman"/>
          <w:i/>
          <w:kern w:val="2"/>
          <w:sz w:val="24"/>
          <w:szCs w:val="24"/>
          <w:lang w:val="en-US" w:eastAsia="zh-CN"/>
        </w:rPr>
        <w:t>J Clin Oncol</w:t>
      </w:r>
      <w:r w:rsidRPr="008630D1">
        <w:rPr>
          <w:rFonts w:ascii="Book Antiqua" w:eastAsia="SimSun" w:hAnsi="Book Antiqua" w:cs="Times New Roman"/>
          <w:kern w:val="2"/>
          <w:sz w:val="24"/>
          <w:szCs w:val="24"/>
          <w:lang w:val="en-US" w:eastAsia="zh-CN"/>
        </w:rPr>
        <w:t xml:space="preserve"> 2015; </w:t>
      </w:r>
      <w:r w:rsidRPr="008630D1">
        <w:rPr>
          <w:rFonts w:ascii="Book Antiqua" w:eastAsia="SimSun" w:hAnsi="Book Antiqua" w:cs="Times New Roman"/>
          <w:b/>
          <w:kern w:val="2"/>
          <w:sz w:val="24"/>
          <w:szCs w:val="24"/>
          <w:lang w:val="en-US" w:eastAsia="zh-CN"/>
        </w:rPr>
        <w:t>33</w:t>
      </w:r>
      <w:r w:rsidRPr="008630D1">
        <w:rPr>
          <w:rFonts w:ascii="Book Antiqua" w:eastAsia="SimSun" w:hAnsi="Book Antiqua" w:cs="Times New Roman"/>
          <w:kern w:val="2"/>
          <w:sz w:val="24"/>
          <w:szCs w:val="24"/>
          <w:lang w:val="en-US" w:eastAsia="zh-CN"/>
        </w:rPr>
        <w:t>: 582-587 [PMID: 25605848 DOI: 10.1200/JCO.2014.58.6537]</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29 </w:t>
      </w:r>
      <w:r w:rsidRPr="008630D1">
        <w:rPr>
          <w:rFonts w:ascii="Book Antiqua" w:eastAsia="SimSun" w:hAnsi="Book Antiqua" w:cs="Times New Roman"/>
          <w:b/>
          <w:kern w:val="2"/>
          <w:sz w:val="24"/>
          <w:szCs w:val="24"/>
          <w:lang w:val="en-US" w:eastAsia="zh-CN"/>
        </w:rPr>
        <w:t>van Es N</w:t>
      </w:r>
      <w:r w:rsidRPr="008630D1">
        <w:rPr>
          <w:rFonts w:ascii="Book Antiqua" w:eastAsia="SimSun" w:hAnsi="Book Antiqua" w:cs="Times New Roman"/>
          <w:kern w:val="2"/>
          <w:sz w:val="24"/>
          <w:szCs w:val="24"/>
          <w:lang w:val="en-US" w:eastAsia="zh-CN"/>
        </w:rPr>
        <w:t xml:space="preserve">, Franke VF, Middeldorp S, Wilmink JW, Büller HR. The Khorana score for the prediction of venous thromboembolism in patients with pancreatic cancer. </w:t>
      </w:r>
      <w:r w:rsidRPr="008630D1">
        <w:rPr>
          <w:rFonts w:ascii="Book Antiqua" w:eastAsia="SimSun" w:hAnsi="Book Antiqua" w:cs="Times New Roman"/>
          <w:i/>
          <w:kern w:val="2"/>
          <w:sz w:val="24"/>
          <w:szCs w:val="24"/>
          <w:lang w:val="en-US" w:eastAsia="zh-CN"/>
        </w:rPr>
        <w:t>Thromb Res</w:t>
      </w:r>
      <w:r w:rsidRPr="008630D1">
        <w:rPr>
          <w:rFonts w:ascii="Book Antiqua" w:eastAsia="SimSun" w:hAnsi="Book Antiqua" w:cs="Times New Roman"/>
          <w:kern w:val="2"/>
          <w:sz w:val="24"/>
          <w:szCs w:val="24"/>
          <w:lang w:val="en-US" w:eastAsia="zh-CN"/>
        </w:rPr>
        <w:t xml:space="preserve"> 2017; </w:t>
      </w:r>
      <w:r w:rsidRPr="008630D1">
        <w:rPr>
          <w:rFonts w:ascii="Book Antiqua" w:eastAsia="SimSun" w:hAnsi="Book Antiqua" w:cs="Times New Roman"/>
          <w:b/>
          <w:kern w:val="2"/>
          <w:sz w:val="24"/>
          <w:szCs w:val="24"/>
          <w:lang w:val="en-US" w:eastAsia="zh-CN"/>
        </w:rPr>
        <w:t>150</w:t>
      </w:r>
      <w:r w:rsidRPr="008630D1">
        <w:rPr>
          <w:rFonts w:ascii="Book Antiqua" w:eastAsia="SimSun" w:hAnsi="Book Antiqua" w:cs="Times New Roman"/>
          <w:kern w:val="2"/>
          <w:sz w:val="24"/>
          <w:szCs w:val="24"/>
          <w:lang w:val="en-US" w:eastAsia="zh-CN"/>
        </w:rPr>
        <w:t>: 30-32 [PMID: 28002757 DOI: 10.1016/j.thromres.2016.12.013]</w:t>
      </w:r>
    </w:p>
    <w:p w:rsidR="008630D1" w:rsidRPr="008630D1" w:rsidRDefault="008630D1" w:rsidP="008630D1">
      <w:pPr>
        <w:widowControl w:val="0"/>
        <w:snapToGrid w:val="0"/>
        <w:spacing w:after="0" w:line="360" w:lineRule="auto"/>
        <w:jc w:val="both"/>
        <w:rPr>
          <w:rFonts w:ascii="Book Antiqua" w:eastAsia="SimSun" w:hAnsi="Book Antiqua" w:cs="Times New Roman"/>
          <w:kern w:val="2"/>
          <w:sz w:val="24"/>
          <w:szCs w:val="24"/>
          <w:lang w:val="en-US" w:eastAsia="zh-CN"/>
        </w:rPr>
      </w:pPr>
      <w:r w:rsidRPr="008630D1">
        <w:rPr>
          <w:rFonts w:ascii="Book Antiqua" w:eastAsia="SimSun" w:hAnsi="Book Antiqua" w:cs="Times New Roman"/>
          <w:kern w:val="2"/>
          <w:sz w:val="24"/>
          <w:szCs w:val="24"/>
          <w:lang w:val="en-US" w:eastAsia="zh-CN"/>
        </w:rPr>
        <w:t xml:space="preserve">30 </w:t>
      </w:r>
      <w:r w:rsidRPr="008630D1">
        <w:rPr>
          <w:rFonts w:ascii="Book Antiqua" w:eastAsia="SimSun" w:hAnsi="Book Antiqua" w:cs="Times New Roman"/>
          <w:b/>
          <w:kern w:val="2"/>
          <w:sz w:val="24"/>
          <w:szCs w:val="24"/>
          <w:lang w:val="en-US" w:eastAsia="zh-CN"/>
        </w:rPr>
        <w:t>Ferroni P</w:t>
      </w:r>
      <w:r w:rsidRPr="008630D1">
        <w:rPr>
          <w:rFonts w:ascii="Book Antiqua" w:eastAsia="SimSun" w:hAnsi="Book Antiqua" w:cs="Times New Roman"/>
          <w:kern w:val="2"/>
          <w:sz w:val="24"/>
          <w:szCs w:val="24"/>
          <w:lang w:val="en-US" w:eastAsia="zh-CN"/>
        </w:rPr>
        <w:t xml:space="preserve">, Zanzotto FM, Scarpato N, Riondino S, Nanni U, Roselli M, Guadagni F. Risk Assessment for Venous Thromboembolism in Chemotherapy-Treated Ambulatory Cancer Patients. </w:t>
      </w:r>
      <w:r w:rsidRPr="008630D1">
        <w:rPr>
          <w:rFonts w:ascii="Book Antiqua" w:eastAsia="SimSun" w:hAnsi="Book Antiqua" w:cs="Times New Roman"/>
          <w:i/>
          <w:kern w:val="2"/>
          <w:sz w:val="24"/>
          <w:szCs w:val="24"/>
          <w:lang w:val="en-US" w:eastAsia="zh-CN"/>
        </w:rPr>
        <w:t>Med Decis Making</w:t>
      </w:r>
      <w:r w:rsidRPr="008630D1">
        <w:rPr>
          <w:rFonts w:ascii="Book Antiqua" w:eastAsia="SimSun" w:hAnsi="Book Antiqua" w:cs="Times New Roman"/>
          <w:kern w:val="2"/>
          <w:sz w:val="24"/>
          <w:szCs w:val="24"/>
          <w:lang w:val="en-US" w:eastAsia="zh-CN"/>
        </w:rPr>
        <w:t xml:space="preserve"> 2017; </w:t>
      </w:r>
      <w:r w:rsidRPr="008630D1">
        <w:rPr>
          <w:rFonts w:ascii="Book Antiqua" w:eastAsia="SimSun" w:hAnsi="Book Antiqua" w:cs="Times New Roman"/>
          <w:b/>
          <w:kern w:val="2"/>
          <w:sz w:val="24"/>
          <w:szCs w:val="24"/>
          <w:lang w:val="en-US" w:eastAsia="zh-CN"/>
        </w:rPr>
        <w:t>37</w:t>
      </w:r>
      <w:r w:rsidRPr="008630D1">
        <w:rPr>
          <w:rFonts w:ascii="Book Antiqua" w:eastAsia="SimSun" w:hAnsi="Book Antiqua" w:cs="Times New Roman"/>
          <w:kern w:val="2"/>
          <w:sz w:val="24"/>
          <w:szCs w:val="24"/>
          <w:lang w:val="en-US" w:eastAsia="zh-CN"/>
        </w:rPr>
        <w:t>: 234-242 [PMID: 27491558 DOI: 10.1177/0272989X16662654]</w:t>
      </w:r>
    </w:p>
    <w:p w:rsidR="008630D1" w:rsidRPr="008630D1" w:rsidRDefault="008630D1" w:rsidP="008630D1">
      <w:pPr>
        <w:snapToGrid w:val="0"/>
        <w:spacing w:after="0" w:line="360" w:lineRule="auto"/>
        <w:jc w:val="right"/>
        <w:rPr>
          <w:rFonts w:ascii="Book Antiqua" w:eastAsia="SimSun" w:hAnsi="Book Antiqua" w:cs="Times New Roman"/>
          <w:sz w:val="24"/>
          <w:szCs w:val="24"/>
          <w:lang w:val="en-US" w:eastAsia="zh-CN"/>
        </w:rPr>
      </w:pPr>
      <w:bookmarkStart w:id="54" w:name="OLE_LINK51"/>
      <w:bookmarkStart w:id="55" w:name="OLE_LINK52"/>
      <w:bookmarkStart w:id="56" w:name="OLE_LINK120"/>
      <w:bookmarkStart w:id="57" w:name="OLE_LINK148"/>
      <w:bookmarkStart w:id="58" w:name="OLE_LINK72"/>
      <w:bookmarkStart w:id="59" w:name="OLE_LINK112"/>
      <w:bookmarkStart w:id="60" w:name="OLE_LINK320"/>
      <w:bookmarkStart w:id="61" w:name="OLE_LINK387"/>
      <w:bookmarkStart w:id="62" w:name="OLE_LINK183"/>
      <w:bookmarkStart w:id="63" w:name="OLE_LINK254"/>
      <w:bookmarkStart w:id="64" w:name="OLE_LINK149"/>
      <w:bookmarkStart w:id="65" w:name="OLE_LINK225"/>
      <w:bookmarkStart w:id="66" w:name="OLE_LINK207"/>
      <w:bookmarkStart w:id="67" w:name="OLE_LINK226"/>
      <w:bookmarkStart w:id="68" w:name="OLE_LINK212"/>
      <w:bookmarkStart w:id="69" w:name="OLE_LINK250"/>
      <w:bookmarkStart w:id="70" w:name="OLE_LINK281"/>
      <w:bookmarkStart w:id="71" w:name="OLE_LINK282"/>
      <w:bookmarkStart w:id="72" w:name="OLE_LINK313"/>
      <w:bookmarkStart w:id="73" w:name="OLE_LINK304"/>
      <w:bookmarkStart w:id="74" w:name="OLE_LINK321"/>
      <w:bookmarkStart w:id="75" w:name="OLE_LINK385"/>
      <w:bookmarkStart w:id="76" w:name="OLE_LINK400"/>
      <w:bookmarkStart w:id="77" w:name="OLE_LINK346"/>
      <w:bookmarkStart w:id="78" w:name="OLE_LINK371"/>
      <w:bookmarkStart w:id="79" w:name="OLE_LINK334"/>
      <w:bookmarkStart w:id="80" w:name="OLE_LINK1830"/>
      <w:bookmarkStart w:id="81" w:name="OLE_LINK457"/>
      <w:bookmarkStart w:id="82" w:name="OLE_LINK288"/>
      <w:bookmarkStart w:id="83" w:name="OLE_LINK384"/>
      <w:bookmarkStart w:id="84" w:name="OLE_LINK379"/>
      <w:bookmarkStart w:id="85" w:name="OLE_LINK303"/>
      <w:bookmarkStart w:id="86" w:name="OLE_LINK450"/>
      <w:bookmarkStart w:id="87" w:name="OLE_LINK489"/>
      <w:bookmarkStart w:id="88" w:name="OLE_LINK535"/>
      <w:bookmarkStart w:id="89" w:name="OLE_LINK648"/>
      <w:bookmarkStart w:id="90" w:name="OLE_LINK686"/>
      <w:bookmarkStart w:id="91" w:name="OLE_LINK471"/>
      <w:bookmarkStart w:id="92" w:name="OLE_LINK462"/>
      <w:bookmarkStart w:id="93" w:name="OLE_LINK519"/>
      <w:bookmarkStart w:id="94" w:name="OLE_LINK575"/>
      <w:bookmarkStart w:id="95" w:name="OLE_LINK491"/>
      <w:bookmarkStart w:id="96" w:name="OLE_LINK532"/>
      <w:bookmarkStart w:id="97" w:name="OLE_LINK572"/>
      <w:bookmarkStart w:id="98" w:name="OLE_LINK574"/>
      <w:bookmarkStart w:id="99" w:name="OLE_LINK480"/>
      <w:bookmarkStart w:id="100" w:name="OLE_LINK567"/>
      <w:bookmarkStart w:id="101" w:name="OLE_LINK2700"/>
      <w:bookmarkStart w:id="102" w:name="OLE_LINK581"/>
      <w:bookmarkStart w:id="103" w:name="OLE_LINK639"/>
      <w:bookmarkStart w:id="104" w:name="OLE_LINK688"/>
      <w:bookmarkStart w:id="105" w:name="OLE_LINK722"/>
      <w:bookmarkStart w:id="106" w:name="OLE_LINK542"/>
      <w:bookmarkStart w:id="107" w:name="OLE_LINK589"/>
      <w:bookmarkStart w:id="108" w:name="OLE_LINK582"/>
      <w:bookmarkStart w:id="109" w:name="OLE_LINK640"/>
      <w:bookmarkStart w:id="110" w:name="OLE_LINK714"/>
      <w:bookmarkStart w:id="111" w:name="OLE_LINK593"/>
      <w:bookmarkStart w:id="112" w:name="OLE_LINK716"/>
      <w:bookmarkStart w:id="113" w:name="OLE_LINK770"/>
      <w:bookmarkStart w:id="114" w:name="OLE_LINK801"/>
      <w:bookmarkStart w:id="115" w:name="OLE_LINK660"/>
      <w:bookmarkStart w:id="116" w:name="OLE_LINK781"/>
      <w:bookmarkStart w:id="117" w:name="OLE_LINK833"/>
      <w:bookmarkStart w:id="118" w:name="OLE_LINK642"/>
      <w:bookmarkStart w:id="119" w:name="OLE_LINK700"/>
      <w:bookmarkStart w:id="120" w:name="OLE_LINK792"/>
      <w:bookmarkStart w:id="121" w:name="OLE_LINK2882"/>
      <w:bookmarkStart w:id="122" w:name="OLE_LINK836"/>
      <w:bookmarkStart w:id="123" w:name="OLE_LINK889"/>
      <w:bookmarkStart w:id="124" w:name="OLE_LINK782"/>
      <w:bookmarkStart w:id="125" w:name="OLE_LINK826"/>
      <w:bookmarkStart w:id="126" w:name="OLE_LINK865"/>
      <w:bookmarkStart w:id="127" w:name="OLE_LINK856"/>
      <w:bookmarkStart w:id="128" w:name="OLE_LINK908"/>
      <w:bookmarkStart w:id="129" w:name="OLE_LINK980"/>
      <w:bookmarkStart w:id="130" w:name="OLE_LINK1018"/>
      <w:bookmarkStart w:id="131" w:name="OLE_LINK1049"/>
      <w:bookmarkStart w:id="132" w:name="OLE_LINK1076"/>
      <w:bookmarkStart w:id="133" w:name="OLE_LINK1106"/>
      <w:bookmarkStart w:id="134" w:name="OLE_LINK891"/>
      <w:bookmarkStart w:id="135" w:name="OLE_LINK943"/>
      <w:bookmarkStart w:id="136" w:name="OLE_LINK981"/>
      <w:bookmarkStart w:id="137" w:name="OLE_LINK1030"/>
      <w:bookmarkStart w:id="138" w:name="OLE_LINK847"/>
      <w:bookmarkStart w:id="139" w:name="OLE_LINK909"/>
      <w:bookmarkStart w:id="140" w:name="OLE_LINK906"/>
      <w:bookmarkStart w:id="141" w:name="OLE_LINK992"/>
      <w:bookmarkStart w:id="142" w:name="OLE_LINK993"/>
      <w:bookmarkStart w:id="143" w:name="OLE_LINK1052"/>
      <w:bookmarkStart w:id="144" w:name="OLE_LINK946"/>
      <w:bookmarkStart w:id="145" w:name="OLE_LINK911"/>
      <w:bookmarkStart w:id="146" w:name="OLE_LINK930"/>
      <w:bookmarkStart w:id="147" w:name="OLE_LINK1059"/>
      <w:bookmarkStart w:id="148" w:name="OLE_LINK1174"/>
      <w:bookmarkStart w:id="149" w:name="OLE_LINK1137"/>
      <w:bookmarkStart w:id="150" w:name="OLE_LINK1167"/>
      <w:bookmarkStart w:id="151" w:name="OLE_LINK1200"/>
      <w:bookmarkStart w:id="152" w:name="OLE_LINK1241"/>
      <w:bookmarkStart w:id="153" w:name="OLE_LINK1288"/>
      <w:bookmarkStart w:id="154" w:name="OLE_LINK1056"/>
      <w:bookmarkStart w:id="155" w:name="OLE_LINK1158"/>
      <w:bookmarkStart w:id="156" w:name="OLE_LINK1175"/>
      <w:bookmarkStart w:id="157" w:name="OLE_LINK1074"/>
      <w:bookmarkStart w:id="158" w:name="OLE_LINK1169"/>
      <w:bookmarkStart w:id="159" w:name="OLE_LINK1053"/>
      <w:bookmarkStart w:id="160" w:name="OLE_LINK1054"/>
      <w:r w:rsidRPr="008630D1">
        <w:rPr>
          <w:rFonts w:ascii="Book Antiqua" w:eastAsia="SimSun" w:hAnsi="Book Antiqua" w:cs="Times New Roman"/>
          <w:b/>
          <w:bCs/>
          <w:sz w:val="24"/>
          <w:szCs w:val="24"/>
          <w:lang w:val="en-US" w:eastAsia="zh-CN"/>
        </w:rPr>
        <w:t>P-Reviewer:</w:t>
      </w:r>
      <w:r w:rsidRPr="008630D1">
        <w:rPr>
          <w:rFonts w:ascii="Book Antiqua" w:eastAsia="SimSun" w:hAnsi="Book Antiqua" w:cs="Times New Roman" w:hint="eastAsia"/>
          <w:b/>
          <w:bCs/>
          <w:sz w:val="24"/>
          <w:szCs w:val="24"/>
          <w:lang w:val="en-US" w:eastAsia="zh-CN"/>
        </w:rPr>
        <w:t xml:space="preserve"> </w:t>
      </w:r>
      <w:r w:rsidRPr="008630D1">
        <w:rPr>
          <w:rFonts w:ascii="Book Antiqua" w:eastAsia="SimSun" w:hAnsi="Book Antiqua" w:cs="Times New Roman"/>
          <w:bCs/>
          <w:sz w:val="24"/>
          <w:szCs w:val="24"/>
          <w:lang w:val="en-US" w:eastAsia="zh-CN"/>
        </w:rPr>
        <w:t>Wiewiora</w:t>
      </w:r>
      <w:r w:rsidRPr="008630D1">
        <w:rPr>
          <w:rFonts w:ascii="Book Antiqua" w:eastAsia="SimSun" w:hAnsi="Book Antiqua" w:cs="Times New Roman" w:hint="eastAsia"/>
          <w:bCs/>
          <w:sz w:val="24"/>
          <w:szCs w:val="24"/>
          <w:lang w:val="en-US" w:eastAsia="zh-CN"/>
        </w:rPr>
        <w:t xml:space="preserve"> </w:t>
      </w:r>
      <w:r w:rsidRPr="008630D1">
        <w:rPr>
          <w:rFonts w:ascii="Book Antiqua" w:eastAsia="SimSun" w:hAnsi="Book Antiqua" w:cs="Times New Roman"/>
          <w:bCs/>
          <w:sz w:val="24"/>
          <w:szCs w:val="24"/>
          <w:lang w:val="en-US" w:eastAsia="zh-CN"/>
        </w:rPr>
        <w:t>M</w:t>
      </w:r>
      <w:r w:rsidRPr="008630D1">
        <w:rPr>
          <w:rFonts w:ascii="Book Antiqua" w:eastAsia="SimSun" w:hAnsi="Book Antiqua" w:cs="Times New Roman" w:hint="eastAsia"/>
          <w:b/>
          <w:bCs/>
          <w:sz w:val="24"/>
          <w:szCs w:val="24"/>
          <w:lang w:val="en-US" w:eastAsia="zh-CN"/>
        </w:rPr>
        <w:t xml:space="preserve"> </w:t>
      </w:r>
      <w:r w:rsidRPr="008630D1">
        <w:rPr>
          <w:rFonts w:ascii="Book Antiqua" w:eastAsia="SimSun" w:hAnsi="Book Antiqua" w:cs="Times New Roman"/>
          <w:b/>
          <w:bCs/>
          <w:sz w:val="24"/>
          <w:szCs w:val="24"/>
          <w:lang w:val="en-US" w:eastAsia="zh-CN"/>
        </w:rPr>
        <w:t>S-Editor:</w:t>
      </w:r>
      <w:r w:rsidRPr="008630D1">
        <w:rPr>
          <w:rFonts w:ascii="Book Antiqua" w:eastAsia="SimSun" w:hAnsi="Book Antiqua" w:cs="Times New Roman" w:hint="eastAsia"/>
          <w:sz w:val="24"/>
          <w:szCs w:val="24"/>
          <w:lang w:val="en-US" w:eastAsia="zh-CN"/>
        </w:rPr>
        <w:t xml:space="preserve"> Gong ZM</w:t>
      </w:r>
    </w:p>
    <w:p w:rsidR="008630D1" w:rsidRPr="008630D1" w:rsidRDefault="008630D1" w:rsidP="008630D1">
      <w:pPr>
        <w:snapToGrid w:val="0"/>
        <w:spacing w:after="0" w:line="360" w:lineRule="auto"/>
        <w:jc w:val="right"/>
        <w:rPr>
          <w:rFonts w:ascii="Book Antiqua" w:eastAsia="SimSun" w:hAnsi="Book Antiqua" w:cs="Times New Roman"/>
          <w:b/>
          <w:bCs/>
          <w:sz w:val="24"/>
          <w:szCs w:val="24"/>
          <w:lang w:val="en-US" w:eastAsia="zh-CN"/>
        </w:rPr>
      </w:pPr>
      <w:r w:rsidRPr="008630D1">
        <w:rPr>
          <w:rFonts w:ascii="Book Antiqua" w:eastAsia="SimSun" w:hAnsi="Book Antiqua" w:cs="Times New Roman"/>
          <w:b/>
          <w:bCs/>
          <w:sz w:val="24"/>
          <w:szCs w:val="24"/>
          <w:lang w:val="en-US" w:eastAsia="zh-CN"/>
        </w:rPr>
        <w:t>L-Editor:</w:t>
      </w:r>
      <w:r w:rsidRPr="008630D1">
        <w:rPr>
          <w:rFonts w:ascii="Book Antiqua" w:eastAsia="SimSun" w:hAnsi="Book Antiqua" w:cs="Times New Roman"/>
          <w:sz w:val="24"/>
          <w:szCs w:val="24"/>
          <w:lang w:val="en-US" w:eastAsia="zh-CN"/>
        </w:rPr>
        <w:t xml:space="preserve"> </w:t>
      </w:r>
      <w:r w:rsidRPr="008630D1">
        <w:rPr>
          <w:rFonts w:ascii="Book Antiqua" w:eastAsia="SimSun" w:hAnsi="Book Antiqua" w:cs="Times New Roman"/>
          <w:b/>
          <w:bCs/>
          <w:sz w:val="24"/>
          <w:szCs w:val="24"/>
          <w:lang w:val="en-US" w:eastAsia="zh-CN"/>
        </w:rPr>
        <w:t>E-Editor:</w:t>
      </w:r>
    </w:p>
    <w:p w:rsidR="008630D1" w:rsidRPr="008630D1" w:rsidRDefault="008630D1" w:rsidP="008630D1">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61" w:name="OLE_LINK880"/>
      <w:bookmarkStart w:id="162" w:name="OLE_LINK881"/>
      <w:bookmarkStart w:id="163" w:name="OLE_LINK497"/>
      <w:bookmarkStart w:id="164" w:name="OLE_LINK81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8630D1">
        <w:rPr>
          <w:rFonts w:ascii="Book Antiqua" w:eastAsia="SimSun" w:hAnsi="Book Antiqua" w:cs="Helvetica"/>
          <w:b/>
          <w:sz w:val="24"/>
          <w:szCs w:val="24"/>
          <w:lang w:val="en-US" w:eastAsia="zh-CN"/>
        </w:rPr>
        <w:t xml:space="preserve">Specialty type: </w:t>
      </w:r>
      <w:r w:rsidRPr="008630D1">
        <w:rPr>
          <w:rFonts w:ascii="Book Antiqua" w:eastAsia="SimSun" w:hAnsi="Book Antiqua" w:cs="Helvetica"/>
          <w:sz w:val="24"/>
          <w:szCs w:val="24"/>
          <w:lang w:val="en-US" w:eastAsia="zh-CN"/>
        </w:rPr>
        <w:t>Gastroenterology and</w:t>
      </w:r>
      <w:r w:rsidRPr="008630D1">
        <w:rPr>
          <w:rFonts w:ascii="Book Antiqua" w:eastAsia="SimSun" w:hAnsi="Book Antiqua" w:cs="Helvetica" w:hint="eastAsia"/>
          <w:sz w:val="24"/>
          <w:szCs w:val="24"/>
          <w:lang w:val="en-US" w:eastAsia="zh-CN"/>
        </w:rPr>
        <w:t xml:space="preserve"> </w:t>
      </w:r>
      <w:r w:rsidRPr="008630D1">
        <w:rPr>
          <w:rFonts w:ascii="Book Antiqua" w:eastAsia="SimSun" w:hAnsi="Book Antiqua" w:cs="Helvetica"/>
          <w:sz w:val="24"/>
          <w:szCs w:val="24"/>
          <w:lang w:val="en-US" w:eastAsia="zh-CN"/>
        </w:rPr>
        <w:t>hepatology</w:t>
      </w:r>
    </w:p>
    <w:p w:rsidR="008630D1" w:rsidRPr="008630D1" w:rsidRDefault="008630D1" w:rsidP="008630D1">
      <w:pPr>
        <w:shd w:val="clear" w:color="auto" w:fill="FFFFFF"/>
        <w:snapToGrid w:val="0"/>
        <w:spacing w:after="0" w:line="360" w:lineRule="auto"/>
        <w:jc w:val="both"/>
        <w:rPr>
          <w:rFonts w:ascii="Book Antiqua" w:eastAsia="SimSun" w:hAnsi="Book Antiqua" w:cs="Helvetica"/>
          <w:b/>
          <w:sz w:val="24"/>
          <w:szCs w:val="24"/>
          <w:lang w:val="en-US" w:eastAsia="zh-CN"/>
        </w:rPr>
      </w:pPr>
      <w:r w:rsidRPr="008630D1">
        <w:rPr>
          <w:rFonts w:ascii="Book Antiqua" w:eastAsia="SimSun" w:hAnsi="Book Antiqua" w:cs="Helvetica"/>
          <w:b/>
          <w:sz w:val="24"/>
          <w:szCs w:val="24"/>
          <w:lang w:val="en-US" w:eastAsia="zh-CN"/>
        </w:rPr>
        <w:t xml:space="preserve">Country of origin: </w:t>
      </w:r>
      <w:r w:rsidRPr="008630D1">
        <w:rPr>
          <w:rFonts w:ascii="Book Antiqua" w:eastAsia="SimSun" w:hAnsi="Book Antiqua" w:cs="Helvetica"/>
          <w:sz w:val="24"/>
          <w:szCs w:val="24"/>
          <w:lang w:val="en-CA" w:eastAsia="zh-CN"/>
        </w:rPr>
        <w:t>Italy</w:t>
      </w:r>
    </w:p>
    <w:p w:rsidR="008630D1" w:rsidRPr="008630D1" w:rsidRDefault="008630D1" w:rsidP="008630D1">
      <w:pPr>
        <w:shd w:val="clear" w:color="auto" w:fill="FFFFFF"/>
        <w:snapToGrid w:val="0"/>
        <w:spacing w:after="0" w:line="360" w:lineRule="auto"/>
        <w:jc w:val="both"/>
        <w:rPr>
          <w:rFonts w:ascii="Book Antiqua" w:eastAsia="SimSun" w:hAnsi="Book Antiqua" w:cs="Helvetica"/>
          <w:b/>
          <w:sz w:val="24"/>
          <w:szCs w:val="24"/>
          <w:lang w:val="en-US" w:eastAsia="zh-CN"/>
        </w:rPr>
      </w:pPr>
      <w:r w:rsidRPr="008630D1">
        <w:rPr>
          <w:rFonts w:ascii="Book Antiqua" w:eastAsia="SimSun" w:hAnsi="Book Antiqua" w:cs="Helvetica"/>
          <w:b/>
          <w:sz w:val="24"/>
          <w:szCs w:val="24"/>
          <w:lang w:val="en-US" w:eastAsia="zh-CN"/>
        </w:rPr>
        <w:t>Peer-review report classification</w:t>
      </w:r>
    </w:p>
    <w:p w:rsidR="008630D1" w:rsidRPr="008630D1" w:rsidRDefault="008630D1" w:rsidP="008630D1">
      <w:pPr>
        <w:shd w:val="clear" w:color="auto" w:fill="FFFFFF"/>
        <w:snapToGrid w:val="0"/>
        <w:spacing w:after="0" w:line="360" w:lineRule="auto"/>
        <w:jc w:val="both"/>
        <w:rPr>
          <w:rFonts w:ascii="Book Antiqua" w:eastAsia="SimSun" w:hAnsi="Book Antiqua" w:cs="Helvetica"/>
          <w:sz w:val="24"/>
          <w:szCs w:val="24"/>
          <w:lang w:val="en-US" w:eastAsia="zh-CN"/>
        </w:rPr>
      </w:pPr>
      <w:r w:rsidRPr="008630D1">
        <w:rPr>
          <w:rFonts w:ascii="Book Antiqua" w:eastAsia="SimSun" w:hAnsi="Book Antiqua" w:cs="Helvetica"/>
          <w:sz w:val="24"/>
          <w:szCs w:val="24"/>
          <w:lang w:val="en-US" w:eastAsia="zh-CN"/>
        </w:rPr>
        <w:lastRenderedPageBreak/>
        <w:t xml:space="preserve">Grade A (Excellent): </w:t>
      </w:r>
      <w:r w:rsidRPr="008630D1">
        <w:rPr>
          <w:rFonts w:ascii="Book Antiqua" w:eastAsia="SimSun" w:hAnsi="Book Antiqua" w:cs="Helvetica" w:hint="eastAsia"/>
          <w:sz w:val="24"/>
          <w:szCs w:val="24"/>
          <w:lang w:val="en-US" w:eastAsia="zh-CN"/>
        </w:rPr>
        <w:t>0</w:t>
      </w:r>
    </w:p>
    <w:p w:rsidR="008630D1" w:rsidRPr="008630D1" w:rsidRDefault="008630D1" w:rsidP="008630D1">
      <w:pPr>
        <w:shd w:val="clear" w:color="auto" w:fill="FFFFFF"/>
        <w:snapToGrid w:val="0"/>
        <w:spacing w:after="0" w:line="360" w:lineRule="auto"/>
        <w:jc w:val="both"/>
        <w:rPr>
          <w:rFonts w:ascii="Book Antiqua" w:eastAsia="SimSun" w:hAnsi="Book Antiqua" w:cs="Helvetica"/>
          <w:sz w:val="24"/>
          <w:szCs w:val="24"/>
          <w:lang w:val="en-US" w:eastAsia="zh-CN"/>
        </w:rPr>
      </w:pPr>
      <w:r w:rsidRPr="008630D1">
        <w:rPr>
          <w:rFonts w:ascii="Book Antiqua" w:eastAsia="SimSun" w:hAnsi="Book Antiqua" w:cs="Helvetica"/>
          <w:sz w:val="24"/>
          <w:szCs w:val="24"/>
          <w:lang w:val="en-US" w:eastAsia="zh-CN"/>
        </w:rPr>
        <w:t xml:space="preserve">Grade B (Very good): </w:t>
      </w:r>
      <w:r w:rsidRPr="008630D1">
        <w:rPr>
          <w:rFonts w:ascii="Book Antiqua" w:eastAsia="SimSun" w:hAnsi="Book Antiqua" w:cs="Helvetica" w:hint="eastAsia"/>
          <w:sz w:val="24"/>
          <w:szCs w:val="24"/>
          <w:lang w:val="en-US" w:eastAsia="zh-CN"/>
        </w:rPr>
        <w:t>B</w:t>
      </w:r>
    </w:p>
    <w:p w:rsidR="008630D1" w:rsidRPr="008630D1" w:rsidRDefault="008630D1" w:rsidP="008630D1">
      <w:pPr>
        <w:shd w:val="clear" w:color="auto" w:fill="FFFFFF"/>
        <w:snapToGrid w:val="0"/>
        <w:spacing w:after="0" w:line="360" w:lineRule="auto"/>
        <w:jc w:val="both"/>
        <w:rPr>
          <w:rFonts w:ascii="Book Antiqua" w:eastAsia="SimSun" w:hAnsi="Book Antiqua" w:cs="Helvetica"/>
          <w:sz w:val="24"/>
          <w:szCs w:val="24"/>
          <w:lang w:val="en-US" w:eastAsia="zh-CN"/>
        </w:rPr>
      </w:pPr>
      <w:r w:rsidRPr="008630D1">
        <w:rPr>
          <w:rFonts w:ascii="Book Antiqua" w:eastAsia="SimSun" w:hAnsi="Book Antiqua" w:cs="Helvetica"/>
          <w:sz w:val="24"/>
          <w:szCs w:val="24"/>
          <w:lang w:val="en-US" w:eastAsia="zh-CN"/>
        </w:rPr>
        <w:t xml:space="preserve">Grade C (Good): </w:t>
      </w:r>
      <w:r w:rsidRPr="008630D1">
        <w:rPr>
          <w:rFonts w:ascii="Book Antiqua" w:eastAsia="SimSun" w:hAnsi="Book Antiqua" w:cs="Helvetica" w:hint="eastAsia"/>
          <w:sz w:val="24"/>
          <w:szCs w:val="24"/>
          <w:lang w:val="en-US" w:eastAsia="zh-CN"/>
        </w:rPr>
        <w:t>0</w:t>
      </w:r>
    </w:p>
    <w:p w:rsidR="008630D1" w:rsidRPr="008630D1" w:rsidRDefault="008630D1" w:rsidP="008630D1">
      <w:pPr>
        <w:shd w:val="clear" w:color="auto" w:fill="FFFFFF"/>
        <w:snapToGrid w:val="0"/>
        <w:spacing w:after="0" w:line="360" w:lineRule="auto"/>
        <w:jc w:val="both"/>
        <w:rPr>
          <w:rFonts w:ascii="Book Antiqua" w:eastAsia="SimSun" w:hAnsi="Book Antiqua" w:cs="Helvetica"/>
          <w:sz w:val="24"/>
          <w:szCs w:val="24"/>
          <w:lang w:val="en-US" w:eastAsia="zh-CN"/>
        </w:rPr>
      </w:pPr>
      <w:r w:rsidRPr="008630D1">
        <w:rPr>
          <w:rFonts w:ascii="Book Antiqua" w:eastAsia="SimSun" w:hAnsi="Book Antiqua" w:cs="Helvetica"/>
          <w:sz w:val="24"/>
          <w:szCs w:val="24"/>
          <w:lang w:val="en-US" w:eastAsia="zh-CN"/>
        </w:rPr>
        <w:t xml:space="preserve">Grade D (Fair): </w:t>
      </w:r>
      <w:r w:rsidRPr="008630D1">
        <w:rPr>
          <w:rFonts w:ascii="Book Antiqua" w:eastAsia="SimSun" w:hAnsi="Book Antiqua" w:cs="Helvetica" w:hint="eastAsia"/>
          <w:sz w:val="24"/>
          <w:szCs w:val="24"/>
          <w:lang w:val="en-US" w:eastAsia="zh-CN"/>
        </w:rPr>
        <w:t>0</w:t>
      </w:r>
    </w:p>
    <w:p w:rsidR="008630D1" w:rsidRPr="008630D1" w:rsidRDefault="008630D1" w:rsidP="008630D1">
      <w:pPr>
        <w:shd w:val="clear" w:color="auto" w:fill="FFFFFF"/>
        <w:snapToGrid w:val="0"/>
        <w:spacing w:after="0" w:line="360" w:lineRule="auto"/>
        <w:jc w:val="both"/>
        <w:rPr>
          <w:rFonts w:ascii="Book Antiqua" w:eastAsia="SimSun" w:hAnsi="Book Antiqua" w:cs="Helvetica"/>
          <w:sz w:val="24"/>
          <w:szCs w:val="24"/>
          <w:lang w:val="en-US" w:eastAsia="zh-CN"/>
        </w:rPr>
      </w:pPr>
      <w:r w:rsidRPr="008630D1">
        <w:rPr>
          <w:rFonts w:ascii="Book Antiqua" w:eastAsia="SimSun" w:hAnsi="Book Antiqua" w:cs="Helvetica"/>
          <w:sz w:val="24"/>
          <w:szCs w:val="24"/>
          <w:lang w:val="en-US" w:eastAsia="zh-CN"/>
        </w:rPr>
        <w:t xml:space="preserve">Grade E (Poor): </w:t>
      </w:r>
      <w:r w:rsidRPr="008630D1">
        <w:rPr>
          <w:rFonts w:ascii="Book Antiqua" w:eastAsia="SimSun" w:hAnsi="Book Antiqua" w:cs="Helvetica" w:hint="eastAsia"/>
          <w:sz w:val="24"/>
          <w:szCs w:val="24"/>
          <w:lang w:val="en-US" w:eastAsia="zh-CN"/>
        </w:rPr>
        <w:t>0</w:t>
      </w:r>
      <w:bookmarkEnd w:id="159"/>
      <w:bookmarkEnd w:id="160"/>
      <w:bookmarkEnd w:id="161"/>
      <w:bookmarkEnd w:id="162"/>
      <w:bookmarkEnd w:id="163"/>
      <w:bookmarkEnd w:id="164"/>
    </w:p>
    <w:p w:rsidR="004A4B97" w:rsidRPr="00CC6129" w:rsidRDefault="004A4B97" w:rsidP="0010680C">
      <w:pPr>
        <w:snapToGrid w:val="0"/>
        <w:spacing w:after="0" w:line="360" w:lineRule="auto"/>
        <w:jc w:val="both"/>
        <w:rPr>
          <w:rFonts w:ascii="Book Antiqua" w:hAnsi="Book Antiqua"/>
          <w:b/>
          <w:sz w:val="24"/>
          <w:szCs w:val="24"/>
          <w:lang w:val="en-US"/>
        </w:rPr>
      </w:pPr>
      <w:r w:rsidRPr="00CC6129">
        <w:rPr>
          <w:rFonts w:ascii="Book Antiqua" w:hAnsi="Book Antiqua"/>
          <w:b/>
          <w:sz w:val="24"/>
          <w:szCs w:val="24"/>
          <w:lang w:val="en-US"/>
        </w:rPr>
        <w:br w:type="page"/>
      </w:r>
    </w:p>
    <w:p w:rsidR="004A4B97" w:rsidRPr="0064421C" w:rsidRDefault="004A4B97" w:rsidP="0010680C">
      <w:pPr>
        <w:tabs>
          <w:tab w:val="left" w:pos="1080"/>
        </w:tabs>
        <w:snapToGrid w:val="0"/>
        <w:spacing w:after="0" w:line="360" w:lineRule="auto"/>
        <w:jc w:val="both"/>
        <w:rPr>
          <w:rFonts w:ascii="Book Antiqua" w:hAnsi="Book Antiqua"/>
          <w:b/>
          <w:sz w:val="24"/>
          <w:szCs w:val="24"/>
          <w:lang w:val="en-US" w:eastAsia="zh-CN"/>
        </w:rPr>
      </w:pPr>
      <w:r w:rsidRPr="0064421C">
        <w:rPr>
          <w:rFonts w:ascii="Book Antiqua" w:hAnsi="Book Antiqua"/>
          <w:b/>
          <w:sz w:val="24"/>
          <w:szCs w:val="24"/>
          <w:lang w:val="en-US"/>
        </w:rPr>
        <w:lastRenderedPageBreak/>
        <w:t>Table 1</w:t>
      </w:r>
      <w:r w:rsidR="0064421C" w:rsidRPr="0064421C">
        <w:rPr>
          <w:rFonts w:ascii="Book Antiqua" w:hAnsi="Book Antiqua" w:hint="eastAsia"/>
          <w:b/>
          <w:sz w:val="24"/>
          <w:szCs w:val="24"/>
          <w:lang w:val="en-US" w:eastAsia="zh-CN"/>
        </w:rPr>
        <w:t xml:space="preserve"> </w:t>
      </w:r>
      <w:r w:rsidRPr="0064421C">
        <w:rPr>
          <w:rFonts w:ascii="Book Antiqua" w:hAnsi="Book Antiqua"/>
          <w:b/>
          <w:sz w:val="24"/>
          <w:szCs w:val="24"/>
          <w:lang w:val="en-US"/>
        </w:rPr>
        <w:t>Patients’ characteristics</w:t>
      </w:r>
      <w:r w:rsidR="00516136">
        <w:rPr>
          <w:rFonts w:ascii="Book Antiqua" w:hAnsi="Book Antiqua" w:hint="eastAsia"/>
          <w:b/>
          <w:sz w:val="24"/>
          <w:szCs w:val="24"/>
          <w:lang w:val="en-US" w:eastAsia="zh-CN"/>
        </w:rPr>
        <w:t xml:space="preserve"> </w:t>
      </w:r>
      <w:r w:rsidR="00516136" w:rsidRPr="00516136">
        <w:rPr>
          <w:rFonts w:ascii="Book Antiqua" w:hAnsi="Book Antiqua" w:hint="eastAsia"/>
          <w:b/>
          <w:i/>
          <w:sz w:val="24"/>
          <w:szCs w:val="24"/>
          <w:lang w:val="en-US" w:eastAsia="zh-CN"/>
        </w:rPr>
        <w:t>n</w:t>
      </w:r>
      <w:r w:rsidR="00516136">
        <w:rPr>
          <w:rFonts w:ascii="Book Antiqua" w:hAnsi="Book Antiqua" w:hint="eastAsia"/>
          <w:b/>
          <w:sz w:val="24"/>
          <w:szCs w:val="24"/>
          <w:lang w:val="en-US" w:eastAsia="zh-CN"/>
        </w:rPr>
        <w:t xml:space="preserve"> (%)</w:t>
      </w:r>
    </w:p>
    <w:tbl>
      <w:tblPr>
        <w:tblW w:w="8748" w:type="dxa"/>
        <w:tblBorders>
          <w:top w:val="single" w:sz="8" w:space="0" w:color="auto"/>
          <w:bottom w:val="single" w:sz="8" w:space="0" w:color="auto"/>
        </w:tblBorders>
        <w:tblLook w:val="0000" w:firstRow="0" w:lastRow="0" w:firstColumn="0" w:lastColumn="0" w:noHBand="0" w:noVBand="0"/>
      </w:tblPr>
      <w:tblGrid>
        <w:gridCol w:w="5353"/>
        <w:gridCol w:w="3395"/>
      </w:tblGrid>
      <w:tr w:rsidR="00516136" w:rsidTr="00090263">
        <w:trPr>
          <w:trHeight w:val="100"/>
        </w:trPr>
        <w:tc>
          <w:tcPr>
            <w:tcW w:w="5353" w:type="dxa"/>
            <w:tcBorders>
              <w:top w:val="single" w:sz="8" w:space="0" w:color="auto"/>
              <w:bottom w:val="single" w:sz="8" w:space="0" w:color="auto"/>
            </w:tcBorders>
          </w:tcPr>
          <w:p w:rsidR="00516136" w:rsidRDefault="00403934" w:rsidP="00516136">
            <w:pPr>
              <w:snapToGrid w:val="0"/>
              <w:spacing w:after="0" w:line="360" w:lineRule="auto"/>
              <w:jc w:val="both"/>
              <w:rPr>
                <w:rFonts w:ascii="Book Antiqua" w:hAnsi="Book Antiqua"/>
                <w:sz w:val="24"/>
                <w:szCs w:val="24"/>
                <w:lang w:val="en-US"/>
              </w:rPr>
            </w:pPr>
            <w:r w:rsidRPr="00403934">
              <w:rPr>
                <w:rFonts w:ascii="Book Antiqua" w:hAnsi="Book Antiqua"/>
                <w:b/>
                <w:caps/>
                <w:sz w:val="24"/>
                <w:szCs w:val="24"/>
                <w:lang w:val="en-US"/>
              </w:rPr>
              <w:t>c</w:t>
            </w:r>
            <w:r w:rsidRPr="0064421C">
              <w:rPr>
                <w:rFonts w:ascii="Book Antiqua" w:hAnsi="Book Antiqua"/>
                <w:b/>
                <w:sz w:val="24"/>
                <w:szCs w:val="24"/>
                <w:lang w:val="en-US"/>
              </w:rPr>
              <w:t>haracteristics</w:t>
            </w:r>
          </w:p>
        </w:tc>
        <w:tc>
          <w:tcPr>
            <w:tcW w:w="3395" w:type="dxa"/>
            <w:tcBorders>
              <w:top w:val="single" w:sz="8" w:space="0" w:color="auto"/>
              <w:bottom w:val="single" w:sz="8" w:space="0" w:color="auto"/>
            </w:tcBorders>
          </w:tcPr>
          <w:p w:rsidR="00516136" w:rsidRPr="00516136" w:rsidRDefault="00516136" w:rsidP="00516136">
            <w:pPr>
              <w:snapToGrid w:val="0"/>
              <w:spacing w:after="0" w:line="360" w:lineRule="auto"/>
              <w:jc w:val="center"/>
              <w:rPr>
                <w:rFonts w:ascii="Book Antiqua" w:hAnsi="Book Antiqua"/>
                <w:b/>
                <w:sz w:val="24"/>
                <w:szCs w:val="24"/>
                <w:lang w:val="en-US" w:eastAsia="zh-CN"/>
              </w:rPr>
            </w:pPr>
            <w:r w:rsidRPr="00516136">
              <w:rPr>
                <w:rFonts w:ascii="Book Antiqua" w:hAnsi="Book Antiqua" w:hint="eastAsia"/>
                <w:b/>
                <w:caps/>
                <w:sz w:val="24"/>
                <w:szCs w:val="24"/>
                <w:lang w:val="en-US" w:eastAsia="zh-CN"/>
              </w:rPr>
              <w:t>v</w:t>
            </w:r>
            <w:r w:rsidRPr="00516136">
              <w:rPr>
                <w:rFonts w:ascii="Book Antiqua" w:hAnsi="Book Antiqua" w:hint="eastAsia"/>
                <w:b/>
                <w:sz w:val="24"/>
                <w:szCs w:val="24"/>
                <w:lang w:val="en-US" w:eastAsia="zh-CN"/>
              </w:rPr>
              <w:t>alue</w:t>
            </w:r>
          </w:p>
        </w:tc>
      </w:tr>
      <w:tr w:rsidR="0064421C" w:rsidRPr="00CC6129" w:rsidTr="00090263">
        <w:tblPrEx>
          <w:tblLook w:val="01E0" w:firstRow="1" w:lastRow="1" w:firstColumn="1" w:lastColumn="1" w:noHBand="0" w:noVBand="0"/>
        </w:tblPrEx>
        <w:tc>
          <w:tcPr>
            <w:tcW w:w="5353" w:type="dxa"/>
            <w:tcBorders>
              <w:top w:val="single" w:sz="8" w:space="0" w:color="auto"/>
            </w:tcBorders>
          </w:tcPr>
          <w:p w:rsidR="004A4B97" w:rsidRPr="00516136" w:rsidRDefault="00516136" w:rsidP="00516136">
            <w:pPr>
              <w:snapToGrid w:val="0"/>
              <w:spacing w:after="0" w:line="360" w:lineRule="auto"/>
              <w:jc w:val="both"/>
              <w:rPr>
                <w:rFonts w:ascii="Book Antiqua" w:hAnsi="Book Antiqua"/>
                <w:sz w:val="24"/>
                <w:szCs w:val="24"/>
                <w:lang w:val="en-US"/>
              </w:rPr>
            </w:pPr>
            <w:r w:rsidRPr="00516136">
              <w:rPr>
                <w:rFonts w:ascii="Book Antiqua" w:hAnsi="Book Antiqua"/>
                <w:sz w:val="24"/>
                <w:szCs w:val="24"/>
                <w:lang w:val="en-US"/>
              </w:rPr>
              <w:t>Age (yr</w:t>
            </w:r>
            <w:r w:rsidR="004A4B97" w:rsidRPr="00516136">
              <w:rPr>
                <w:rFonts w:ascii="Book Antiqua" w:hAnsi="Book Antiqua"/>
                <w:sz w:val="24"/>
                <w:szCs w:val="24"/>
                <w:lang w:val="en-US"/>
              </w:rPr>
              <w:t>), mean ± SD (range)</w:t>
            </w:r>
          </w:p>
        </w:tc>
        <w:tc>
          <w:tcPr>
            <w:tcW w:w="3395" w:type="dxa"/>
            <w:tcBorders>
              <w:top w:val="single" w:sz="8" w:space="0" w:color="auto"/>
            </w:tcBorders>
          </w:tcPr>
          <w:p w:rsidR="004A4B97" w:rsidRPr="00CC6129" w:rsidRDefault="004A4B97" w:rsidP="00516136">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65 ± 10 (30</w:t>
            </w:r>
            <w:r w:rsidR="00516136">
              <w:rPr>
                <w:rFonts w:ascii="Book Antiqua" w:hAnsi="Book Antiqua" w:hint="eastAsia"/>
                <w:sz w:val="24"/>
                <w:szCs w:val="24"/>
                <w:lang w:val="en-US" w:eastAsia="zh-CN"/>
              </w:rPr>
              <w:t>-</w:t>
            </w:r>
            <w:r w:rsidRPr="00CC6129">
              <w:rPr>
                <w:rFonts w:ascii="Book Antiqua" w:hAnsi="Book Antiqua"/>
                <w:sz w:val="24"/>
                <w:szCs w:val="24"/>
                <w:lang w:val="en-US"/>
              </w:rPr>
              <w:t>85)</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jc w:val="both"/>
              <w:rPr>
                <w:rFonts w:ascii="Book Antiqua" w:hAnsi="Book Antiqua"/>
                <w:sz w:val="24"/>
                <w:szCs w:val="24"/>
                <w:lang w:val="en-US"/>
              </w:rPr>
            </w:pPr>
            <w:r w:rsidRPr="00516136">
              <w:rPr>
                <w:rFonts w:ascii="Book Antiqua" w:hAnsi="Book Antiqua"/>
                <w:sz w:val="24"/>
                <w:szCs w:val="24"/>
                <w:lang w:val="en-US"/>
              </w:rPr>
              <w:t>Gender</w:t>
            </w:r>
          </w:p>
        </w:tc>
        <w:tc>
          <w:tcPr>
            <w:tcW w:w="3395" w:type="dxa"/>
          </w:tcPr>
          <w:p w:rsidR="004A4B97" w:rsidRPr="00CC6129" w:rsidRDefault="004A4B97" w:rsidP="00516136">
            <w:pPr>
              <w:snapToGrid w:val="0"/>
              <w:spacing w:after="0" w:line="360" w:lineRule="auto"/>
              <w:jc w:val="center"/>
              <w:rPr>
                <w:rFonts w:ascii="Book Antiqua" w:hAnsi="Book Antiqua"/>
                <w:sz w:val="24"/>
                <w:szCs w:val="24"/>
                <w:lang w:val="en-US"/>
              </w:rPr>
            </w:pP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Male</w:t>
            </w:r>
          </w:p>
        </w:tc>
        <w:tc>
          <w:tcPr>
            <w:tcW w:w="3395" w:type="dxa"/>
          </w:tcPr>
          <w:p w:rsidR="004A4B97" w:rsidRPr="00CC6129" w:rsidRDefault="004A4B97" w:rsidP="00516136">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19</w:t>
            </w:r>
            <w:r w:rsidR="002031DD" w:rsidRPr="00CC6129">
              <w:rPr>
                <w:rFonts w:ascii="Book Antiqua" w:hAnsi="Book Antiqua"/>
                <w:sz w:val="24"/>
                <w:szCs w:val="24"/>
                <w:lang w:val="en-US"/>
              </w:rPr>
              <w:t>7</w:t>
            </w:r>
            <w:r w:rsidR="00516136">
              <w:rPr>
                <w:rFonts w:ascii="Book Antiqua" w:hAnsi="Book Antiqua"/>
                <w:sz w:val="24"/>
                <w:szCs w:val="24"/>
                <w:lang w:val="en-US"/>
              </w:rPr>
              <w:t xml:space="preserve"> (58</w:t>
            </w:r>
            <w:r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Female</w:t>
            </w:r>
          </w:p>
        </w:tc>
        <w:tc>
          <w:tcPr>
            <w:tcW w:w="3395" w:type="dxa"/>
          </w:tcPr>
          <w:p w:rsidR="004A4B97" w:rsidRPr="00CC6129" w:rsidRDefault="004A4B97" w:rsidP="00516136">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14</w:t>
            </w:r>
            <w:r w:rsidR="002031DD" w:rsidRPr="00CC6129">
              <w:rPr>
                <w:rFonts w:ascii="Book Antiqua" w:hAnsi="Book Antiqua"/>
                <w:sz w:val="24"/>
                <w:szCs w:val="24"/>
                <w:lang w:val="en-US"/>
              </w:rPr>
              <w:t>5</w:t>
            </w:r>
            <w:r w:rsidR="00516136">
              <w:rPr>
                <w:rFonts w:ascii="Book Antiqua" w:hAnsi="Book Antiqua"/>
                <w:sz w:val="24"/>
                <w:szCs w:val="24"/>
                <w:lang w:val="en-US"/>
              </w:rPr>
              <w:t xml:space="preserve"> (42</w:t>
            </w:r>
            <w:r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jc w:val="both"/>
              <w:rPr>
                <w:rFonts w:ascii="Book Antiqua" w:hAnsi="Book Antiqua"/>
                <w:sz w:val="24"/>
                <w:szCs w:val="24"/>
                <w:lang w:val="en-US"/>
              </w:rPr>
            </w:pPr>
            <w:r w:rsidRPr="00516136">
              <w:rPr>
                <w:rFonts w:ascii="Book Antiqua" w:hAnsi="Book Antiqua"/>
                <w:sz w:val="24"/>
                <w:szCs w:val="24"/>
                <w:lang w:val="en-US"/>
              </w:rPr>
              <w:t>Length of Follow-up (mo), median (IQR)</w:t>
            </w:r>
          </w:p>
        </w:tc>
        <w:tc>
          <w:tcPr>
            <w:tcW w:w="3395" w:type="dxa"/>
          </w:tcPr>
          <w:p w:rsidR="004A4B97" w:rsidRPr="00CC6129" w:rsidRDefault="004A4B97" w:rsidP="00516136">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11 (6</w:t>
            </w:r>
            <w:r w:rsidR="00516136">
              <w:rPr>
                <w:rFonts w:ascii="Book Antiqua" w:hAnsi="Book Antiqua" w:hint="eastAsia"/>
                <w:sz w:val="24"/>
                <w:szCs w:val="24"/>
                <w:lang w:val="en-US" w:eastAsia="zh-CN"/>
              </w:rPr>
              <w:t>-</w:t>
            </w:r>
            <w:r w:rsidRPr="00CC6129">
              <w:rPr>
                <w:rFonts w:ascii="Book Antiqua" w:hAnsi="Book Antiqua"/>
                <w:sz w:val="24"/>
                <w:szCs w:val="24"/>
                <w:lang w:val="en-US"/>
              </w:rPr>
              <w:t>24)</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jc w:val="both"/>
              <w:rPr>
                <w:rFonts w:ascii="Book Antiqua" w:hAnsi="Book Antiqua"/>
                <w:sz w:val="24"/>
                <w:szCs w:val="24"/>
                <w:lang w:val="en-US"/>
              </w:rPr>
            </w:pPr>
            <w:r w:rsidRPr="00516136">
              <w:rPr>
                <w:rFonts w:ascii="Book Antiqua" w:hAnsi="Book Antiqua"/>
                <w:sz w:val="24"/>
                <w:szCs w:val="24"/>
                <w:lang w:val="en-US"/>
              </w:rPr>
              <w:t>Venous thromboembolism</w:t>
            </w:r>
          </w:p>
        </w:tc>
        <w:tc>
          <w:tcPr>
            <w:tcW w:w="3395" w:type="dxa"/>
          </w:tcPr>
          <w:p w:rsidR="004A4B97" w:rsidRPr="00CC6129" w:rsidRDefault="004A4B97" w:rsidP="00516136">
            <w:pPr>
              <w:snapToGrid w:val="0"/>
              <w:spacing w:after="0" w:line="360" w:lineRule="auto"/>
              <w:jc w:val="center"/>
              <w:rPr>
                <w:rFonts w:ascii="Book Antiqua" w:hAnsi="Book Antiqua"/>
                <w:sz w:val="24"/>
                <w:szCs w:val="24"/>
                <w:lang w:val="en-US"/>
              </w:rPr>
            </w:pP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Pulmonary embolism</w:t>
            </w:r>
          </w:p>
        </w:tc>
        <w:tc>
          <w:tcPr>
            <w:tcW w:w="3395" w:type="dxa"/>
          </w:tcPr>
          <w:p w:rsidR="004A4B97" w:rsidRPr="00CC6129" w:rsidRDefault="002031DD" w:rsidP="00516136">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9 (2.6</w:t>
            </w:r>
            <w:r w:rsidR="004A4B97"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Deep venous thrombosis</w:t>
            </w:r>
          </w:p>
        </w:tc>
        <w:tc>
          <w:tcPr>
            <w:tcW w:w="3395" w:type="dxa"/>
          </w:tcPr>
          <w:p w:rsidR="004A4B97" w:rsidRPr="00CC6129" w:rsidRDefault="004A4B97" w:rsidP="00516136">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2</w:t>
            </w:r>
            <w:r w:rsidR="002031DD" w:rsidRPr="00CC6129">
              <w:rPr>
                <w:rFonts w:ascii="Book Antiqua" w:hAnsi="Book Antiqua"/>
                <w:sz w:val="24"/>
                <w:szCs w:val="24"/>
                <w:lang w:val="en-US"/>
              </w:rPr>
              <w:t>2 (6.4</w:t>
            </w:r>
            <w:r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 xml:space="preserve">Portal </w:t>
            </w:r>
            <w:r w:rsidR="00AA1E22" w:rsidRPr="00516136">
              <w:rPr>
                <w:rFonts w:ascii="Book Antiqua" w:hAnsi="Book Antiqua"/>
                <w:sz w:val="24"/>
                <w:szCs w:val="24"/>
                <w:lang w:val="en-US"/>
              </w:rPr>
              <w:t xml:space="preserve">vein </w:t>
            </w:r>
            <w:r w:rsidRPr="00516136">
              <w:rPr>
                <w:rFonts w:ascii="Book Antiqua" w:hAnsi="Book Antiqua"/>
                <w:sz w:val="24"/>
                <w:szCs w:val="24"/>
                <w:lang w:val="en-US"/>
              </w:rPr>
              <w:t>thrombosis</w:t>
            </w:r>
          </w:p>
        </w:tc>
        <w:tc>
          <w:tcPr>
            <w:tcW w:w="3395" w:type="dxa"/>
          </w:tcPr>
          <w:p w:rsidR="004A4B97" w:rsidRPr="00CC6129" w:rsidRDefault="00516136" w:rsidP="00516136">
            <w:pPr>
              <w:snapToGrid w:val="0"/>
              <w:spacing w:after="0" w:line="360" w:lineRule="auto"/>
              <w:jc w:val="center"/>
              <w:rPr>
                <w:rFonts w:ascii="Book Antiqua" w:hAnsi="Book Antiqua"/>
                <w:sz w:val="24"/>
                <w:szCs w:val="24"/>
                <w:lang w:val="en-US"/>
              </w:rPr>
            </w:pPr>
            <w:r>
              <w:rPr>
                <w:rFonts w:ascii="Book Antiqua" w:hAnsi="Book Antiqua"/>
                <w:sz w:val="24"/>
                <w:szCs w:val="24"/>
                <w:lang w:val="en-US"/>
              </w:rPr>
              <w:t>2 (0.6</w:t>
            </w:r>
            <w:r w:rsidR="004A4B97"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Port-a-Cath</w:t>
            </w:r>
          </w:p>
        </w:tc>
        <w:tc>
          <w:tcPr>
            <w:tcW w:w="3395" w:type="dxa"/>
          </w:tcPr>
          <w:p w:rsidR="004A4B97" w:rsidRPr="00CC6129" w:rsidRDefault="00516136" w:rsidP="00516136">
            <w:pPr>
              <w:snapToGrid w:val="0"/>
              <w:spacing w:after="0" w:line="360" w:lineRule="auto"/>
              <w:jc w:val="center"/>
              <w:rPr>
                <w:rFonts w:ascii="Book Antiqua" w:hAnsi="Book Antiqua"/>
                <w:sz w:val="24"/>
                <w:szCs w:val="24"/>
                <w:lang w:val="en-US"/>
              </w:rPr>
            </w:pPr>
            <w:r>
              <w:rPr>
                <w:rFonts w:ascii="Book Antiqua" w:hAnsi="Book Antiqua"/>
                <w:sz w:val="24"/>
                <w:szCs w:val="24"/>
                <w:lang w:val="en-US"/>
              </w:rPr>
              <w:t>1 (0.3</w:t>
            </w:r>
            <w:r w:rsidR="004A4B97"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Cumulative frequency</w:t>
            </w:r>
          </w:p>
        </w:tc>
        <w:tc>
          <w:tcPr>
            <w:tcW w:w="3395" w:type="dxa"/>
          </w:tcPr>
          <w:p w:rsidR="004A4B97" w:rsidRPr="00CC6129" w:rsidRDefault="004A4B97" w:rsidP="00516136">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3</w:t>
            </w:r>
            <w:r w:rsidR="002031DD" w:rsidRPr="00CC6129">
              <w:rPr>
                <w:rFonts w:ascii="Book Antiqua" w:hAnsi="Book Antiqua"/>
                <w:sz w:val="24"/>
                <w:szCs w:val="24"/>
                <w:lang w:val="en-US"/>
              </w:rPr>
              <w:t>4 (9.9</w:t>
            </w:r>
            <w:r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jc w:val="both"/>
              <w:rPr>
                <w:rFonts w:ascii="Book Antiqua" w:hAnsi="Book Antiqua"/>
                <w:sz w:val="24"/>
                <w:szCs w:val="24"/>
                <w:lang w:val="en-US"/>
              </w:rPr>
            </w:pPr>
            <w:r w:rsidRPr="00516136">
              <w:rPr>
                <w:rFonts w:ascii="Book Antiqua" w:hAnsi="Book Antiqua"/>
                <w:sz w:val="24"/>
                <w:szCs w:val="24"/>
                <w:lang w:val="en-US"/>
              </w:rPr>
              <w:t>Khorana Class of risk</w:t>
            </w:r>
          </w:p>
        </w:tc>
        <w:tc>
          <w:tcPr>
            <w:tcW w:w="3395" w:type="dxa"/>
          </w:tcPr>
          <w:p w:rsidR="004A4B97" w:rsidRPr="00CC6129" w:rsidRDefault="004A4B97" w:rsidP="00516136">
            <w:pPr>
              <w:snapToGrid w:val="0"/>
              <w:spacing w:after="0" w:line="360" w:lineRule="auto"/>
              <w:jc w:val="center"/>
              <w:rPr>
                <w:rFonts w:ascii="Book Antiqua" w:hAnsi="Book Antiqua"/>
                <w:sz w:val="24"/>
                <w:szCs w:val="24"/>
                <w:lang w:val="en-US"/>
              </w:rPr>
            </w:pP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Low</w:t>
            </w:r>
          </w:p>
        </w:tc>
        <w:tc>
          <w:tcPr>
            <w:tcW w:w="3395" w:type="dxa"/>
          </w:tcPr>
          <w:p w:rsidR="004A4B97" w:rsidRPr="00CC6129" w:rsidRDefault="004A4B97" w:rsidP="00516136">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19</w:t>
            </w:r>
            <w:r w:rsidR="002031DD" w:rsidRPr="00CC6129">
              <w:rPr>
                <w:rFonts w:ascii="Book Antiqua" w:hAnsi="Book Antiqua"/>
                <w:sz w:val="24"/>
                <w:szCs w:val="24"/>
                <w:lang w:val="en-US"/>
              </w:rPr>
              <w:t>9</w:t>
            </w:r>
            <w:r w:rsidR="00516136">
              <w:rPr>
                <w:rFonts w:ascii="Book Antiqua" w:hAnsi="Book Antiqua"/>
                <w:sz w:val="24"/>
                <w:szCs w:val="24"/>
                <w:lang w:val="en-US"/>
              </w:rPr>
              <w:t xml:space="preserve"> (58</w:t>
            </w:r>
            <w:r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Intermediate</w:t>
            </w:r>
          </w:p>
        </w:tc>
        <w:tc>
          <w:tcPr>
            <w:tcW w:w="3395" w:type="dxa"/>
          </w:tcPr>
          <w:p w:rsidR="004A4B97" w:rsidRPr="00CC6129" w:rsidRDefault="00516136" w:rsidP="00516136">
            <w:pPr>
              <w:snapToGrid w:val="0"/>
              <w:spacing w:after="0" w:line="360" w:lineRule="auto"/>
              <w:jc w:val="center"/>
              <w:rPr>
                <w:rFonts w:ascii="Book Antiqua" w:hAnsi="Book Antiqua"/>
                <w:sz w:val="24"/>
                <w:szCs w:val="24"/>
                <w:lang w:val="en-US"/>
              </w:rPr>
            </w:pPr>
            <w:r>
              <w:rPr>
                <w:rFonts w:ascii="Book Antiqua" w:hAnsi="Book Antiqua"/>
                <w:sz w:val="24"/>
                <w:szCs w:val="24"/>
                <w:lang w:val="en-US"/>
              </w:rPr>
              <w:t>118 (35</w:t>
            </w:r>
            <w:r w:rsidR="004A4B97"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High</w:t>
            </w:r>
          </w:p>
        </w:tc>
        <w:tc>
          <w:tcPr>
            <w:tcW w:w="3395" w:type="dxa"/>
          </w:tcPr>
          <w:p w:rsidR="004A4B97" w:rsidRPr="00CC6129" w:rsidRDefault="00516136" w:rsidP="00516136">
            <w:pPr>
              <w:snapToGrid w:val="0"/>
              <w:spacing w:after="0" w:line="360" w:lineRule="auto"/>
              <w:jc w:val="center"/>
              <w:rPr>
                <w:rFonts w:ascii="Book Antiqua" w:hAnsi="Book Antiqua"/>
                <w:sz w:val="24"/>
                <w:szCs w:val="24"/>
                <w:lang w:val="en-US"/>
              </w:rPr>
            </w:pPr>
            <w:r>
              <w:rPr>
                <w:rFonts w:ascii="Book Antiqua" w:hAnsi="Book Antiqua"/>
                <w:sz w:val="24"/>
                <w:szCs w:val="24"/>
                <w:lang w:val="en-US"/>
              </w:rPr>
              <w:t>25 (7</w:t>
            </w:r>
            <w:r w:rsidR="004A4B97"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jc w:val="both"/>
              <w:rPr>
                <w:rFonts w:ascii="Book Antiqua" w:hAnsi="Book Antiqua"/>
                <w:sz w:val="24"/>
                <w:szCs w:val="24"/>
                <w:lang w:val="en-US"/>
              </w:rPr>
            </w:pPr>
            <w:r w:rsidRPr="00516136">
              <w:rPr>
                <w:rFonts w:ascii="Book Antiqua" w:hAnsi="Book Antiqua"/>
                <w:sz w:val="24"/>
                <w:szCs w:val="24"/>
                <w:lang w:val="en-US"/>
              </w:rPr>
              <w:t>Site of primary</w:t>
            </w:r>
          </w:p>
        </w:tc>
        <w:tc>
          <w:tcPr>
            <w:tcW w:w="3395" w:type="dxa"/>
          </w:tcPr>
          <w:p w:rsidR="004A4B97" w:rsidRPr="00CC6129" w:rsidRDefault="004A4B97" w:rsidP="00516136">
            <w:pPr>
              <w:snapToGrid w:val="0"/>
              <w:spacing w:after="0" w:line="360" w:lineRule="auto"/>
              <w:jc w:val="center"/>
              <w:rPr>
                <w:rFonts w:ascii="Book Antiqua" w:hAnsi="Book Antiqua"/>
                <w:sz w:val="24"/>
                <w:szCs w:val="24"/>
                <w:lang w:val="en-US"/>
              </w:rPr>
            </w:pP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Colon-rectum</w:t>
            </w:r>
          </w:p>
        </w:tc>
        <w:tc>
          <w:tcPr>
            <w:tcW w:w="3395" w:type="dxa"/>
          </w:tcPr>
          <w:p w:rsidR="004A4B97" w:rsidRPr="00CC6129" w:rsidRDefault="004A4B97" w:rsidP="00516136">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23</w:t>
            </w:r>
            <w:r w:rsidR="002031DD" w:rsidRPr="00CC6129">
              <w:rPr>
                <w:rFonts w:ascii="Book Antiqua" w:hAnsi="Book Antiqua"/>
                <w:sz w:val="24"/>
                <w:szCs w:val="24"/>
                <w:lang w:val="en-US"/>
              </w:rPr>
              <w:t>7</w:t>
            </w:r>
            <w:r w:rsidR="00516136">
              <w:rPr>
                <w:rFonts w:ascii="Book Antiqua" w:hAnsi="Book Antiqua"/>
                <w:sz w:val="24"/>
                <w:szCs w:val="24"/>
                <w:lang w:val="en-US"/>
              </w:rPr>
              <w:t xml:space="preserve"> (69</w:t>
            </w:r>
            <w:r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Stomach</w:t>
            </w:r>
          </w:p>
        </w:tc>
        <w:tc>
          <w:tcPr>
            <w:tcW w:w="3395" w:type="dxa"/>
          </w:tcPr>
          <w:p w:rsidR="004A4B97" w:rsidRPr="00CC6129" w:rsidRDefault="00516136" w:rsidP="00516136">
            <w:pPr>
              <w:snapToGrid w:val="0"/>
              <w:spacing w:after="0" w:line="360" w:lineRule="auto"/>
              <w:jc w:val="center"/>
              <w:rPr>
                <w:rFonts w:ascii="Book Antiqua" w:hAnsi="Book Antiqua"/>
                <w:sz w:val="24"/>
                <w:szCs w:val="24"/>
                <w:lang w:val="en-US"/>
              </w:rPr>
            </w:pPr>
            <w:r>
              <w:rPr>
                <w:rFonts w:ascii="Book Antiqua" w:hAnsi="Book Antiqua"/>
                <w:sz w:val="24"/>
                <w:szCs w:val="24"/>
                <w:lang w:val="en-US"/>
              </w:rPr>
              <w:t>38 (11</w:t>
            </w:r>
            <w:r w:rsidR="004A4B97"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Pancreas</w:t>
            </w:r>
          </w:p>
        </w:tc>
        <w:tc>
          <w:tcPr>
            <w:tcW w:w="3395" w:type="dxa"/>
          </w:tcPr>
          <w:p w:rsidR="004A4B97" w:rsidRPr="00CC6129" w:rsidRDefault="00516136" w:rsidP="00516136">
            <w:pPr>
              <w:snapToGrid w:val="0"/>
              <w:spacing w:after="0" w:line="360" w:lineRule="auto"/>
              <w:jc w:val="center"/>
              <w:rPr>
                <w:rFonts w:ascii="Book Antiqua" w:hAnsi="Book Antiqua"/>
                <w:sz w:val="24"/>
                <w:szCs w:val="24"/>
                <w:lang w:val="en-US"/>
              </w:rPr>
            </w:pPr>
            <w:r>
              <w:rPr>
                <w:rFonts w:ascii="Book Antiqua" w:hAnsi="Book Antiqua"/>
                <w:sz w:val="24"/>
                <w:szCs w:val="24"/>
                <w:lang w:val="en-US"/>
              </w:rPr>
              <w:t>36 (11</w:t>
            </w:r>
            <w:r w:rsidR="004A4B97"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Biliary tract</w:t>
            </w:r>
          </w:p>
        </w:tc>
        <w:tc>
          <w:tcPr>
            <w:tcW w:w="3395" w:type="dxa"/>
          </w:tcPr>
          <w:p w:rsidR="004A4B97" w:rsidRPr="00CC6129" w:rsidRDefault="004A4B97" w:rsidP="00516136">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 xml:space="preserve">16 </w:t>
            </w:r>
            <w:r w:rsidR="00516136">
              <w:rPr>
                <w:rFonts w:ascii="Book Antiqua" w:hAnsi="Book Antiqua"/>
                <w:sz w:val="24"/>
                <w:szCs w:val="24"/>
                <w:lang w:val="en-US"/>
              </w:rPr>
              <w:t>(5</w:t>
            </w:r>
            <w:r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Oesophagus</w:t>
            </w:r>
          </w:p>
        </w:tc>
        <w:tc>
          <w:tcPr>
            <w:tcW w:w="3395" w:type="dxa"/>
          </w:tcPr>
          <w:p w:rsidR="004A4B97" w:rsidRPr="00CC6129" w:rsidRDefault="00516136" w:rsidP="00516136">
            <w:pPr>
              <w:snapToGrid w:val="0"/>
              <w:spacing w:after="0" w:line="360" w:lineRule="auto"/>
              <w:jc w:val="center"/>
              <w:rPr>
                <w:rFonts w:ascii="Book Antiqua" w:hAnsi="Book Antiqua"/>
                <w:sz w:val="24"/>
                <w:szCs w:val="24"/>
                <w:lang w:val="en-US"/>
              </w:rPr>
            </w:pPr>
            <w:r>
              <w:rPr>
                <w:rFonts w:ascii="Book Antiqua" w:hAnsi="Book Antiqua"/>
                <w:sz w:val="24"/>
                <w:szCs w:val="24"/>
                <w:lang w:val="en-US"/>
              </w:rPr>
              <w:t>15 (4</w:t>
            </w:r>
            <w:r w:rsidR="004A4B97"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jc w:val="both"/>
              <w:rPr>
                <w:rFonts w:ascii="Book Antiqua" w:hAnsi="Book Antiqua"/>
                <w:sz w:val="24"/>
                <w:szCs w:val="24"/>
                <w:lang w:val="en-US"/>
              </w:rPr>
            </w:pPr>
            <w:r w:rsidRPr="00516136">
              <w:rPr>
                <w:rFonts w:ascii="Book Antiqua" w:hAnsi="Book Antiqua"/>
                <w:sz w:val="24"/>
                <w:szCs w:val="24"/>
                <w:lang w:val="en-US"/>
              </w:rPr>
              <w:t>Stage of disease</w:t>
            </w:r>
          </w:p>
        </w:tc>
        <w:tc>
          <w:tcPr>
            <w:tcW w:w="3395" w:type="dxa"/>
          </w:tcPr>
          <w:p w:rsidR="004A4B97" w:rsidRPr="00CC6129" w:rsidRDefault="004A4B97" w:rsidP="00516136">
            <w:pPr>
              <w:snapToGrid w:val="0"/>
              <w:spacing w:after="0" w:line="360" w:lineRule="auto"/>
              <w:jc w:val="center"/>
              <w:rPr>
                <w:rFonts w:ascii="Book Antiqua" w:hAnsi="Book Antiqua"/>
                <w:sz w:val="24"/>
                <w:szCs w:val="24"/>
                <w:lang w:val="en-US"/>
              </w:rPr>
            </w:pP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left="360"/>
              <w:jc w:val="both"/>
              <w:rPr>
                <w:rFonts w:ascii="Book Antiqua" w:hAnsi="Book Antiqua"/>
                <w:sz w:val="24"/>
                <w:szCs w:val="24"/>
                <w:lang w:val="en-US"/>
              </w:rPr>
            </w:pPr>
            <w:r w:rsidRPr="00516136">
              <w:rPr>
                <w:rFonts w:ascii="Book Antiqua" w:hAnsi="Book Antiqua"/>
                <w:sz w:val="24"/>
                <w:szCs w:val="24"/>
                <w:lang w:val="en-US"/>
              </w:rPr>
              <w:t>Primary</w:t>
            </w:r>
          </w:p>
        </w:tc>
        <w:tc>
          <w:tcPr>
            <w:tcW w:w="3395" w:type="dxa"/>
          </w:tcPr>
          <w:p w:rsidR="004A4B97" w:rsidRPr="00CC6129" w:rsidRDefault="00516136" w:rsidP="00516136">
            <w:pPr>
              <w:snapToGrid w:val="0"/>
              <w:spacing w:after="0" w:line="360" w:lineRule="auto"/>
              <w:jc w:val="center"/>
              <w:rPr>
                <w:rFonts w:ascii="Book Antiqua" w:hAnsi="Book Antiqua"/>
                <w:sz w:val="24"/>
                <w:szCs w:val="24"/>
                <w:lang w:val="en-US"/>
              </w:rPr>
            </w:pPr>
            <w:r>
              <w:rPr>
                <w:rFonts w:ascii="Book Antiqua" w:hAnsi="Book Antiqua"/>
                <w:sz w:val="24"/>
                <w:szCs w:val="24"/>
                <w:lang w:val="en-US"/>
              </w:rPr>
              <w:t>142 (42</w:t>
            </w:r>
            <w:r w:rsidR="004A4B97"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left="360"/>
              <w:jc w:val="both"/>
              <w:rPr>
                <w:rFonts w:ascii="Book Antiqua" w:hAnsi="Book Antiqua"/>
                <w:sz w:val="24"/>
                <w:szCs w:val="24"/>
                <w:lang w:val="en-US"/>
              </w:rPr>
            </w:pPr>
            <w:r w:rsidRPr="00516136">
              <w:rPr>
                <w:rFonts w:ascii="Book Antiqua" w:hAnsi="Book Antiqua"/>
                <w:sz w:val="24"/>
                <w:szCs w:val="24"/>
                <w:lang w:val="en-US"/>
              </w:rPr>
              <w:t>Metastatic</w:t>
            </w:r>
          </w:p>
        </w:tc>
        <w:tc>
          <w:tcPr>
            <w:tcW w:w="3395" w:type="dxa"/>
          </w:tcPr>
          <w:p w:rsidR="004A4B97" w:rsidRPr="00CC6129" w:rsidRDefault="002031DD" w:rsidP="00516136">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200</w:t>
            </w:r>
            <w:r w:rsidR="00516136">
              <w:rPr>
                <w:rFonts w:ascii="Book Antiqua" w:hAnsi="Book Antiqua"/>
                <w:sz w:val="24"/>
                <w:szCs w:val="24"/>
                <w:lang w:val="en-US"/>
              </w:rPr>
              <w:t xml:space="preserve"> (58</w:t>
            </w:r>
            <w:r w:rsidR="004A4B97"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jc w:val="both"/>
              <w:rPr>
                <w:rFonts w:ascii="Book Antiqua" w:hAnsi="Book Antiqua"/>
                <w:sz w:val="24"/>
                <w:szCs w:val="24"/>
                <w:lang w:val="en-US"/>
              </w:rPr>
            </w:pPr>
            <w:r w:rsidRPr="00516136">
              <w:rPr>
                <w:rFonts w:ascii="Book Antiqua" w:hAnsi="Book Antiqua"/>
                <w:sz w:val="24"/>
                <w:szCs w:val="24"/>
                <w:lang w:val="en-US"/>
              </w:rPr>
              <w:t>Performance status (ECOG)</w:t>
            </w:r>
          </w:p>
        </w:tc>
        <w:tc>
          <w:tcPr>
            <w:tcW w:w="3395" w:type="dxa"/>
          </w:tcPr>
          <w:p w:rsidR="004A4B97" w:rsidRPr="00CC6129" w:rsidRDefault="004A4B97" w:rsidP="00516136">
            <w:pPr>
              <w:snapToGrid w:val="0"/>
              <w:spacing w:after="0" w:line="360" w:lineRule="auto"/>
              <w:jc w:val="center"/>
              <w:rPr>
                <w:rFonts w:ascii="Book Antiqua" w:hAnsi="Book Antiqua"/>
                <w:sz w:val="24"/>
                <w:szCs w:val="24"/>
                <w:lang w:val="en-US"/>
              </w:rPr>
            </w:pP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0</w:t>
            </w:r>
          </w:p>
        </w:tc>
        <w:tc>
          <w:tcPr>
            <w:tcW w:w="3395" w:type="dxa"/>
          </w:tcPr>
          <w:p w:rsidR="004A4B97" w:rsidRPr="00CC6129" w:rsidRDefault="00516136" w:rsidP="00516136">
            <w:pPr>
              <w:snapToGrid w:val="0"/>
              <w:spacing w:after="0" w:line="360" w:lineRule="auto"/>
              <w:jc w:val="center"/>
              <w:rPr>
                <w:rFonts w:ascii="Book Antiqua" w:hAnsi="Book Antiqua"/>
                <w:sz w:val="24"/>
                <w:szCs w:val="24"/>
                <w:lang w:val="en-US"/>
              </w:rPr>
            </w:pPr>
            <w:r>
              <w:rPr>
                <w:rFonts w:ascii="Book Antiqua" w:hAnsi="Book Antiqua"/>
                <w:sz w:val="24"/>
                <w:szCs w:val="24"/>
                <w:lang w:val="en-US"/>
              </w:rPr>
              <w:t>274 (80</w:t>
            </w:r>
            <w:r w:rsidR="004A4B97"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1</w:t>
            </w:r>
          </w:p>
        </w:tc>
        <w:tc>
          <w:tcPr>
            <w:tcW w:w="3395" w:type="dxa"/>
          </w:tcPr>
          <w:p w:rsidR="004A4B97" w:rsidRPr="00CC6129" w:rsidRDefault="00516136" w:rsidP="00516136">
            <w:pPr>
              <w:snapToGrid w:val="0"/>
              <w:spacing w:after="0" w:line="360" w:lineRule="auto"/>
              <w:jc w:val="center"/>
              <w:rPr>
                <w:rFonts w:ascii="Book Antiqua" w:hAnsi="Book Antiqua"/>
                <w:sz w:val="24"/>
                <w:szCs w:val="24"/>
                <w:lang w:val="en-US"/>
              </w:rPr>
            </w:pPr>
            <w:r>
              <w:rPr>
                <w:rFonts w:ascii="Book Antiqua" w:hAnsi="Book Antiqua"/>
                <w:sz w:val="24"/>
                <w:szCs w:val="24"/>
                <w:lang w:val="en-US"/>
              </w:rPr>
              <w:t>60 (18</w:t>
            </w:r>
            <w:r w:rsidR="004A4B97"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2</w:t>
            </w:r>
          </w:p>
        </w:tc>
        <w:tc>
          <w:tcPr>
            <w:tcW w:w="3395" w:type="dxa"/>
          </w:tcPr>
          <w:p w:rsidR="004A4B97" w:rsidRPr="00CC6129" w:rsidRDefault="002031DD" w:rsidP="00516136">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8</w:t>
            </w:r>
            <w:r w:rsidR="00516136">
              <w:rPr>
                <w:rFonts w:ascii="Book Antiqua" w:hAnsi="Book Antiqua"/>
                <w:sz w:val="24"/>
                <w:szCs w:val="24"/>
                <w:lang w:val="en-US"/>
              </w:rPr>
              <w:t xml:space="preserve"> (2</w:t>
            </w:r>
            <w:r w:rsidR="004A4B97"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jc w:val="both"/>
              <w:rPr>
                <w:rFonts w:ascii="Book Antiqua" w:hAnsi="Book Antiqua"/>
                <w:sz w:val="24"/>
                <w:szCs w:val="24"/>
                <w:lang w:val="en-US"/>
              </w:rPr>
            </w:pPr>
            <w:r w:rsidRPr="00516136">
              <w:rPr>
                <w:rFonts w:ascii="Book Antiqua" w:hAnsi="Book Antiqua"/>
                <w:sz w:val="24"/>
                <w:szCs w:val="24"/>
                <w:lang w:val="en-US"/>
              </w:rPr>
              <w:t>Body mass index (BMI), mean ± SD (range)</w:t>
            </w:r>
          </w:p>
        </w:tc>
        <w:tc>
          <w:tcPr>
            <w:tcW w:w="3395" w:type="dxa"/>
          </w:tcPr>
          <w:p w:rsidR="004A4B97" w:rsidRPr="00CC6129" w:rsidRDefault="004A4B97" w:rsidP="00516136">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24.9 ± 4.0 (14.8</w:t>
            </w:r>
            <w:r w:rsidR="00516136">
              <w:rPr>
                <w:rFonts w:ascii="Book Antiqua" w:hAnsi="Book Antiqua" w:hint="eastAsia"/>
                <w:sz w:val="24"/>
                <w:szCs w:val="24"/>
                <w:lang w:val="en-US" w:eastAsia="zh-CN"/>
              </w:rPr>
              <w:t>-</w:t>
            </w:r>
            <w:r w:rsidRPr="00CC6129">
              <w:rPr>
                <w:rFonts w:ascii="Book Antiqua" w:hAnsi="Book Antiqua"/>
                <w:sz w:val="24"/>
                <w:szCs w:val="24"/>
                <w:lang w:val="en-US"/>
              </w:rPr>
              <w:t>39.5)</w:t>
            </w:r>
          </w:p>
        </w:tc>
      </w:tr>
      <w:tr w:rsidR="0064421C" w:rsidRPr="00CC6129" w:rsidTr="00090263">
        <w:tblPrEx>
          <w:tblLook w:val="01E0" w:firstRow="1" w:lastRow="1" w:firstColumn="1" w:lastColumn="1" w:noHBand="0" w:noVBand="0"/>
        </w:tblPrEx>
        <w:tc>
          <w:tcPr>
            <w:tcW w:w="5353" w:type="dxa"/>
          </w:tcPr>
          <w:p w:rsidR="005D68BA" w:rsidRPr="00516136" w:rsidRDefault="005D68BA"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lastRenderedPageBreak/>
              <w:t>Normoweight</w:t>
            </w:r>
          </w:p>
        </w:tc>
        <w:tc>
          <w:tcPr>
            <w:tcW w:w="3395" w:type="dxa"/>
          </w:tcPr>
          <w:p w:rsidR="005D68BA" w:rsidRPr="00CC6129" w:rsidRDefault="005D68BA" w:rsidP="00516136">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200 (5</w:t>
            </w:r>
            <w:r w:rsidR="002031DD" w:rsidRPr="00CC6129">
              <w:rPr>
                <w:rFonts w:ascii="Book Antiqua" w:hAnsi="Book Antiqua"/>
                <w:sz w:val="24"/>
                <w:szCs w:val="24"/>
                <w:lang w:val="en-US"/>
              </w:rPr>
              <w:t>8</w:t>
            </w:r>
            <w:r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5D68BA" w:rsidRPr="00516136" w:rsidRDefault="005D68BA"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Overweight</w:t>
            </w:r>
          </w:p>
        </w:tc>
        <w:tc>
          <w:tcPr>
            <w:tcW w:w="3395" w:type="dxa"/>
          </w:tcPr>
          <w:p w:rsidR="005D68BA" w:rsidRPr="00CC6129" w:rsidRDefault="005D68BA" w:rsidP="00516136">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10</w:t>
            </w:r>
            <w:r w:rsidR="002031DD" w:rsidRPr="00CC6129">
              <w:rPr>
                <w:rFonts w:ascii="Book Antiqua" w:hAnsi="Book Antiqua"/>
                <w:sz w:val="24"/>
                <w:szCs w:val="24"/>
                <w:lang w:val="en-US"/>
              </w:rPr>
              <w:t>6</w:t>
            </w:r>
            <w:r w:rsidRPr="00CC6129">
              <w:rPr>
                <w:rFonts w:ascii="Book Antiqua" w:hAnsi="Book Antiqua"/>
                <w:sz w:val="24"/>
                <w:szCs w:val="24"/>
                <w:lang w:val="en-US"/>
              </w:rPr>
              <w:t xml:space="preserve"> (31)</w:t>
            </w:r>
          </w:p>
        </w:tc>
      </w:tr>
      <w:tr w:rsidR="0064421C" w:rsidRPr="00CC6129" w:rsidTr="00090263">
        <w:tblPrEx>
          <w:tblLook w:val="01E0" w:firstRow="1" w:lastRow="1" w:firstColumn="1" w:lastColumn="1" w:noHBand="0" w:noVBand="0"/>
        </w:tblPrEx>
        <w:tc>
          <w:tcPr>
            <w:tcW w:w="5353" w:type="dxa"/>
          </w:tcPr>
          <w:p w:rsidR="005D68BA" w:rsidRPr="00516136" w:rsidRDefault="005D68BA" w:rsidP="00516136">
            <w:pPr>
              <w:snapToGrid w:val="0"/>
              <w:spacing w:after="0" w:line="360" w:lineRule="auto"/>
              <w:ind w:firstLineChars="100" w:firstLine="240"/>
              <w:jc w:val="both"/>
              <w:rPr>
                <w:rFonts w:ascii="Book Antiqua" w:hAnsi="Book Antiqua"/>
                <w:sz w:val="24"/>
                <w:szCs w:val="24"/>
                <w:lang w:val="en-US"/>
              </w:rPr>
            </w:pPr>
            <w:r w:rsidRPr="00516136">
              <w:rPr>
                <w:rFonts w:ascii="Book Antiqua" w:hAnsi="Book Antiqua"/>
                <w:sz w:val="24"/>
                <w:szCs w:val="24"/>
                <w:lang w:val="en-US"/>
              </w:rPr>
              <w:t>Obese</w:t>
            </w:r>
          </w:p>
        </w:tc>
        <w:tc>
          <w:tcPr>
            <w:tcW w:w="3395" w:type="dxa"/>
          </w:tcPr>
          <w:p w:rsidR="005D68BA" w:rsidRPr="00CC6129" w:rsidRDefault="005D68BA" w:rsidP="00516136">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3</w:t>
            </w:r>
            <w:r w:rsidR="002031DD" w:rsidRPr="00CC6129">
              <w:rPr>
                <w:rFonts w:ascii="Book Antiqua" w:hAnsi="Book Antiqua"/>
                <w:sz w:val="24"/>
                <w:szCs w:val="24"/>
                <w:lang w:val="en-US"/>
              </w:rPr>
              <w:t>6</w:t>
            </w:r>
            <w:r w:rsidRPr="00CC6129">
              <w:rPr>
                <w:rFonts w:ascii="Book Antiqua" w:hAnsi="Book Antiqua"/>
                <w:sz w:val="24"/>
                <w:szCs w:val="24"/>
                <w:lang w:val="en-US"/>
              </w:rPr>
              <w:t xml:space="preserve"> (1</w:t>
            </w:r>
            <w:r w:rsidR="002031DD" w:rsidRPr="00CC6129">
              <w:rPr>
                <w:rFonts w:ascii="Book Antiqua" w:hAnsi="Book Antiqua"/>
                <w:sz w:val="24"/>
                <w:szCs w:val="24"/>
                <w:lang w:val="en-US"/>
              </w:rPr>
              <w:t>1</w:t>
            </w:r>
            <w:r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4A4B97" w:rsidP="00516136">
            <w:pPr>
              <w:snapToGrid w:val="0"/>
              <w:spacing w:after="0" w:line="360" w:lineRule="auto"/>
              <w:jc w:val="both"/>
              <w:rPr>
                <w:rFonts w:ascii="Book Antiqua" w:hAnsi="Book Antiqua"/>
                <w:sz w:val="24"/>
                <w:szCs w:val="24"/>
                <w:lang w:val="en-US"/>
              </w:rPr>
            </w:pPr>
            <w:r w:rsidRPr="00516136">
              <w:rPr>
                <w:rFonts w:ascii="Book Antiqua" w:hAnsi="Book Antiqua"/>
                <w:sz w:val="24"/>
                <w:szCs w:val="24"/>
                <w:lang w:val="en-US"/>
              </w:rPr>
              <w:t>Type 2 diabetes</w:t>
            </w:r>
          </w:p>
        </w:tc>
        <w:tc>
          <w:tcPr>
            <w:tcW w:w="3395" w:type="dxa"/>
          </w:tcPr>
          <w:p w:rsidR="004A4B97" w:rsidRPr="00CC6129" w:rsidRDefault="00516136" w:rsidP="00516136">
            <w:pPr>
              <w:snapToGrid w:val="0"/>
              <w:spacing w:after="0" w:line="360" w:lineRule="auto"/>
              <w:jc w:val="center"/>
              <w:rPr>
                <w:rFonts w:ascii="Book Antiqua" w:hAnsi="Book Antiqua"/>
                <w:sz w:val="24"/>
                <w:szCs w:val="24"/>
                <w:lang w:val="en-US"/>
              </w:rPr>
            </w:pPr>
            <w:r>
              <w:rPr>
                <w:rFonts w:ascii="Book Antiqua" w:hAnsi="Book Antiqua"/>
                <w:sz w:val="24"/>
                <w:szCs w:val="24"/>
                <w:lang w:val="en-US"/>
              </w:rPr>
              <w:t>79 (23</w:t>
            </w:r>
            <w:r w:rsidR="004A4B97" w:rsidRPr="00CC6129">
              <w:rPr>
                <w:rFonts w:ascii="Book Antiqua" w:hAnsi="Book Antiqua"/>
                <w:sz w:val="24"/>
                <w:szCs w:val="24"/>
                <w:lang w:val="en-US"/>
              </w:rPr>
              <w:t>)</w:t>
            </w:r>
          </w:p>
        </w:tc>
      </w:tr>
      <w:tr w:rsidR="0064421C" w:rsidRPr="00CC6129" w:rsidTr="00090263">
        <w:tblPrEx>
          <w:tblLook w:val="01E0" w:firstRow="1" w:lastRow="1" w:firstColumn="1" w:lastColumn="1" w:noHBand="0" w:noVBand="0"/>
        </w:tblPrEx>
        <w:tc>
          <w:tcPr>
            <w:tcW w:w="5353" w:type="dxa"/>
          </w:tcPr>
          <w:p w:rsidR="004A4B97" w:rsidRPr="00516136" w:rsidRDefault="007B105D" w:rsidP="00516136">
            <w:pPr>
              <w:snapToGrid w:val="0"/>
              <w:spacing w:after="0" w:line="360" w:lineRule="auto"/>
              <w:jc w:val="both"/>
              <w:rPr>
                <w:rFonts w:ascii="Book Antiqua" w:hAnsi="Book Antiqua"/>
                <w:sz w:val="24"/>
                <w:szCs w:val="24"/>
                <w:lang w:val="en-US"/>
              </w:rPr>
            </w:pPr>
            <w:r w:rsidRPr="00516136">
              <w:rPr>
                <w:rFonts w:ascii="Book Antiqua" w:hAnsi="Book Antiqua"/>
                <w:sz w:val="24"/>
                <w:szCs w:val="24"/>
                <w:lang w:val="en-US"/>
              </w:rPr>
              <w:t>Impaired glucose tolerance</w:t>
            </w:r>
          </w:p>
        </w:tc>
        <w:tc>
          <w:tcPr>
            <w:tcW w:w="3395" w:type="dxa"/>
          </w:tcPr>
          <w:p w:rsidR="004A4B97" w:rsidRPr="00CC6129" w:rsidRDefault="00516136" w:rsidP="00516136">
            <w:pPr>
              <w:snapToGrid w:val="0"/>
              <w:spacing w:after="0" w:line="360" w:lineRule="auto"/>
              <w:jc w:val="center"/>
              <w:rPr>
                <w:rFonts w:ascii="Book Antiqua" w:hAnsi="Book Antiqua"/>
                <w:sz w:val="24"/>
                <w:szCs w:val="24"/>
                <w:lang w:val="en-US"/>
              </w:rPr>
            </w:pPr>
            <w:r>
              <w:rPr>
                <w:rFonts w:ascii="Book Antiqua" w:hAnsi="Book Antiqua"/>
                <w:sz w:val="24"/>
                <w:szCs w:val="24"/>
                <w:lang w:val="en-US"/>
              </w:rPr>
              <w:t>23 (7</w:t>
            </w:r>
            <w:r w:rsidR="007B105D" w:rsidRPr="00CC6129">
              <w:rPr>
                <w:rFonts w:ascii="Book Antiqua" w:hAnsi="Book Antiqua"/>
                <w:sz w:val="24"/>
                <w:szCs w:val="24"/>
                <w:lang w:val="en-US"/>
              </w:rPr>
              <w:t>)</w:t>
            </w:r>
          </w:p>
        </w:tc>
      </w:tr>
    </w:tbl>
    <w:p w:rsidR="004A4B97" w:rsidRPr="00CC6129" w:rsidRDefault="004A4B97" w:rsidP="0010680C">
      <w:pPr>
        <w:snapToGrid w:val="0"/>
        <w:spacing w:after="0" w:line="360" w:lineRule="auto"/>
        <w:jc w:val="both"/>
        <w:rPr>
          <w:rFonts w:ascii="Book Antiqua" w:hAnsi="Book Antiqua"/>
          <w:sz w:val="24"/>
          <w:szCs w:val="24"/>
          <w:lang w:val="en-US"/>
        </w:rPr>
      </w:pPr>
    </w:p>
    <w:p w:rsidR="004A4B97" w:rsidRPr="00CC6129" w:rsidRDefault="004A4B97" w:rsidP="0010680C">
      <w:pPr>
        <w:snapToGrid w:val="0"/>
        <w:spacing w:after="0" w:line="360" w:lineRule="auto"/>
        <w:jc w:val="both"/>
        <w:rPr>
          <w:rFonts w:ascii="Book Antiqua" w:hAnsi="Book Antiqua"/>
          <w:sz w:val="24"/>
          <w:szCs w:val="24"/>
          <w:lang w:val="en-US"/>
        </w:rPr>
      </w:pPr>
    </w:p>
    <w:p w:rsidR="007B105D" w:rsidRPr="00F8072F" w:rsidRDefault="004A4B97" w:rsidP="00F8072F">
      <w:pPr>
        <w:tabs>
          <w:tab w:val="left" w:pos="1134"/>
        </w:tabs>
        <w:autoSpaceDE w:val="0"/>
        <w:autoSpaceDN w:val="0"/>
        <w:adjustRightInd w:val="0"/>
        <w:snapToGrid w:val="0"/>
        <w:spacing w:after="0" w:line="360" w:lineRule="auto"/>
        <w:ind w:right="142"/>
        <w:jc w:val="both"/>
        <w:rPr>
          <w:rFonts w:ascii="Book Antiqua" w:hAnsi="Book Antiqua"/>
          <w:b/>
          <w:sz w:val="24"/>
          <w:szCs w:val="24"/>
          <w:lang w:val="en-US" w:eastAsia="zh-CN"/>
        </w:rPr>
      </w:pPr>
      <w:r w:rsidRPr="00CC6129">
        <w:rPr>
          <w:rFonts w:ascii="Book Antiqua" w:hAnsi="Book Antiqua"/>
          <w:sz w:val="24"/>
          <w:szCs w:val="24"/>
          <w:lang w:val="en-US"/>
        </w:rPr>
        <w:br w:type="page"/>
      </w:r>
      <w:r w:rsidR="007B105D" w:rsidRPr="00F8072F">
        <w:rPr>
          <w:rFonts w:ascii="Book Antiqua" w:hAnsi="Book Antiqua"/>
          <w:b/>
          <w:sz w:val="24"/>
          <w:szCs w:val="24"/>
          <w:lang w:val="en-US"/>
        </w:rPr>
        <w:lastRenderedPageBreak/>
        <w:t>Table 2</w:t>
      </w:r>
      <w:r w:rsidR="00F8072F" w:rsidRPr="00F8072F">
        <w:rPr>
          <w:rFonts w:ascii="Book Antiqua" w:hAnsi="Book Antiqua" w:hint="eastAsia"/>
          <w:b/>
          <w:sz w:val="24"/>
          <w:szCs w:val="24"/>
          <w:lang w:val="en-US" w:eastAsia="zh-CN"/>
        </w:rPr>
        <w:t xml:space="preserve"> </w:t>
      </w:r>
      <w:r w:rsidR="00EB75A0" w:rsidRPr="00F8072F">
        <w:rPr>
          <w:rFonts w:ascii="Book Antiqua" w:hAnsi="Book Antiqua"/>
          <w:b/>
          <w:sz w:val="24"/>
          <w:szCs w:val="24"/>
          <w:lang w:val="en-US"/>
        </w:rPr>
        <w:t xml:space="preserve">Glycemic indexes in gastrointestinal cancer patients – Comparison between patients who developed or not </w:t>
      </w:r>
      <w:r w:rsidR="005B59A0" w:rsidRPr="00F8072F">
        <w:rPr>
          <w:rFonts w:ascii="Book Antiqua" w:hAnsi="Book Antiqua"/>
          <w:b/>
          <w:sz w:val="24"/>
          <w:szCs w:val="24"/>
          <w:lang w:val="en-US"/>
        </w:rPr>
        <w:t>venous thromboembolism</w:t>
      </w:r>
      <w:r w:rsidR="00EB75A0" w:rsidRPr="00F8072F">
        <w:rPr>
          <w:rFonts w:ascii="Book Antiqua" w:hAnsi="Book Antiqua"/>
          <w:b/>
          <w:sz w:val="24"/>
          <w:szCs w:val="24"/>
          <w:lang w:val="en-US"/>
        </w:rPr>
        <w:t xml:space="preserve"> during chemotherapy</w:t>
      </w:r>
    </w:p>
    <w:tbl>
      <w:tblPr>
        <w:tblW w:w="10368" w:type="dxa"/>
        <w:tblLook w:val="01E0" w:firstRow="1" w:lastRow="1" w:firstColumn="1" w:lastColumn="1" w:noHBand="0" w:noVBand="0"/>
      </w:tblPr>
      <w:tblGrid>
        <w:gridCol w:w="2676"/>
        <w:gridCol w:w="2101"/>
        <w:gridCol w:w="2278"/>
        <w:gridCol w:w="2101"/>
        <w:gridCol w:w="1212"/>
      </w:tblGrid>
      <w:tr w:rsidR="00F8072F" w:rsidRPr="00CC6129" w:rsidTr="00F8072F">
        <w:trPr>
          <w:trHeight w:val="262"/>
        </w:trPr>
        <w:tc>
          <w:tcPr>
            <w:tcW w:w="2676" w:type="dxa"/>
            <w:vMerge w:val="restart"/>
            <w:tcBorders>
              <w:top w:val="single" w:sz="4" w:space="0" w:color="auto"/>
            </w:tcBorders>
          </w:tcPr>
          <w:p w:rsidR="00F8072F" w:rsidRPr="00CC6129" w:rsidRDefault="00F8072F" w:rsidP="00F8072F">
            <w:pPr>
              <w:snapToGrid w:val="0"/>
              <w:spacing w:after="0" w:line="360" w:lineRule="auto"/>
              <w:ind w:right="23"/>
              <w:rPr>
                <w:rFonts w:ascii="Book Antiqua" w:hAnsi="Book Antiqua"/>
                <w:b/>
                <w:sz w:val="24"/>
                <w:szCs w:val="24"/>
                <w:lang w:val="en-US"/>
              </w:rPr>
            </w:pPr>
          </w:p>
        </w:tc>
        <w:tc>
          <w:tcPr>
            <w:tcW w:w="2101" w:type="dxa"/>
            <w:vMerge w:val="restart"/>
            <w:tcBorders>
              <w:top w:val="single" w:sz="4" w:space="0" w:color="auto"/>
            </w:tcBorders>
          </w:tcPr>
          <w:p w:rsidR="00F8072F" w:rsidRPr="00CC6129" w:rsidRDefault="00F8072F" w:rsidP="00F8072F">
            <w:pPr>
              <w:snapToGrid w:val="0"/>
              <w:spacing w:after="0" w:line="360" w:lineRule="auto"/>
              <w:ind w:right="23"/>
              <w:jc w:val="center"/>
              <w:rPr>
                <w:rFonts w:ascii="Book Antiqua" w:hAnsi="Book Antiqua"/>
                <w:b/>
                <w:sz w:val="24"/>
                <w:szCs w:val="24"/>
                <w:lang w:val="en-US"/>
              </w:rPr>
            </w:pPr>
            <w:r w:rsidRPr="00CC6129">
              <w:rPr>
                <w:rFonts w:ascii="Book Antiqua" w:hAnsi="Book Antiqua"/>
                <w:b/>
                <w:sz w:val="24"/>
                <w:szCs w:val="24"/>
                <w:lang w:val="en-US"/>
              </w:rPr>
              <w:t>Whole cohort</w:t>
            </w:r>
          </w:p>
        </w:tc>
        <w:tc>
          <w:tcPr>
            <w:tcW w:w="4379" w:type="dxa"/>
            <w:gridSpan w:val="2"/>
            <w:tcBorders>
              <w:top w:val="single" w:sz="4" w:space="0" w:color="auto"/>
              <w:bottom w:val="single" w:sz="4" w:space="0" w:color="auto"/>
            </w:tcBorders>
          </w:tcPr>
          <w:p w:rsidR="00F8072F" w:rsidRPr="00CC6129" w:rsidRDefault="00F8072F" w:rsidP="00F8072F">
            <w:pPr>
              <w:snapToGrid w:val="0"/>
              <w:spacing w:after="0" w:line="360" w:lineRule="auto"/>
              <w:ind w:right="23"/>
              <w:jc w:val="center"/>
              <w:rPr>
                <w:rFonts w:ascii="Book Antiqua" w:hAnsi="Book Antiqua"/>
                <w:b/>
                <w:sz w:val="24"/>
                <w:szCs w:val="24"/>
                <w:lang w:val="en-US"/>
              </w:rPr>
            </w:pPr>
            <w:r w:rsidRPr="00CC6129">
              <w:rPr>
                <w:rFonts w:ascii="Book Antiqua" w:hAnsi="Book Antiqua"/>
                <w:b/>
                <w:sz w:val="24"/>
                <w:szCs w:val="24"/>
                <w:lang w:val="en-US"/>
              </w:rPr>
              <w:t>Venous thromboembolism</w:t>
            </w:r>
          </w:p>
        </w:tc>
        <w:tc>
          <w:tcPr>
            <w:tcW w:w="1212" w:type="dxa"/>
            <w:vMerge w:val="restart"/>
            <w:tcBorders>
              <w:top w:val="single" w:sz="4" w:space="0" w:color="auto"/>
            </w:tcBorders>
          </w:tcPr>
          <w:p w:rsidR="00F8072F" w:rsidRPr="00CC6129" w:rsidRDefault="00F8072F" w:rsidP="00F8072F">
            <w:pPr>
              <w:snapToGrid w:val="0"/>
              <w:spacing w:after="0" w:line="360" w:lineRule="auto"/>
              <w:ind w:right="23"/>
              <w:jc w:val="center"/>
              <w:rPr>
                <w:rFonts w:ascii="Book Antiqua" w:hAnsi="Book Antiqua"/>
                <w:b/>
                <w:sz w:val="24"/>
                <w:szCs w:val="24"/>
                <w:lang w:val="en-US"/>
              </w:rPr>
            </w:pPr>
            <w:r w:rsidRPr="00F8072F">
              <w:rPr>
                <w:rFonts w:ascii="Book Antiqua" w:hAnsi="Book Antiqua"/>
                <w:b/>
                <w:i/>
                <w:sz w:val="24"/>
                <w:szCs w:val="24"/>
                <w:lang w:val="en-US"/>
              </w:rPr>
              <w:t xml:space="preserve">P </w:t>
            </w:r>
            <w:r>
              <w:rPr>
                <w:rFonts w:ascii="Book Antiqua" w:hAnsi="Book Antiqua" w:hint="eastAsia"/>
                <w:b/>
                <w:sz w:val="24"/>
                <w:szCs w:val="24"/>
                <w:lang w:val="en-US" w:eastAsia="zh-CN"/>
              </w:rPr>
              <w:t>value</w:t>
            </w:r>
            <w:r w:rsidRPr="00F8072F">
              <w:rPr>
                <w:rFonts w:ascii="Book Antiqua" w:hAnsi="Book Antiqua" w:hint="eastAsia"/>
                <w:b/>
                <w:sz w:val="24"/>
                <w:szCs w:val="24"/>
                <w:vertAlign w:val="superscript"/>
                <w:lang w:val="en-US" w:eastAsia="zh-CN"/>
              </w:rPr>
              <w:t>1</w:t>
            </w:r>
          </w:p>
        </w:tc>
      </w:tr>
      <w:tr w:rsidR="00F8072F" w:rsidRPr="00CC6129" w:rsidTr="00F8072F">
        <w:trPr>
          <w:trHeight w:val="368"/>
        </w:trPr>
        <w:tc>
          <w:tcPr>
            <w:tcW w:w="2676" w:type="dxa"/>
            <w:vMerge/>
            <w:tcBorders>
              <w:bottom w:val="single" w:sz="4" w:space="0" w:color="auto"/>
            </w:tcBorders>
          </w:tcPr>
          <w:p w:rsidR="00F8072F" w:rsidRPr="00CC6129" w:rsidRDefault="00F8072F" w:rsidP="00F8072F">
            <w:pPr>
              <w:snapToGrid w:val="0"/>
              <w:spacing w:after="0" w:line="360" w:lineRule="auto"/>
              <w:ind w:right="23"/>
              <w:rPr>
                <w:rFonts w:ascii="Book Antiqua" w:hAnsi="Book Antiqua"/>
                <w:b/>
                <w:sz w:val="24"/>
                <w:szCs w:val="24"/>
                <w:lang w:val="en-US" w:eastAsia="zh-CN"/>
              </w:rPr>
            </w:pPr>
          </w:p>
        </w:tc>
        <w:tc>
          <w:tcPr>
            <w:tcW w:w="2101" w:type="dxa"/>
            <w:vMerge/>
            <w:tcBorders>
              <w:bottom w:val="single" w:sz="4" w:space="0" w:color="auto"/>
            </w:tcBorders>
          </w:tcPr>
          <w:p w:rsidR="00F8072F" w:rsidRPr="00CC6129" w:rsidRDefault="00F8072F" w:rsidP="00F8072F">
            <w:pPr>
              <w:snapToGrid w:val="0"/>
              <w:spacing w:after="0" w:line="360" w:lineRule="auto"/>
              <w:ind w:right="23"/>
              <w:jc w:val="center"/>
              <w:rPr>
                <w:rFonts w:ascii="Book Antiqua" w:hAnsi="Book Antiqua"/>
                <w:b/>
                <w:sz w:val="24"/>
                <w:szCs w:val="24"/>
                <w:lang w:val="en-US"/>
              </w:rPr>
            </w:pPr>
          </w:p>
        </w:tc>
        <w:tc>
          <w:tcPr>
            <w:tcW w:w="2278" w:type="dxa"/>
            <w:tcBorders>
              <w:top w:val="single" w:sz="4" w:space="0" w:color="auto"/>
              <w:bottom w:val="single" w:sz="4" w:space="0" w:color="auto"/>
            </w:tcBorders>
          </w:tcPr>
          <w:p w:rsidR="00F8072F" w:rsidRPr="00CC6129" w:rsidRDefault="00F8072F" w:rsidP="00F8072F">
            <w:pPr>
              <w:snapToGrid w:val="0"/>
              <w:spacing w:after="0" w:line="360" w:lineRule="auto"/>
              <w:ind w:right="23"/>
              <w:jc w:val="center"/>
              <w:rPr>
                <w:rFonts w:ascii="Book Antiqua" w:hAnsi="Book Antiqua"/>
                <w:b/>
                <w:sz w:val="24"/>
                <w:szCs w:val="24"/>
                <w:lang w:val="en-US"/>
              </w:rPr>
            </w:pPr>
            <w:r w:rsidRPr="00CC6129">
              <w:rPr>
                <w:rFonts w:ascii="Book Antiqua" w:hAnsi="Book Antiqua"/>
                <w:b/>
                <w:sz w:val="24"/>
                <w:szCs w:val="24"/>
                <w:lang w:val="en-US"/>
              </w:rPr>
              <w:t>Yes (</w:t>
            </w:r>
            <w:r w:rsidRPr="00F8072F">
              <w:rPr>
                <w:rFonts w:ascii="Book Antiqua" w:hAnsi="Book Antiqua"/>
                <w:b/>
                <w:i/>
                <w:sz w:val="24"/>
                <w:szCs w:val="24"/>
                <w:lang w:val="en-US"/>
              </w:rPr>
              <w:t>n</w:t>
            </w:r>
            <w:r>
              <w:rPr>
                <w:rFonts w:ascii="Book Antiqua" w:hAnsi="Book Antiqua" w:hint="eastAsia"/>
                <w:b/>
                <w:sz w:val="24"/>
                <w:szCs w:val="24"/>
                <w:lang w:val="en-US" w:eastAsia="zh-CN"/>
              </w:rPr>
              <w:t xml:space="preserve"> </w:t>
            </w:r>
            <w:r w:rsidRPr="00CC6129">
              <w:rPr>
                <w:rFonts w:ascii="Book Antiqua" w:hAnsi="Book Antiqua"/>
                <w:b/>
                <w:sz w:val="24"/>
                <w:szCs w:val="24"/>
                <w:lang w:val="en-US"/>
              </w:rPr>
              <w:t>=</w:t>
            </w:r>
            <w:r>
              <w:rPr>
                <w:rFonts w:ascii="Book Antiqua" w:hAnsi="Book Antiqua" w:hint="eastAsia"/>
                <w:b/>
                <w:sz w:val="24"/>
                <w:szCs w:val="24"/>
                <w:lang w:val="en-US" w:eastAsia="zh-CN"/>
              </w:rPr>
              <w:t xml:space="preserve"> </w:t>
            </w:r>
            <w:r w:rsidRPr="00CC6129">
              <w:rPr>
                <w:rFonts w:ascii="Book Antiqua" w:hAnsi="Book Antiqua"/>
                <w:b/>
                <w:sz w:val="24"/>
                <w:szCs w:val="24"/>
                <w:lang w:val="en-US"/>
              </w:rPr>
              <w:t>34)</w:t>
            </w:r>
          </w:p>
        </w:tc>
        <w:tc>
          <w:tcPr>
            <w:tcW w:w="2101" w:type="dxa"/>
            <w:tcBorders>
              <w:top w:val="single" w:sz="4" w:space="0" w:color="auto"/>
              <w:bottom w:val="single" w:sz="4" w:space="0" w:color="auto"/>
            </w:tcBorders>
          </w:tcPr>
          <w:p w:rsidR="00F8072F" w:rsidRPr="00CC6129" w:rsidRDefault="00F8072F" w:rsidP="00F8072F">
            <w:pPr>
              <w:snapToGrid w:val="0"/>
              <w:spacing w:after="0" w:line="360" w:lineRule="auto"/>
              <w:ind w:right="23"/>
              <w:jc w:val="center"/>
              <w:rPr>
                <w:rFonts w:ascii="Book Antiqua" w:hAnsi="Book Antiqua"/>
                <w:b/>
                <w:sz w:val="24"/>
                <w:szCs w:val="24"/>
                <w:lang w:val="en-US"/>
              </w:rPr>
            </w:pPr>
            <w:r w:rsidRPr="00CC6129">
              <w:rPr>
                <w:rFonts w:ascii="Book Antiqua" w:hAnsi="Book Antiqua"/>
                <w:b/>
                <w:sz w:val="24"/>
                <w:szCs w:val="24"/>
                <w:lang w:val="en-US"/>
              </w:rPr>
              <w:t>No (</w:t>
            </w:r>
            <w:r w:rsidRPr="00F8072F">
              <w:rPr>
                <w:rFonts w:ascii="Book Antiqua" w:hAnsi="Book Antiqua"/>
                <w:b/>
                <w:i/>
                <w:sz w:val="24"/>
                <w:szCs w:val="24"/>
                <w:lang w:val="en-US"/>
              </w:rPr>
              <w:t>n</w:t>
            </w:r>
            <w:r w:rsidRPr="00CC6129">
              <w:rPr>
                <w:rFonts w:ascii="Book Antiqua" w:hAnsi="Book Antiqua"/>
                <w:b/>
                <w:sz w:val="24"/>
                <w:szCs w:val="24"/>
                <w:lang w:val="en-US"/>
              </w:rPr>
              <w:t xml:space="preserve"> =</w:t>
            </w:r>
            <w:r>
              <w:rPr>
                <w:rFonts w:ascii="Book Antiqua" w:hAnsi="Book Antiqua" w:hint="eastAsia"/>
                <w:b/>
                <w:sz w:val="24"/>
                <w:szCs w:val="24"/>
                <w:lang w:val="en-US" w:eastAsia="zh-CN"/>
              </w:rPr>
              <w:t xml:space="preserve"> </w:t>
            </w:r>
            <w:r w:rsidRPr="00CC6129">
              <w:rPr>
                <w:rFonts w:ascii="Book Antiqua" w:hAnsi="Book Antiqua"/>
                <w:b/>
                <w:sz w:val="24"/>
                <w:szCs w:val="24"/>
                <w:lang w:val="en-US"/>
              </w:rPr>
              <w:t>308)</w:t>
            </w:r>
          </w:p>
        </w:tc>
        <w:tc>
          <w:tcPr>
            <w:tcW w:w="1212" w:type="dxa"/>
            <w:vMerge/>
            <w:tcBorders>
              <w:bottom w:val="single" w:sz="4" w:space="0" w:color="auto"/>
            </w:tcBorders>
          </w:tcPr>
          <w:p w:rsidR="00F8072F" w:rsidRPr="00CC6129" w:rsidRDefault="00F8072F" w:rsidP="00F8072F">
            <w:pPr>
              <w:snapToGrid w:val="0"/>
              <w:spacing w:after="0" w:line="360" w:lineRule="auto"/>
              <w:ind w:right="23"/>
              <w:jc w:val="center"/>
              <w:rPr>
                <w:rFonts w:ascii="Book Antiqua" w:hAnsi="Book Antiqua"/>
                <w:b/>
                <w:sz w:val="24"/>
                <w:szCs w:val="24"/>
                <w:lang w:val="en-US" w:eastAsia="zh-CN"/>
              </w:rPr>
            </w:pPr>
          </w:p>
        </w:tc>
      </w:tr>
      <w:tr w:rsidR="00F8072F" w:rsidRPr="00CC6129" w:rsidTr="00F8072F">
        <w:trPr>
          <w:trHeight w:val="904"/>
        </w:trPr>
        <w:tc>
          <w:tcPr>
            <w:tcW w:w="2676" w:type="dxa"/>
            <w:tcBorders>
              <w:top w:val="single" w:sz="4" w:space="0" w:color="auto"/>
            </w:tcBorders>
            <w:vAlign w:val="center"/>
          </w:tcPr>
          <w:p w:rsidR="007B105D" w:rsidRPr="00CC6129" w:rsidRDefault="00FA6578" w:rsidP="00F8072F">
            <w:pPr>
              <w:snapToGrid w:val="0"/>
              <w:spacing w:after="0" w:line="360" w:lineRule="auto"/>
              <w:rPr>
                <w:rFonts w:ascii="Book Antiqua" w:hAnsi="Book Antiqua"/>
                <w:sz w:val="24"/>
                <w:szCs w:val="24"/>
                <w:lang w:val="en-US"/>
              </w:rPr>
            </w:pPr>
            <w:r w:rsidRPr="00CC6129">
              <w:rPr>
                <w:rFonts w:ascii="Book Antiqua" w:hAnsi="Book Antiqua"/>
                <w:sz w:val="24"/>
                <w:szCs w:val="24"/>
                <w:lang w:val="en-US"/>
              </w:rPr>
              <w:t>Glycemia</w:t>
            </w:r>
            <w:r w:rsidR="007B105D" w:rsidRPr="00CC6129">
              <w:rPr>
                <w:rFonts w:ascii="Book Antiqua" w:hAnsi="Book Antiqua"/>
                <w:sz w:val="24"/>
                <w:szCs w:val="24"/>
                <w:lang w:val="en-US"/>
              </w:rPr>
              <w:t xml:space="preserve"> (mg/d</w:t>
            </w:r>
            <w:r w:rsidR="007B105D" w:rsidRPr="00F8072F">
              <w:rPr>
                <w:rFonts w:ascii="Book Antiqua" w:hAnsi="Book Antiqua"/>
                <w:caps/>
                <w:sz w:val="24"/>
                <w:szCs w:val="24"/>
                <w:lang w:val="en-US"/>
              </w:rPr>
              <w:t>l</w:t>
            </w:r>
            <w:r w:rsidR="007B105D" w:rsidRPr="00CC6129">
              <w:rPr>
                <w:rFonts w:ascii="Book Antiqua" w:hAnsi="Book Antiqua"/>
                <w:sz w:val="24"/>
                <w:szCs w:val="24"/>
                <w:lang w:val="en-US"/>
              </w:rPr>
              <w:t>), mean ± SD (range)</w:t>
            </w:r>
          </w:p>
        </w:tc>
        <w:tc>
          <w:tcPr>
            <w:tcW w:w="2101" w:type="dxa"/>
            <w:tcBorders>
              <w:top w:val="single" w:sz="4" w:space="0" w:color="auto"/>
            </w:tcBorders>
            <w:vAlign w:val="center"/>
          </w:tcPr>
          <w:p w:rsidR="007B105D" w:rsidRPr="00CC6129" w:rsidRDefault="007B105D" w:rsidP="00F8072F">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107</w:t>
            </w:r>
            <w:r w:rsidR="00F8072F">
              <w:rPr>
                <w:rFonts w:ascii="Book Antiqua" w:hAnsi="Book Antiqua"/>
                <w:sz w:val="24"/>
                <w:szCs w:val="24"/>
                <w:lang w:val="en-US"/>
              </w:rPr>
              <w:t xml:space="preserve"> ± </w:t>
            </w:r>
            <w:r w:rsidRPr="00CC6129">
              <w:rPr>
                <w:rFonts w:ascii="Book Antiqua" w:hAnsi="Book Antiqua"/>
                <w:sz w:val="24"/>
                <w:szCs w:val="24"/>
                <w:lang w:val="en-US"/>
              </w:rPr>
              <w:t>38 (51</w:t>
            </w:r>
            <w:r w:rsidR="00F8072F">
              <w:rPr>
                <w:rFonts w:ascii="Book Antiqua" w:hAnsi="Book Antiqua" w:hint="eastAsia"/>
                <w:sz w:val="24"/>
                <w:szCs w:val="24"/>
                <w:lang w:val="en-US" w:eastAsia="zh-CN"/>
              </w:rPr>
              <w:t>-</w:t>
            </w:r>
            <w:r w:rsidRPr="00CC6129">
              <w:rPr>
                <w:rFonts w:ascii="Book Antiqua" w:hAnsi="Book Antiqua"/>
                <w:sz w:val="24"/>
                <w:szCs w:val="24"/>
                <w:lang w:val="en-US"/>
              </w:rPr>
              <w:t>415)</w:t>
            </w:r>
          </w:p>
        </w:tc>
        <w:tc>
          <w:tcPr>
            <w:tcW w:w="2278" w:type="dxa"/>
            <w:tcBorders>
              <w:top w:val="single" w:sz="4" w:space="0" w:color="auto"/>
            </w:tcBorders>
            <w:vAlign w:val="center"/>
          </w:tcPr>
          <w:p w:rsidR="007B105D" w:rsidRPr="00CC6129" w:rsidRDefault="00FA6578" w:rsidP="00F8072F">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122</w:t>
            </w:r>
            <w:r w:rsidR="00F8072F">
              <w:rPr>
                <w:rFonts w:ascii="Book Antiqua" w:hAnsi="Book Antiqua"/>
                <w:sz w:val="24"/>
                <w:szCs w:val="24"/>
                <w:lang w:val="en-US"/>
              </w:rPr>
              <w:t xml:space="preserve"> ± </w:t>
            </w:r>
            <w:r w:rsidRPr="00CC6129">
              <w:rPr>
                <w:rFonts w:ascii="Book Antiqua" w:hAnsi="Book Antiqua"/>
                <w:sz w:val="24"/>
                <w:szCs w:val="24"/>
                <w:lang w:val="en-US"/>
              </w:rPr>
              <w:t>53</w:t>
            </w:r>
            <w:r w:rsidR="007B105D" w:rsidRPr="00CC6129">
              <w:rPr>
                <w:rFonts w:ascii="Book Antiqua" w:hAnsi="Book Antiqua"/>
                <w:sz w:val="24"/>
                <w:szCs w:val="24"/>
                <w:lang w:val="en-US"/>
              </w:rPr>
              <w:t xml:space="preserve"> (</w:t>
            </w:r>
            <w:r w:rsidRPr="00CC6129">
              <w:rPr>
                <w:rFonts w:ascii="Book Antiqua" w:hAnsi="Book Antiqua"/>
                <w:sz w:val="24"/>
                <w:szCs w:val="24"/>
                <w:lang w:val="en-US"/>
              </w:rPr>
              <w:t>60</w:t>
            </w:r>
            <w:r w:rsidR="00F8072F">
              <w:rPr>
                <w:rFonts w:ascii="Book Antiqua" w:hAnsi="Book Antiqua" w:hint="eastAsia"/>
                <w:sz w:val="24"/>
                <w:szCs w:val="24"/>
                <w:lang w:val="en-US" w:eastAsia="zh-CN"/>
              </w:rPr>
              <w:t>-</w:t>
            </w:r>
            <w:r w:rsidRPr="00CC6129">
              <w:rPr>
                <w:rFonts w:ascii="Book Antiqua" w:hAnsi="Book Antiqua"/>
                <w:sz w:val="24"/>
                <w:szCs w:val="24"/>
                <w:lang w:val="en-US"/>
              </w:rPr>
              <w:t>339</w:t>
            </w:r>
            <w:r w:rsidR="007B105D" w:rsidRPr="00CC6129">
              <w:rPr>
                <w:rFonts w:ascii="Book Antiqua" w:hAnsi="Book Antiqua"/>
                <w:sz w:val="24"/>
                <w:szCs w:val="24"/>
                <w:lang w:val="en-US"/>
              </w:rPr>
              <w:t>)</w:t>
            </w:r>
          </w:p>
        </w:tc>
        <w:tc>
          <w:tcPr>
            <w:tcW w:w="2101" w:type="dxa"/>
            <w:tcBorders>
              <w:top w:val="single" w:sz="4" w:space="0" w:color="auto"/>
            </w:tcBorders>
            <w:vAlign w:val="center"/>
          </w:tcPr>
          <w:p w:rsidR="007B105D" w:rsidRPr="00CC6129" w:rsidRDefault="007B105D" w:rsidP="00F8072F">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10</w:t>
            </w:r>
            <w:r w:rsidR="00FA6578" w:rsidRPr="00CC6129">
              <w:rPr>
                <w:rFonts w:ascii="Book Antiqua" w:hAnsi="Book Antiqua"/>
                <w:sz w:val="24"/>
                <w:szCs w:val="24"/>
                <w:lang w:val="en-US"/>
              </w:rPr>
              <w:t>5</w:t>
            </w:r>
            <w:r w:rsidR="00F8072F">
              <w:rPr>
                <w:rFonts w:ascii="Book Antiqua" w:hAnsi="Book Antiqua"/>
                <w:sz w:val="24"/>
                <w:szCs w:val="24"/>
                <w:lang w:val="en-US"/>
              </w:rPr>
              <w:t xml:space="preserve"> ± </w:t>
            </w:r>
            <w:r w:rsidRPr="00CC6129">
              <w:rPr>
                <w:rFonts w:ascii="Book Antiqua" w:hAnsi="Book Antiqua"/>
                <w:sz w:val="24"/>
                <w:szCs w:val="24"/>
                <w:lang w:val="en-US"/>
              </w:rPr>
              <w:t>3</w:t>
            </w:r>
            <w:r w:rsidR="00FA6578" w:rsidRPr="00CC6129">
              <w:rPr>
                <w:rFonts w:ascii="Book Antiqua" w:hAnsi="Book Antiqua"/>
                <w:sz w:val="24"/>
                <w:szCs w:val="24"/>
                <w:lang w:val="en-US"/>
              </w:rPr>
              <w:t>6</w:t>
            </w:r>
            <w:r w:rsidRPr="00CC6129">
              <w:rPr>
                <w:rFonts w:ascii="Book Antiqua" w:hAnsi="Book Antiqua"/>
                <w:sz w:val="24"/>
                <w:szCs w:val="24"/>
                <w:lang w:val="en-US"/>
              </w:rPr>
              <w:t xml:space="preserve"> (51</w:t>
            </w:r>
            <w:r w:rsidR="00F8072F">
              <w:rPr>
                <w:rFonts w:ascii="Book Antiqua" w:hAnsi="Book Antiqua" w:hint="eastAsia"/>
                <w:sz w:val="24"/>
                <w:szCs w:val="24"/>
                <w:lang w:val="en-US" w:eastAsia="zh-CN"/>
              </w:rPr>
              <w:t>-</w:t>
            </w:r>
            <w:r w:rsidRPr="00CC6129">
              <w:rPr>
                <w:rFonts w:ascii="Book Antiqua" w:hAnsi="Book Antiqua"/>
                <w:sz w:val="24"/>
                <w:szCs w:val="24"/>
                <w:lang w:val="en-US"/>
              </w:rPr>
              <w:t>415)</w:t>
            </w:r>
          </w:p>
        </w:tc>
        <w:tc>
          <w:tcPr>
            <w:tcW w:w="1212" w:type="dxa"/>
            <w:tcBorders>
              <w:top w:val="single" w:sz="4" w:space="0" w:color="auto"/>
            </w:tcBorders>
            <w:vAlign w:val="center"/>
          </w:tcPr>
          <w:p w:rsidR="007B105D" w:rsidRPr="00CC6129" w:rsidRDefault="00FA6578" w:rsidP="00F8072F">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0.019</w:t>
            </w:r>
          </w:p>
        </w:tc>
      </w:tr>
      <w:tr w:rsidR="00F8072F" w:rsidRPr="00CC6129" w:rsidTr="00D15003">
        <w:trPr>
          <w:trHeight w:val="859"/>
        </w:trPr>
        <w:tc>
          <w:tcPr>
            <w:tcW w:w="2676" w:type="dxa"/>
            <w:vAlign w:val="center"/>
          </w:tcPr>
          <w:p w:rsidR="007B105D" w:rsidRPr="00CC6129" w:rsidRDefault="007B105D" w:rsidP="00F8072F">
            <w:pPr>
              <w:snapToGrid w:val="0"/>
              <w:spacing w:after="0" w:line="360" w:lineRule="auto"/>
              <w:rPr>
                <w:rFonts w:ascii="Book Antiqua" w:hAnsi="Book Antiqua"/>
                <w:sz w:val="24"/>
                <w:szCs w:val="24"/>
              </w:rPr>
            </w:pPr>
            <w:r w:rsidRPr="00CC6129">
              <w:rPr>
                <w:rFonts w:ascii="Book Antiqua" w:hAnsi="Book Antiqua"/>
                <w:sz w:val="24"/>
                <w:szCs w:val="24"/>
              </w:rPr>
              <w:t>Insulinemia (</w:t>
            </w:r>
            <w:r w:rsidR="00F8072F" w:rsidRPr="00F8072F">
              <w:rPr>
                <w:rFonts w:ascii="Book Antiqua" w:hAnsi="Book Antiqua"/>
                <w:sz w:val="24"/>
                <w:szCs w:val="24"/>
                <w:lang w:val="en-US"/>
              </w:rPr>
              <w:sym w:font="Symbol" w:char="F06D"/>
            </w:r>
            <w:r w:rsidRPr="00F8072F">
              <w:rPr>
                <w:rFonts w:ascii="Book Antiqua" w:hAnsi="Book Antiqua"/>
                <w:sz w:val="24"/>
                <w:szCs w:val="24"/>
              </w:rPr>
              <w:t>I</w:t>
            </w:r>
            <w:r w:rsidRPr="00CC6129">
              <w:rPr>
                <w:rFonts w:ascii="Book Antiqua" w:hAnsi="Book Antiqua"/>
                <w:sz w:val="24"/>
                <w:szCs w:val="24"/>
              </w:rPr>
              <w:t>U/m</w:t>
            </w:r>
            <w:r w:rsidRPr="00F8072F">
              <w:rPr>
                <w:rFonts w:ascii="Book Antiqua" w:hAnsi="Book Antiqua"/>
                <w:caps/>
                <w:sz w:val="24"/>
                <w:szCs w:val="24"/>
              </w:rPr>
              <w:t>l</w:t>
            </w:r>
            <w:r w:rsidRPr="00CC6129">
              <w:rPr>
                <w:rFonts w:ascii="Book Antiqua" w:hAnsi="Book Antiqua"/>
                <w:sz w:val="24"/>
                <w:szCs w:val="24"/>
              </w:rPr>
              <w:t>), median (IQR)</w:t>
            </w:r>
          </w:p>
        </w:tc>
        <w:tc>
          <w:tcPr>
            <w:tcW w:w="2101" w:type="dxa"/>
            <w:vAlign w:val="center"/>
          </w:tcPr>
          <w:p w:rsidR="007B105D" w:rsidRPr="00CC6129" w:rsidRDefault="007B105D" w:rsidP="00F8072F">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12.5 (8.8</w:t>
            </w:r>
            <w:r w:rsidR="00F8072F">
              <w:rPr>
                <w:rFonts w:ascii="Book Antiqua" w:hAnsi="Book Antiqua" w:hint="eastAsia"/>
                <w:sz w:val="24"/>
                <w:szCs w:val="24"/>
                <w:lang w:val="en-US" w:eastAsia="zh-CN"/>
              </w:rPr>
              <w:t>-</w:t>
            </w:r>
            <w:r w:rsidRPr="00CC6129">
              <w:rPr>
                <w:rFonts w:ascii="Book Antiqua" w:hAnsi="Book Antiqua"/>
                <w:sz w:val="24"/>
                <w:szCs w:val="24"/>
                <w:lang w:val="en-US"/>
              </w:rPr>
              <w:t>20.1)</w:t>
            </w:r>
          </w:p>
        </w:tc>
        <w:tc>
          <w:tcPr>
            <w:tcW w:w="2278" w:type="dxa"/>
            <w:vAlign w:val="center"/>
          </w:tcPr>
          <w:p w:rsidR="007B105D" w:rsidRPr="00CC6129" w:rsidRDefault="007B105D" w:rsidP="00F8072F">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1</w:t>
            </w:r>
            <w:r w:rsidR="00FA6578" w:rsidRPr="00CC6129">
              <w:rPr>
                <w:rFonts w:ascii="Book Antiqua" w:hAnsi="Book Antiqua"/>
                <w:sz w:val="24"/>
                <w:szCs w:val="24"/>
                <w:lang w:val="en-US"/>
              </w:rPr>
              <w:t>7.2</w:t>
            </w:r>
            <w:r w:rsidRPr="00CC6129">
              <w:rPr>
                <w:rFonts w:ascii="Book Antiqua" w:hAnsi="Book Antiqua"/>
                <w:sz w:val="24"/>
                <w:szCs w:val="24"/>
                <w:lang w:val="en-US"/>
              </w:rPr>
              <w:t xml:space="preserve"> (</w:t>
            </w:r>
            <w:r w:rsidR="00FA6578" w:rsidRPr="00CC6129">
              <w:rPr>
                <w:rFonts w:ascii="Book Antiqua" w:hAnsi="Book Antiqua"/>
                <w:sz w:val="24"/>
                <w:szCs w:val="24"/>
                <w:lang w:val="en-US"/>
              </w:rPr>
              <w:t>11.9</w:t>
            </w:r>
            <w:r w:rsidR="00F8072F">
              <w:rPr>
                <w:rFonts w:ascii="Book Antiqua" w:hAnsi="Book Antiqua" w:hint="eastAsia"/>
                <w:sz w:val="24"/>
                <w:szCs w:val="24"/>
                <w:lang w:val="en-US" w:eastAsia="zh-CN"/>
              </w:rPr>
              <w:t>-</w:t>
            </w:r>
            <w:r w:rsidRPr="00CC6129">
              <w:rPr>
                <w:rFonts w:ascii="Book Antiqua" w:hAnsi="Book Antiqua"/>
                <w:sz w:val="24"/>
                <w:szCs w:val="24"/>
                <w:lang w:val="en-US"/>
              </w:rPr>
              <w:t>2</w:t>
            </w:r>
            <w:r w:rsidR="00FA6578" w:rsidRPr="00CC6129">
              <w:rPr>
                <w:rFonts w:ascii="Book Antiqua" w:hAnsi="Book Antiqua"/>
                <w:sz w:val="24"/>
                <w:szCs w:val="24"/>
                <w:lang w:val="en-US"/>
              </w:rPr>
              <w:t>4</w:t>
            </w:r>
            <w:r w:rsidRPr="00CC6129">
              <w:rPr>
                <w:rFonts w:ascii="Book Antiqua" w:hAnsi="Book Antiqua"/>
                <w:sz w:val="24"/>
                <w:szCs w:val="24"/>
                <w:lang w:val="en-US"/>
              </w:rPr>
              <w:t>.</w:t>
            </w:r>
            <w:r w:rsidR="00FA6578" w:rsidRPr="00CC6129">
              <w:rPr>
                <w:rFonts w:ascii="Book Antiqua" w:hAnsi="Book Antiqua"/>
                <w:sz w:val="24"/>
                <w:szCs w:val="24"/>
                <w:lang w:val="en-US"/>
              </w:rPr>
              <w:t>5</w:t>
            </w:r>
            <w:r w:rsidRPr="00CC6129">
              <w:rPr>
                <w:rFonts w:ascii="Book Antiqua" w:hAnsi="Book Antiqua"/>
                <w:sz w:val="24"/>
                <w:szCs w:val="24"/>
                <w:lang w:val="en-US"/>
              </w:rPr>
              <w:t>)</w:t>
            </w:r>
          </w:p>
        </w:tc>
        <w:tc>
          <w:tcPr>
            <w:tcW w:w="2101" w:type="dxa"/>
            <w:vAlign w:val="center"/>
          </w:tcPr>
          <w:p w:rsidR="007B105D" w:rsidRPr="00CC6129" w:rsidRDefault="007B105D" w:rsidP="00F8072F">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1</w:t>
            </w:r>
            <w:r w:rsidR="00FA6578" w:rsidRPr="00CC6129">
              <w:rPr>
                <w:rFonts w:ascii="Book Antiqua" w:hAnsi="Book Antiqua"/>
                <w:sz w:val="24"/>
                <w:szCs w:val="24"/>
                <w:lang w:val="en-US"/>
              </w:rPr>
              <w:t>1.6</w:t>
            </w:r>
            <w:r w:rsidRPr="00CC6129">
              <w:rPr>
                <w:rFonts w:ascii="Book Antiqua" w:hAnsi="Book Antiqua"/>
                <w:sz w:val="24"/>
                <w:szCs w:val="24"/>
                <w:lang w:val="en-US"/>
              </w:rPr>
              <w:t xml:space="preserve"> (8.</w:t>
            </w:r>
            <w:r w:rsidR="00FA6578" w:rsidRPr="00CC6129">
              <w:rPr>
                <w:rFonts w:ascii="Book Antiqua" w:hAnsi="Book Antiqua"/>
                <w:sz w:val="24"/>
                <w:szCs w:val="24"/>
                <w:lang w:val="en-US"/>
              </w:rPr>
              <w:t>7</w:t>
            </w:r>
            <w:r w:rsidR="00F8072F">
              <w:rPr>
                <w:rFonts w:ascii="Book Antiqua" w:hAnsi="Book Antiqua" w:hint="eastAsia"/>
                <w:sz w:val="24"/>
                <w:szCs w:val="24"/>
                <w:lang w:val="en-US" w:eastAsia="zh-CN"/>
              </w:rPr>
              <w:t>-</w:t>
            </w:r>
            <w:r w:rsidR="00FA6578" w:rsidRPr="00CC6129">
              <w:rPr>
                <w:rFonts w:ascii="Book Antiqua" w:hAnsi="Book Antiqua"/>
                <w:sz w:val="24"/>
                <w:szCs w:val="24"/>
                <w:lang w:val="en-US"/>
              </w:rPr>
              <w:t>18.6</w:t>
            </w:r>
            <w:r w:rsidRPr="00CC6129">
              <w:rPr>
                <w:rFonts w:ascii="Book Antiqua" w:hAnsi="Book Antiqua"/>
                <w:sz w:val="24"/>
                <w:szCs w:val="24"/>
                <w:lang w:val="en-US"/>
              </w:rPr>
              <w:t>)</w:t>
            </w:r>
          </w:p>
        </w:tc>
        <w:tc>
          <w:tcPr>
            <w:tcW w:w="1212" w:type="dxa"/>
            <w:vAlign w:val="center"/>
          </w:tcPr>
          <w:p w:rsidR="007B105D" w:rsidRPr="00CC6129" w:rsidRDefault="00FA6578" w:rsidP="00F8072F">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0.016</w:t>
            </w:r>
          </w:p>
        </w:tc>
      </w:tr>
      <w:tr w:rsidR="00F8072F" w:rsidRPr="00CC6129" w:rsidTr="00D15003">
        <w:trPr>
          <w:trHeight w:val="802"/>
        </w:trPr>
        <w:tc>
          <w:tcPr>
            <w:tcW w:w="2676" w:type="dxa"/>
            <w:vAlign w:val="center"/>
          </w:tcPr>
          <w:p w:rsidR="007B105D" w:rsidRPr="00CC6129" w:rsidRDefault="007B105D" w:rsidP="00F8072F">
            <w:pPr>
              <w:snapToGrid w:val="0"/>
              <w:spacing w:after="0" w:line="360" w:lineRule="auto"/>
              <w:rPr>
                <w:rFonts w:ascii="Book Antiqua" w:hAnsi="Book Antiqua"/>
                <w:sz w:val="24"/>
                <w:szCs w:val="24"/>
                <w:lang w:val="en-US"/>
              </w:rPr>
            </w:pPr>
            <w:r w:rsidRPr="00CC6129">
              <w:rPr>
                <w:rFonts w:ascii="Book Antiqua" w:hAnsi="Book Antiqua"/>
                <w:sz w:val="24"/>
                <w:szCs w:val="24"/>
                <w:lang w:val="en-US"/>
              </w:rPr>
              <w:t>HOMA index,</w:t>
            </w:r>
            <w:r w:rsidR="00F8072F">
              <w:rPr>
                <w:rFonts w:ascii="Book Antiqua" w:hAnsi="Book Antiqua" w:hint="eastAsia"/>
                <w:sz w:val="24"/>
                <w:szCs w:val="24"/>
                <w:lang w:val="en-US" w:eastAsia="zh-CN"/>
              </w:rPr>
              <w:t xml:space="preserve"> </w:t>
            </w:r>
            <w:r w:rsidRPr="00CC6129">
              <w:rPr>
                <w:rFonts w:ascii="Book Antiqua" w:hAnsi="Book Antiqua"/>
                <w:sz w:val="24"/>
                <w:szCs w:val="24"/>
                <w:lang w:val="en-US"/>
              </w:rPr>
              <w:t>median (IQR)</w:t>
            </w:r>
          </w:p>
        </w:tc>
        <w:tc>
          <w:tcPr>
            <w:tcW w:w="2101" w:type="dxa"/>
            <w:vAlign w:val="center"/>
          </w:tcPr>
          <w:p w:rsidR="007B105D" w:rsidRPr="00CC6129" w:rsidRDefault="007B105D" w:rsidP="00F8072F">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3.0 (2.0</w:t>
            </w:r>
            <w:r w:rsidR="00F8072F">
              <w:rPr>
                <w:rFonts w:ascii="Book Antiqua" w:hAnsi="Book Antiqua" w:hint="eastAsia"/>
                <w:sz w:val="24"/>
                <w:szCs w:val="24"/>
                <w:lang w:val="en-US" w:eastAsia="zh-CN"/>
              </w:rPr>
              <w:t>-</w:t>
            </w:r>
            <w:r w:rsidRPr="00CC6129">
              <w:rPr>
                <w:rFonts w:ascii="Book Antiqua" w:hAnsi="Book Antiqua"/>
                <w:sz w:val="24"/>
                <w:szCs w:val="24"/>
                <w:lang w:val="en-US"/>
              </w:rPr>
              <w:t>5.6)</w:t>
            </w:r>
          </w:p>
        </w:tc>
        <w:tc>
          <w:tcPr>
            <w:tcW w:w="2278" w:type="dxa"/>
            <w:vAlign w:val="center"/>
          </w:tcPr>
          <w:p w:rsidR="007B105D" w:rsidRPr="00CC6129" w:rsidRDefault="00FA6578" w:rsidP="00F8072F">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4.8</w:t>
            </w:r>
            <w:r w:rsidR="007B105D" w:rsidRPr="00CC6129">
              <w:rPr>
                <w:rFonts w:ascii="Book Antiqua" w:hAnsi="Book Antiqua"/>
                <w:sz w:val="24"/>
                <w:szCs w:val="24"/>
                <w:lang w:val="en-US"/>
              </w:rPr>
              <w:t xml:space="preserve"> (</w:t>
            </w:r>
            <w:r w:rsidRPr="00CC6129">
              <w:rPr>
                <w:rFonts w:ascii="Book Antiqua" w:hAnsi="Book Antiqua"/>
                <w:sz w:val="24"/>
                <w:szCs w:val="24"/>
                <w:lang w:val="en-US"/>
              </w:rPr>
              <w:t>3</w:t>
            </w:r>
            <w:r w:rsidR="007B105D" w:rsidRPr="00CC6129">
              <w:rPr>
                <w:rFonts w:ascii="Book Antiqua" w:hAnsi="Book Antiqua"/>
                <w:sz w:val="24"/>
                <w:szCs w:val="24"/>
                <w:lang w:val="en-US"/>
              </w:rPr>
              <w:t>.0</w:t>
            </w:r>
            <w:r w:rsidR="00F8072F">
              <w:rPr>
                <w:rFonts w:ascii="Book Antiqua" w:hAnsi="Book Antiqua" w:hint="eastAsia"/>
                <w:sz w:val="24"/>
                <w:szCs w:val="24"/>
                <w:lang w:val="en-US" w:eastAsia="zh-CN"/>
              </w:rPr>
              <w:t>-</w:t>
            </w:r>
            <w:r w:rsidRPr="00CC6129">
              <w:rPr>
                <w:rFonts w:ascii="Book Antiqua" w:hAnsi="Book Antiqua"/>
                <w:sz w:val="24"/>
                <w:szCs w:val="24"/>
                <w:lang w:val="en-US"/>
              </w:rPr>
              <w:t>8.1</w:t>
            </w:r>
            <w:r w:rsidR="007B105D" w:rsidRPr="00CC6129">
              <w:rPr>
                <w:rFonts w:ascii="Book Antiqua" w:hAnsi="Book Antiqua"/>
                <w:sz w:val="24"/>
                <w:szCs w:val="24"/>
                <w:lang w:val="en-US"/>
              </w:rPr>
              <w:t>)</w:t>
            </w:r>
          </w:p>
        </w:tc>
        <w:tc>
          <w:tcPr>
            <w:tcW w:w="2101" w:type="dxa"/>
            <w:vAlign w:val="center"/>
          </w:tcPr>
          <w:p w:rsidR="007B105D" w:rsidRPr="00CC6129" w:rsidRDefault="00FA6578" w:rsidP="00F8072F">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2.8</w:t>
            </w:r>
            <w:r w:rsidR="007B105D" w:rsidRPr="00CC6129">
              <w:rPr>
                <w:rFonts w:ascii="Book Antiqua" w:hAnsi="Book Antiqua"/>
                <w:sz w:val="24"/>
                <w:szCs w:val="24"/>
                <w:lang w:val="en-US"/>
              </w:rPr>
              <w:t xml:space="preserve"> (2.0</w:t>
            </w:r>
            <w:r w:rsidR="00F8072F">
              <w:rPr>
                <w:rFonts w:ascii="Book Antiqua" w:hAnsi="Book Antiqua" w:hint="eastAsia"/>
                <w:sz w:val="24"/>
                <w:szCs w:val="24"/>
                <w:lang w:val="en-US" w:eastAsia="zh-CN"/>
              </w:rPr>
              <w:t>-</w:t>
            </w:r>
            <w:r w:rsidRPr="00CC6129">
              <w:rPr>
                <w:rFonts w:ascii="Book Antiqua" w:hAnsi="Book Antiqua"/>
                <w:sz w:val="24"/>
                <w:szCs w:val="24"/>
                <w:lang w:val="en-US"/>
              </w:rPr>
              <w:t>4.9</w:t>
            </w:r>
            <w:r w:rsidR="007B105D" w:rsidRPr="00CC6129">
              <w:rPr>
                <w:rFonts w:ascii="Book Antiqua" w:hAnsi="Book Antiqua"/>
                <w:sz w:val="24"/>
                <w:szCs w:val="24"/>
                <w:lang w:val="en-US"/>
              </w:rPr>
              <w:t>)</w:t>
            </w:r>
          </w:p>
        </w:tc>
        <w:tc>
          <w:tcPr>
            <w:tcW w:w="1212" w:type="dxa"/>
            <w:vAlign w:val="center"/>
          </w:tcPr>
          <w:p w:rsidR="007B105D" w:rsidRPr="00CC6129" w:rsidRDefault="00FA6578" w:rsidP="00F8072F">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0.006</w:t>
            </w:r>
          </w:p>
        </w:tc>
      </w:tr>
      <w:tr w:rsidR="00F8072F" w:rsidRPr="00CC6129" w:rsidTr="00F8072F">
        <w:trPr>
          <w:trHeight w:val="918"/>
        </w:trPr>
        <w:tc>
          <w:tcPr>
            <w:tcW w:w="2676" w:type="dxa"/>
            <w:tcBorders>
              <w:bottom w:val="single" w:sz="4" w:space="0" w:color="auto"/>
            </w:tcBorders>
            <w:vAlign w:val="center"/>
          </w:tcPr>
          <w:p w:rsidR="007B105D" w:rsidRPr="00F8072F" w:rsidRDefault="007B105D" w:rsidP="00F8072F">
            <w:pPr>
              <w:snapToGrid w:val="0"/>
              <w:spacing w:after="0" w:line="360" w:lineRule="auto"/>
              <w:rPr>
                <w:rFonts w:ascii="Book Antiqua" w:hAnsi="Book Antiqua"/>
                <w:sz w:val="24"/>
                <w:szCs w:val="24"/>
                <w:lang w:val="en-US"/>
              </w:rPr>
            </w:pPr>
            <w:r w:rsidRPr="00CC6129">
              <w:rPr>
                <w:rFonts w:ascii="Book Antiqua" w:hAnsi="Book Antiqua"/>
                <w:sz w:val="24"/>
                <w:szCs w:val="24"/>
                <w:lang w:val="en-US"/>
              </w:rPr>
              <w:t>HbA</w:t>
            </w:r>
            <w:r w:rsidRPr="00CC6129">
              <w:rPr>
                <w:rFonts w:ascii="Book Antiqua" w:hAnsi="Book Antiqua"/>
                <w:sz w:val="24"/>
                <w:szCs w:val="24"/>
                <w:vertAlign w:val="subscript"/>
                <w:lang w:val="en-US"/>
              </w:rPr>
              <w:t>1c</w:t>
            </w:r>
            <w:r w:rsidRPr="00CC6129">
              <w:rPr>
                <w:rFonts w:ascii="Book Antiqua" w:hAnsi="Book Antiqua"/>
                <w:sz w:val="24"/>
                <w:szCs w:val="24"/>
                <w:lang w:val="en-US"/>
              </w:rPr>
              <w:t xml:space="preserve"> (%),</w:t>
            </w:r>
            <w:r w:rsidR="00F8072F">
              <w:rPr>
                <w:rFonts w:ascii="Book Antiqua" w:hAnsi="Book Antiqua" w:hint="eastAsia"/>
                <w:sz w:val="24"/>
                <w:szCs w:val="24"/>
                <w:lang w:val="en-US" w:eastAsia="zh-CN"/>
              </w:rPr>
              <w:t xml:space="preserve"> </w:t>
            </w:r>
            <w:r w:rsidRPr="00CC6129">
              <w:rPr>
                <w:rFonts w:ascii="Book Antiqua" w:hAnsi="Book Antiqua"/>
                <w:sz w:val="24"/>
                <w:szCs w:val="24"/>
                <w:lang w:val="en-US"/>
              </w:rPr>
              <w:t>mean</w:t>
            </w:r>
            <w:r w:rsidR="00F8072F">
              <w:rPr>
                <w:rFonts w:ascii="Book Antiqua" w:hAnsi="Book Antiqua"/>
                <w:sz w:val="24"/>
                <w:szCs w:val="24"/>
                <w:lang w:val="en-US"/>
              </w:rPr>
              <w:t xml:space="preserve"> ± </w:t>
            </w:r>
            <w:r w:rsidRPr="00CC6129">
              <w:rPr>
                <w:rFonts w:ascii="Book Antiqua" w:hAnsi="Book Antiqua"/>
                <w:sz w:val="24"/>
                <w:szCs w:val="24"/>
                <w:lang w:val="en-US"/>
              </w:rPr>
              <w:t>SD (range)</w:t>
            </w:r>
          </w:p>
        </w:tc>
        <w:tc>
          <w:tcPr>
            <w:tcW w:w="2101" w:type="dxa"/>
            <w:tcBorders>
              <w:bottom w:val="single" w:sz="4" w:space="0" w:color="auto"/>
            </w:tcBorders>
            <w:vAlign w:val="center"/>
          </w:tcPr>
          <w:p w:rsidR="007B105D" w:rsidRPr="00CC6129" w:rsidRDefault="007B105D" w:rsidP="00F8072F">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6.1</w:t>
            </w:r>
            <w:r w:rsidR="00F8072F">
              <w:rPr>
                <w:rFonts w:ascii="Book Antiqua" w:hAnsi="Book Antiqua"/>
                <w:sz w:val="24"/>
                <w:szCs w:val="24"/>
                <w:lang w:val="en-US"/>
              </w:rPr>
              <w:t xml:space="preserve"> ± </w:t>
            </w:r>
            <w:r w:rsidRPr="00CC6129">
              <w:rPr>
                <w:rFonts w:ascii="Book Antiqua" w:hAnsi="Book Antiqua"/>
                <w:sz w:val="24"/>
                <w:szCs w:val="24"/>
                <w:lang w:val="en-US"/>
              </w:rPr>
              <w:t>0.8 (4.3</w:t>
            </w:r>
            <w:r w:rsidR="00F8072F">
              <w:rPr>
                <w:rFonts w:ascii="Book Antiqua" w:hAnsi="Book Antiqua" w:hint="eastAsia"/>
                <w:sz w:val="24"/>
                <w:szCs w:val="24"/>
                <w:lang w:val="en-US" w:eastAsia="zh-CN"/>
              </w:rPr>
              <w:t>-</w:t>
            </w:r>
            <w:r w:rsidRPr="00CC6129">
              <w:rPr>
                <w:rFonts w:ascii="Book Antiqua" w:hAnsi="Book Antiqua"/>
                <w:sz w:val="24"/>
                <w:szCs w:val="24"/>
                <w:lang w:val="en-US"/>
              </w:rPr>
              <w:t>13.0)</w:t>
            </w:r>
          </w:p>
        </w:tc>
        <w:tc>
          <w:tcPr>
            <w:tcW w:w="2278" w:type="dxa"/>
            <w:tcBorders>
              <w:bottom w:val="single" w:sz="4" w:space="0" w:color="auto"/>
            </w:tcBorders>
            <w:vAlign w:val="center"/>
          </w:tcPr>
          <w:p w:rsidR="007B105D" w:rsidRPr="00CC6129" w:rsidRDefault="007B105D" w:rsidP="00F8072F">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6.</w:t>
            </w:r>
            <w:r w:rsidR="00FA6578" w:rsidRPr="00CC6129">
              <w:rPr>
                <w:rFonts w:ascii="Book Antiqua" w:hAnsi="Book Antiqua"/>
                <w:sz w:val="24"/>
                <w:szCs w:val="24"/>
                <w:lang w:val="en-US"/>
              </w:rPr>
              <w:t>2</w:t>
            </w:r>
            <w:r w:rsidR="00F8072F">
              <w:rPr>
                <w:rFonts w:ascii="Book Antiqua" w:hAnsi="Book Antiqua"/>
                <w:sz w:val="24"/>
                <w:szCs w:val="24"/>
                <w:lang w:val="en-US"/>
              </w:rPr>
              <w:t xml:space="preserve"> ± </w:t>
            </w:r>
            <w:r w:rsidRPr="00CC6129">
              <w:rPr>
                <w:rFonts w:ascii="Book Antiqua" w:hAnsi="Book Antiqua"/>
                <w:sz w:val="24"/>
                <w:szCs w:val="24"/>
                <w:lang w:val="en-US"/>
              </w:rPr>
              <w:t>0.</w:t>
            </w:r>
            <w:r w:rsidR="00FA6578" w:rsidRPr="00CC6129">
              <w:rPr>
                <w:rFonts w:ascii="Book Antiqua" w:hAnsi="Book Antiqua"/>
                <w:sz w:val="24"/>
                <w:szCs w:val="24"/>
                <w:lang w:val="en-US"/>
              </w:rPr>
              <w:t>6</w:t>
            </w:r>
            <w:r w:rsidRPr="00CC6129">
              <w:rPr>
                <w:rFonts w:ascii="Book Antiqua" w:hAnsi="Book Antiqua"/>
                <w:sz w:val="24"/>
                <w:szCs w:val="24"/>
                <w:lang w:val="en-US"/>
              </w:rPr>
              <w:t xml:space="preserve"> (</w:t>
            </w:r>
            <w:r w:rsidR="00FA6578" w:rsidRPr="00CC6129">
              <w:rPr>
                <w:rFonts w:ascii="Book Antiqua" w:hAnsi="Book Antiqua"/>
                <w:sz w:val="24"/>
                <w:szCs w:val="24"/>
                <w:lang w:val="en-US"/>
              </w:rPr>
              <w:t>5.2</w:t>
            </w:r>
            <w:r w:rsidR="00F8072F">
              <w:rPr>
                <w:rFonts w:ascii="Book Antiqua" w:hAnsi="Book Antiqua" w:hint="eastAsia"/>
                <w:sz w:val="24"/>
                <w:szCs w:val="24"/>
                <w:lang w:val="en-US" w:eastAsia="zh-CN"/>
              </w:rPr>
              <w:t>-</w:t>
            </w:r>
            <w:r w:rsidR="00FA6578" w:rsidRPr="00CC6129">
              <w:rPr>
                <w:rFonts w:ascii="Book Antiqua" w:hAnsi="Book Antiqua"/>
                <w:sz w:val="24"/>
                <w:szCs w:val="24"/>
                <w:lang w:val="en-US"/>
              </w:rPr>
              <w:t>8</w:t>
            </w:r>
            <w:r w:rsidRPr="00CC6129">
              <w:rPr>
                <w:rFonts w:ascii="Book Antiqua" w:hAnsi="Book Antiqua"/>
                <w:sz w:val="24"/>
                <w:szCs w:val="24"/>
                <w:lang w:val="en-US"/>
              </w:rPr>
              <w:t>.0)</w:t>
            </w:r>
          </w:p>
        </w:tc>
        <w:tc>
          <w:tcPr>
            <w:tcW w:w="2101" w:type="dxa"/>
            <w:tcBorders>
              <w:bottom w:val="single" w:sz="4" w:space="0" w:color="auto"/>
            </w:tcBorders>
            <w:vAlign w:val="center"/>
          </w:tcPr>
          <w:p w:rsidR="007B105D" w:rsidRPr="00CC6129" w:rsidRDefault="007B105D" w:rsidP="00F8072F">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6.1</w:t>
            </w:r>
            <w:r w:rsidR="00F8072F">
              <w:rPr>
                <w:rFonts w:ascii="Book Antiqua" w:hAnsi="Book Antiqua"/>
                <w:sz w:val="24"/>
                <w:szCs w:val="24"/>
                <w:lang w:val="en-US"/>
              </w:rPr>
              <w:t xml:space="preserve"> ± </w:t>
            </w:r>
            <w:r w:rsidRPr="00CC6129">
              <w:rPr>
                <w:rFonts w:ascii="Book Antiqua" w:hAnsi="Book Antiqua"/>
                <w:sz w:val="24"/>
                <w:szCs w:val="24"/>
                <w:lang w:val="en-US"/>
              </w:rPr>
              <w:t>0.8 (4.3</w:t>
            </w:r>
            <w:r w:rsidR="00F8072F">
              <w:rPr>
                <w:rFonts w:ascii="Book Antiqua" w:hAnsi="Book Antiqua" w:hint="eastAsia"/>
                <w:sz w:val="24"/>
                <w:szCs w:val="24"/>
                <w:lang w:val="en-US" w:eastAsia="zh-CN"/>
              </w:rPr>
              <w:t>-</w:t>
            </w:r>
            <w:r w:rsidRPr="00CC6129">
              <w:rPr>
                <w:rFonts w:ascii="Book Antiqua" w:hAnsi="Book Antiqua"/>
                <w:sz w:val="24"/>
                <w:szCs w:val="24"/>
                <w:lang w:val="en-US"/>
              </w:rPr>
              <w:t>13.0)</w:t>
            </w:r>
          </w:p>
        </w:tc>
        <w:tc>
          <w:tcPr>
            <w:tcW w:w="1212" w:type="dxa"/>
            <w:tcBorders>
              <w:bottom w:val="single" w:sz="4" w:space="0" w:color="auto"/>
            </w:tcBorders>
            <w:vAlign w:val="center"/>
          </w:tcPr>
          <w:p w:rsidR="007B105D" w:rsidRPr="00CC6129" w:rsidRDefault="00FA6578" w:rsidP="00F8072F">
            <w:pPr>
              <w:snapToGrid w:val="0"/>
              <w:spacing w:after="0" w:line="360" w:lineRule="auto"/>
              <w:jc w:val="center"/>
              <w:rPr>
                <w:rFonts w:ascii="Book Antiqua" w:hAnsi="Book Antiqua"/>
                <w:sz w:val="24"/>
                <w:szCs w:val="24"/>
                <w:lang w:val="en-US"/>
              </w:rPr>
            </w:pPr>
            <w:r w:rsidRPr="00CC6129">
              <w:rPr>
                <w:rFonts w:ascii="Book Antiqua" w:hAnsi="Book Antiqua"/>
                <w:sz w:val="24"/>
                <w:szCs w:val="24"/>
                <w:lang w:val="en-US"/>
              </w:rPr>
              <w:t>0.436</w:t>
            </w:r>
          </w:p>
        </w:tc>
      </w:tr>
    </w:tbl>
    <w:p w:rsidR="007B105D" w:rsidRPr="00CC6129" w:rsidRDefault="00F8072F" w:rsidP="0010680C">
      <w:pPr>
        <w:snapToGrid w:val="0"/>
        <w:spacing w:after="0" w:line="360" w:lineRule="auto"/>
        <w:jc w:val="both"/>
        <w:rPr>
          <w:rFonts w:ascii="Book Antiqua" w:hAnsi="Book Antiqua"/>
          <w:sz w:val="24"/>
          <w:szCs w:val="24"/>
          <w:lang w:val="en-US"/>
        </w:rPr>
      </w:pPr>
      <w:r w:rsidRPr="00F8072F">
        <w:rPr>
          <w:rFonts w:ascii="Book Antiqua" w:hAnsi="Book Antiqua" w:hint="eastAsia"/>
          <w:b/>
          <w:sz w:val="24"/>
          <w:szCs w:val="24"/>
          <w:vertAlign w:val="superscript"/>
          <w:lang w:val="en-US" w:eastAsia="zh-CN"/>
        </w:rPr>
        <w:t>1</w:t>
      </w:r>
      <w:r w:rsidR="00EB75A0" w:rsidRPr="00CC6129">
        <w:rPr>
          <w:rFonts w:ascii="Book Antiqua" w:hAnsi="Book Antiqua"/>
          <w:sz w:val="24"/>
          <w:szCs w:val="24"/>
          <w:lang w:val="en-US"/>
        </w:rPr>
        <w:t xml:space="preserve">Student </w:t>
      </w:r>
      <w:r w:rsidR="00EB75A0" w:rsidRPr="00F8072F">
        <w:rPr>
          <w:rFonts w:ascii="Book Antiqua" w:hAnsi="Book Antiqua"/>
          <w:i/>
          <w:sz w:val="24"/>
          <w:szCs w:val="24"/>
          <w:lang w:val="en-US"/>
        </w:rPr>
        <w:t>t</w:t>
      </w:r>
      <w:r>
        <w:rPr>
          <w:rFonts w:ascii="Book Antiqua" w:hAnsi="Book Antiqua" w:hint="eastAsia"/>
          <w:sz w:val="24"/>
          <w:szCs w:val="24"/>
          <w:lang w:val="en-US" w:eastAsia="zh-CN"/>
        </w:rPr>
        <w:t>-</w:t>
      </w:r>
      <w:r w:rsidR="00EB75A0" w:rsidRPr="00CC6129">
        <w:rPr>
          <w:rFonts w:ascii="Book Antiqua" w:hAnsi="Book Antiqua"/>
          <w:sz w:val="24"/>
          <w:szCs w:val="24"/>
          <w:lang w:val="en-US"/>
        </w:rPr>
        <w:t xml:space="preserve">test or Mann-Whitney </w:t>
      </w:r>
      <w:r w:rsidR="00EB75A0" w:rsidRPr="00F8072F">
        <w:rPr>
          <w:rFonts w:ascii="Book Antiqua" w:hAnsi="Book Antiqua"/>
          <w:i/>
          <w:sz w:val="24"/>
          <w:szCs w:val="24"/>
          <w:lang w:val="en-US"/>
        </w:rPr>
        <w:t>U</w:t>
      </w:r>
      <w:r w:rsidR="00EB75A0" w:rsidRPr="00CC6129">
        <w:rPr>
          <w:rFonts w:ascii="Book Antiqua" w:hAnsi="Book Antiqua"/>
          <w:sz w:val="24"/>
          <w:szCs w:val="24"/>
          <w:lang w:val="en-US"/>
        </w:rPr>
        <w:t xml:space="preserve"> test were used for normally distributed or non parametric variables, respectively.</w:t>
      </w:r>
    </w:p>
    <w:p w:rsidR="007B105D" w:rsidRPr="00CC6129" w:rsidRDefault="007B105D" w:rsidP="0010680C">
      <w:pPr>
        <w:snapToGrid w:val="0"/>
        <w:spacing w:after="0" w:line="360" w:lineRule="auto"/>
        <w:jc w:val="both"/>
        <w:rPr>
          <w:rFonts w:ascii="Book Antiqua" w:hAnsi="Book Antiqua"/>
          <w:sz w:val="24"/>
          <w:szCs w:val="24"/>
          <w:lang w:val="en-US"/>
        </w:rPr>
      </w:pPr>
      <w:r w:rsidRPr="00CC6129">
        <w:rPr>
          <w:rFonts w:ascii="Book Antiqua" w:hAnsi="Book Antiqua"/>
          <w:sz w:val="24"/>
          <w:szCs w:val="24"/>
          <w:lang w:val="en-US"/>
        </w:rPr>
        <w:br w:type="page"/>
      </w:r>
    </w:p>
    <w:p w:rsidR="004A4B97" w:rsidRPr="00C125FC" w:rsidRDefault="004A4B97" w:rsidP="004F713B">
      <w:pPr>
        <w:tabs>
          <w:tab w:val="left" w:pos="1134"/>
        </w:tabs>
        <w:autoSpaceDE w:val="0"/>
        <w:autoSpaceDN w:val="0"/>
        <w:adjustRightInd w:val="0"/>
        <w:snapToGrid w:val="0"/>
        <w:spacing w:after="0" w:line="360" w:lineRule="auto"/>
        <w:ind w:right="142"/>
        <w:jc w:val="both"/>
        <w:rPr>
          <w:rFonts w:ascii="Book Antiqua" w:hAnsi="Book Antiqua"/>
          <w:b/>
          <w:sz w:val="24"/>
          <w:szCs w:val="24"/>
          <w:lang w:val="en-US" w:eastAsia="zh-CN"/>
        </w:rPr>
      </w:pPr>
      <w:r w:rsidRPr="00C125FC">
        <w:rPr>
          <w:rFonts w:ascii="Book Antiqua" w:hAnsi="Book Antiqua"/>
          <w:b/>
          <w:sz w:val="24"/>
          <w:szCs w:val="24"/>
          <w:lang w:val="en-US"/>
        </w:rPr>
        <w:lastRenderedPageBreak/>
        <w:t xml:space="preserve">Table </w:t>
      </w:r>
      <w:r w:rsidR="007B105D" w:rsidRPr="00C125FC">
        <w:rPr>
          <w:rFonts w:ascii="Book Antiqua" w:hAnsi="Book Antiqua"/>
          <w:b/>
          <w:sz w:val="24"/>
          <w:szCs w:val="24"/>
          <w:lang w:val="en-US"/>
        </w:rPr>
        <w:t>3</w:t>
      </w:r>
      <w:r w:rsidR="004F713B" w:rsidRPr="00C125FC">
        <w:rPr>
          <w:rFonts w:ascii="Book Antiqua" w:hAnsi="Book Antiqua" w:hint="eastAsia"/>
          <w:b/>
          <w:sz w:val="24"/>
          <w:szCs w:val="24"/>
          <w:lang w:val="en-US" w:eastAsia="zh-CN"/>
        </w:rPr>
        <w:t xml:space="preserve"> </w:t>
      </w:r>
      <w:r w:rsidRPr="00C125FC">
        <w:rPr>
          <w:rFonts w:ascii="Book Antiqua" w:hAnsi="Book Antiqua"/>
          <w:b/>
          <w:sz w:val="24"/>
          <w:szCs w:val="24"/>
          <w:lang w:val="en-US"/>
        </w:rPr>
        <w:t xml:space="preserve">Receiver </w:t>
      </w:r>
      <w:r w:rsidR="00A746EA" w:rsidRPr="00C125FC">
        <w:rPr>
          <w:rFonts w:ascii="Book Antiqua" w:hAnsi="Book Antiqua"/>
          <w:b/>
          <w:sz w:val="24"/>
          <w:szCs w:val="24"/>
          <w:lang w:val="en-US"/>
        </w:rPr>
        <w:t>operating characteristics</w:t>
      </w:r>
      <w:r w:rsidR="00A746EA" w:rsidRPr="00C125FC">
        <w:rPr>
          <w:rFonts w:ascii="Book Antiqua" w:hAnsi="Book Antiqua"/>
          <w:b/>
          <w:sz w:val="24"/>
          <w:szCs w:val="24"/>
          <w:lang w:val="en-US" w:eastAsia="zh-CN"/>
        </w:rPr>
        <w:t xml:space="preserve"> </w:t>
      </w:r>
      <w:r w:rsidRPr="00C125FC">
        <w:rPr>
          <w:rFonts w:ascii="Book Antiqua" w:hAnsi="Book Antiqua"/>
          <w:b/>
          <w:sz w:val="24"/>
          <w:szCs w:val="24"/>
          <w:lang w:val="en-US"/>
        </w:rPr>
        <w:t xml:space="preserve">and Bayesian </w:t>
      </w:r>
      <w:r w:rsidR="00A746EA" w:rsidRPr="00C125FC">
        <w:rPr>
          <w:rFonts w:ascii="Book Antiqua" w:hAnsi="Book Antiqua"/>
          <w:b/>
          <w:sz w:val="24"/>
          <w:szCs w:val="24"/>
          <w:lang w:val="en-US"/>
        </w:rPr>
        <w:t>a</w:t>
      </w:r>
      <w:r w:rsidRPr="00C125FC">
        <w:rPr>
          <w:rFonts w:ascii="Book Antiqua" w:hAnsi="Book Antiqua"/>
          <w:b/>
          <w:sz w:val="24"/>
          <w:szCs w:val="24"/>
          <w:lang w:val="en-US"/>
        </w:rPr>
        <w:t>nalysis of</w:t>
      </w:r>
      <w:r w:rsidR="00FD44C7" w:rsidRPr="00C125FC">
        <w:rPr>
          <w:rFonts w:ascii="Book Antiqua" w:hAnsi="Book Antiqua"/>
          <w:b/>
          <w:sz w:val="24"/>
          <w:szCs w:val="24"/>
          <w:lang w:val="en-US"/>
        </w:rPr>
        <w:t xml:space="preserve"> </w:t>
      </w:r>
      <w:r w:rsidR="00C125FC" w:rsidRPr="00C125FC">
        <w:rPr>
          <w:rFonts w:ascii="Book Antiqua" w:hAnsi="Book Antiqua"/>
          <w:b/>
          <w:bCs/>
          <w:sz w:val="24"/>
          <w:szCs w:val="24"/>
          <w:lang w:val="en-US"/>
        </w:rPr>
        <w:t>venous thromboembolism</w:t>
      </w:r>
      <w:r w:rsidR="00FD44C7" w:rsidRPr="00C125FC">
        <w:rPr>
          <w:rFonts w:ascii="Book Antiqua" w:hAnsi="Book Antiqua"/>
          <w:b/>
          <w:sz w:val="24"/>
          <w:szCs w:val="24"/>
          <w:lang w:val="en-US"/>
        </w:rPr>
        <w:t xml:space="preserve"> predictive value of</w:t>
      </w:r>
      <w:r w:rsidR="004F713B" w:rsidRPr="00C125FC">
        <w:rPr>
          <w:rFonts w:ascii="Book Antiqua" w:hAnsi="Book Antiqua"/>
          <w:b/>
          <w:sz w:val="24"/>
          <w:szCs w:val="24"/>
          <w:lang w:val="en-US"/>
        </w:rPr>
        <w:t xml:space="preserve"> glycemic parameters</w:t>
      </w:r>
      <w:r w:rsidR="00C125FC">
        <w:rPr>
          <w:rFonts w:ascii="Book Antiqua" w:hAnsi="Book Antiqua" w:hint="eastAsia"/>
          <w:b/>
          <w:sz w:val="24"/>
          <w:szCs w:val="24"/>
          <w:lang w:val="en-US" w:eastAsia="zh-CN"/>
        </w:rPr>
        <w:t xml:space="preserve"> </w:t>
      </w:r>
    </w:p>
    <w:tbl>
      <w:tblPr>
        <w:tblW w:w="10172" w:type="dxa"/>
        <w:tblLook w:val="01E0" w:firstRow="1" w:lastRow="1" w:firstColumn="1" w:lastColumn="1" w:noHBand="0" w:noVBand="0"/>
      </w:tblPr>
      <w:tblGrid>
        <w:gridCol w:w="1580"/>
        <w:gridCol w:w="2153"/>
        <w:gridCol w:w="2191"/>
        <w:gridCol w:w="2207"/>
        <w:gridCol w:w="2041"/>
      </w:tblGrid>
      <w:tr w:rsidR="004F713B" w:rsidRPr="00CC6129" w:rsidTr="004F713B">
        <w:trPr>
          <w:trHeight w:val="873"/>
        </w:trPr>
        <w:tc>
          <w:tcPr>
            <w:tcW w:w="1580" w:type="dxa"/>
            <w:tcBorders>
              <w:top w:val="single" w:sz="4" w:space="0" w:color="auto"/>
              <w:bottom w:val="single" w:sz="4" w:space="0" w:color="auto"/>
            </w:tcBorders>
          </w:tcPr>
          <w:p w:rsidR="004A4B97" w:rsidRPr="00CC6129" w:rsidRDefault="004A4B97" w:rsidP="0010680C">
            <w:pPr>
              <w:snapToGrid w:val="0"/>
              <w:spacing w:after="0" w:line="360" w:lineRule="auto"/>
              <w:ind w:right="23"/>
              <w:jc w:val="both"/>
              <w:rPr>
                <w:rFonts w:ascii="Book Antiqua" w:hAnsi="Book Antiqua"/>
                <w:b/>
                <w:sz w:val="24"/>
                <w:szCs w:val="24"/>
                <w:lang w:val="en-US"/>
              </w:rPr>
            </w:pPr>
          </w:p>
        </w:tc>
        <w:tc>
          <w:tcPr>
            <w:tcW w:w="2153" w:type="dxa"/>
            <w:tcBorders>
              <w:top w:val="single" w:sz="4" w:space="0" w:color="auto"/>
              <w:bottom w:val="single" w:sz="4" w:space="0" w:color="auto"/>
            </w:tcBorders>
          </w:tcPr>
          <w:p w:rsidR="004A4B97" w:rsidRPr="00CC6129" w:rsidRDefault="004A4B97" w:rsidP="004F713B">
            <w:pPr>
              <w:snapToGrid w:val="0"/>
              <w:spacing w:after="0" w:line="360" w:lineRule="auto"/>
              <w:ind w:right="23"/>
              <w:jc w:val="center"/>
              <w:rPr>
                <w:rFonts w:ascii="Book Antiqua" w:hAnsi="Book Antiqua"/>
                <w:b/>
                <w:sz w:val="24"/>
                <w:szCs w:val="24"/>
                <w:lang w:val="en-US"/>
              </w:rPr>
            </w:pPr>
            <w:r w:rsidRPr="00CC6129">
              <w:rPr>
                <w:rFonts w:ascii="Book Antiqua" w:hAnsi="Book Antiqua"/>
                <w:b/>
                <w:sz w:val="24"/>
                <w:szCs w:val="24"/>
                <w:lang w:val="en-US"/>
              </w:rPr>
              <w:t>Fasting blood glucose</w:t>
            </w:r>
          </w:p>
        </w:tc>
        <w:tc>
          <w:tcPr>
            <w:tcW w:w="2191" w:type="dxa"/>
            <w:tcBorders>
              <w:top w:val="single" w:sz="4" w:space="0" w:color="auto"/>
              <w:bottom w:val="single" w:sz="4" w:space="0" w:color="auto"/>
            </w:tcBorders>
          </w:tcPr>
          <w:p w:rsidR="004A4B97" w:rsidRPr="00CC6129" w:rsidRDefault="004A4B97" w:rsidP="004F713B">
            <w:pPr>
              <w:snapToGrid w:val="0"/>
              <w:spacing w:after="0" w:line="360" w:lineRule="auto"/>
              <w:ind w:right="23"/>
              <w:jc w:val="center"/>
              <w:rPr>
                <w:rFonts w:ascii="Book Antiqua" w:hAnsi="Book Antiqua"/>
                <w:b/>
                <w:sz w:val="24"/>
                <w:szCs w:val="24"/>
                <w:lang w:val="en-US"/>
              </w:rPr>
            </w:pPr>
            <w:r w:rsidRPr="00CC6129">
              <w:rPr>
                <w:rFonts w:ascii="Book Antiqua" w:hAnsi="Book Antiqua"/>
                <w:b/>
                <w:sz w:val="24"/>
                <w:szCs w:val="24"/>
                <w:lang w:val="en-US"/>
              </w:rPr>
              <w:t>Fasting insulin</w:t>
            </w:r>
          </w:p>
        </w:tc>
        <w:tc>
          <w:tcPr>
            <w:tcW w:w="2207" w:type="dxa"/>
            <w:tcBorders>
              <w:top w:val="single" w:sz="4" w:space="0" w:color="auto"/>
              <w:bottom w:val="single" w:sz="4" w:space="0" w:color="auto"/>
            </w:tcBorders>
          </w:tcPr>
          <w:p w:rsidR="004A4B97" w:rsidRPr="00CC6129" w:rsidRDefault="00681CD6" w:rsidP="004F713B">
            <w:pPr>
              <w:snapToGrid w:val="0"/>
              <w:spacing w:after="0" w:line="360" w:lineRule="auto"/>
              <w:ind w:right="23"/>
              <w:jc w:val="center"/>
              <w:rPr>
                <w:rFonts w:ascii="Book Antiqua" w:hAnsi="Book Antiqua"/>
                <w:b/>
                <w:sz w:val="24"/>
                <w:szCs w:val="24"/>
                <w:lang w:val="en-US"/>
              </w:rPr>
            </w:pPr>
            <w:r w:rsidRPr="00CC6129">
              <w:rPr>
                <w:rFonts w:ascii="Book Antiqua" w:hAnsi="Book Antiqua"/>
                <w:b/>
                <w:sz w:val="24"/>
                <w:szCs w:val="24"/>
                <w:lang w:val="en-US"/>
              </w:rPr>
              <w:t>HOMA</w:t>
            </w:r>
          </w:p>
        </w:tc>
        <w:tc>
          <w:tcPr>
            <w:tcW w:w="2041" w:type="dxa"/>
            <w:tcBorders>
              <w:top w:val="single" w:sz="4" w:space="0" w:color="auto"/>
              <w:bottom w:val="single" w:sz="4" w:space="0" w:color="auto"/>
            </w:tcBorders>
          </w:tcPr>
          <w:p w:rsidR="004A4B97" w:rsidRPr="00CC6129" w:rsidRDefault="004A4B97" w:rsidP="004F713B">
            <w:pPr>
              <w:snapToGrid w:val="0"/>
              <w:spacing w:after="0" w:line="360" w:lineRule="auto"/>
              <w:ind w:right="23"/>
              <w:jc w:val="center"/>
              <w:rPr>
                <w:rFonts w:ascii="Book Antiqua" w:hAnsi="Book Antiqua"/>
                <w:b/>
                <w:sz w:val="24"/>
                <w:szCs w:val="24"/>
                <w:lang w:val="en-US"/>
              </w:rPr>
            </w:pPr>
            <w:r w:rsidRPr="00CC6129">
              <w:rPr>
                <w:rFonts w:ascii="Book Antiqua" w:hAnsi="Book Antiqua"/>
                <w:b/>
                <w:sz w:val="24"/>
                <w:szCs w:val="24"/>
                <w:lang w:val="en-US"/>
              </w:rPr>
              <w:t>HbA1c</w:t>
            </w:r>
          </w:p>
        </w:tc>
      </w:tr>
      <w:tr w:rsidR="004F713B" w:rsidRPr="00CC6129" w:rsidTr="004F713B">
        <w:trPr>
          <w:trHeight w:val="450"/>
        </w:trPr>
        <w:tc>
          <w:tcPr>
            <w:tcW w:w="1580" w:type="dxa"/>
            <w:tcBorders>
              <w:top w:val="single" w:sz="4" w:space="0" w:color="auto"/>
            </w:tcBorders>
          </w:tcPr>
          <w:p w:rsidR="004A4B97" w:rsidRPr="00A746EA" w:rsidRDefault="004A4B97" w:rsidP="0010680C">
            <w:pPr>
              <w:snapToGrid w:val="0"/>
              <w:spacing w:after="0" w:line="360" w:lineRule="auto"/>
              <w:ind w:right="23"/>
              <w:jc w:val="both"/>
              <w:rPr>
                <w:rFonts w:ascii="Book Antiqua" w:hAnsi="Book Antiqua"/>
                <w:sz w:val="24"/>
                <w:szCs w:val="24"/>
                <w:lang w:val="en-US"/>
              </w:rPr>
            </w:pPr>
            <w:r w:rsidRPr="00A746EA">
              <w:rPr>
                <w:rFonts w:ascii="Book Antiqua" w:hAnsi="Book Antiqua"/>
                <w:sz w:val="24"/>
                <w:szCs w:val="24"/>
                <w:lang w:val="en-US"/>
              </w:rPr>
              <w:t>AUC (SE)</w:t>
            </w:r>
          </w:p>
        </w:tc>
        <w:tc>
          <w:tcPr>
            <w:tcW w:w="2153" w:type="dxa"/>
            <w:tcBorders>
              <w:top w:val="single" w:sz="4" w:space="0" w:color="auto"/>
            </w:tcBorders>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0.</w:t>
            </w:r>
            <w:r w:rsidRPr="00CC6129">
              <w:rPr>
                <w:rStyle w:val="normal1"/>
                <w:rFonts w:ascii="Book Antiqua" w:hAnsi="Book Antiqua"/>
                <w:color w:val="auto"/>
                <w:sz w:val="24"/>
                <w:szCs w:val="24"/>
                <w:lang w:val="en-US"/>
              </w:rPr>
              <w:t>636</w:t>
            </w:r>
            <w:r w:rsidRPr="00CC6129">
              <w:rPr>
                <w:rFonts w:ascii="Book Antiqua" w:hAnsi="Book Antiqua"/>
                <w:sz w:val="24"/>
                <w:szCs w:val="24"/>
                <w:lang w:val="en-US"/>
              </w:rPr>
              <w:t xml:space="preserve"> (0.06)</w:t>
            </w:r>
          </w:p>
        </w:tc>
        <w:tc>
          <w:tcPr>
            <w:tcW w:w="2191" w:type="dxa"/>
            <w:tcBorders>
              <w:top w:val="single" w:sz="4" w:space="0" w:color="auto"/>
            </w:tcBorders>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0.630 (0.05)</w:t>
            </w:r>
          </w:p>
        </w:tc>
        <w:tc>
          <w:tcPr>
            <w:tcW w:w="2207" w:type="dxa"/>
            <w:tcBorders>
              <w:top w:val="single" w:sz="4" w:space="0" w:color="auto"/>
            </w:tcBorders>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0.647 (0.05)</w:t>
            </w:r>
          </w:p>
        </w:tc>
        <w:tc>
          <w:tcPr>
            <w:tcW w:w="2041" w:type="dxa"/>
            <w:tcBorders>
              <w:top w:val="single" w:sz="4" w:space="0" w:color="auto"/>
            </w:tcBorders>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0.574 (0.06)</w:t>
            </w:r>
          </w:p>
        </w:tc>
      </w:tr>
      <w:tr w:rsidR="004F713B" w:rsidRPr="00CC6129" w:rsidTr="004F713B">
        <w:trPr>
          <w:trHeight w:val="437"/>
        </w:trPr>
        <w:tc>
          <w:tcPr>
            <w:tcW w:w="1580" w:type="dxa"/>
          </w:tcPr>
          <w:p w:rsidR="004A4B97" w:rsidRPr="00A746EA" w:rsidRDefault="00C125FC" w:rsidP="00C125FC">
            <w:pPr>
              <w:snapToGrid w:val="0"/>
              <w:spacing w:after="0" w:line="360" w:lineRule="auto"/>
              <w:ind w:right="23"/>
              <w:jc w:val="both"/>
              <w:rPr>
                <w:rFonts w:ascii="Book Antiqua" w:hAnsi="Book Antiqua"/>
                <w:sz w:val="24"/>
                <w:szCs w:val="24"/>
                <w:lang w:val="en-US" w:eastAsia="zh-CN"/>
              </w:rPr>
            </w:pPr>
            <w:r>
              <w:rPr>
                <w:rFonts w:ascii="Book Antiqua" w:hAnsi="Book Antiqua"/>
                <w:sz w:val="24"/>
                <w:szCs w:val="24"/>
                <w:lang w:val="en-US"/>
              </w:rPr>
              <w:t>95%CI</w:t>
            </w:r>
          </w:p>
        </w:tc>
        <w:tc>
          <w:tcPr>
            <w:tcW w:w="2153"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0.</w:t>
            </w:r>
            <w:r w:rsidRPr="00CC6129">
              <w:rPr>
                <w:rStyle w:val="normal1"/>
                <w:rFonts w:ascii="Book Antiqua" w:hAnsi="Book Antiqua"/>
                <w:color w:val="auto"/>
                <w:sz w:val="24"/>
                <w:szCs w:val="24"/>
                <w:lang w:val="en-US"/>
              </w:rPr>
              <w:t>582</w:t>
            </w:r>
            <w:r w:rsidR="004F713B">
              <w:rPr>
                <w:rFonts w:ascii="Book Antiqua" w:hAnsi="Book Antiqua" w:hint="eastAsia"/>
                <w:sz w:val="24"/>
                <w:szCs w:val="24"/>
                <w:lang w:val="en-US" w:eastAsia="zh-CN"/>
              </w:rPr>
              <w:t>-</w:t>
            </w:r>
            <w:r w:rsidRPr="00CC6129">
              <w:rPr>
                <w:rFonts w:ascii="Book Antiqua" w:hAnsi="Book Antiqua"/>
                <w:sz w:val="24"/>
                <w:szCs w:val="24"/>
                <w:lang w:val="en-US"/>
              </w:rPr>
              <w:t>0.</w:t>
            </w:r>
            <w:r w:rsidRPr="00CC6129">
              <w:rPr>
                <w:rStyle w:val="normal1"/>
                <w:rFonts w:ascii="Book Antiqua" w:hAnsi="Book Antiqua"/>
                <w:color w:val="auto"/>
                <w:sz w:val="24"/>
                <w:szCs w:val="24"/>
                <w:lang w:val="en-US"/>
              </w:rPr>
              <w:t>687</w:t>
            </w:r>
          </w:p>
        </w:tc>
        <w:tc>
          <w:tcPr>
            <w:tcW w:w="2191"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0.</w:t>
            </w:r>
            <w:r w:rsidRPr="00CC6129">
              <w:rPr>
                <w:rStyle w:val="normal1"/>
                <w:rFonts w:ascii="Book Antiqua" w:hAnsi="Book Antiqua"/>
                <w:color w:val="auto"/>
                <w:sz w:val="24"/>
                <w:szCs w:val="24"/>
                <w:lang w:val="en-US"/>
              </w:rPr>
              <w:t>576</w:t>
            </w:r>
            <w:r w:rsidR="004F713B">
              <w:rPr>
                <w:rFonts w:ascii="Book Antiqua" w:hAnsi="Book Antiqua" w:hint="eastAsia"/>
                <w:sz w:val="24"/>
                <w:szCs w:val="24"/>
                <w:lang w:val="en-US" w:eastAsia="zh-CN"/>
              </w:rPr>
              <w:t>-</w:t>
            </w:r>
            <w:r w:rsidRPr="00CC6129">
              <w:rPr>
                <w:rFonts w:ascii="Book Antiqua" w:hAnsi="Book Antiqua"/>
                <w:sz w:val="24"/>
                <w:szCs w:val="24"/>
                <w:lang w:val="en-US"/>
              </w:rPr>
              <w:t>0.681</w:t>
            </w:r>
          </w:p>
        </w:tc>
        <w:tc>
          <w:tcPr>
            <w:tcW w:w="2207"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0.</w:t>
            </w:r>
            <w:r w:rsidRPr="00CC6129">
              <w:rPr>
                <w:rStyle w:val="normal1"/>
                <w:rFonts w:ascii="Book Antiqua" w:hAnsi="Book Antiqua"/>
                <w:color w:val="auto"/>
                <w:sz w:val="24"/>
                <w:szCs w:val="24"/>
                <w:lang w:val="en-US"/>
              </w:rPr>
              <w:t>593</w:t>
            </w:r>
            <w:r w:rsidR="004F713B">
              <w:rPr>
                <w:rFonts w:ascii="Book Antiqua" w:hAnsi="Book Antiqua" w:hint="eastAsia"/>
                <w:sz w:val="24"/>
                <w:szCs w:val="24"/>
                <w:lang w:val="en-US" w:eastAsia="zh-CN"/>
              </w:rPr>
              <w:t>-</w:t>
            </w:r>
            <w:r w:rsidRPr="00CC6129">
              <w:rPr>
                <w:rFonts w:ascii="Book Antiqua" w:hAnsi="Book Antiqua"/>
                <w:sz w:val="24"/>
                <w:szCs w:val="24"/>
                <w:lang w:val="en-US"/>
              </w:rPr>
              <w:t>0.</w:t>
            </w:r>
            <w:r w:rsidRPr="00CC6129">
              <w:rPr>
                <w:rStyle w:val="normal1"/>
                <w:rFonts w:ascii="Book Antiqua" w:hAnsi="Book Antiqua"/>
                <w:color w:val="auto"/>
                <w:sz w:val="24"/>
                <w:szCs w:val="24"/>
                <w:lang w:val="en-US"/>
              </w:rPr>
              <w:t>697</w:t>
            </w:r>
          </w:p>
        </w:tc>
        <w:tc>
          <w:tcPr>
            <w:tcW w:w="2041"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0.</w:t>
            </w:r>
            <w:r w:rsidRPr="00CC6129">
              <w:rPr>
                <w:rStyle w:val="normal1"/>
                <w:rFonts w:ascii="Book Antiqua" w:hAnsi="Book Antiqua"/>
                <w:color w:val="auto"/>
                <w:sz w:val="24"/>
                <w:szCs w:val="24"/>
                <w:lang w:val="en-US"/>
              </w:rPr>
              <w:t>519</w:t>
            </w:r>
            <w:r w:rsidR="004F713B">
              <w:rPr>
                <w:rFonts w:ascii="Book Antiqua" w:hAnsi="Book Antiqua" w:hint="eastAsia"/>
                <w:sz w:val="24"/>
                <w:szCs w:val="24"/>
                <w:lang w:val="en-US" w:eastAsia="zh-CN"/>
              </w:rPr>
              <w:t>-</w:t>
            </w:r>
            <w:r w:rsidRPr="00CC6129">
              <w:rPr>
                <w:rFonts w:ascii="Book Antiqua" w:hAnsi="Book Antiqua"/>
                <w:sz w:val="24"/>
                <w:szCs w:val="24"/>
                <w:lang w:val="en-US"/>
              </w:rPr>
              <w:t>0.</w:t>
            </w:r>
            <w:r w:rsidRPr="00CC6129">
              <w:rPr>
                <w:rStyle w:val="normal1"/>
                <w:rFonts w:ascii="Book Antiqua" w:hAnsi="Book Antiqua"/>
                <w:color w:val="auto"/>
                <w:sz w:val="24"/>
                <w:szCs w:val="24"/>
                <w:lang w:val="en-US"/>
              </w:rPr>
              <w:t>627</w:t>
            </w:r>
          </w:p>
        </w:tc>
      </w:tr>
      <w:tr w:rsidR="004F713B" w:rsidRPr="00CC6129" w:rsidTr="004F713B">
        <w:trPr>
          <w:trHeight w:val="450"/>
        </w:trPr>
        <w:tc>
          <w:tcPr>
            <w:tcW w:w="1580" w:type="dxa"/>
          </w:tcPr>
          <w:p w:rsidR="004A4B97" w:rsidRPr="00A746EA" w:rsidRDefault="004A4B97" w:rsidP="00A746EA">
            <w:pPr>
              <w:snapToGrid w:val="0"/>
              <w:spacing w:after="0" w:line="360" w:lineRule="auto"/>
              <w:ind w:right="23"/>
              <w:jc w:val="both"/>
              <w:rPr>
                <w:rFonts w:ascii="Book Antiqua" w:hAnsi="Book Antiqua"/>
                <w:sz w:val="24"/>
                <w:szCs w:val="24"/>
                <w:lang w:val="en-US" w:eastAsia="zh-CN"/>
              </w:rPr>
            </w:pPr>
            <w:r w:rsidRPr="00A746EA">
              <w:rPr>
                <w:rFonts w:ascii="Book Antiqua" w:hAnsi="Book Antiqua"/>
                <w:sz w:val="24"/>
                <w:szCs w:val="24"/>
                <w:lang w:val="en-US"/>
              </w:rPr>
              <w:t>Criterion</w:t>
            </w:r>
            <w:r w:rsidR="00A746EA" w:rsidRPr="00A746EA">
              <w:rPr>
                <w:rFonts w:ascii="Book Antiqua" w:hAnsi="Book Antiqua" w:hint="eastAsia"/>
                <w:sz w:val="24"/>
                <w:szCs w:val="24"/>
                <w:vertAlign w:val="superscript"/>
                <w:lang w:val="en-US" w:eastAsia="zh-CN"/>
              </w:rPr>
              <w:t>1</w:t>
            </w:r>
          </w:p>
        </w:tc>
        <w:tc>
          <w:tcPr>
            <w:tcW w:w="2153"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103 mg/d</w:t>
            </w:r>
            <w:r w:rsidRPr="00D15003">
              <w:rPr>
                <w:rFonts w:ascii="Book Antiqua" w:hAnsi="Book Antiqua"/>
                <w:caps/>
                <w:sz w:val="24"/>
                <w:szCs w:val="24"/>
                <w:lang w:val="en-US"/>
              </w:rPr>
              <w:t>l</w:t>
            </w:r>
          </w:p>
        </w:tc>
        <w:tc>
          <w:tcPr>
            <w:tcW w:w="2191"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 xml:space="preserve">12 </w:t>
            </w:r>
            <w:r w:rsidRPr="00CC6129">
              <w:rPr>
                <w:rFonts w:ascii="Book Antiqua" w:hAnsi="Book Antiqua"/>
                <w:sz w:val="24"/>
                <w:szCs w:val="24"/>
                <w:lang w:val="en-US"/>
              </w:rPr>
              <w:t>IU/m</w:t>
            </w:r>
            <w:r w:rsidRPr="00D15003">
              <w:rPr>
                <w:rFonts w:ascii="Book Antiqua" w:hAnsi="Book Antiqua"/>
                <w:caps/>
                <w:sz w:val="24"/>
                <w:szCs w:val="24"/>
                <w:lang w:val="en-US"/>
              </w:rPr>
              <w:t>l</w:t>
            </w:r>
          </w:p>
        </w:tc>
        <w:tc>
          <w:tcPr>
            <w:tcW w:w="2207"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2.6</w:t>
            </w:r>
          </w:p>
        </w:tc>
        <w:tc>
          <w:tcPr>
            <w:tcW w:w="2041"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6.0%</w:t>
            </w:r>
          </w:p>
        </w:tc>
      </w:tr>
      <w:tr w:rsidR="004F713B" w:rsidRPr="00CC6129" w:rsidTr="004F713B">
        <w:trPr>
          <w:trHeight w:val="450"/>
        </w:trPr>
        <w:tc>
          <w:tcPr>
            <w:tcW w:w="1580" w:type="dxa"/>
          </w:tcPr>
          <w:p w:rsidR="004A4B97" w:rsidRPr="00A746EA" w:rsidRDefault="004A4B97" w:rsidP="0010680C">
            <w:pPr>
              <w:snapToGrid w:val="0"/>
              <w:spacing w:after="0" w:line="360" w:lineRule="auto"/>
              <w:ind w:right="23"/>
              <w:jc w:val="both"/>
              <w:rPr>
                <w:rFonts w:ascii="Book Antiqua" w:hAnsi="Book Antiqua"/>
                <w:sz w:val="24"/>
                <w:szCs w:val="24"/>
                <w:lang w:val="en-US"/>
              </w:rPr>
            </w:pPr>
            <w:r w:rsidRPr="00A746EA">
              <w:rPr>
                <w:rFonts w:ascii="Book Antiqua" w:hAnsi="Book Antiqua"/>
                <w:sz w:val="24"/>
                <w:szCs w:val="24"/>
                <w:lang w:val="en-US"/>
              </w:rPr>
              <w:t>Sensitivity</w:t>
            </w:r>
          </w:p>
        </w:tc>
        <w:tc>
          <w:tcPr>
            <w:tcW w:w="2153"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75%</w:t>
            </w:r>
          </w:p>
        </w:tc>
        <w:tc>
          <w:tcPr>
            <w:tcW w:w="2191"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75%</w:t>
            </w:r>
          </w:p>
        </w:tc>
        <w:tc>
          <w:tcPr>
            <w:tcW w:w="2207"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81%</w:t>
            </w:r>
          </w:p>
        </w:tc>
        <w:tc>
          <w:tcPr>
            <w:tcW w:w="2041"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59%</w:t>
            </w:r>
          </w:p>
        </w:tc>
      </w:tr>
      <w:tr w:rsidR="004F713B" w:rsidRPr="00CC6129" w:rsidTr="004F713B">
        <w:trPr>
          <w:trHeight w:val="450"/>
        </w:trPr>
        <w:tc>
          <w:tcPr>
            <w:tcW w:w="1580" w:type="dxa"/>
          </w:tcPr>
          <w:p w:rsidR="004A4B97" w:rsidRPr="00A746EA" w:rsidRDefault="004A4B97" w:rsidP="0010680C">
            <w:pPr>
              <w:snapToGrid w:val="0"/>
              <w:spacing w:after="0" w:line="360" w:lineRule="auto"/>
              <w:ind w:right="23"/>
              <w:jc w:val="both"/>
              <w:rPr>
                <w:rFonts w:ascii="Book Antiqua" w:hAnsi="Book Antiqua"/>
                <w:sz w:val="24"/>
                <w:szCs w:val="24"/>
                <w:lang w:val="en-US"/>
              </w:rPr>
            </w:pPr>
            <w:r w:rsidRPr="00A746EA">
              <w:rPr>
                <w:rFonts w:ascii="Book Antiqua" w:hAnsi="Book Antiqua"/>
                <w:sz w:val="24"/>
                <w:szCs w:val="24"/>
                <w:lang w:val="en-US"/>
              </w:rPr>
              <w:t>Specificity</w:t>
            </w:r>
          </w:p>
        </w:tc>
        <w:tc>
          <w:tcPr>
            <w:tcW w:w="2153"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65%</w:t>
            </w:r>
          </w:p>
        </w:tc>
        <w:tc>
          <w:tcPr>
            <w:tcW w:w="2191"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51%</w:t>
            </w:r>
          </w:p>
        </w:tc>
        <w:tc>
          <w:tcPr>
            <w:tcW w:w="2207"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48%</w:t>
            </w:r>
          </w:p>
        </w:tc>
        <w:tc>
          <w:tcPr>
            <w:tcW w:w="2041"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63%</w:t>
            </w:r>
          </w:p>
        </w:tc>
      </w:tr>
      <w:tr w:rsidR="004F713B" w:rsidRPr="00CC6129" w:rsidTr="004F713B">
        <w:trPr>
          <w:trHeight w:val="450"/>
        </w:trPr>
        <w:tc>
          <w:tcPr>
            <w:tcW w:w="1580" w:type="dxa"/>
          </w:tcPr>
          <w:p w:rsidR="004A4B97" w:rsidRPr="00A746EA" w:rsidRDefault="004A4B97" w:rsidP="0010680C">
            <w:pPr>
              <w:snapToGrid w:val="0"/>
              <w:spacing w:after="0" w:line="360" w:lineRule="auto"/>
              <w:ind w:right="23"/>
              <w:jc w:val="both"/>
              <w:rPr>
                <w:rFonts w:ascii="Book Antiqua" w:hAnsi="Book Antiqua"/>
                <w:sz w:val="24"/>
                <w:szCs w:val="24"/>
                <w:lang w:val="en-US"/>
              </w:rPr>
            </w:pPr>
            <w:r w:rsidRPr="00A746EA">
              <w:rPr>
                <w:rFonts w:ascii="Book Antiqua" w:hAnsi="Book Antiqua"/>
                <w:sz w:val="24"/>
                <w:szCs w:val="24"/>
                <w:lang w:val="en-US"/>
              </w:rPr>
              <w:t>PPV</w:t>
            </w:r>
          </w:p>
        </w:tc>
        <w:tc>
          <w:tcPr>
            <w:tcW w:w="2153"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18%</w:t>
            </w:r>
          </w:p>
        </w:tc>
        <w:tc>
          <w:tcPr>
            <w:tcW w:w="2191"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14%</w:t>
            </w:r>
          </w:p>
        </w:tc>
        <w:tc>
          <w:tcPr>
            <w:tcW w:w="2207"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14%</w:t>
            </w:r>
          </w:p>
        </w:tc>
        <w:tc>
          <w:tcPr>
            <w:tcW w:w="2041"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14%</w:t>
            </w:r>
          </w:p>
        </w:tc>
      </w:tr>
      <w:tr w:rsidR="004F713B" w:rsidRPr="00CC6129" w:rsidTr="004F713B">
        <w:trPr>
          <w:trHeight w:val="450"/>
        </w:trPr>
        <w:tc>
          <w:tcPr>
            <w:tcW w:w="1580" w:type="dxa"/>
          </w:tcPr>
          <w:p w:rsidR="004A4B97" w:rsidRPr="00A746EA" w:rsidRDefault="004A4B97" w:rsidP="0010680C">
            <w:pPr>
              <w:snapToGrid w:val="0"/>
              <w:spacing w:after="0" w:line="360" w:lineRule="auto"/>
              <w:ind w:right="23"/>
              <w:jc w:val="both"/>
              <w:rPr>
                <w:rFonts w:ascii="Book Antiqua" w:hAnsi="Book Antiqua"/>
                <w:sz w:val="24"/>
                <w:szCs w:val="24"/>
                <w:lang w:val="en-US"/>
              </w:rPr>
            </w:pPr>
            <w:r w:rsidRPr="00A746EA">
              <w:rPr>
                <w:rFonts w:ascii="Book Antiqua" w:hAnsi="Book Antiqua"/>
                <w:sz w:val="24"/>
                <w:szCs w:val="24"/>
                <w:lang w:val="en-US"/>
              </w:rPr>
              <w:t>NPV</w:t>
            </w:r>
          </w:p>
        </w:tc>
        <w:tc>
          <w:tcPr>
            <w:tcW w:w="2153"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96%</w:t>
            </w:r>
          </w:p>
        </w:tc>
        <w:tc>
          <w:tcPr>
            <w:tcW w:w="2191"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95%</w:t>
            </w:r>
          </w:p>
        </w:tc>
        <w:tc>
          <w:tcPr>
            <w:tcW w:w="2207"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96%</w:t>
            </w:r>
          </w:p>
        </w:tc>
        <w:tc>
          <w:tcPr>
            <w:tcW w:w="2041"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94%</w:t>
            </w:r>
          </w:p>
        </w:tc>
      </w:tr>
      <w:tr w:rsidR="004F713B" w:rsidRPr="00CC6129" w:rsidTr="00D15003">
        <w:trPr>
          <w:trHeight w:val="447"/>
        </w:trPr>
        <w:tc>
          <w:tcPr>
            <w:tcW w:w="1580" w:type="dxa"/>
          </w:tcPr>
          <w:p w:rsidR="004A4B97" w:rsidRPr="00A746EA" w:rsidRDefault="00D15003" w:rsidP="0010680C">
            <w:pPr>
              <w:snapToGrid w:val="0"/>
              <w:spacing w:after="0" w:line="360" w:lineRule="auto"/>
              <w:ind w:right="23"/>
              <w:jc w:val="both"/>
              <w:rPr>
                <w:rFonts w:ascii="Book Antiqua" w:hAnsi="Book Antiqua"/>
                <w:sz w:val="24"/>
                <w:szCs w:val="24"/>
                <w:lang w:val="en-US"/>
              </w:rPr>
            </w:pPr>
            <w:r w:rsidRPr="00A746EA">
              <w:rPr>
                <w:rFonts w:ascii="Book Antiqua" w:hAnsi="Book Antiqua"/>
                <w:sz w:val="24"/>
                <w:szCs w:val="24"/>
                <w:lang w:val="en-US"/>
              </w:rPr>
              <w:t>+LR (CI</w:t>
            </w:r>
            <w:r w:rsidR="004A4B97" w:rsidRPr="00A746EA">
              <w:rPr>
                <w:rFonts w:ascii="Book Antiqua" w:hAnsi="Book Antiqua"/>
                <w:sz w:val="24"/>
                <w:szCs w:val="24"/>
                <w:lang w:val="en-US"/>
              </w:rPr>
              <w:t>)</w:t>
            </w:r>
          </w:p>
        </w:tc>
        <w:tc>
          <w:tcPr>
            <w:tcW w:w="2153"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2.12 (1.54</w:t>
            </w:r>
            <w:r w:rsidR="004F713B">
              <w:rPr>
                <w:rFonts w:ascii="Book Antiqua" w:hAnsi="Book Antiqua" w:hint="eastAsia"/>
                <w:sz w:val="24"/>
                <w:szCs w:val="24"/>
                <w:lang w:val="en-US" w:eastAsia="zh-CN"/>
              </w:rPr>
              <w:t>-</w:t>
            </w:r>
            <w:r w:rsidRPr="00CC6129">
              <w:rPr>
                <w:rFonts w:ascii="Book Antiqua" w:hAnsi="Book Antiqua"/>
                <w:sz w:val="24"/>
                <w:szCs w:val="24"/>
                <w:lang w:val="en-US"/>
              </w:rPr>
              <w:t>2.57)</w:t>
            </w:r>
          </w:p>
        </w:tc>
        <w:tc>
          <w:tcPr>
            <w:tcW w:w="2191"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1.54 (1.13</w:t>
            </w:r>
            <w:r w:rsidR="004F713B">
              <w:rPr>
                <w:rFonts w:ascii="Book Antiqua" w:hAnsi="Book Antiqua" w:hint="eastAsia"/>
                <w:sz w:val="24"/>
                <w:szCs w:val="24"/>
                <w:lang w:val="en-US" w:eastAsia="zh-CN"/>
              </w:rPr>
              <w:t>-</w:t>
            </w:r>
            <w:r w:rsidRPr="00CC6129">
              <w:rPr>
                <w:rFonts w:ascii="Book Antiqua" w:hAnsi="Book Antiqua"/>
                <w:sz w:val="24"/>
                <w:szCs w:val="24"/>
                <w:lang w:val="en-US"/>
              </w:rPr>
              <w:t>1.85)</w:t>
            </w:r>
          </w:p>
        </w:tc>
        <w:tc>
          <w:tcPr>
            <w:tcW w:w="2207"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1.56 (1.19</w:t>
            </w:r>
            <w:r w:rsidR="004F713B">
              <w:rPr>
                <w:rFonts w:ascii="Book Antiqua" w:hAnsi="Book Antiqua" w:hint="eastAsia"/>
                <w:sz w:val="24"/>
                <w:szCs w:val="24"/>
                <w:lang w:val="en-US" w:eastAsia="zh-CN"/>
              </w:rPr>
              <w:t>-</w:t>
            </w:r>
            <w:r w:rsidRPr="00CC6129">
              <w:rPr>
                <w:rFonts w:ascii="Book Antiqua" w:hAnsi="Book Antiqua"/>
                <w:sz w:val="24"/>
                <w:szCs w:val="24"/>
                <w:lang w:val="en-US"/>
              </w:rPr>
              <w:t>1.81)</w:t>
            </w:r>
          </w:p>
        </w:tc>
        <w:tc>
          <w:tcPr>
            <w:tcW w:w="2041"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1.60 (1.07</w:t>
            </w:r>
            <w:r w:rsidR="004F713B">
              <w:rPr>
                <w:rFonts w:ascii="Book Antiqua" w:hAnsi="Book Antiqua" w:hint="eastAsia"/>
                <w:sz w:val="24"/>
                <w:szCs w:val="24"/>
                <w:lang w:val="en-US" w:eastAsia="zh-CN"/>
              </w:rPr>
              <w:t>-</w:t>
            </w:r>
            <w:r w:rsidRPr="00CC6129">
              <w:rPr>
                <w:rFonts w:ascii="Book Antiqua" w:hAnsi="Book Antiqua"/>
                <w:sz w:val="24"/>
                <w:szCs w:val="24"/>
                <w:lang w:val="en-US"/>
              </w:rPr>
              <w:t>2.13)</w:t>
            </w:r>
          </w:p>
        </w:tc>
      </w:tr>
      <w:tr w:rsidR="004F713B" w:rsidRPr="00CC6129" w:rsidTr="00D15003">
        <w:trPr>
          <w:trHeight w:val="425"/>
        </w:trPr>
        <w:tc>
          <w:tcPr>
            <w:tcW w:w="1580" w:type="dxa"/>
          </w:tcPr>
          <w:p w:rsidR="004A4B97" w:rsidRPr="00A746EA" w:rsidRDefault="00D15003" w:rsidP="0010680C">
            <w:pPr>
              <w:snapToGrid w:val="0"/>
              <w:spacing w:after="0" w:line="360" w:lineRule="auto"/>
              <w:ind w:right="23"/>
              <w:jc w:val="both"/>
              <w:rPr>
                <w:rFonts w:ascii="Book Antiqua" w:hAnsi="Book Antiqua"/>
                <w:sz w:val="24"/>
                <w:szCs w:val="24"/>
                <w:lang w:val="en-US"/>
              </w:rPr>
            </w:pPr>
            <w:r w:rsidRPr="00A746EA">
              <w:rPr>
                <w:rFonts w:ascii="Book Antiqua" w:hAnsi="Book Antiqua"/>
                <w:sz w:val="24"/>
                <w:szCs w:val="24"/>
                <w:lang w:val="en-US"/>
              </w:rPr>
              <w:t>-LR (CI</w:t>
            </w:r>
            <w:r w:rsidR="004A4B97" w:rsidRPr="00A746EA">
              <w:rPr>
                <w:rFonts w:ascii="Book Antiqua" w:hAnsi="Book Antiqua"/>
                <w:sz w:val="24"/>
                <w:szCs w:val="24"/>
                <w:lang w:val="en-US"/>
              </w:rPr>
              <w:t>)</w:t>
            </w:r>
          </w:p>
        </w:tc>
        <w:tc>
          <w:tcPr>
            <w:tcW w:w="2153"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0.39 (0.19</w:t>
            </w:r>
            <w:r w:rsidR="004F713B">
              <w:rPr>
                <w:rFonts w:ascii="Book Antiqua" w:hAnsi="Book Antiqua" w:hint="eastAsia"/>
                <w:sz w:val="24"/>
                <w:szCs w:val="24"/>
                <w:lang w:val="en-US" w:eastAsia="zh-CN"/>
              </w:rPr>
              <w:t>-</w:t>
            </w:r>
            <w:r w:rsidRPr="00CC6129">
              <w:rPr>
                <w:rFonts w:ascii="Book Antiqua" w:hAnsi="Book Antiqua"/>
                <w:sz w:val="24"/>
                <w:szCs w:val="24"/>
                <w:lang w:val="en-US"/>
              </w:rPr>
              <w:t>0.68)</w:t>
            </w:r>
          </w:p>
        </w:tc>
        <w:tc>
          <w:tcPr>
            <w:tcW w:w="2191"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0.49 (0.23</w:t>
            </w:r>
            <w:r w:rsidR="004F713B">
              <w:rPr>
                <w:rFonts w:ascii="Book Antiqua" w:hAnsi="Book Antiqua" w:hint="eastAsia"/>
                <w:sz w:val="24"/>
                <w:szCs w:val="24"/>
                <w:lang w:val="en-US" w:eastAsia="zh-CN"/>
              </w:rPr>
              <w:t>-</w:t>
            </w:r>
            <w:r w:rsidRPr="00CC6129">
              <w:rPr>
                <w:rFonts w:ascii="Book Antiqua" w:hAnsi="Book Antiqua"/>
                <w:sz w:val="24"/>
                <w:szCs w:val="24"/>
                <w:lang w:val="en-US"/>
              </w:rPr>
              <w:t>0.87)</w:t>
            </w:r>
          </w:p>
        </w:tc>
        <w:tc>
          <w:tcPr>
            <w:tcW w:w="2207"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0. 39 (0.16</w:t>
            </w:r>
            <w:r w:rsidR="004F713B">
              <w:rPr>
                <w:rFonts w:ascii="Book Antiqua" w:hAnsi="Book Antiqua" w:hint="eastAsia"/>
                <w:sz w:val="24"/>
                <w:szCs w:val="24"/>
                <w:lang w:val="en-US" w:eastAsia="zh-CN"/>
              </w:rPr>
              <w:t>-</w:t>
            </w:r>
            <w:r w:rsidRPr="00CC6129">
              <w:rPr>
                <w:rFonts w:ascii="Book Antiqua" w:hAnsi="Book Antiqua"/>
                <w:sz w:val="24"/>
                <w:szCs w:val="24"/>
                <w:lang w:val="en-US"/>
              </w:rPr>
              <w:t>0.78)</w:t>
            </w:r>
          </w:p>
        </w:tc>
        <w:tc>
          <w:tcPr>
            <w:tcW w:w="2041" w:type="dxa"/>
          </w:tcPr>
          <w:p w:rsidR="004A4B97" w:rsidRPr="00CC6129" w:rsidRDefault="004A4B97" w:rsidP="004F713B">
            <w:pPr>
              <w:snapToGrid w:val="0"/>
              <w:spacing w:after="0" w:line="360" w:lineRule="auto"/>
              <w:ind w:right="23"/>
              <w:jc w:val="center"/>
              <w:rPr>
                <w:rFonts w:ascii="Book Antiqua" w:hAnsi="Book Antiqua"/>
                <w:sz w:val="24"/>
                <w:szCs w:val="24"/>
                <w:lang w:val="en-US"/>
              </w:rPr>
            </w:pPr>
            <w:r w:rsidRPr="00CC6129">
              <w:rPr>
                <w:rFonts w:ascii="Book Antiqua" w:hAnsi="Book Antiqua"/>
                <w:sz w:val="24"/>
                <w:szCs w:val="24"/>
                <w:lang w:val="en-US"/>
              </w:rPr>
              <w:t>0.65 (0.38</w:t>
            </w:r>
            <w:r w:rsidR="004F713B">
              <w:rPr>
                <w:rFonts w:ascii="Book Antiqua" w:hAnsi="Book Antiqua" w:hint="eastAsia"/>
                <w:sz w:val="24"/>
                <w:szCs w:val="24"/>
                <w:lang w:val="en-US" w:eastAsia="zh-CN"/>
              </w:rPr>
              <w:t>-</w:t>
            </w:r>
            <w:r w:rsidRPr="00CC6129">
              <w:rPr>
                <w:rFonts w:ascii="Book Antiqua" w:hAnsi="Book Antiqua"/>
                <w:sz w:val="24"/>
                <w:szCs w:val="24"/>
                <w:lang w:val="en-US"/>
              </w:rPr>
              <w:t>0.96)</w:t>
            </w:r>
          </w:p>
        </w:tc>
      </w:tr>
      <w:tr w:rsidR="004F713B" w:rsidRPr="00CC6129" w:rsidTr="004F713B">
        <w:trPr>
          <w:trHeight w:val="450"/>
        </w:trPr>
        <w:tc>
          <w:tcPr>
            <w:tcW w:w="1580" w:type="dxa"/>
            <w:tcBorders>
              <w:bottom w:val="single" w:sz="4" w:space="0" w:color="auto"/>
            </w:tcBorders>
          </w:tcPr>
          <w:p w:rsidR="004A4B97" w:rsidRPr="00A746EA" w:rsidRDefault="004A4B97" w:rsidP="00A746EA">
            <w:pPr>
              <w:snapToGrid w:val="0"/>
              <w:spacing w:after="0" w:line="360" w:lineRule="auto"/>
              <w:ind w:right="23"/>
              <w:jc w:val="both"/>
              <w:rPr>
                <w:rFonts w:ascii="Book Antiqua" w:hAnsi="Book Antiqua"/>
                <w:sz w:val="24"/>
                <w:szCs w:val="24"/>
                <w:lang w:val="en-US" w:eastAsia="zh-CN"/>
              </w:rPr>
            </w:pPr>
            <w:r w:rsidRPr="00A746EA">
              <w:rPr>
                <w:rFonts w:ascii="Book Antiqua" w:hAnsi="Book Antiqua"/>
                <w:i/>
                <w:sz w:val="24"/>
                <w:szCs w:val="24"/>
                <w:lang w:val="en-US"/>
              </w:rPr>
              <w:t>P</w:t>
            </w:r>
            <w:r w:rsidRPr="00A746EA">
              <w:rPr>
                <w:rFonts w:ascii="Book Antiqua" w:hAnsi="Book Antiqua"/>
                <w:sz w:val="24"/>
                <w:szCs w:val="24"/>
                <w:lang w:val="en-US"/>
              </w:rPr>
              <w:t xml:space="preserve"> value</w:t>
            </w:r>
            <w:r w:rsidR="00A746EA" w:rsidRPr="00A746EA">
              <w:rPr>
                <w:rFonts w:ascii="Book Antiqua" w:hAnsi="Book Antiqua" w:hint="eastAsia"/>
                <w:sz w:val="24"/>
                <w:szCs w:val="24"/>
                <w:vertAlign w:val="superscript"/>
                <w:lang w:val="en-US" w:eastAsia="zh-CN"/>
              </w:rPr>
              <w:t>2</w:t>
            </w:r>
          </w:p>
        </w:tc>
        <w:tc>
          <w:tcPr>
            <w:tcW w:w="2153" w:type="dxa"/>
            <w:tcBorders>
              <w:bottom w:val="single" w:sz="4" w:space="0" w:color="auto"/>
            </w:tcBorders>
          </w:tcPr>
          <w:p w:rsidR="004A4B97" w:rsidRPr="004F713B" w:rsidRDefault="004A4B97" w:rsidP="004F713B">
            <w:pPr>
              <w:snapToGrid w:val="0"/>
              <w:spacing w:after="0" w:line="360" w:lineRule="auto"/>
              <w:ind w:right="23"/>
              <w:jc w:val="center"/>
              <w:rPr>
                <w:rFonts w:ascii="Book Antiqua" w:hAnsi="Book Antiqua"/>
                <w:sz w:val="24"/>
                <w:szCs w:val="24"/>
                <w:lang w:val="en-US"/>
              </w:rPr>
            </w:pPr>
            <w:r w:rsidRPr="004F713B">
              <w:rPr>
                <w:rFonts w:ascii="Book Antiqua" w:hAnsi="Book Antiqua"/>
                <w:sz w:val="24"/>
                <w:szCs w:val="24"/>
                <w:lang w:val="en-US"/>
              </w:rPr>
              <w:t>0.0135</w:t>
            </w:r>
          </w:p>
        </w:tc>
        <w:tc>
          <w:tcPr>
            <w:tcW w:w="2191" w:type="dxa"/>
            <w:tcBorders>
              <w:bottom w:val="single" w:sz="4" w:space="0" w:color="auto"/>
            </w:tcBorders>
          </w:tcPr>
          <w:p w:rsidR="004A4B97" w:rsidRPr="004F713B" w:rsidRDefault="004A4B97" w:rsidP="004F713B">
            <w:pPr>
              <w:snapToGrid w:val="0"/>
              <w:spacing w:after="0" w:line="360" w:lineRule="auto"/>
              <w:ind w:right="23"/>
              <w:jc w:val="center"/>
              <w:rPr>
                <w:rFonts w:ascii="Book Antiqua" w:hAnsi="Book Antiqua"/>
                <w:sz w:val="24"/>
                <w:szCs w:val="24"/>
                <w:lang w:val="en-US"/>
              </w:rPr>
            </w:pPr>
            <w:r w:rsidRPr="004F713B">
              <w:rPr>
                <w:rFonts w:ascii="Book Antiqua" w:hAnsi="Book Antiqua"/>
                <w:sz w:val="24"/>
                <w:szCs w:val="24"/>
                <w:lang w:val="en-US"/>
              </w:rPr>
              <w:t>0.0128</w:t>
            </w:r>
          </w:p>
        </w:tc>
        <w:tc>
          <w:tcPr>
            <w:tcW w:w="2207" w:type="dxa"/>
            <w:tcBorders>
              <w:bottom w:val="single" w:sz="4" w:space="0" w:color="auto"/>
            </w:tcBorders>
          </w:tcPr>
          <w:p w:rsidR="004A4B97" w:rsidRPr="004F713B" w:rsidRDefault="004A4B97" w:rsidP="004F713B">
            <w:pPr>
              <w:snapToGrid w:val="0"/>
              <w:spacing w:after="0" w:line="360" w:lineRule="auto"/>
              <w:ind w:right="23"/>
              <w:jc w:val="center"/>
              <w:rPr>
                <w:rFonts w:ascii="Book Antiqua" w:hAnsi="Book Antiqua"/>
                <w:sz w:val="24"/>
                <w:szCs w:val="24"/>
                <w:lang w:val="en-US"/>
              </w:rPr>
            </w:pPr>
            <w:r w:rsidRPr="004F713B">
              <w:rPr>
                <w:rFonts w:ascii="Book Antiqua" w:hAnsi="Book Antiqua"/>
                <w:sz w:val="24"/>
                <w:szCs w:val="24"/>
                <w:lang w:val="en-US"/>
              </w:rPr>
              <w:t>0.0045</w:t>
            </w:r>
          </w:p>
        </w:tc>
        <w:tc>
          <w:tcPr>
            <w:tcW w:w="2041" w:type="dxa"/>
            <w:tcBorders>
              <w:bottom w:val="single" w:sz="4" w:space="0" w:color="auto"/>
            </w:tcBorders>
          </w:tcPr>
          <w:p w:rsidR="004A4B97" w:rsidRPr="004F713B" w:rsidRDefault="004A4B97" w:rsidP="004F713B">
            <w:pPr>
              <w:snapToGrid w:val="0"/>
              <w:spacing w:after="0" w:line="360" w:lineRule="auto"/>
              <w:ind w:right="23"/>
              <w:jc w:val="center"/>
              <w:rPr>
                <w:rFonts w:ascii="Book Antiqua" w:hAnsi="Book Antiqua"/>
                <w:sz w:val="24"/>
                <w:szCs w:val="24"/>
                <w:lang w:val="en-US"/>
              </w:rPr>
            </w:pPr>
            <w:r w:rsidRPr="004F713B">
              <w:rPr>
                <w:rFonts w:ascii="Book Antiqua" w:hAnsi="Book Antiqua"/>
                <w:sz w:val="24"/>
                <w:szCs w:val="24"/>
                <w:lang w:val="en-US"/>
              </w:rPr>
              <w:t>0.1989</w:t>
            </w:r>
          </w:p>
        </w:tc>
      </w:tr>
    </w:tbl>
    <w:p w:rsidR="004A4B97" w:rsidRPr="00CC6129" w:rsidRDefault="00A746EA" w:rsidP="0010680C">
      <w:pPr>
        <w:snapToGrid w:val="0"/>
        <w:spacing w:after="0" w:line="360" w:lineRule="auto"/>
        <w:jc w:val="both"/>
        <w:rPr>
          <w:rFonts w:ascii="Book Antiqua" w:hAnsi="Book Antiqua"/>
          <w:sz w:val="24"/>
          <w:szCs w:val="24"/>
          <w:lang w:val="en-US"/>
        </w:rPr>
      </w:pPr>
      <w:r w:rsidRPr="00A746EA">
        <w:rPr>
          <w:rFonts w:ascii="Book Antiqua" w:hAnsi="Book Antiqua" w:hint="eastAsia"/>
          <w:sz w:val="24"/>
          <w:szCs w:val="24"/>
          <w:vertAlign w:val="superscript"/>
          <w:lang w:val="en-US" w:eastAsia="zh-CN"/>
        </w:rPr>
        <w:t>1</w:t>
      </w:r>
      <w:r w:rsidR="004A4B97" w:rsidRPr="00CC6129">
        <w:rPr>
          <w:rFonts w:ascii="Book Antiqua" w:hAnsi="Book Antiqua"/>
          <w:sz w:val="24"/>
          <w:szCs w:val="24"/>
          <w:lang w:val="en-US"/>
        </w:rPr>
        <w:t>Corresponding with highest Youden index;</w:t>
      </w:r>
      <w:r w:rsidR="0010680C">
        <w:rPr>
          <w:rFonts w:ascii="Book Antiqua" w:hAnsi="Book Antiqua"/>
          <w:sz w:val="24"/>
          <w:szCs w:val="24"/>
          <w:lang w:val="en-US"/>
        </w:rPr>
        <w:t xml:space="preserve"> </w:t>
      </w:r>
      <w:r w:rsidRPr="00A746EA">
        <w:rPr>
          <w:rFonts w:ascii="Book Antiqua" w:hAnsi="Book Antiqua" w:hint="eastAsia"/>
          <w:sz w:val="24"/>
          <w:szCs w:val="24"/>
          <w:vertAlign w:val="superscript"/>
          <w:lang w:val="en-US" w:eastAsia="zh-CN"/>
        </w:rPr>
        <w:t>2</w:t>
      </w:r>
      <w:r w:rsidRPr="00CC6129">
        <w:rPr>
          <w:rFonts w:ascii="Book Antiqua" w:hAnsi="Book Antiqua"/>
          <w:sz w:val="24"/>
          <w:szCs w:val="24"/>
          <w:lang w:val="en-US"/>
        </w:rPr>
        <w:t>Significance level P (Area</w:t>
      </w:r>
      <w:r>
        <w:rPr>
          <w:rFonts w:ascii="Book Antiqua" w:hAnsi="Book Antiqua" w:hint="eastAsia"/>
          <w:sz w:val="24"/>
          <w:szCs w:val="24"/>
          <w:lang w:val="en-US" w:eastAsia="zh-CN"/>
        </w:rPr>
        <w:t xml:space="preserve"> </w:t>
      </w:r>
      <w:r w:rsidRPr="00CC6129">
        <w:rPr>
          <w:rFonts w:ascii="Book Antiqua" w:hAnsi="Book Antiqua"/>
          <w:sz w:val="24"/>
          <w:szCs w:val="24"/>
          <w:lang w:val="en-US"/>
        </w:rPr>
        <w:t>=</w:t>
      </w:r>
      <w:r>
        <w:rPr>
          <w:rFonts w:ascii="Book Antiqua" w:hAnsi="Book Antiqua" w:hint="eastAsia"/>
          <w:sz w:val="24"/>
          <w:szCs w:val="24"/>
          <w:lang w:val="en-US" w:eastAsia="zh-CN"/>
        </w:rPr>
        <w:t xml:space="preserve"> </w:t>
      </w:r>
      <w:r w:rsidRPr="00CC6129">
        <w:rPr>
          <w:rFonts w:ascii="Book Antiqua" w:hAnsi="Book Antiqua"/>
          <w:sz w:val="24"/>
          <w:szCs w:val="24"/>
          <w:lang w:val="en-US"/>
        </w:rPr>
        <w:t>0.5)</w:t>
      </w:r>
      <w:r>
        <w:rPr>
          <w:rFonts w:ascii="Book Antiqua" w:hAnsi="Book Antiqua" w:hint="eastAsia"/>
          <w:sz w:val="24"/>
          <w:szCs w:val="24"/>
          <w:lang w:val="en-US" w:eastAsia="zh-CN"/>
        </w:rPr>
        <w:t xml:space="preserve">. </w:t>
      </w:r>
      <w:r w:rsidR="004A4B97" w:rsidRPr="00CC6129">
        <w:rPr>
          <w:rFonts w:ascii="Book Antiqua" w:hAnsi="Book Antiqua"/>
          <w:sz w:val="24"/>
          <w:szCs w:val="24"/>
          <w:lang w:val="en-US"/>
        </w:rPr>
        <w:t xml:space="preserve">AUC: Area under the curve; SE: </w:t>
      </w:r>
      <w:r w:rsidR="004A4B97" w:rsidRPr="00A746EA">
        <w:rPr>
          <w:rFonts w:ascii="Book Antiqua" w:hAnsi="Book Antiqua"/>
          <w:caps/>
          <w:sz w:val="24"/>
          <w:szCs w:val="24"/>
          <w:lang w:val="en-US"/>
        </w:rPr>
        <w:t>s</w:t>
      </w:r>
      <w:r w:rsidR="004A4B97" w:rsidRPr="00CC6129">
        <w:rPr>
          <w:rFonts w:ascii="Book Antiqua" w:hAnsi="Book Antiqua"/>
          <w:sz w:val="24"/>
          <w:szCs w:val="24"/>
          <w:lang w:val="en-US"/>
        </w:rPr>
        <w:t>tandard error;</w:t>
      </w:r>
      <w:r>
        <w:rPr>
          <w:rFonts w:ascii="Book Antiqua" w:hAnsi="Book Antiqua" w:hint="eastAsia"/>
          <w:sz w:val="24"/>
          <w:szCs w:val="24"/>
          <w:lang w:val="en-US" w:eastAsia="zh-CN"/>
        </w:rPr>
        <w:t xml:space="preserve"> </w:t>
      </w:r>
      <w:r w:rsidR="004A4B97" w:rsidRPr="00CC6129">
        <w:rPr>
          <w:rFonts w:ascii="Book Antiqua" w:hAnsi="Book Antiqua"/>
          <w:sz w:val="24"/>
          <w:szCs w:val="24"/>
          <w:lang w:val="en-US"/>
        </w:rPr>
        <w:t xml:space="preserve">PPV: </w:t>
      </w:r>
      <w:r w:rsidR="004A4B97" w:rsidRPr="00A746EA">
        <w:rPr>
          <w:rFonts w:ascii="Book Antiqua" w:hAnsi="Book Antiqua"/>
          <w:caps/>
          <w:sz w:val="24"/>
          <w:szCs w:val="24"/>
          <w:lang w:val="en-US"/>
        </w:rPr>
        <w:t>p</w:t>
      </w:r>
      <w:r w:rsidR="004A4B97" w:rsidRPr="00CC6129">
        <w:rPr>
          <w:rFonts w:ascii="Book Antiqua" w:hAnsi="Book Antiqua"/>
          <w:sz w:val="24"/>
          <w:szCs w:val="24"/>
          <w:lang w:val="en-US"/>
        </w:rPr>
        <w:t xml:space="preserve">ositive predictive value; NPV: </w:t>
      </w:r>
      <w:r w:rsidR="004A4B97" w:rsidRPr="00A746EA">
        <w:rPr>
          <w:rFonts w:ascii="Book Antiqua" w:hAnsi="Book Antiqua"/>
          <w:caps/>
          <w:sz w:val="24"/>
          <w:szCs w:val="24"/>
          <w:lang w:val="en-US"/>
        </w:rPr>
        <w:t>n</w:t>
      </w:r>
      <w:r w:rsidR="004A4B97" w:rsidRPr="00CC6129">
        <w:rPr>
          <w:rFonts w:ascii="Book Antiqua" w:hAnsi="Book Antiqua"/>
          <w:sz w:val="24"/>
          <w:szCs w:val="24"/>
          <w:lang w:val="en-US"/>
        </w:rPr>
        <w:t xml:space="preserve">egative predictive value; +LR: </w:t>
      </w:r>
      <w:r w:rsidR="004A4B97" w:rsidRPr="00A746EA">
        <w:rPr>
          <w:rFonts w:ascii="Book Antiqua" w:hAnsi="Book Antiqua"/>
          <w:caps/>
          <w:sz w:val="24"/>
          <w:szCs w:val="24"/>
          <w:lang w:val="en-US"/>
        </w:rPr>
        <w:t>p</w:t>
      </w:r>
      <w:r w:rsidR="004A4B97" w:rsidRPr="00CC6129">
        <w:rPr>
          <w:rFonts w:ascii="Book Antiqua" w:hAnsi="Book Antiqua"/>
          <w:sz w:val="24"/>
          <w:szCs w:val="24"/>
          <w:lang w:val="en-US"/>
        </w:rPr>
        <w:t xml:space="preserve">ositive likelihood ratio; -LR: </w:t>
      </w:r>
      <w:r w:rsidR="004A4B97" w:rsidRPr="00A746EA">
        <w:rPr>
          <w:rFonts w:ascii="Book Antiqua" w:hAnsi="Book Antiqua"/>
          <w:caps/>
          <w:sz w:val="24"/>
          <w:szCs w:val="24"/>
          <w:lang w:val="en-US"/>
        </w:rPr>
        <w:t>n</w:t>
      </w:r>
      <w:r w:rsidR="004A4B97" w:rsidRPr="00CC6129">
        <w:rPr>
          <w:rFonts w:ascii="Book Antiqua" w:hAnsi="Book Antiqua"/>
          <w:sz w:val="24"/>
          <w:szCs w:val="24"/>
          <w:lang w:val="en-US"/>
        </w:rPr>
        <w:t xml:space="preserve">egative likelihood ratio. </w:t>
      </w:r>
    </w:p>
    <w:p w:rsidR="004A4B97" w:rsidRPr="00CC6129" w:rsidRDefault="004A4B97" w:rsidP="0010680C">
      <w:pPr>
        <w:tabs>
          <w:tab w:val="left" w:pos="1080"/>
        </w:tabs>
        <w:snapToGrid w:val="0"/>
        <w:spacing w:after="0" w:line="360" w:lineRule="auto"/>
        <w:ind w:left="1080" w:right="-110" w:hanging="1080"/>
        <w:jc w:val="both"/>
        <w:rPr>
          <w:rFonts w:ascii="Book Antiqua" w:hAnsi="Book Antiqua"/>
          <w:sz w:val="24"/>
          <w:szCs w:val="24"/>
          <w:lang w:val="en-US"/>
        </w:rPr>
      </w:pPr>
    </w:p>
    <w:p w:rsidR="004A4B97" w:rsidRPr="00CC6129" w:rsidRDefault="004A4B97" w:rsidP="0010680C">
      <w:pPr>
        <w:snapToGrid w:val="0"/>
        <w:spacing w:after="0" w:line="360" w:lineRule="auto"/>
        <w:jc w:val="both"/>
        <w:rPr>
          <w:rFonts w:ascii="Book Antiqua" w:hAnsi="Book Antiqua"/>
          <w:sz w:val="24"/>
          <w:szCs w:val="24"/>
          <w:lang w:val="en-US"/>
        </w:rPr>
        <w:sectPr w:rsidR="004A4B97" w:rsidRPr="00CC6129" w:rsidSect="003471E6">
          <w:headerReference w:type="even" r:id="rId10"/>
          <w:headerReference w:type="default" r:id="rId11"/>
          <w:pgSz w:w="11906" w:h="16838"/>
          <w:pgMar w:top="1418" w:right="1418" w:bottom="1418" w:left="1418" w:header="709" w:footer="709" w:gutter="0"/>
          <w:cols w:space="708"/>
          <w:titlePg/>
          <w:docGrid w:linePitch="360"/>
        </w:sectPr>
      </w:pPr>
    </w:p>
    <w:p w:rsidR="004A4B97" w:rsidRPr="00C125FC" w:rsidRDefault="00CD450D" w:rsidP="00C125FC">
      <w:pPr>
        <w:snapToGrid w:val="0"/>
        <w:spacing w:after="0" w:line="360" w:lineRule="auto"/>
        <w:ind w:right="1134"/>
        <w:jc w:val="both"/>
        <w:rPr>
          <w:rFonts w:ascii="Book Antiqua" w:hAnsi="Book Antiqua"/>
          <w:b/>
          <w:sz w:val="24"/>
          <w:szCs w:val="24"/>
          <w:lang w:val="en-US" w:eastAsia="zh-CN"/>
        </w:rPr>
      </w:pPr>
      <w:r w:rsidRPr="00C125FC">
        <w:rPr>
          <w:rFonts w:ascii="Book Antiqua" w:hAnsi="Book Antiqua"/>
          <w:b/>
          <w:sz w:val="24"/>
          <w:szCs w:val="24"/>
          <w:lang w:val="en-US"/>
        </w:rPr>
        <w:lastRenderedPageBreak/>
        <w:t>Table</w:t>
      </w:r>
      <w:r w:rsidR="004A4B97" w:rsidRPr="00C125FC">
        <w:rPr>
          <w:rFonts w:ascii="Book Antiqua" w:hAnsi="Book Antiqua"/>
          <w:b/>
          <w:sz w:val="24"/>
          <w:szCs w:val="24"/>
          <w:lang w:val="en-US"/>
        </w:rPr>
        <w:t xml:space="preserve"> </w:t>
      </w:r>
      <w:r w:rsidR="007B105D" w:rsidRPr="00C125FC">
        <w:rPr>
          <w:rFonts w:ascii="Book Antiqua" w:hAnsi="Book Antiqua"/>
          <w:b/>
          <w:sz w:val="24"/>
          <w:szCs w:val="24"/>
          <w:lang w:val="en-US"/>
        </w:rPr>
        <w:t>4</w:t>
      </w:r>
      <w:r w:rsidR="00C125FC" w:rsidRPr="00C125FC">
        <w:rPr>
          <w:rFonts w:ascii="Book Antiqua" w:hAnsi="Book Antiqua" w:hint="eastAsia"/>
          <w:b/>
          <w:sz w:val="24"/>
          <w:szCs w:val="24"/>
          <w:lang w:val="en-US" w:eastAsia="zh-CN"/>
        </w:rPr>
        <w:t xml:space="preserve"> </w:t>
      </w:r>
      <w:r w:rsidR="004A4B97" w:rsidRPr="00C125FC">
        <w:rPr>
          <w:rFonts w:ascii="Book Antiqua" w:hAnsi="Book Antiqua"/>
          <w:b/>
          <w:sz w:val="24"/>
          <w:szCs w:val="24"/>
          <w:lang w:val="en-US"/>
        </w:rPr>
        <w:t>Cox proportional hazards survival regression analysis of the predictive value of clinical-pathological variables and glycemic indexes on venous thromboembolism-free survival of g</w:t>
      </w:r>
      <w:r w:rsidR="00C125FC" w:rsidRPr="00C125FC">
        <w:rPr>
          <w:rFonts w:ascii="Book Antiqua" w:hAnsi="Book Antiqua"/>
          <w:b/>
          <w:sz w:val="24"/>
          <w:szCs w:val="24"/>
          <w:lang w:val="en-US"/>
        </w:rPr>
        <w:t>astrointestinal cancer patients</w:t>
      </w:r>
      <w:r w:rsidR="00C125FC">
        <w:rPr>
          <w:rFonts w:ascii="Book Antiqua" w:hAnsi="Book Antiqua" w:hint="eastAsia"/>
          <w:b/>
          <w:sz w:val="24"/>
          <w:szCs w:val="24"/>
          <w:lang w:val="en-US" w:eastAsia="zh-CN"/>
        </w:rPr>
        <w:t xml:space="preserve"> </w:t>
      </w:r>
      <w:r w:rsidR="00C125FC" w:rsidRPr="00516136">
        <w:rPr>
          <w:rFonts w:ascii="Book Antiqua" w:hAnsi="Book Antiqua" w:hint="eastAsia"/>
          <w:b/>
          <w:i/>
          <w:sz w:val="24"/>
          <w:szCs w:val="24"/>
          <w:lang w:val="en-US" w:eastAsia="zh-CN"/>
        </w:rPr>
        <w:t>n</w:t>
      </w:r>
      <w:r w:rsidR="00C125FC">
        <w:rPr>
          <w:rFonts w:ascii="Book Antiqua" w:hAnsi="Book Antiqua" w:hint="eastAsia"/>
          <w:b/>
          <w:sz w:val="24"/>
          <w:szCs w:val="24"/>
          <w:lang w:val="en-US" w:eastAsia="zh-CN"/>
        </w:rPr>
        <w:t xml:space="preserve"> (%)</w:t>
      </w:r>
    </w:p>
    <w:tbl>
      <w:tblPr>
        <w:tblW w:w="9228" w:type="dxa"/>
        <w:tblInd w:w="70" w:type="dxa"/>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2700"/>
        <w:gridCol w:w="927"/>
        <w:gridCol w:w="1242"/>
        <w:gridCol w:w="1078"/>
        <w:gridCol w:w="1975"/>
        <w:gridCol w:w="1306"/>
      </w:tblGrid>
      <w:tr w:rsidR="00C125FC" w:rsidRPr="00CC6129" w:rsidTr="00D233DB">
        <w:trPr>
          <w:cantSplit/>
        </w:trPr>
        <w:tc>
          <w:tcPr>
            <w:tcW w:w="2702" w:type="dxa"/>
            <w:vMerge w:val="restart"/>
            <w:tcBorders>
              <w:top w:val="single" w:sz="8" w:space="0" w:color="auto"/>
              <w:bottom w:val="single" w:sz="8" w:space="0" w:color="auto"/>
            </w:tcBorders>
          </w:tcPr>
          <w:p w:rsidR="00C125FC" w:rsidRPr="00CC6129" w:rsidRDefault="00C125FC" w:rsidP="0010680C">
            <w:pPr>
              <w:snapToGrid w:val="0"/>
              <w:spacing w:after="0" w:line="360" w:lineRule="auto"/>
              <w:jc w:val="both"/>
              <w:rPr>
                <w:rFonts w:ascii="Book Antiqua" w:hAnsi="Book Antiqua"/>
                <w:sz w:val="24"/>
                <w:szCs w:val="24"/>
                <w:lang w:val="en-US"/>
              </w:rPr>
            </w:pPr>
            <w:r w:rsidRPr="00CC6129">
              <w:rPr>
                <w:rFonts w:ascii="Book Antiqua" w:hAnsi="Book Antiqua"/>
                <w:b/>
                <w:sz w:val="24"/>
                <w:szCs w:val="24"/>
                <w:lang w:val="en-US"/>
              </w:rPr>
              <w:t>Variable</w:t>
            </w:r>
          </w:p>
        </w:tc>
        <w:tc>
          <w:tcPr>
            <w:tcW w:w="927" w:type="dxa"/>
            <w:vMerge w:val="restart"/>
            <w:tcBorders>
              <w:top w:val="single" w:sz="8" w:space="0" w:color="auto"/>
              <w:bottom w:val="single" w:sz="8" w:space="0" w:color="auto"/>
            </w:tcBorders>
          </w:tcPr>
          <w:p w:rsidR="00C125FC" w:rsidRPr="00C125FC" w:rsidRDefault="00C125FC" w:rsidP="00C125FC">
            <w:pPr>
              <w:snapToGrid w:val="0"/>
              <w:spacing w:after="0" w:line="360" w:lineRule="auto"/>
              <w:jc w:val="center"/>
              <w:rPr>
                <w:rFonts w:ascii="Book Antiqua" w:hAnsi="Book Antiqua"/>
                <w:b/>
                <w:sz w:val="24"/>
                <w:szCs w:val="24"/>
                <w:lang w:val="en-US"/>
              </w:rPr>
            </w:pPr>
            <w:r w:rsidRPr="00C125FC">
              <w:rPr>
                <w:rFonts w:ascii="Book Antiqua" w:hAnsi="Book Antiqua"/>
                <w:b/>
                <w:i/>
                <w:sz w:val="24"/>
                <w:szCs w:val="24"/>
                <w:lang w:val="en-US"/>
              </w:rPr>
              <w:t>n</w:t>
            </w:r>
          </w:p>
        </w:tc>
        <w:tc>
          <w:tcPr>
            <w:tcW w:w="2317" w:type="dxa"/>
            <w:gridSpan w:val="2"/>
            <w:tcBorders>
              <w:top w:val="single" w:sz="8" w:space="0" w:color="auto"/>
              <w:bottom w:val="single" w:sz="8" w:space="0" w:color="auto"/>
            </w:tcBorders>
          </w:tcPr>
          <w:p w:rsidR="00C125FC" w:rsidRPr="00C125FC" w:rsidRDefault="00C125FC" w:rsidP="00C125FC">
            <w:pPr>
              <w:pStyle w:val="Heading3"/>
              <w:snapToGrid w:val="0"/>
              <w:spacing w:before="0" w:after="0" w:line="360" w:lineRule="auto"/>
              <w:jc w:val="center"/>
              <w:rPr>
                <w:rFonts w:ascii="Book Antiqua" w:hAnsi="Book Antiqua" w:cs="Times New Roman"/>
                <w:sz w:val="24"/>
                <w:szCs w:val="24"/>
              </w:rPr>
            </w:pPr>
            <w:r w:rsidRPr="00C125FC">
              <w:rPr>
                <w:rFonts w:ascii="Book Antiqua" w:hAnsi="Book Antiqua" w:cs="Times New Roman"/>
                <w:sz w:val="24"/>
                <w:szCs w:val="24"/>
              </w:rPr>
              <w:t>VTE</w:t>
            </w:r>
          </w:p>
        </w:tc>
        <w:tc>
          <w:tcPr>
            <w:tcW w:w="1976" w:type="dxa"/>
            <w:vMerge w:val="restart"/>
            <w:tcBorders>
              <w:top w:val="single" w:sz="8" w:space="0" w:color="auto"/>
              <w:bottom w:val="single" w:sz="8" w:space="0" w:color="auto"/>
            </w:tcBorders>
          </w:tcPr>
          <w:p w:rsidR="00C125FC" w:rsidRPr="00C125FC" w:rsidRDefault="00C125FC" w:rsidP="00C125FC">
            <w:pPr>
              <w:snapToGrid w:val="0"/>
              <w:spacing w:after="0" w:line="360" w:lineRule="auto"/>
              <w:jc w:val="center"/>
              <w:rPr>
                <w:rFonts w:ascii="Book Antiqua" w:hAnsi="Book Antiqua"/>
                <w:b/>
                <w:sz w:val="24"/>
                <w:szCs w:val="24"/>
                <w:lang w:val="en-US"/>
              </w:rPr>
            </w:pPr>
            <w:r w:rsidRPr="00C125FC">
              <w:rPr>
                <w:rFonts w:ascii="Book Antiqua" w:hAnsi="Book Antiqua"/>
                <w:b/>
                <w:sz w:val="24"/>
                <w:szCs w:val="24"/>
                <w:lang w:val="en-US"/>
              </w:rPr>
              <w:t>HR (CI)</w:t>
            </w:r>
          </w:p>
        </w:tc>
        <w:tc>
          <w:tcPr>
            <w:tcW w:w="1306" w:type="dxa"/>
            <w:vMerge w:val="restart"/>
            <w:tcBorders>
              <w:top w:val="single" w:sz="8" w:space="0" w:color="auto"/>
              <w:bottom w:val="single" w:sz="8" w:space="0" w:color="auto"/>
            </w:tcBorders>
          </w:tcPr>
          <w:p w:rsidR="00C125FC" w:rsidRPr="00C125FC" w:rsidRDefault="00C125FC" w:rsidP="00C125FC">
            <w:pPr>
              <w:snapToGrid w:val="0"/>
              <w:spacing w:after="0" w:line="360" w:lineRule="auto"/>
              <w:jc w:val="center"/>
              <w:rPr>
                <w:rFonts w:ascii="Book Antiqua" w:hAnsi="Book Antiqua"/>
                <w:b/>
                <w:sz w:val="24"/>
                <w:szCs w:val="24"/>
                <w:lang w:val="en-US"/>
              </w:rPr>
            </w:pPr>
            <w:r w:rsidRPr="00C125FC">
              <w:rPr>
                <w:rFonts w:ascii="Book Antiqua" w:hAnsi="Book Antiqua"/>
                <w:b/>
                <w:i/>
                <w:caps/>
                <w:sz w:val="24"/>
                <w:szCs w:val="24"/>
                <w:lang w:val="en-US"/>
              </w:rPr>
              <w:t>p</w:t>
            </w:r>
            <w:r w:rsidRPr="00C125FC">
              <w:rPr>
                <w:rFonts w:ascii="Book Antiqua" w:hAnsi="Book Antiqua"/>
                <w:b/>
                <w:i/>
                <w:sz w:val="24"/>
                <w:szCs w:val="24"/>
                <w:lang w:val="en-US"/>
              </w:rPr>
              <w:t xml:space="preserve"> </w:t>
            </w:r>
            <w:r w:rsidRPr="00C125FC">
              <w:rPr>
                <w:rFonts w:ascii="Book Antiqua" w:hAnsi="Book Antiqua"/>
                <w:b/>
                <w:sz w:val="24"/>
                <w:szCs w:val="24"/>
                <w:lang w:val="en-US"/>
              </w:rPr>
              <w:t>value</w:t>
            </w:r>
          </w:p>
        </w:tc>
      </w:tr>
      <w:tr w:rsidR="00C125FC" w:rsidRPr="00CC6129" w:rsidTr="00D233DB">
        <w:trPr>
          <w:cantSplit/>
        </w:trPr>
        <w:tc>
          <w:tcPr>
            <w:tcW w:w="2702" w:type="dxa"/>
            <w:vMerge/>
            <w:tcBorders>
              <w:top w:val="single" w:sz="8" w:space="0" w:color="auto"/>
              <w:bottom w:val="single" w:sz="8" w:space="0" w:color="auto"/>
            </w:tcBorders>
          </w:tcPr>
          <w:p w:rsidR="00C125FC" w:rsidRPr="00CC6129" w:rsidRDefault="00C125FC" w:rsidP="0010680C">
            <w:pPr>
              <w:snapToGrid w:val="0"/>
              <w:spacing w:after="0" w:line="360" w:lineRule="auto"/>
              <w:jc w:val="both"/>
              <w:rPr>
                <w:rFonts w:ascii="Book Antiqua" w:hAnsi="Book Antiqua"/>
                <w:b/>
                <w:sz w:val="24"/>
                <w:szCs w:val="24"/>
                <w:lang w:val="en-US"/>
              </w:rPr>
            </w:pPr>
          </w:p>
        </w:tc>
        <w:tc>
          <w:tcPr>
            <w:tcW w:w="927" w:type="dxa"/>
            <w:vMerge/>
            <w:tcBorders>
              <w:top w:val="single" w:sz="8" w:space="0" w:color="auto"/>
              <w:bottom w:val="single" w:sz="8" w:space="0" w:color="auto"/>
            </w:tcBorders>
          </w:tcPr>
          <w:p w:rsidR="00C125FC" w:rsidRPr="00CC6129" w:rsidRDefault="00C125FC" w:rsidP="00C125FC">
            <w:pPr>
              <w:snapToGrid w:val="0"/>
              <w:spacing w:after="0" w:line="360" w:lineRule="auto"/>
              <w:jc w:val="center"/>
              <w:rPr>
                <w:rFonts w:ascii="Book Antiqua" w:hAnsi="Book Antiqua"/>
                <w:i/>
                <w:sz w:val="24"/>
                <w:szCs w:val="24"/>
                <w:lang w:val="en-US"/>
              </w:rPr>
            </w:pPr>
          </w:p>
        </w:tc>
        <w:tc>
          <w:tcPr>
            <w:tcW w:w="1239" w:type="dxa"/>
            <w:tcBorders>
              <w:top w:val="single" w:sz="8" w:space="0" w:color="auto"/>
              <w:bottom w:val="single" w:sz="8" w:space="0" w:color="auto"/>
            </w:tcBorders>
          </w:tcPr>
          <w:p w:rsidR="00C125FC" w:rsidRPr="00C125FC" w:rsidRDefault="00C125FC" w:rsidP="00C125FC">
            <w:pPr>
              <w:snapToGrid w:val="0"/>
              <w:spacing w:after="0" w:line="360" w:lineRule="auto"/>
              <w:jc w:val="center"/>
              <w:rPr>
                <w:rFonts w:ascii="Book Antiqua" w:hAnsi="Book Antiqua"/>
                <w:b/>
                <w:sz w:val="24"/>
                <w:szCs w:val="24"/>
                <w:lang w:val="en-US"/>
              </w:rPr>
            </w:pPr>
            <w:r w:rsidRPr="00C125FC">
              <w:rPr>
                <w:rFonts w:ascii="Book Antiqua" w:hAnsi="Book Antiqua"/>
                <w:b/>
                <w:sz w:val="24"/>
                <w:szCs w:val="24"/>
                <w:lang w:val="en-US"/>
              </w:rPr>
              <w:t>Yes</w:t>
            </w:r>
          </w:p>
        </w:tc>
        <w:tc>
          <w:tcPr>
            <w:tcW w:w="1078" w:type="dxa"/>
            <w:tcBorders>
              <w:top w:val="single" w:sz="8" w:space="0" w:color="auto"/>
              <w:bottom w:val="single" w:sz="8" w:space="0" w:color="auto"/>
            </w:tcBorders>
          </w:tcPr>
          <w:p w:rsidR="00C125FC" w:rsidRPr="00C125FC" w:rsidRDefault="00C125FC" w:rsidP="00C125FC">
            <w:pPr>
              <w:snapToGrid w:val="0"/>
              <w:spacing w:after="0" w:line="360" w:lineRule="auto"/>
              <w:jc w:val="center"/>
              <w:rPr>
                <w:rFonts w:ascii="Book Antiqua" w:hAnsi="Book Antiqua"/>
                <w:b/>
                <w:sz w:val="24"/>
                <w:szCs w:val="24"/>
                <w:lang w:val="en-US"/>
              </w:rPr>
            </w:pPr>
            <w:r w:rsidRPr="00C125FC">
              <w:rPr>
                <w:rFonts w:ascii="Book Antiqua" w:hAnsi="Book Antiqua"/>
                <w:b/>
                <w:sz w:val="24"/>
                <w:szCs w:val="24"/>
                <w:lang w:val="en-US"/>
              </w:rPr>
              <w:t>No</w:t>
            </w:r>
          </w:p>
        </w:tc>
        <w:tc>
          <w:tcPr>
            <w:tcW w:w="1976" w:type="dxa"/>
            <w:vMerge/>
            <w:tcBorders>
              <w:top w:val="single" w:sz="8" w:space="0" w:color="auto"/>
              <w:bottom w:val="single" w:sz="8" w:space="0" w:color="auto"/>
            </w:tcBorders>
          </w:tcPr>
          <w:p w:rsidR="00C125FC" w:rsidRPr="00CC6129" w:rsidRDefault="00C125FC" w:rsidP="00C125FC">
            <w:pPr>
              <w:snapToGrid w:val="0"/>
              <w:spacing w:after="0" w:line="360" w:lineRule="auto"/>
              <w:jc w:val="center"/>
              <w:rPr>
                <w:rFonts w:ascii="Book Antiqua" w:hAnsi="Book Antiqua"/>
                <w:sz w:val="24"/>
                <w:szCs w:val="24"/>
                <w:lang w:val="en-US"/>
              </w:rPr>
            </w:pPr>
          </w:p>
        </w:tc>
        <w:tc>
          <w:tcPr>
            <w:tcW w:w="1306" w:type="dxa"/>
            <w:vMerge/>
            <w:tcBorders>
              <w:top w:val="single" w:sz="8" w:space="0" w:color="auto"/>
              <w:bottom w:val="single" w:sz="8" w:space="0" w:color="auto"/>
            </w:tcBorders>
          </w:tcPr>
          <w:p w:rsidR="00C125FC" w:rsidRPr="00CC6129" w:rsidRDefault="00C125FC" w:rsidP="00C125FC">
            <w:pPr>
              <w:snapToGrid w:val="0"/>
              <w:spacing w:after="0" w:line="360" w:lineRule="auto"/>
              <w:jc w:val="center"/>
              <w:rPr>
                <w:rFonts w:ascii="Book Antiqua" w:hAnsi="Book Antiqua"/>
                <w:i/>
                <w:sz w:val="24"/>
                <w:szCs w:val="24"/>
                <w:lang w:val="en-US"/>
              </w:rPr>
            </w:pPr>
          </w:p>
        </w:tc>
      </w:tr>
      <w:tr w:rsidR="00C125FC" w:rsidRPr="00CC6129" w:rsidTr="00D233DB">
        <w:trPr>
          <w:cantSplit/>
        </w:trPr>
        <w:tc>
          <w:tcPr>
            <w:tcW w:w="2702" w:type="dxa"/>
            <w:tcBorders>
              <w:top w:val="single" w:sz="8" w:space="0" w:color="auto"/>
            </w:tcBorders>
          </w:tcPr>
          <w:p w:rsidR="00C125FC" w:rsidRPr="00CC6129" w:rsidRDefault="00C125FC" w:rsidP="0010680C">
            <w:pPr>
              <w:pStyle w:val="Heading2"/>
              <w:keepNext w:val="0"/>
              <w:snapToGrid w:val="0"/>
              <w:spacing w:line="360" w:lineRule="auto"/>
              <w:jc w:val="both"/>
              <w:rPr>
                <w:rFonts w:ascii="Book Antiqua" w:hAnsi="Book Antiqua"/>
                <w:b w:val="0"/>
                <w:lang w:val="en-US"/>
              </w:rPr>
            </w:pPr>
            <w:r w:rsidRPr="00CC6129">
              <w:rPr>
                <w:rFonts w:ascii="Book Antiqua" w:hAnsi="Book Antiqua"/>
                <w:b w:val="0"/>
                <w:lang w:val="en-US"/>
              </w:rPr>
              <w:t>Sex</w:t>
            </w:r>
          </w:p>
        </w:tc>
        <w:tc>
          <w:tcPr>
            <w:tcW w:w="927" w:type="dxa"/>
            <w:tcBorders>
              <w:top w:val="single" w:sz="8" w:space="0" w:color="auto"/>
            </w:tcBorders>
          </w:tcPr>
          <w:p w:rsidR="00C125FC" w:rsidRPr="00CC6129" w:rsidRDefault="00C125FC" w:rsidP="00C125FC">
            <w:pPr>
              <w:pStyle w:val="Heading2"/>
              <w:keepNext w:val="0"/>
              <w:snapToGrid w:val="0"/>
              <w:spacing w:line="360" w:lineRule="auto"/>
              <w:jc w:val="center"/>
              <w:rPr>
                <w:rFonts w:ascii="Book Antiqua" w:hAnsi="Book Antiqua"/>
                <w:b w:val="0"/>
                <w:lang w:val="en-US"/>
              </w:rPr>
            </w:pPr>
          </w:p>
        </w:tc>
        <w:tc>
          <w:tcPr>
            <w:tcW w:w="1239" w:type="dxa"/>
            <w:tcBorders>
              <w:top w:val="single" w:sz="8" w:space="0" w:color="auto"/>
            </w:tcBorders>
          </w:tcPr>
          <w:p w:rsidR="00C125FC" w:rsidRPr="00CC6129" w:rsidRDefault="00C125FC" w:rsidP="00C125FC">
            <w:pPr>
              <w:pStyle w:val="Heading2"/>
              <w:keepNext w:val="0"/>
              <w:snapToGrid w:val="0"/>
              <w:spacing w:line="360" w:lineRule="auto"/>
              <w:jc w:val="center"/>
              <w:rPr>
                <w:rFonts w:ascii="Book Antiqua" w:hAnsi="Book Antiqua"/>
                <w:b w:val="0"/>
                <w:lang w:val="en-US"/>
              </w:rPr>
            </w:pPr>
          </w:p>
        </w:tc>
        <w:tc>
          <w:tcPr>
            <w:tcW w:w="1078" w:type="dxa"/>
            <w:tcBorders>
              <w:top w:val="single" w:sz="8" w:space="0" w:color="auto"/>
            </w:tcBorders>
          </w:tcPr>
          <w:p w:rsidR="00C125FC" w:rsidRPr="00CC6129" w:rsidRDefault="00C125FC" w:rsidP="00C125FC">
            <w:pPr>
              <w:pStyle w:val="Heading2"/>
              <w:jc w:val="center"/>
              <w:rPr>
                <w:rFonts w:ascii="Book Antiqua" w:hAnsi="Book Antiqua"/>
                <w:lang w:val="en-US"/>
              </w:rPr>
            </w:pPr>
          </w:p>
        </w:tc>
        <w:tc>
          <w:tcPr>
            <w:tcW w:w="1976" w:type="dxa"/>
            <w:tcBorders>
              <w:top w:val="single" w:sz="8" w:space="0" w:color="auto"/>
            </w:tcBorders>
          </w:tcPr>
          <w:p w:rsidR="00C125FC" w:rsidRPr="00CC6129" w:rsidRDefault="00C125FC" w:rsidP="00C125FC">
            <w:pPr>
              <w:snapToGrid w:val="0"/>
              <w:spacing w:after="0" w:line="360" w:lineRule="auto"/>
              <w:jc w:val="center"/>
              <w:rPr>
                <w:rFonts w:ascii="Book Antiqua" w:hAnsi="Book Antiqua"/>
                <w:sz w:val="24"/>
                <w:szCs w:val="24"/>
                <w:lang w:val="en-US"/>
              </w:rPr>
            </w:pPr>
          </w:p>
        </w:tc>
        <w:tc>
          <w:tcPr>
            <w:tcW w:w="1306" w:type="dxa"/>
            <w:tcBorders>
              <w:top w:val="single" w:sz="8" w:space="0" w:color="auto"/>
            </w:tcBorders>
          </w:tcPr>
          <w:p w:rsidR="00C125FC" w:rsidRPr="00CC6129" w:rsidRDefault="00C125FC" w:rsidP="00C125FC">
            <w:pPr>
              <w:snapToGrid w:val="0"/>
              <w:spacing w:after="0" w:line="360" w:lineRule="auto"/>
              <w:jc w:val="center"/>
              <w:rPr>
                <w:rFonts w:ascii="Book Antiqua" w:hAnsi="Book Antiqua"/>
                <w:i/>
                <w:sz w:val="24"/>
                <w:szCs w:val="24"/>
                <w:lang w:val="en-US"/>
              </w:rPr>
            </w:pPr>
          </w:p>
        </w:tc>
      </w:tr>
      <w:tr w:rsidR="004A4B97" w:rsidRPr="00CC6129" w:rsidTr="00D233DB">
        <w:trPr>
          <w:cantSplit/>
        </w:trPr>
        <w:tc>
          <w:tcPr>
            <w:tcW w:w="2702" w:type="dxa"/>
          </w:tcPr>
          <w:p w:rsidR="004A4B97" w:rsidRPr="00CC6129" w:rsidRDefault="004A4B97" w:rsidP="0010680C">
            <w:pPr>
              <w:pStyle w:val="Heading5"/>
              <w:snapToGrid w:val="0"/>
              <w:spacing w:before="0" w:after="0" w:line="360" w:lineRule="auto"/>
              <w:ind w:left="290"/>
              <w:jc w:val="both"/>
              <w:rPr>
                <w:rFonts w:ascii="Book Antiqua" w:hAnsi="Book Antiqua"/>
                <w:b w:val="0"/>
                <w:i w:val="0"/>
                <w:sz w:val="24"/>
                <w:szCs w:val="24"/>
              </w:rPr>
            </w:pPr>
            <w:r w:rsidRPr="00CC6129">
              <w:rPr>
                <w:rFonts w:ascii="Book Antiqua" w:hAnsi="Book Antiqua"/>
                <w:b w:val="0"/>
                <w:i w:val="0"/>
                <w:sz w:val="24"/>
                <w:szCs w:val="24"/>
              </w:rPr>
              <w:t>Male</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19</w:t>
            </w:r>
            <w:r w:rsidR="00F200E4" w:rsidRPr="00C125FC">
              <w:rPr>
                <w:rFonts w:ascii="Book Antiqua" w:hAnsi="Book Antiqua"/>
                <w:sz w:val="24"/>
                <w:szCs w:val="24"/>
                <w:lang w:val="en-US"/>
              </w:rPr>
              <w:t>7</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w:t>
            </w:r>
            <w:r w:rsidR="00F200E4" w:rsidRPr="00C125FC">
              <w:rPr>
                <w:rFonts w:ascii="Book Antiqua" w:hAnsi="Book Antiqua"/>
                <w:sz w:val="24"/>
                <w:szCs w:val="24"/>
                <w:lang w:val="en-US"/>
              </w:rPr>
              <w:t>7</w:t>
            </w:r>
            <w:r w:rsidRPr="00C125FC">
              <w:rPr>
                <w:rFonts w:ascii="Book Antiqua" w:hAnsi="Book Antiqua"/>
                <w:sz w:val="24"/>
                <w:szCs w:val="24"/>
                <w:lang w:val="en-US"/>
              </w:rPr>
              <w:t xml:space="preserve"> (</w:t>
            </w:r>
            <w:r w:rsidR="009E5647" w:rsidRPr="00C125FC">
              <w:rPr>
                <w:rFonts w:ascii="Book Antiqua" w:hAnsi="Book Antiqua"/>
                <w:sz w:val="24"/>
                <w:szCs w:val="24"/>
                <w:lang w:val="en-US"/>
              </w:rPr>
              <w:t>9</w:t>
            </w:r>
            <w:r w:rsidRPr="00C125FC">
              <w:rPr>
                <w:rFonts w:ascii="Book Antiqua" w:hAnsi="Book Antiqua"/>
                <w:sz w:val="24"/>
                <w:szCs w:val="24"/>
                <w:lang w:val="en-US"/>
              </w:rPr>
              <w:t>)</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180 (9</w:t>
            </w:r>
            <w:r w:rsidR="009E5647" w:rsidRPr="00C125FC">
              <w:rPr>
                <w:rFonts w:ascii="Book Antiqua" w:hAnsi="Book Antiqua"/>
                <w:sz w:val="24"/>
                <w:szCs w:val="24"/>
                <w:lang w:val="en-US"/>
              </w:rPr>
              <w:t>1</w:t>
            </w:r>
            <w:r w:rsidRPr="00C125FC">
              <w:rPr>
                <w:rFonts w:ascii="Book Antiqua" w:hAnsi="Book Antiqua"/>
                <w:sz w:val="24"/>
                <w:szCs w:val="24"/>
                <w:lang w:val="en-US"/>
              </w:rPr>
              <w:t>)</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snapToGrid w:val="0"/>
              <w:spacing w:after="0" w:line="360" w:lineRule="auto"/>
              <w:ind w:left="290" w:right="-70"/>
              <w:jc w:val="both"/>
              <w:rPr>
                <w:rFonts w:ascii="Book Antiqua" w:hAnsi="Book Antiqua"/>
                <w:sz w:val="24"/>
                <w:szCs w:val="24"/>
                <w:lang w:val="en-US"/>
              </w:rPr>
            </w:pPr>
            <w:r w:rsidRPr="00CC6129">
              <w:rPr>
                <w:rFonts w:ascii="Book Antiqua" w:hAnsi="Book Antiqua"/>
                <w:sz w:val="24"/>
                <w:szCs w:val="24"/>
                <w:lang w:val="en-US"/>
              </w:rPr>
              <w:t>Female</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14</w:t>
            </w:r>
            <w:r w:rsidR="00F200E4" w:rsidRPr="00C125FC">
              <w:rPr>
                <w:rFonts w:ascii="Book Antiqua" w:hAnsi="Book Antiqua"/>
                <w:sz w:val="24"/>
                <w:szCs w:val="24"/>
                <w:lang w:val="en-US"/>
              </w:rPr>
              <w:t>5</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w:t>
            </w:r>
            <w:r w:rsidR="00F200E4" w:rsidRPr="00C125FC">
              <w:rPr>
                <w:rFonts w:ascii="Book Antiqua" w:hAnsi="Book Antiqua"/>
                <w:sz w:val="24"/>
                <w:szCs w:val="24"/>
                <w:lang w:val="en-US"/>
              </w:rPr>
              <w:t>7</w:t>
            </w:r>
            <w:r w:rsidRPr="00C125FC">
              <w:rPr>
                <w:rFonts w:ascii="Book Antiqua" w:hAnsi="Book Antiqua"/>
                <w:sz w:val="24"/>
                <w:szCs w:val="24"/>
                <w:lang w:val="en-US"/>
              </w:rPr>
              <w:t xml:space="preserve"> (1</w:t>
            </w:r>
            <w:r w:rsidR="009E5647" w:rsidRPr="00C125FC">
              <w:rPr>
                <w:rFonts w:ascii="Book Antiqua" w:hAnsi="Book Antiqua"/>
                <w:sz w:val="24"/>
                <w:szCs w:val="24"/>
                <w:lang w:val="en-US"/>
              </w:rPr>
              <w:t>2</w:t>
            </w:r>
            <w:r w:rsidRPr="00C125FC">
              <w:rPr>
                <w:rFonts w:ascii="Book Antiqua" w:hAnsi="Book Antiqua"/>
                <w:sz w:val="24"/>
                <w:szCs w:val="24"/>
                <w:lang w:val="en-US"/>
              </w:rPr>
              <w:t>)</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128 (</w:t>
            </w:r>
            <w:r w:rsidR="009E5647" w:rsidRPr="00C125FC">
              <w:rPr>
                <w:rFonts w:ascii="Book Antiqua" w:hAnsi="Book Antiqua"/>
                <w:sz w:val="24"/>
                <w:szCs w:val="24"/>
                <w:lang w:val="en-US"/>
              </w:rPr>
              <w:t>88</w:t>
            </w:r>
            <w:r w:rsidRPr="00C125FC">
              <w:rPr>
                <w:rFonts w:ascii="Book Antiqua" w:hAnsi="Book Antiqua"/>
                <w:sz w:val="24"/>
                <w:szCs w:val="24"/>
                <w:lang w:val="en-US"/>
              </w:rPr>
              <w:t>)</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0.</w:t>
            </w:r>
            <w:r w:rsidR="00F200E4" w:rsidRPr="00C125FC">
              <w:rPr>
                <w:rFonts w:ascii="Book Antiqua" w:hAnsi="Book Antiqua"/>
                <w:sz w:val="24"/>
                <w:szCs w:val="24"/>
                <w:lang w:val="en-US"/>
              </w:rPr>
              <w:t>48</w:t>
            </w:r>
            <w:r w:rsidRPr="00C125FC">
              <w:rPr>
                <w:rFonts w:ascii="Book Antiqua" w:hAnsi="Book Antiqua"/>
                <w:sz w:val="24"/>
                <w:szCs w:val="24"/>
                <w:lang w:val="en-US"/>
              </w:rPr>
              <w:t xml:space="preserve"> (0.2</w:t>
            </w:r>
            <w:r w:rsidR="00F200E4" w:rsidRPr="00C125FC">
              <w:rPr>
                <w:rFonts w:ascii="Book Antiqua" w:hAnsi="Book Antiqua"/>
                <w:sz w:val="24"/>
                <w:szCs w:val="24"/>
                <w:lang w:val="en-US"/>
              </w:rPr>
              <w:t>4</w:t>
            </w:r>
            <w:r w:rsidR="00C125FC">
              <w:rPr>
                <w:rFonts w:ascii="Book Antiqua" w:hAnsi="Book Antiqua" w:hint="eastAsia"/>
                <w:sz w:val="24"/>
                <w:szCs w:val="24"/>
                <w:lang w:val="en-US" w:eastAsia="zh-CN"/>
              </w:rPr>
              <w:t>-</w:t>
            </w:r>
            <w:r w:rsidR="00F200E4" w:rsidRPr="00C125FC">
              <w:rPr>
                <w:rFonts w:ascii="Book Antiqua" w:hAnsi="Book Antiqua"/>
                <w:sz w:val="24"/>
                <w:szCs w:val="24"/>
                <w:lang w:val="en-US"/>
              </w:rPr>
              <w:t>0.97</w:t>
            </w:r>
            <w:r w:rsidRPr="00C125FC">
              <w:rPr>
                <w:rFonts w:ascii="Book Antiqua" w:hAnsi="Book Antiqua"/>
                <w:sz w:val="24"/>
                <w:szCs w:val="24"/>
                <w:lang w:val="en-US"/>
              </w:rPr>
              <w:t>)</w:t>
            </w: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0.</w:t>
            </w:r>
            <w:r w:rsidR="00F200E4" w:rsidRPr="00C125FC">
              <w:rPr>
                <w:rFonts w:ascii="Book Antiqua" w:hAnsi="Book Antiqua"/>
                <w:sz w:val="24"/>
                <w:szCs w:val="24"/>
                <w:lang w:val="en-US"/>
              </w:rPr>
              <w:t>040</w:t>
            </w:r>
          </w:p>
        </w:tc>
      </w:tr>
      <w:tr w:rsidR="00C125FC" w:rsidRPr="00CC6129" w:rsidTr="00D233DB">
        <w:trPr>
          <w:cantSplit/>
        </w:trPr>
        <w:tc>
          <w:tcPr>
            <w:tcW w:w="2702" w:type="dxa"/>
          </w:tcPr>
          <w:p w:rsidR="00C125FC" w:rsidRPr="00C125FC" w:rsidRDefault="00C125FC" w:rsidP="0010680C">
            <w:pPr>
              <w:pStyle w:val="Heading2"/>
              <w:keepNext w:val="0"/>
              <w:snapToGrid w:val="0"/>
              <w:spacing w:line="360" w:lineRule="auto"/>
              <w:jc w:val="both"/>
              <w:rPr>
                <w:rFonts w:ascii="Book Antiqua" w:hAnsi="Book Antiqua"/>
                <w:b w:val="0"/>
                <w:lang w:val="en-US"/>
              </w:rPr>
            </w:pPr>
            <w:r w:rsidRPr="00C125FC">
              <w:rPr>
                <w:rFonts w:ascii="Book Antiqua" w:hAnsi="Book Antiqua"/>
                <w:b w:val="0"/>
                <w:lang w:val="en-US"/>
              </w:rPr>
              <w:t>Age</w:t>
            </w:r>
          </w:p>
        </w:tc>
        <w:tc>
          <w:tcPr>
            <w:tcW w:w="927" w:type="dxa"/>
          </w:tcPr>
          <w:p w:rsidR="00C125FC" w:rsidRPr="00C125FC" w:rsidRDefault="00C125FC" w:rsidP="00C125FC">
            <w:pPr>
              <w:pStyle w:val="Heading2"/>
              <w:keepNext w:val="0"/>
              <w:snapToGrid w:val="0"/>
              <w:spacing w:line="360" w:lineRule="auto"/>
              <w:jc w:val="center"/>
              <w:rPr>
                <w:rFonts w:ascii="Book Antiqua" w:hAnsi="Book Antiqua"/>
                <w:b w:val="0"/>
                <w:lang w:val="en-US"/>
              </w:rPr>
            </w:pPr>
          </w:p>
        </w:tc>
        <w:tc>
          <w:tcPr>
            <w:tcW w:w="1239" w:type="dxa"/>
          </w:tcPr>
          <w:p w:rsidR="00C125FC" w:rsidRPr="00C125FC" w:rsidRDefault="00C125FC" w:rsidP="00C125FC">
            <w:pPr>
              <w:pStyle w:val="Heading2"/>
              <w:keepNext w:val="0"/>
              <w:snapToGrid w:val="0"/>
              <w:spacing w:line="360" w:lineRule="auto"/>
              <w:jc w:val="center"/>
              <w:rPr>
                <w:rFonts w:ascii="Book Antiqua" w:hAnsi="Book Antiqua"/>
                <w:b w:val="0"/>
                <w:lang w:val="en-US"/>
              </w:rPr>
            </w:pPr>
          </w:p>
        </w:tc>
        <w:tc>
          <w:tcPr>
            <w:tcW w:w="1078" w:type="dxa"/>
          </w:tcPr>
          <w:p w:rsidR="00C125FC" w:rsidRPr="00C125FC" w:rsidRDefault="00C125FC" w:rsidP="00C125FC">
            <w:pPr>
              <w:pStyle w:val="Heading2"/>
              <w:jc w:val="center"/>
              <w:rPr>
                <w:rFonts w:ascii="Book Antiqua" w:hAnsi="Book Antiqua"/>
                <w:lang w:val="en-US"/>
              </w:rPr>
            </w:pPr>
          </w:p>
        </w:tc>
        <w:tc>
          <w:tcPr>
            <w:tcW w:w="1976" w:type="dxa"/>
          </w:tcPr>
          <w:p w:rsidR="00C125FC" w:rsidRPr="00C125FC" w:rsidRDefault="00C125FC" w:rsidP="00C125FC">
            <w:pPr>
              <w:snapToGrid w:val="0"/>
              <w:spacing w:after="0" w:line="360" w:lineRule="auto"/>
              <w:jc w:val="center"/>
              <w:rPr>
                <w:rFonts w:ascii="Book Antiqua" w:hAnsi="Book Antiqua"/>
                <w:sz w:val="24"/>
                <w:szCs w:val="24"/>
                <w:lang w:val="en-US"/>
              </w:rPr>
            </w:pPr>
          </w:p>
        </w:tc>
        <w:tc>
          <w:tcPr>
            <w:tcW w:w="1306" w:type="dxa"/>
          </w:tcPr>
          <w:p w:rsidR="00C125FC" w:rsidRPr="00C125FC" w:rsidRDefault="00C125FC"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01F52" w:rsidP="0010680C">
            <w:pPr>
              <w:snapToGrid w:val="0"/>
              <w:spacing w:after="0" w:line="360" w:lineRule="auto"/>
              <w:ind w:left="290"/>
              <w:jc w:val="both"/>
              <w:rPr>
                <w:rFonts w:ascii="Book Antiqua" w:hAnsi="Book Antiqua"/>
                <w:sz w:val="24"/>
                <w:szCs w:val="24"/>
                <w:lang w:val="en-US" w:eastAsia="zh-CN"/>
              </w:rPr>
            </w:pPr>
            <w:r w:rsidRPr="00CC6129">
              <w:rPr>
                <w:rFonts w:ascii="Book Antiqua" w:hAnsi="Book Antiqua"/>
                <w:sz w:val="24"/>
                <w:szCs w:val="24"/>
                <w:lang w:val="en-US"/>
              </w:rPr>
              <w:t>≤</w:t>
            </w:r>
            <w:r w:rsidR="00C125FC">
              <w:rPr>
                <w:rFonts w:ascii="Book Antiqua" w:hAnsi="Book Antiqua" w:hint="eastAsia"/>
                <w:sz w:val="24"/>
                <w:szCs w:val="24"/>
                <w:lang w:val="en-US" w:eastAsia="zh-CN"/>
              </w:rPr>
              <w:t xml:space="preserve"> </w:t>
            </w:r>
            <w:r w:rsidR="00C125FC">
              <w:rPr>
                <w:rFonts w:ascii="Book Antiqua" w:hAnsi="Book Antiqua"/>
                <w:sz w:val="24"/>
                <w:szCs w:val="24"/>
                <w:lang w:val="en-US"/>
              </w:rPr>
              <w:t>65 yr</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15</w:t>
            </w:r>
            <w:r w:rsidR="00F200E4" w:rsidRPr="00C125FC">
              <w:rPr>
                <w:rFonts w:ascii="Book Antiqua" w:hAnsi="Book Antiqua"/>
                <w:sz w:val="24"/>
                <w:szCs w:val="24"/>
                <w:lang w:val="en-US"/>
              </w:rPr>
              <w:t>7</w:t>
            </w:r>
          </w:p>
        </w:tc>
        <w:tc>
          <w:tcPr>
            <w:tcW w:w="1239" w:type="dxa"/>
          </w:tcPr>
          <w:p w:rsidR="004A4B97" w:rsidRPr="00C125FC" w:rsidRDefault="00F200E4"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9</w:t>
            </w:r>
            <w:r w:rsidR="004A4B97" w:rsidRPr="00C125FC">
              <w:rPr>
                <w:rFonts w:ascii="Book Antiqua" w:hAnsi="Book Antiqua"/>
                <w:sz w:val="24"/>
                <w:szCs w:val="24"/>
                <w:lang w:val="en-US"/>
              </w:rPr>
              <w:t xml:space="preserve"> (</w:t>
            </w:r>
            <w:r w:rsidR="009E5647" w:rsidRPr="00C125FC">
              <w:rPr>
                <w:rFonts w:ascii="Book Antiqua" w:hAnsi="Book Antiqua"/>
                <w:sz w:val="24"/>
                <w:szCs w:val="24"/>
                <w:lang w:val="en-US"/>
              </w:rPr>
              <w:t>6</w:t>
            </w:r>
            <w:r w:rsidR="004A4B97" w:rsidRPr="00C125FC">
              <w:rPr>
                <w:rFonts w:ascii="Book Antiqua" w:hAnsi="Book Antiqua"/>
                <w:sz w:val="24"/>
                <w:szCs w:val="24"/>
                <w:lang w:val="en-US"/>
              </w:rPr>
              <w:t>)</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148 (9</w:t>
            </w:r>
            <w:r w:rsidR="009E5647" w:rsidRPr="00C125FC">
              <w:rPr>
                <w:rFonts w:ascii="Book Antiqua" w:hAnsi="Book Antiqua"/>
                <w:sz w:val="24"/>
                <w:szCs w:val="24"/>
                <w:lang w:val="en-US"/>
              </w:rPr>
              <w:t>4</w:t>
            </w:r>
            <w:r w:rsidRPr="00C125FC">
              <w:rPr>
                <w:rFonts w:ascii="Book Antiqua" w:hAnsi="Book Antiqua"/>
                <w:sz w:val="24"/>
                <w:szCs w:val="24"/>
                <w:lang w:val="en-US"/>
              </w:rPr>
              <w:t>)</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snapToGrid w:val="0"/>
              <w:spacing w:after="0" w:line="360" w:lineRule="auto"/>
              <w:ind w:left="290"/>
              <w:jc w:val="both"/>
              <w:rPr>
                <w:rFonts w:ascii="Book Antiqua" w:hAnsi="Book Antiqua"/>
                <w:sz w:val="24"/>
                <w:szCs w:val="24"/>
                <w:lang w:val="en-US" w:eastAsia="zh-CN"/>
              </w:rPr>
            </w:pPr>
            <w:r w:rsidRPr="00CC6129">
              <w:rPr>
                <w:rFonts w:ascii="Book Antiqua" w:hAnsi="Book Antiqua"/>
                <w:sz w:val="24"/>
                <w:szCs w:val="24"/>
                <w:lang w:val="en-US"/>
              </w:rPr>
              <w:t>&gt;</w:t>
            </w:r>
            <w:r w:rsidR="00C125FC">
              <w:rPr>
                <w:rFonts w:ascii="Book Antiqua" w:hAnsi="Book Antiqua" w:hint="eastAsia"/>
                <w:sz w:val="24"/>
                <w:szCs w:val="24"/>
                <w:lang w:val="en-US" w:eastAsia="zh-CN"/>
              </w:rPr>
              <w:t xml:space="preserve"> </w:t>
            </w:r>
            <w:r w:rsidR="00C125FC">
              <w:rPr>
                <w:rFonts w:ascii="Book Antiqua" w:hAnsi="Book Antiqua"/>
                <w:sz w:val="24"/>
                <w:szCs w:val="24"/>
                <w:lang w:val="en-US"/>
              </w:rPr>
              <w:t>65 yr</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18</w:t>
            </w:r>
            <w:r w:rsidR="00F200E4" w:rsidRPr="00C125FC">
              <w:rPr>
                <w:rFonts w:ascii="Book Antiqua" w:hAnsi="Book Antiqua"/>
                <w:sz w:val="24"/>
                <w:szCs w:val="24"/>
                <w:lang w:val="en-US"/>
              </w:rPr>
              <w:t>5</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w:t>
            </w:r>
            <w:r w:rsidR="00F200E4" w:rsidRPr="00C125FC">
              <w:rPr>
                <w:rFonts w:ascii="Book Antiqua" w:hAnsi="Book Antiqua"/>
                <w:sz w:val="24"/>
                <w:szCs w:val="24"/>
                <w:lang w:val="en-US"/>
              </w:rPr>
              <w:t>5</w:t>
            </w:r>
            <w:r w:rsidRPr="00C125FC">
              <w:rPr>
                <w:rFonts w:ascii="Book Antiqua" w:hAnsi="Book Antiqua"/>
                <w:sz w:val="24"/>
                <w:szCs w:val="24"/>
                <w:lang w:val="en-US"/>
              </w:rPr>
              <w:t xml:space="preserve"> (1</w:t>
            </w:r>
            <w:r w:rsidR="009E5647" w:rsidRPr="00C125FC">
              <w:rPr>
                <w:rFonts w:ascii="Book Antiqua" w:hAnsi="Book Antiqua"/>
                <w:sz w:val="24"/>
                <w:szCs w:val="24"/>
                <w:lang w:val="en-US"/>
              </w:rPr>
              <w:t>4</w:t>
            </w:r>
            <w:r w:rsidRPr="00C125FC">
              <w:rPr>
                <w:rFonts w:ascii="Book Antiqua" w:hAnsi="Book Antiqua"/>
                <w:sz w:val="24"/>
                <w:szCs w:val="24"/>
                <w:lang w:val="en-US"/>
              </w:rPr>
              <w:t>)</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160 (8</w:t>
            </w:r>
            <w:r w:rsidR="009E5647" w:rsidRPr="00C125FC">
              <w:rPr>
                <w:rFonts w:ascii="Book Antiqua" w:hAnsi="Book Antiqua"/>
                <w:sz w:val="24"/>
                <w:szCs w:val="24"/>
                <w:lang w:val="en-US"/>
              </w:rPr>
              <w:t>6</w:t>
            </w:r>
            <w:r w:rsidRPr="00C125FC">
              <w:rPr>
                <w:rFonts w:ascii="Book Antiqua" w:hAnsi="Book Antiqua"/>
                <w:sz w:val="24"/>
                <w:szCs w:val="24"/>
                <w:lang w:val="en-US"/>
              </w:rPr>
              <w:t>)</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w:t>
            </w:r>
            <w:r w:rsidR="00F200E4" w:rsidRPr="00C125FC">
              <w:rPr>
                <w:rFonts w:ascii="Book Antiqua" w:hAnsi="Book Antiqua"/>
                <w:sz w:val="24"/>
                <w:szCs w:val="24"/>
                <w:lang w:val="en-US"/>
              </w:rPr>
              <w:t>15</w:t>
            </w:r>
            <w:r w:rsidRPr="00C125FC">
              <w:rPr>
                <w:rFonts w:ascii="Book Antiqua" w:hAnsi="Book Antiqua"/>
                <w:sz w:val="24"/>
                <w:szCs w:val="24"/>
                <w:lang w:val="en-US"/>
              </w:rPr>
              <w:t xml:space="preserve"> (</w:t>
            </w:r>
            <w:r w:rsidR="00F200E4" w:rsidRPr="00C125FC">
              <w:rPr>
                <w:rFonts w:ascii="Book Antiqua" w:hAnsi="Book Antiqua"/>
                <w:sz w:val="24"/>
                <w:szCs w:val="24"/>
                <w:lang w:val="en-US"/>
              </w:rPr>
              <w:t>0.96</w:t>
            </w:r>
            <w:r w:rsidR="00C125FC">
              <w:rPr>
                <w:rFonts w:ascii="Book Antiqua" w:hAnsi="Book Antiqua" w:hint="eastAsia"/>
                <w:sz w:val="24"/>
                <w:szCs w:val="24"/>
                <w:lang w:val="en-US" w:eastAsia="zh-CN"/>
              </w:rPr>
              <w:t>-</w:t>
            </w:r>
            <w:r w:rsidR="00F200E4" w:rsidRPr="00C125FC">
              <w:rPr>
                <w:rFonts w:ascii="Book Antiqua" w:hAnsi="Book Antiqua"/>
                <w:sz w:val="24"/>
                <w:szCs w:val="24"/>
                <w:lang w:val="en-US"/>
              </w:rPr>
              <w:t>4.79</w:t>
            </w:r>
            <w:r w:rsidRPr="00C125FC">
              <w:rPr>
                <w:rFonts w:ascii="Book Antiqua" w:hAnsi="Book Antiqua"/>
                <w:sz w:val="24"/>
                <w:szCs w:val="24"/>
                <w:lang w:val="en-US"/>
              </w:rPr>
              <w:t>)</w:t>
            </w: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0.0</w:t>
            </w:r>
            <w:r w:rsidR="00F200E4" w:rsidRPr="00C125FC">
              <w:rPr>
                <w:rFonts w:ascii="Book Antiqua" w:hAnsi="Book Antiqua"/>
                <w:sz w:val="24"/>
                <w:szCs w:val="24"/>
                <w:lang w:val="en-US"/>
              </w:rPr>
              <w:t>62</w:t>
            </w:r>
          </w:p>
        </w:tc>
      </w:tr>
      <w:tr w:rsidR="00C125FC" w:rsidRPr="00CC6129" w:rsidTr="00D233DB">
        <w:trPr>
          <w:cantSplit/>
        </w:trPr>
        <w:tc>
          <w:tcPr>
            <w:tcW w:w="2702" w:type="dxa"/>
          </w:tcPr>
          <w:p w:rsidR="00C125FC" w:rsidRPr="00C125FC" w:rsidRDefault="00C125FC" w:rsidP="0010680C">
            <w:pPr>
              <w:pStyle w:val="Heading2"/>
              <w:keepNext w:val="0"/>
              <w:snapToGrid w:val="0"/>
              <w:spacing w:line="360" w:lineRule="auto"/>
              <w:jc w:val="both"/>
              <w:rPr>
                <w:rFonts w:ascii="Book Antiqua" w:hAnsi="Book Antiqua"/>
                <w:b w:val="0"/>
                <w:lang w:val="en-US"/>
              </w:rPr>
            </w:pPr>
            <w:r w:rsidRPr="00C125FC">
              <w:rPr>
                <w:rFonts w:ascii="Book Antiqua" w:hAnsi="Book Antiqua"/>
                <w:b w:val="0"/>
                <w:lang w:val="en-US"/>
              </w:rPr>
              <w:t>Diabetes</w:t>
            </w:r>
          </w:p>
        </w:tc>
        <w:tc>
          <w:tcPr>
            <w:tcW w:w="927" w:type="dxa"/>
          </w:tcPr>
          <w:p w:rsidR="00C125FC" w:rsidRPr="00C125FC" w:rsidRDefault="00C125FC" w:rsidP="00C125FC">
            <w:pPr>
              <w:pStyle w:val="Heading2"/>
              <w:keepNext w:val="0"/>
              <w:snapToGrid w:val="0"/>
              <w:spacing w:line="360" w:lineRule="auto"/>
              <w:jc w:val="center"/>
              <w:rPr>
                <w:rFonts w:ascii="Book Antiqua" w:hAnsi="Book Antiqua"/>
                <w:b w:val="0"/>
                <w:lang w:val="en-US"/>
              </w:rPr>
            </w:pPr>
          </w:p>
        </w:tc>
        <w:tc>
          <w:tcPr>
            <w:tcW w:w="1239" w:type="dxa"/>
          </w:tcPr>
          <w:p w:rsidR="00C125FC" w:rsidRPr="00C125FC" w:rsidRDefault="00C125FC" w:rsidP="00C125FC">
            <w:pPr>
              <w:pStyle w:val="Heading2"/>
              <w:keepNext w:val="0"/>
              <w:snapToGrid w:val="0"/>
              <w:spacing w:line="360" w:lineRule="auto"/>
              <w:jc w:val="center"/>
              <w:rPr>
                <w:rFonts w:ascii="Book Antiqua" w:hAnsi="Book Antiqua"/>
                <w:b w:val="0"/>
                <w:lang w:val="en-US"/>
              </w:rPr>
            </w:pPr>
          </w:p>
        </w:tc>
        <w:tc>
          <w:tcPr>
            <w:tcW w:w="1078" w:type="dxa"/>
          </w:tcPr>
          <w:p w:rsidR="00C125FC" w:rsidRPr="00C125FC" w:rsidRDefault="00C125FC" w:rsidP="00C125FC">
            <w:pPr>
              <w:pStyle w:val="Heading2"/>
              <w:jc w:val="center"/>
              <w:rPr>
                <w:rFonts w:ascii="Book Antiqua" w:hAnsi="Book Antiqua"/>
                <w:lang w:val="en-US"/>
              </w:rPr>
            </w:pPr>
          </w:p>
        </w:tc>
        <w:tc>
          <w:tcPr>
            <w:tcW w:w="1976" w:type="dxa"/>
          </w:tcPr>
          <w:p w:rsidR="00C125FC" w:rsidRPr="00C125FC" w:rsidRDefault="00C125FC" w:rsidP="00C125FC">
            <w:pPr>
              <w:snapToGrid w:val="0"/>
              <w:spacing w:after="0" w:line="360" w:lineRule="auto"/>
              <w:jc w:val="center"/>
              <w:rPr>
                <w:rFonts w:ascii="Book Antiqua" w:hAnsi="Book Antiqua"/>
                <w:sz w:val="24"/>
                <w:szCs w:val="24"/>
                <w:lang w:val="en-US"/>
              </w:rPr>
            </w:pPr>
          </w:p>
        </w:tc>
        <w:tc>
          <w:tcPr>
            <w:tcW w:w="1306" w:type="dxa"/>
          </w:tcPr>
          <w:p w:rsidR="00C125FC" w:rsidRPr="00C125FC" w:rsidRDefault="00C125FC"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pStyle w:val="Heading5"/>
              <w:snapToGrid w:val="0"/>
              <w:spacing w:before="0" w:after="0" w:line="360" w:lineRule="auto"/>
              <w:ind w:left="290"/>
              <w:jc w:val="both"/>
              <w:rPr>
                <w:rFonts w:ascii="Book Antiqua" w:hAnsi="Book Antiqua"/>
                <w:b w:val="0"/>
                <w:i w:val="0"/>
                <w:sz w:val="24"/>
                <w:szCs w:val="24"/>
              </w:rPr>
            </w:pPr>
            <w:r w:rsidRPr="00CC6129">
              <w:rPr>
                <w:rFonts w:ascii="Book Antiqua" w:hAnsi="Book Antiqua"/>
                <w:b w:val="0"/>
                <w:i w:val="0"/>
                <w:sz w:val="24"/>
                <w:szCs w:val="24"/>
              </w:rPr>
              <w:t>No</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w:t>
            </w:r>
            <w:r w:rsidR="00F200E4" w:rsidRPr="00C125FC">
              <w:rPr>
                <w:rFonts w:ascii="Book Antiqua" w:hAnsi="Book Antiqua"/>
                <w:sz w:val="24"/>
                <w:szCs w:val="24"/>
                <w:lang w:val="en-US"/>
              </w:rPr>
              <w:t>40</w:t>
            </w:r>
          </w:p>
        </w:tc>
        <w:tc>
          <w:tcPr>
            <w:tcW w:w="1239" w:type="dxa"/>
          </w:tcPr>
          <w:p w:rsidR="004A4B97" w:rsidRPr="00C125FC" w:rsidRDefault="00F200E4"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20</w:t>
            </w:r>
            <w:r w:rsidR="004A4B97" w:rsidRPr="00C125FC">
              <w:rPr>
                <w:rFonts w:ascii="Book Antiqua" w:hAnsi="Book Antiqua"/>
                <w:sz w:val="24"/>
                <w:szCs w:val="24"/>
                <w:lang w:val="en-US"/>
              </w:rPr>
              <w:t xml:space="preserve"> (8)</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220 (92)</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snapToGrid w:val="0"/>
              <w:spacing w:after="0" w:line="360" w:lineRule="auto"/>
              <w:ind w:left="290" w:right="-70"/>
              <w:jc w:val="both"/>
              <w:rPr>
                <w:rFonts w:ascii="Book Antiqua" w:hAnsi="Book Antiqua"/>
                <w:sz w:val="24"/>
                <w:szCs w:val="24"/>
                <w:lang w:val="en-US"/>
              </w:rPr>
            </w:pPr>
            <w:r w:rsidRPr="00CC6129">
              <w:rPr>
                <w:rFonts w:ascii="Book Antiqua" w:hAnsi="Book Antiqua"/>
                <w:sz w:val="24"/>
                <w:szCs w:val="24"/>
                <w:lang w:val="en-US"/>
              </w:rPr>
              <w:t>IGT</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23</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 (9)</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21 (91)</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snapToGrid w:val="0"/>
              <w:spacing w:after="0" w:line="360" w:lineRule="auto"/>
              <w:ind w:left="290" w:right="-70"/>
              <w:jc w:val="both"/>
              <w:rPr>
                <w:rFonts w:ascii="Book Antiqua" w:hAnsi="Book Antiqua"/>
                <w:sz w:val="24"/>
                <w:szCs w:val="24"/>
                <w:lang w:val="en-US"/>
              </w:rPr>
            </w:pPr>
            <w:r w:rsidRPr="00CC6129">
              <w:rPr>
                <w:rFonts w:ascii="Book Antiqua" w:hAnsi="Book Antiqua"/>
                <w:sz w:val="24"/>
                <w:szCs w:val="24"/>
                <w:lang w:val="en-US"/>
              </w:rPr>
              <w:t>T2D</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79</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12 (15)</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67 (85)</w:t>
            </w:r>
          </w:p>
        </w:tc>
        <w:tc>
          <w:tcPr>
            <w:tcW w:w="1976" w:type="dxa"/>
          </w:tcPr>
          <w:p w:rsidR="004A4B97" w:rsidRPr="00C125FC" w:rsidRDefault="00F200E4"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0.94</w:t>
            </w:r>
            <w:r w:rsidR="004A4B97" w:rsidRPr="00C125FC">
              <w:rPr>
                <w:rFonts w:ascii="Book Antiqua" w:hAnsi="Book Antiqua"/>
                <w:sz w:val="24"/>
                <w:szCs w:val="24"/>
                <w:lang w:val="en-US"/>
              </w:rPr>
              <w:t xml:space="preserve"> (0.6</w:t>
            </w:r>
            <w:r w:rsidRPr="00C125FC">
              <w:rPr>
                <w:rFonts w:ascii="Book Antiqua" w:hAnsi="Book Antiqua"/>
                <w:sz w:val="24"/>
                <w:szCs w:val="24"/>
                <w:lang w:val="en-US"/>
              </w:rPr>
              <w:t>2</w:t>
            </w:r>
            <w:r w:rsidR="00C125FC">
              <w:rPr>
                <w:rFonts w:ascii="Book Antiqua" w:hAnsi="Book Antiqua" w:hint="eastAsia"/>
                <w:sz w:val="24"/>
                <w:szCs w:val="24"/>
                <w:lang w:val="en-US" w:eastAsia="zh-CN"/>
              </w:rPr>
              <w:t>-</w:t>
            </w:r>
            <w:r w:rsidR="004A4B97" w:rsidRPr="00C125FC">
              <w:rPr>
                <w:rFonts w:ascii="Book Antiqua" w:hAnsi="Book Antiqua"/>
                <w:sz w:val="24"/>
                <w:szCs w:val="24"/>
                <w:lang w:val="en-US"/>
              </w:rPr>
              <w:t>1.</w:t>
            </w:r>
            <w:r w:rsidRPr="00C125FC">
              <w:rPr>
                <w:rFonts w:ascii="Book Antiqua" w:hAnsi="Book Antiqua"/>
                <w:sz w:val="24"/>
                <w:szCs w:val="24"/>
                <w:lang w:val="en-US"/>
              </w:rPr>
              <w:t>41</w:t>
            </w:r>
            <w:r w:rsidR="004A4B97" w:rsidRPr="00C125FC">
              <w:rPr>
                <w:rFonts w:ascii="Book Antiqua" w:hAnsi="Book Antiqua"/>
                <w:sz w:val="24"/>
                <w:szCs w:val="24"/>
                <w:lang w:val="en-US"/>
              </w:rPr>
              <w:t>)</w:t>
            </w: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0.</w:t>
            </w:r>
            <w:r w:rsidR="00F200E4" w:rsidRPr="00C125FC">
              <w:rPr>
                <w:rFonts w:ascii="Book Antiqua" w:hAnsi="Book Antiqua"/>
                <w:sz w:val="24"/>
                <w:szCs w:val="24"/>
                <w:lang w:val="en-US"/>
              </w:rPr>
              <w:t>748</w:t>
            </w:r>
          </w:p>
        </w:tc>
      </w:tr>
      <w:tr w:rsidR="00C125FC" w:rsidRPr="00CC6129" w:rsidTr="00D233DB">
        <w:trPr>
          <w:cantSplit/>
        </w:trPr>
        <w:tc>
          <w:tcPr>
            <w:tcW w:w="2702" w:type="dxa"/>
          </w:tcPr>
          <w:p w:rsidR="00C125FC" w:rsidRPr="00C125FC" w:rsidRDefault="00C125FC" w:rsidP="0010680C">
            <w:pPr>
              <w:pStyle w:val="Heading2"/>
              <w:keepNext w:val="0"/>
              <w:snapToGrid w:val="0"/>
              <w:spacing w:line="360" w:lineRule="auto"/>
              <w:jc w:val="both"/>
              <w:rPr>
                <w:rFonts w:ascii="Book Antiqua" w:hAnsi="Book Antiqua"/>
                <w:b w:val="0"/>
                <w:lang w:val="en-US"/>
              </w:rPr>
            </w:pPr>
            <w:r w:rsidRPr="00C125FC">
              <w:rPr>
                <w:rFonts w:ascii="Book Antiqua" w:hAnsi="Book Antiqua"/>
                <w:b w:val="0"/>
                <w:lang w:val="en-US"/>
              </w:rPr>
              <w:t>Tumor site</w:t>
            </w:r>
          </w:p>
        </w:tc>
        <w:tc>
          <w:tcPr>
            <w:tcW w:w="927" w:type="dxa"/>
          </w:tcPr>
          <w:p w:rsidR="00C125FC" w:rsidRPr="00C125FC" w:rsidRDefault="00C125FC" w:rsidP="00C125FC">
            <w:pPr>
              <w:pStyle w:val="Heading2"/>
              <w:keepNext w:val="0"/>
              <w:snapToGrid w:val="0"/>
              <w:spacing w:line="360" w:lineRule="auto"/>
              <w:jc w:val="center"/>
              <w:rPr>
                <w:rFonts w:ascii="Book Antiqua" w:hAnsi="Book Antiqua"/>
                <w:b w:val="0"/>
                <w:lang w:val="en-US"/>
              </w:rPr>
            </w:pPr>
          </w:p>
        </w:tc>
        <w:tc>
          <w:tcPr>
            <w:tcW w:w="1239" w:type="dxa"/>
          </w:tcPr>
          <w:p w:rsidR="00C125FC" w:rsidRPr="00C125FC" w:rsidRDefault="00C125FC" w:rsidP="00C125FC">
            <w:pPr>
              <w:pStyle w:val="Heading2"/>
              <w:keepNext w:val="0"/>
              <w:snapToGrid w:val="0"/>
              <w:spacing w:line="360" w:lineRule="auto"/>
              <w:jc w:val="center"/>
              <w:rPr>
                <w:rFonts w:ascii="Book Antiqua" w:hAnsi="Book Antiqua"/>
                <w:b w:val="0"/>
                <w:lang w:val="en-US"/>
              </w:rPr>
            </w:pPr>
          </w:p>
        </w:tc>
        <w:tc>
          <w:tcPr>
            <w:tcW w:w="1078" w:type="dxa"/>
          </w:tcPr>
          <w:p w:rsidR="00C125FC" w:rsidRPr="00C125FC" w:rsidRDefault="00C125FC" w:rsidP="00C125FC">
            <w:pPr>
              <w:pStyle w:val="Heading2"/>
              <w:jc w:val="center"/>
              <w:rPr>
                <w:rFonts w:ascii="Book Antiqua" w:hAnsi="Book Antiqua"/>
                <w:lang w:val="en-US"/>
              </w:rPr>
            </w:pPr>
          </w:p>
        </w:tc>
        <w:tc>
          <w:tcPr>
            <w:tcW w:w="1976" w:type="dxa"/>
          </w:tcPr>
          <w:p w:rsidR="00C125FC" w:rsidRPr="00C125FC" w:rsidRDefault="00C125FC" w:rsidP="00C125FC">
            <w:pPr>
              <w:snapToGrid w:val="0"/>
              <w:spacing w:after="0" w:line="360" w:lineRule="auto"/>
              <w:jc w:val="center"/>
              <w:rPr>
                <w:rFonts w:ascii="Book Antiqua" w:hAnsi="Book Antiqua"/>
                <w:sz w:val="24"/>
                <w:szCs w:val="24"/>
                <w:lang w:val="en-US"/>
              </w:rPr>
            </w:pPr>
          </w:p>
        </w:tc>
        <w:tc>
          <w:tcPr>
            <w:tcW w:w="1306" w:type="dxa"/>
          </w:tcPr>
          <w:p w:rsidR="00C125FC" w:rsidRPr="00C125FC" w:rsidRDefault="00C125FC"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pStyle w:val="Heading5"/>
              <w:snapToGrid w:val="0"/>
              <w:spacing w:before="0" w:after="0" w:line="360" w:lineRule="auto"/>
              <w:ind w:left="290"/>
              <w:jc w:val="both"/>
              <w:rPr>
                <w:rFonts w:ascii="Book Antiqua" w:hAnsi="Book Antiqua"/>
                <w:b w:val="0"/>
                <w:i w:val="0"/>
                <w:sz w:val="24"/>
                <w:szCs w:val="24"/>
              </w:rPr>
            </w:pPr>
            <w:r w:rsidRPr="00CC6129">
              <w:rPr>
                <w:rFonts w:ascii="Book Antiqua" w:hAnsi="Book Antiqua"/>
                <w:b w:val="0"/>
                <w:i w:val="0"/>
                <w:sz w:val="24"/>
                <w:szCs w:val="24"/>
              </w:rPr>
              <w:t>Colorectal</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23</w:t>
            </w:r>
            <w:r w:rsidR="00F200E4" w:rsidRPr="00C125FC">
              <w:rPr>
                <w:rFonts w:ascii="Book Antiqua" w:hAnsi="Book Antiqua"/>
                <w:sz w:val="24"/>
                <w:szCs w:val="24"/>
                <w:lang w:val="en-US"/>
              </w:rPr>
              <w:t>7</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w:t>
            </w:r>
            <w:r w:rsidR="00F200E4" w:rsidRPr="00C125FC">
              <w:rPr>
                <w:rFonts w:ascii="Book Antiqua" w:hAnsi="Book Antiqua"/>
                <w:sz w:val="24"/>
                <w:szCs w:val="24"/>
                <w:lang w:val="en-US"/>
              </w:rPr>
              <w:t>5</w:t>
            </w:r>
            <w:r w:rsidRPr="00C125FC">
              <w:rPr>
                <w:rFonts w:ascii="Book Antiqua" w:hAnsi="Book Antiqua"/>
                <w:sz w:val="24"/>
                <w:szCs w:val="24"/>
                <w:lang w:val="en-US"/>
              </w:rPr>
              <w:t xml:space="preserve"> (1</w:t>
            </w:r>
            <w:r w:rsidR="009E5647" w:rsidRPr="00C125FC">
              <w:rPr>
                <w:rFonts w:ascii="Book Antiqua" w:hAnsi="Book Antiqua"/>
                <w:sz w:val="24"/>
                <w:szCs w:val="24"/>
                <w:lang w:val="en-US"/>
              </w:rPr>
              <w:t>1</w:t>
            </w:r>
            <w:r w:rsidRPr="00C125FC">
              <w:rPr>
                <w:rFonts w:ascii="Book Antiqua" w:hAnsi="Book Antiqua"/>
                <w:sz w:val="24"/>
                <w:szCs w:val="24"/>
                <w:lang w:val="en-US"/>
              </w:rPr>
              <w:t>)</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212 (</w:t>
            </w:r>
            <w:r w:rsidR="009E5647" w:rsidRPr="00C125FC">
              <w:rPr>
                <w:rFonts w:ascii="Book Antiqua" w:hAnsi="Book Antiqua"/>
                <w:sz w:val="24"/>
                <w:szCs w:val="24"/>
                <w:lang w:val="en-US"/>
              </w:rPr>
              <w:t>89</w:t>
            </w:r>
            <w:r w:rsidRPr="00C125FC">
              <w:rPr>
                <w:rFonts w:ascii="Book Antiqua" w:hAnsi="Book Antiqua"/>
                <w:sz w:val="24"/>
                <w:szCs w:val="24"/>
                <w:lang w:val="en-US"/>
              </w:rPr>
              <w:t>)</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snapToGrid w:val="0"/>
              <w:spacing w:after="0" w:line="360" w:lineRule="auto"/>
              <w:ind w:left="290" w:right="-70"/>
              <w:jc w:val="both"/>
              <w:rPr>
                <w:rFonts w:ascii="Book Antiqua" w:hAnsi="Book Antiqua"/>
                <w:sz w:val="24"/>
                <w:szCs w:val="24"/>
                <w:lang w:val="en-US"/>
              </w:rPr>
            </w:pPr>
            <w:r w:rsidRPr="00CC6129">
              <w:rPr>
                <w:rFonts w:ascii="Book Antiqua" w:hAnsi="Book Antiqua"/>
                <w:sz w:val="24"/>
                <w:szCs w:val="24"/>
                <w:lang w:val="en-US"/>
              </w:rPr>
              <w:t>Stomach</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38</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3 (8)</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35 (92)</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pStyle w:val="Heading5"/>
              <w:snapToGrid w:val="0"/>
              <w:spacing w:before="0" w:after="0" w:line="360" w:lineRule="auto"/>
              <w:ind w:left="290"/>
              <w:jc w:val="both"/>
              <w:rPr>
                <w:rFonts w:ascii="Book Antiqua" w:hAnsi="Book Antiqua"/>
                <w:b w:val="0"/>
                <w:i w:val="0"/>
                <w:sz w:val="24"/>
                <w:szCs w:val="24"/>
              </w:rPr>
            </w:pPr>
            <w:r w:rsidRPr="00CC6129">
              <w:rPr>
                <w:rFonts w:ascii="Book Antiqua" w:hAnsi="Book Antiqua"/>
                <w:b w:val="0"/>
                <w:i w:val="0"/>
                <w:sz w:val="24"/>
                <w:szCs w:val="24"/>
              </w:rPr>
              <w:t>Esophagus</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15</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 (13)</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13 (87)</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pStyle w:val="Heading5"/>
              <w:snapToGrid w:val="0"/>
              <w:spacing w:before="0" w:after="0" w:line="360" w:lineRule="auto"/>
              <w:ind w:left="290"/>
              <w:jc w:val="both"/>
              <w:rPr>
                <w:rFonts w:ascii="Book Antiqua" w:hAnsi="Book Antiqua"/>
                <w:b w:val="0"/>
                <w:i w:val="0"/>
                <w:sz w:val="24"/>
                <w:szCs w:val="24"/>
              </w:rPr>
            </w:pPr>
            <w:r w:rsidRPr="00CC6129">
              <w:rPr>
                <w:rFonts w:ascii="Book Antiqua" w:hAnsi="Book Antiqua"/>
                <w:b w:val="0"/>
                <w:i w:val="0"/>
                <w:sz w:val="24"/>
                <w:szCs w:val="24"/>
              </w:rPr>
              <w:t>Pancreas</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36</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3 (8)</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33 (92)</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snapToGrid w:val="0"/>
              <w:spacing w:after="0" w:line="360" w:lineRule="auto"/>
              <w:ind w:left="290" w:right="-70"/>
              <w:jc w:val="both"/>
              <w:rPr>
                <w:rFonts w:ascii="Book Antiqua" w:hAnsi="Book Antiqua"/>
                <w:sz w:val="24"/>
                <w:szCs w:val="24"/>
                <w:lang w:val="en-US"/>
              </w:rPr>
            </w:pPr>
            <w:r w:rsidRPr="00CC6129">
              <w:rPr>
                <w:rFonts w:ascii="Book Antiqua" w:hAnsi="Book Antiqua"/>
                <w:sz w:val="24"/>
                <w:szCs w:val="24"/>
                <w:lang w:val="en-US"/>
              </w:rPr>
              <w:t>Biliary tract</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16</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 (6)</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15 (94)</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0.</w:t>
            </w:r>
            <w:r w:rsidR="00F200E4" w:rsidRPr="00C125FC">
              <w:rPr>
                <w:rFonts w:ascii="Book Antiqua" w:hAnsi="Book Antiqua"/>
                <w:sz w:val="24"/>
                <w:szCs w:val="24"/>
                <w:lang w:val="en-US"/>
              </w:rPr>
              <w:t>78</w:t>
            </w:r>
            <w:r w:rsidRPr="00C125FC">
              <w:rPr>
                <w:rFonts w:ascii="Book Antiqua" w:hAnsi="Book Antiqua"/>
                <w:sz w:val="24"/>
                <w:szCs w:val="24"/>
                <w:lang w:val="en-US"/>
              </w:rPr>
              <w:t xml:space="preserve"> (0.</w:t>
            </w:r>
            <w:r w:rsidR="00F200E4" w:rsidRPr="00C125FC">
              <w:rPr>
                <w:rFonts w:ascii="Book Antiqua" w:hAnsi="Book Antiqua"/>
                <w:sz w:val="24"/>
                <w:szCs w:val="24"/>
                <w:lang w:val="en-US"/>
              </w:rPr>
              <w:t>53</w:t>
            </w:r>
            <w:r w:rsidR="00C125FC">
              <w:rPr>
                <w:rFonts w:ascii="Book Antiqua" w:hAnsi="Book Antiqua" w:hint="eastAsia"/>
                <w:sz w:val="24"/>
                <w:szCs w:val="24"/>
                <w:lang w:val="en-US" w:eastAsia="zh-CN"/>
              </w:rPr>
              <w:t>-</w:t>
            </w:r>
            <w:r w:rsidRPr="00C125FC">
              <w:rPr>
                <w:rFonts w:ascii="Book Antiqua" w:hAnsi="Book Antiqua"/>
                <w:sz w:val="24"/>
                <w:szCs w:val="24"/>
                <w:lang w:val="en-US"/>
              </w:rPr>
              <w:t>1.</w:t>
            </w:r>
            <w:r w:rsidR="00F200E4" w:rsidRPr="00C125FC">
              <w:rPr>
                <w:rFonts w:ascii="Book Antiqua" w:hAnsi="Book Antiqua"/>
                <w:sz w:val="24"/>
                <w:szCs w:val="24"/>
                <w:lang w:val="en-US"/>
              </w:rPr>
              <w:t>14</w:t>
            </w:r>
            <w:r w:rsidRPr="00C125FC">
              <w:rPr>
                <w:rFonts w:ascii="Book Antiqua" w:hAnsi="Book Antiqua"/>
                <w:sz w:val="24"/>
                <w:szCs w:val="24"/>
                <w:lang w:val="en-US"/>
              </w:rPr>
              <w:t>)</w:t>
            </w: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0.</w:t>
            </w:r>
            <w:r w:rsidR="00F200E4" w:rsidRPr="00C125FC">
              <w:rPr>
                <w:rFonts w:ascii="Book Antiqua" w:hAnsi="Book Antiqua"/>
                <w:sz w:val="24"/>
                <w:szCs w:val="24"/>
                <w:lang w:val="en-US"/>
              </w:rPr>
              <w:t>201</w:t>
            </w:r>
          </w:p>
        </w:tc>
      </w:tr>
      <w:tr w:rsidR="00C125FC" w:rsidRPr="00CC6129" w:rsidTr="00D233DB">
        <w:trPr>
          <w:cantSplit/>
        </w:trPr>
        <w:tc>
          <w:tcPr>
            <w:tcW w:w="2702" w:type="dxa"/>
          </w:tcPr>
          <w:p w:rsidR="00C125FC" w:rsidRPr="00C125FC" w:rsidRDefault="00C125FC" w:rsidP="0010680C">
            <w:pPr>
              <w:pStyle w:val="Heading2"/>
              <w:keepNext w:val="0"/>
              <w:snapToGrid w:val="0"/>
              <w:spacing w:line="360" w:lineRule="auto"/>
              <w:jc w:val="both"/>
              <w:rPr>
                <w:rFonts w:ascii="Book Antiqua" w:hAnsi="Book Antiqua"/>
                <w:b w:val="0"/>
                <w:lang w:val="en-US"/>
              </w:rPr>
            </w:pPr>
            <w:r w:rsidRPr="00C125FC">
              <w:rPr>
                <w:rFonts w:ascii="Book Antiqua" w:hAnsi="Book Antiqua"/>
                <w:b w:val="0"/>
                <w:lang w:val="en-US"/>
              </w:rPr>
              <w:t xml:space="preserve">Khorana </w:t>
            </w:r>
            <w:r w:rsidR="00B470F0" w:rsidRPr="00C125FC">
              <w:rPr>
                <w:rFonts w:ascii="Book Antiqua" w:hAnsi="Book Antiqua"/>
                <w:b w:val="0"/>
                <w:lang w:val="en-US"/>
              </w:rPr>
              <w:t>c</w:t>
            </w:r>
            <w:r w:rsidRPr="00C125FC">
              <w:rPr>
                <w:rFonts w:ascii="Book Antiqua" w:hAnsi="Book Antiqua"/>
                <w:b w:val="0"/>
                <w:lang w:val="en-US"/>
              </w:rPr>
              <w:t xml:space="preserve">lass of </w:t>
            </w:r>
            <w:r w:rsidR="00B470F0" w:rsidRPr="00C125FC">
              <w:rPr>
                <w:rFonts w:ascii="Book Antiqua" w:hAnsi="Book Antiqua"/>
                <w:b w:val="0"/>
                <w:lang w:val="en-US"/>
              </w:rPr>
              <w:t>r</w:t>
            </w:r>
            <w:r w:rsidRPr="00C125FC">
              <w:rPr>
                <w:rFonts w:ascii="Book Antiqua" w:hAnsi="Book Antiqua"/>
                <w:b w:val="0"/>
                <w:lang w:val="en-US"/>
              </w:rPr>
              <w:t>isk</w:t>
            </w:r>
          </w:p>
        </w:tc>
        <w:tc>
          <w:tcPr>
            <w:tcW w:w="927" w:type="dxa"/>
          </w:tcPr>
          <w:p w:rsidR="00C125FC" w:rsidRPr="00C125FC" w:rsidRDefault="00C125FC" w:rsidP="00C125FC">
            <w:pPr>
              <w:pStyle w:val="Heading2"/>
              <w:keepNext w:val="0"/>
              <w:snapToGrid w:val="0"/>
              <w:spacing w:line="360" w:lineRule="auto"/>
              <w:jc w:val="center"/>
              <w:rPr>
                <w:rFonts w:ascii="Book Antiqua" w:hAnsi="Book Antiqua"/>
                <w:b w:val="0"/>
                <w:lang w:val="en-US"/>
              </w:rPr>
            </w:pPr>
          </w:p>
        </w:tc>
        <w:tc>
          <w:tcPr>
            <w:tcW w:w="1239" w:type="dxa"/>
          </w:tcPr>
          <w:p w:rsidR="00C125FC" w:rsidRPr="00C125FC" w:rsidRDefault="00C125FC" w:rsidP="00C125FC">
            <w:pPr>
              <w:pStyle w:val="Heading2"/>
              <w:keepNext w:val="0"/>
              <w:snapToGrid w:val="0"/>
              <w:spacing w:line="360" w:lineRule="auto"/>
              <w:jc w:val="center"/>
              <w:rPr>
                <w:rFonts w:ascii="Book Antiqua" w:hAnsi="Book Antiqua"/>
                <w:b w:val="0"/>
                <w:lang w:val="en-US"/>
              </w:rPr>
            </w:pPr>
          </w:p>
        </w:tc>
        <w:tc>
          <w:tcPr>
            <w:tcW w:w="1078" w:type="dxa"/>
          </w:tcPr>
          <w:p w:rsidR="00C125FC" w:rsidRPr="00C125FC" w:rsidRDefault="00C125FC" w:rsidP="00C125FC">
            <w:pPr>
              <w:pStyle w:val="Heading2"/>
              <w:jc w:val="center"/>
              <w:rPr>
                <w:rFonts w:ascii="Book Antiqua" w:hAnsi="Book Antiqua"/>
                <w:lang w:val="en-US"/>
              </w:rPr>
            </w:pPr>
          </w:p>
        </w:tc>
        <w:tc>
          <w:tcPr>
            <w:tcW w:w="1976" w:type="dxa"/>
          </w:tcPr>
          <w:p w:rsidR="00C125FC" w:rsidRPr="00C125FC" w:rsidRDefault="00C125FC" w:rsidP="00C125FC">
            <w:pPr>
              <w:snapToGrid w:val="0"/>
              <w:spacing w:after="0" w:line="360" w:lineRule="auto"/>
              <w:jc w:val="center"/>
              <w:rPr>
                <w:rFonts w:ascii="Book Antiqua" w:hAnsi="Book Antiqua"/>
                <w:sz w:val="24"/>
                <w:szCs w:val="24"/>
                <w:lang w:val="en-US"/>
              </w:rPr>
            </w:pPr>
          </w:p>
        </w:tc>
        <w:tc>
          <w:tcPr>
            <w:tcW w:w="1306" w:type="dxa"/>
          </w:tcPr>
          <w:p w:rsidR="00C125FC" w:rsidRPr="00C125FC" w:rsidRDefault="00C125FC"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pStyle w:val="Heading5"/>
              <w:snapToGrid w:val="0"/>
              <w:spacing w:before="0" w:after="0" w:line="360" w:lineRule="auto"/>
              <w:ind w:left="290"/>
              <w:jc w:val="both"/>
              <w:rPr>
                <w:rFonts w:ascii="Book Antiqua" w:hAnsi="Book Antiqua"/>
                <w:b w:val="0"/>
                <w:i w:val="0"/>
                <w:sz w:val="24"/>
                <w:szCs w:val="24"/>
              </w:rPr>
            </w:pPr>
            <w:r w:rsidRPr="00CC6129">
              <w:rPr>
                <w:rFonts w:ascii="Book Antiqua" w:hAnsi="Book Antiqua"/>
                <w:b w:val="0"/>
                <w:i w:val="0"/>
                <w:sz w:val="24"/>
                <w:szCs w:val="24"/>
              </w:rPr>
              <w:t>Low</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19</w:t>
            </w:r>
            <w:r w:rsidR="00F200E4" w:rsidRPr="00C125FC">
              <w:rPr>
                <w:rFonts w:ascii="Book Antiqua" w:hAnsi="Book Antiqua"/>
                <w:sz w:val="24"/>
                <w:szCs w:val="24"/>
                <w:lang w:val="en-US"/>
              </w:rPr>
              <w:t>9</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w:t>
            </w:r>
            <w:r w:rsidR="00F200E4" w:rsidRPr="00C125FC">
              <w:rPr>
                <w:rFonts w:ascii="Book Antiqua" w:hAnsi="Book Antiqua"/>
                <w:sz w:val="24"/>
                <w:szCs w:val="24"/>
                <w:lang w:val="en-US"/>
              </w:rPr>
              <w:t>9</w:t>
            </w:r>
            <w:r w:rsidRPr="00C125FC">
              <w:rPr>
                <w:rFonts w:ascii="Book Antiqua" w:hAnsi="Book Antiqua"/>
                <w:sz w:val="24"/>
                <w:szCs w:val="24"/>
                <w:lang w:val="en-US"/>
              </w:rPr>
              <w:t xml:space="preserve"> (</w:t>
            </w:r>
            <w:r w:rsidR="009E5647" w:rsidRPr="00C125FC">
              <w:rPr>
                <w:rFonts w:ascii="Book Antiqua" w:hAnsi="Book Antiqua"/>
                <w:sz w:val="24"/>
                <w:szCs w:val="24"/>
                <w:lang w:val="en-US"/>
              </w:rPr>
              <w:t>10</w:t>
            </w:r>
            <w:r w:rsidRPr="00C125FC">
              <w:rPr>
                <w:rFonts w:ascii="Book Antiqua" w:hAnsi="Book Antiqua"/>
                <w:sz w:val="24"/>
                <w:szCs w:val="24"/>
                <w:lang w:val="en-US"/>
              </w:rPr>
              <w:t>)</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180 (9</w:t>
            </w:r>
            <w:r w:rsidR="009E5647" w:rsidRPr="00C125FC">
              <w:rPr>
                <w:rFonts w:ascii="Book Antiqua" w:hAnsi="Book Antiqua"/>
                <w:sz w:val="24"/>
                <w:szCs w:val="24"/>
                <w:lang w:val="en-US"/>
              </w:rPr>
              <w:t>0</w:t>
            </w:r>
            <w:r w:rsidRPr="00C125FC">
              <w:rPr>
                <w:rFonts w:ascii="Book Antiqua" w:hAnsi="Book Antiqua"/>
                <w:sz w:val="24"/>
                <w:szCs w:val="24"/>
                <w:lang w:val="en-US"/>
              </w:rPr>
              <w:t>)</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snapToGrid w:val="0"/>
              <w:spacing w:after="0" w:line="360" w:lineRule="auto"/>
              <w:ind w:left="290" w:right="-70"/>
              <w:jc w:val="both"/>
              <w:rPr>
                <w:rFonts w:ascii="Book Antiqua" w:hAnsi="Book Antiqua"/>
                <w:sz w:val="24"/>
                <w:szCs w:val="24"/>
                <w:lang w:val="en-US"/>
              </w:rPr>
            </w:pPr>
            <w:r w:rsidRPr="00CC6129">
              <w:rPr>
                <w:rFonts w:ascii="Book Antiqua" w:hAnsi="Book Antiqua"/>
                <w:sz w:val="24"/>
                <w:szCs w:val="24"/>
                <w:lang w:val="en-US"/>
              </w:rPr>
              <w:t>Intermediate</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118</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13 (11)</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105 (89)</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snapToGrid w:val="0"/>
              <w:spacing w:after="0" w:line="360" w:lineRule="auto"/>
              <w:ind w:left="290" w:right="-70"/>
              <w:jc w:val="both"/>
              <w:rPr>
                <w:rFonts w:ascii="Book Antiqua" w:hAnsi="Book Antiqua"/>
                <w:sz w:val="24"/>
                <w:szCs w:val="24"/>
                <w:lang w:val="en-US"/>
              </w:rPr>
            </w:pPr>
            <w:r w:rsidRPr="00CC6129">
              <w:rPr>
                <w:rFonts w:ascii="Book Antiqua" w:hAnsi="Book Antiqua"/>
                <w:sz w:val="24"/>
                <w:szCs w:val="24"/>
                <w:lang w:val="en-US"/>
              </w:rPr>
              <w:t>High</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25</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 (8)</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23 (92)</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w:t>
            </w:r>
            <w:r w:rsidR="00F200E4" w:rsidRPr="00C125FC">
              <w:rPr>
                <w:rFonts w:ascii="Book Antiqua" w:hAnsi="Book Antiqua"/>
                <w:sz w:val="24"/>
                <w:szCs w:val="24"/>
                <w:lang w:val="en-US"/>
              </w:rPr>
              <w:t>20</w:t>
            </w:r>
            <w:r w:rsidRPr="00C125FC">
              <w:rPr>
                <w:rFonts w:ascii="Book Antiqua" w:hAnsi="Book Antiqua"/>
                <w:sz w:val="24"/>
                <w:szCs w:val="24"/>
                <w:lang w:val="en-US"/>
              </w:rPr>
              <w:t xml:space="preserve"> (0.</w:t>
            </w:r>
            <w:r w:rsidR="00F200E4" w:rsidRPr="00C125FC">
              <w:rPr>
                <w:rFonts w:ascii="Book Antiqua" w:hAnsi="Book Antiqua"/>
                <w:sz w:val="24"/>
                <w:szCs w:val="24"/>
                <w:lang w:val="en-US"/>
              </w:rPr>
              <w:t>64</w:t>
            </w:r>
            <w:r w:rsidR="00C125FC">
              <w:rPr>
                <w:rFonts w:ascii="Book Antiqua" w:hAnsi="Book Antiqua" w:hint="eastAsia"/>
                <w:sz w:val="24"/>
                <w:szCs w:val="24"/>
                <w:lang w:val="en-US" w:eastAsia="zh-CN"/>
              </w:rPr>
              <w:t>-</w:t>
            </w:r>
            <w:r w:rsidRPr="00C125FC">
              <w:rPr>
                <w:rFonts w:ascii="Book Antiqua" w:hAnsi="Book Antiqua"/>
                <w:sz w:val="24"/>
                <w:szCs w:val="24"/>
                <w:lang w:val="en-US"/>
              </w:rPr>
              <w:t>2.</w:t>
            </w:r>
            <w:r w:rsidR="00F200E4" w:rsidRPr="00C125FC">
              <w:rPr>
                <w:rFonts w:ascii="Book Antiqua" w:hAnsi="Book Antiqua"/>
                <w:sz w:val="24"/>
                <w:szCs w:val="24"/>
                <w:lang w:val="en-US"/>
              </w:rPr>
              <w:t>26</w:t>
            </w:r>
            <w:r w:rsidRPr="00C125FC">
              <w:rPr>
                <w:rFonts w:ascii="Book Antiqua" w:hAnsi="Book Antiqua"/>
                <w:sz w:val="24"/>
                <w:szCs w:val="24"/>
                <w:lang w:val="en-US"/>
              </w:rPr>
              <w:t>)</w:t>
            </w: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0.</w:t>
            </w:r>
            <w:r w:rsidR="00F200E4" w:rsidRPr="00C125FC">
              <w:rPr>
                <w:rFonts w:ascii="Book Antiqua" w:hAnsi="Book Antiqua"/>
                <w:sz w:val="24"/>
                <w:szCs w:val="24"/>
                <w:lang w:val="en-US"/>
              </w:rPr>
              <w:t>562</w:t>
            </w:r>
          </w:p>
        </w:tc>
      </w:tr>
      <w:tr w:rsidR="00C125FC" w:rsidRPr="00CC6129" w:rsidTr="00D233DB">
        <w:trPr>
          <w:cantSplit/>
        </w:trPr>
        <w:tc>
          <w:tcPr>
            <w:tcW w:w="2702" w:type="dxa"/>
          </w:tcPr>
          <w:p w:rsidR="00C125FC" w:rsidRPr="00C125FC" w:rsidRDefault="00C125FC" w:rsidP="0010680C">
            <w:pPr>
              <w:pStyle w:val="Heading2"/>
              <w:keepNext w:val="0"/>
              <w:snapToGrid w:val="0"/>
              <w:spacing w:line="360" w:lineRule="auto"/>
              <w:jc w:val="both"/>
              <w:rPr>
                <w:rFonts w:ascii="Book Antiqua" w:hAnsi="Book Antiqua"/>
                <w:b w:val="0"/>
                <w:lang w:val="en-US"/>
              </w:rPr>
            </w:pPr>
            <w:r w:rsidRPr="00C125FC">
              <w:rPr>
                <w:rFonts w:ascii="Book Antiqua" w:hAnsi="Book Antiqua"/>
                <w:b w:val="0"/>
                <w:lang w:val="en-US"/>
              </w:rPr>
              <w:t>Stage of disease</w:t>
            </w:r>
          </w:p>
        </w:tc>
        <w:tc>
          <w:tcPr>
            <w:tcW w:w="927" w:type="dxa"/>
          </w:tcPr>
          <w:p w:rsidR="00C125FC" w:rsidRPr="00C125FC" w:rsidRDefault="00C125FC" w:rsidP="00C125FC">
            <w:pPr>
              <w:pStyle w:val="Heading2"/>
              <w:keepNext w:val="0"/>
              <w:snapToGrid w:val="0"/>
              <w:spacing w:line="360" w:lineRule="auto"/>
              <w:jc w:val="center"/>
              <w:rPr>
                <w:rFonts w:ascii="Book Antiqua" w:hAnsi="Book Antiqua"/>
                <w:b w:val="0"/>
                <w:lang w:val="en-US"/>
              </w:rPr>
            </w:pPr>
          </w:p>
        </w:tc>
        <w:tc>
          <w:tcPr>
            <w:tcW w:w="1239" w:type="dxa"/>
          </w:tcPr>
          <w:p w:rsidR="00C125FC" w:rsidRPr="00C125FC" w:rsidRDefault="00C125FC" w:rsidP="00C125FC">
            <w:pPr>
              <w:pStyle w:val="Heading2"/>
              <w:keepNext w:val="0"/>
              <w:snapToGrid w:val="0"/>
              <w:spacing w:line="360" w:lineRule="auto"/>
              <w:jc w:val="center"/>
              <w:rPr>
                <w:rFonts w:ascii="Book Antiqua" w:hAnsi="Book Antiqua"/>
                <w:b w:val="0"/>
                <w:lang w:val="en-US"/>
              </w:rPr>
            </w:pPr>
          </w:p>
        </w:tc>
        <w:tc>
          <w:tcPr>
            <w:tcW w:w="1078" w:type="dxa"/>
          </w:tcPr>
          <w:p w:rsidR="00C125FC" w:rsidRPr="00C125FC" w:rsidRDefault="00C125FC" w:rsidP="00C125FC">
            <w:pPr>
              <w:pStyle w:val="Heading2"/>
              <w:jc w:val="center"/>
              <w:rPr>
                <w:rFonts w:ascii="Book Antiqua" w:hAnsi="Book Antiqua"/>
                <w:lang w:val="en-US"/>
              </w:rPr>
            </w:pPr>
          </w:p>
        </w:tc>
        <w:tc>
          <w:tcPr>
            <w:tcW w:w="1976" w:type="dxa"/>
          </w:tcPr>
          <w:p w:rsidR="00C125FC" w:rsidRPr="00C125FC" w:rsidRDefault="00C125FC" w:rsidP="00C125FC">
            <w:pPr>
              <w:snapToGrid w:val="0"/>
              <w:spacing w:after="0" w:line="360" w:lineRule="auto"/>
              <w:jc w:val="center"/>
              <w:rPr>
                <w:rFonts w:ascii="Book Antiqua" w:hAnsi="Book Antiqua"/>
                <w:sz w:val="24"/>
                <w:szCs w:val="24"/>
                <w:lang w:val="en-US"/>
              </w:rPr>
            </w:pPr>
          </w:p>
        </w:tc>
        <w:tc>
          <w:tcPr>
            <w:tcW w:w="1306" w:type="dxa"/>
          </w:tcPr>
          <w:p w:rsidR="00C125FC" w:rsidRPr="00C125FC" w:rsidRDefault="00C125FC"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pStyle w:val="Heading5"/>
              <w:snapToGrid w:val="0"/>
              <w:spacing w:before="0" w:after="0" w:line="360" w:lineRule="auto"/>
              <w:ind w:left="290"/>
              <w:jc w:val="both"/>
              <w:rPr>
                <w:rFonts w:ascii="Book Antiqua" w:hAnsi="Book Antiqua"/>
                <w:b w:val="0"/>
                <w:i w:val="0"/>
                <w:sz w:val="24"/>
                <w:szCs w:val="24"/>
              </w:rPr>
            </w:pPr>
            <w:r w:rsidRPr="00CC6129">
              <w:rPr>
                <w:rFonts w:ascii="Book Antiqua" w:hAnsi="Book Antiqua"/>
                <w:b w:val="0"/>
                <w:i w:val="0"/>
                <w:sz w:val="24"/>
                <w:szCs w:val="24"/>
              </w:rPr>
              <w:t>Primary</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142</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9 (6)</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133 (</w:t>
            </w:r>
            <w:r w:rsidR="009E5647" w:rsidRPr="00C125FC">
              <w:rPr>
                <w:rFonts w:ascii="Book Antiqua" w:hAnsi="Book Antiqua"/>
                <w:sz w:val="24"/>
                <w:szCs w:val="24"/>
                <w:lang w:val="en-US"/>
              </w:rPr>
              <w:t>94</w:t>
            </w:r>
            <w:r w:rsidRPr="00C125FC">
              <w:rPr>
                <w:rFonts w:ascii="Book Antiqua" w:hAnsi="Book Antiqua"/>
                <w:sz w:val="24"/>
                <w:szCs w:val="24"/>
                <w:lang w:val="en-US"/>
              </w:rPr>
              <w:t>)</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snapToGrid w:val="0"/>
              <w:spacing w:after="0" w:line="360" w:lineRule="auto"/>
              <w:ind w:left="290" w:right="-70"/>
              <w:jc w:val="both"/>
              <w:rPr>
                <w:rFonts w:ascii="Book Antiqua" w:hAnsi="Book Antiqua"/>
                <w:sz w:val="24"/>
                <w:szCs w:val="24"/>
                <w:lang w:val="en-US"/>
              </w:rPr>
            </w:pPr>
            <w:r w:rsidRPr="00CC6129">
              <w:rPr>
                <w:rFonts w:ascii="Book Antiqua" w:hAnsi="Book Antiqua"/>
                <w:sz w:val="24"/>
                <w:szCs w:val="24"/>
                <w:lang w:val="en-US"/>
              </w:rPr>
              <w:t>Metastatic</w:t>
            </w:r>
          </w:p>
        </w:tc>
        <w:tc>
          <w:tcPr>
            <w:tcW w:w="927" w:type="dxa"/>
          </w:tcPr>
          <w:p w:rsidR="004A4B97" w:rsidRPr="00C125FC" w:rsidRDefault="00F200E4"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200</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w:t>
            </w:r>
            <w:r w:rsidR="00F200E4" w:rsidRPr="00C125FC">
              <w:rPr>
                <w:rFonts w:ascii="Book Antiqua" w:hAnsi="Book Antiqua"/>
                <w:sz w:val="24"/>
                <w:szCs w:val="24"/>
                <w:lang w:val="en-US"/>
              </w:rPr>
              <w:t>5</w:t>
            </w:r>
            <w:r w:rsidRPr="00C125FC">
              <w:rPr>
                <w:rFonts w:ascii="Book Antiqua" w:hAnsi="Book Antiqua"/>
                <w:sz w:val="24"/>
                <w:szCs w:val="24"/>
                <w:lang w:val="en-US"/>
              </w:rPr>
              <w:t xml:space="preserve"> (12)</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175 (</w:t>
            </w:r>
            <w:r w:rsidR="009E5647" w:rsidRPr="00C125FC">
              <w:rPr>
                <w:rFonts w:ascii="Book Antiqua" w:hAnsi="Book Antiqua"/>
                <w:sz w:val="24"/>
                <w:szCs w:val="24"/>
                <w:lang w:val="en-US"/>
              </w:rPr>
              <w:t>88</w:t>
            </w:r>
            <w:r w:rsidRPr="00C125FC">
              <w:rPr>
                <w:rFonts w:ascii="Book Antiqua" w:hAnsi="Book Antiqua"/>
                <w:sz w:val="24"/>
                <w:szCs w:val="24"/>
                <w:lang w:val="en-US"/>
              </w:rPr>
              <w:t>)</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w:t>
            </w:r>
            <w:r w:rsidR="00F200E4" w:rsidRPr="00C125FC">
              <w:rPr>
                <w:rFonts w:ascii="Book Antiqua" w:hAnsi="Book Antiqua"/>
                <w:sz w:val="24"/>
                <w:szCs w:val="24"/>
                <w:lang w:val="en-US"/>
              </w:rPr>
              <w:t>81</w:t>
            </w:r>
            <w:r w:rsidRPr="00C125FC">
              <w:rPr>
                <w:rFonts w:ascii="Book Antiqua" w:hAnsi="Book Antiqua"/>
                <w:sz w:val="24"/>
                <w:szCs w:val="24"/>
                <w:lang w:val="en-US"/>
              </w:rPr>
              <w:t xml:space="preserve"> (0.</w:t>
            </w:r>
            <w:r w:rsidR="00F200E4" w:rsidRPr="00C125FC">
              <w:rPr>
                <w:rFonts w:ascii="Book Antiqua" w:hAnsi="Book Antiqua"/>
                <w:sz w:val="24"/>
                <w:szCs w:val="24"/>
                <w:lang w:val="en-US"/>
              </w:rPr>
              <w:t>75</w:t>
            </w:r>
            <w:r w:rsidR="00C125FC">
              <w:rPr>
                <w:rFonts w:ascii="Book Antiqua" w:hAnsi="Book Antiqua" w:hint="eastAsia"/>
                <w:sz w:val="24"/>
                <w:szCs w:val="24"/>
                <w:lang w:val="en-US" w:eastAsia="zh-CN"/>
              </w:rPr>
              <w:t>-</w:t>
            </w:r>
            <w:r w:rsidR="00F200E4" w:rsidRPr="00C125FC">
              <w:rPr>
                <w:rFonts w:ascii="Book Antiqua" w:hAnsi="Book Antiqua"/>
                <w:sz w:val="24"/>
                <w:szCs w:val="24"/>
                <w:lang w:val="en-US"/>
              </w:rPr>
              <w:t>4.33</w:t>
            </w:r>
            <w:r w:rsidRPr="00C125FC">
              <w:rPr>
                <w:rFonts w:ascii="Book Antiqua" w:hAnsi="Book Antiqua"/>
                <w:sz w:val="24"/>
                <w:szCs w:val="24"/>
                <w:lang w:val="en-US"/>
              </w:rPr>
              <w:t>)</w:t>
            </w: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0.</w:t>
            </w:r>
            <w:r w:rsidR="00F200E4" w:rsidRPr="00C125FC">
              <w:rPr>
                <w:rFonts w:ascii="Book Antiqua" w:hAnsi="Book Antiqua"/>
                <w:sz w:val="24"/>
                <w:szCs w:val="24"/>
                <w:lang w:val="en-US"/>
              </w:rPr>
              <w:t>186</w:t>
            </w:r>
          </w:p>
        </w:tc>
      </w:tr>
      <w:tr w:rsidR="00C125FC" w:rsidRPr="00CC6129" w:rsidTr="00D233DB">
        <w:trPr>
          <w:cantSplit/>
        </w:trPr>
        <w:tc>
          <w:tcPr>
            <w:tcW w:w="2702" w:type="dxa"/>
          </w:tcPr>
          <w:p w:rsidR="00C125FC" w:rsidRPr="00C125FC" w:rsidRDefault="00C125FC" w:rsidP="0010680C">
            <w:pPr>
              <w:pStyle w:val="Heading2"/>
              <w:keepNext w:val="0"/>
              <w:snapToGrid w:val="0"/>
              <w:spacing w:line="360" w:lineRule="auto"/>
              <w:jc w:val="both"/>
              <w:rPr>
                <w:rFonts w:ascii="Book Antiqua" w:hAnsi="Book Antiqua"/>
                <w:b w:val="0"/>
                <w:lang w:val="en-US"/>
              </w:rPr>
            </w:pPr>
            <w:r w:rsidRPr="00C125FC">
              <w:rPr>
                <w:rFonts w:ascii="Book Antiqua" w:hAnsi="Book Antiqua"/>
                <w:b w:val="0"/>
                <w:lang w:val="en-US"/>
              </w:rPr>
              <w:t>ECOG-PS</w:t>
            </w:r>
          </w:p>
        </w:tc>
        <w:tc>
          <w:tcPr>
            <w:tcW w:w="927" w:type="dxa"/>
          </w:tcPr>
          <w:p w:rsidR="00C125FC" w:rsidRPr="00C125FC" w:rsidRDefault="00C125FC" w:rsidP="00C125FC">
            <w:pPr>
              <w:pStyle w:val="Heading2"/>
              <w:keepNext w:val="0"/>
              <w:snapToGrid w:val="0"/>
              <w:spacing w:line="360" w:lineRule="auto"/>
              <w:jc w:val="center"/>
              <w:rPr>
                <w:rFonts w:ascii="Book Antiqua" w:hAnsi="Book Antiqua"/>
                <w:b w:val="0"/>
                <w:lang w:val="en-US"/>
              </w:rPr>
            </w:pPr>
          </w:p>
        </w:tc>
        <w:tc>
          <w:tcPr>
            <w:tcW w:w="1239" w:type="dxa"/>
          </w:tcPr>
          <w:p w:rsidR="00C125FC" w:rsidRPr="00C125FC" w:rsidRDefault="00C125FC" w:rsidP="00C125FC">
            <w:pPr>
              <w:pStyle w:val="Heading2"/>
              <w:keepNext w:val="0"/>
              <w:snapToGrid w:val="0"/>
              <w:spacing w:line="360" w:lineRule="auto"/>
              <w:jc w:val="center"/>
              <w:rPr>
                <w:rFonts w:ascii="Book Antiqua" w:hAnsi="Book Antiqua"/>
                <w:b w:val="0"/>
                <w:lang w:val="en-US"/>
              </w:rPr>
            </w:pPr>
          </w:p>
        </w:tc>
        <w:tc>
          <w:tcPr>
            <w:tcW w:w="1078" w:type="dxa"/>
          </w:tcPr>
          <w:p w:rsidR="00C125FC" w:rsidRPr="00C125FC" w:rsidRDefault="00C125FC" w:rsidP="00C125FC">
            <w:pPr>
              <w:pStyle w:val="Heading2"/>
              <w:jc w:val="center"/>
              <w:rPr>
                <w:rFonts w:ascii="Book Antiqua" w:hAnsi="Book Antiqua"/>
                <w:lang w:val="en-US"/>
              </w:rPr>
            </w:pPr>
          </w:p>
        </w:tc>
        <w:tc>
          <w:tcPr>
            <w:tcW w:w="1976" w:type="dxa"/>
          </w:tcPr>
          <w:p w:rsidR="00C125FC" w:rsidRPr="00C125FC" w:rsidRDefault="00C125FC" w:rsidP="00C125FC">
            <w:pPr>
              <w:snapToGrid w:val="0"/>
              <w:spacing w:after="0" w:line="360" w:lineRule="auto"/>
              <w:jc w:val="center"/>
              <w:rPr>
                <w:rFonts w:ascii="Book Antiqua" w:hAnsi="Book Antiqua"/>
                <w:sz w:val="24"/>
                <w:szCs w:val="24"/>
                <w:lang w:val="en-US"/>
              </w:rPr>
            </w:pPr>
          </w:p>
        </w:tc>
        <w:tc>
          <w:tcPr>
            <w:tcW w:w="1306" w:type="dxa"/>
          </w:tcPr>
          <w:p w:rsidR="00C125FC" w:rsidRPr="00C125FC" w:rsidRDefault="00C125FC"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pStyle w:val="Heading5"/>
              <w:snapToGrid w:val="0"/>
              <w:spacing w:before="0" w:after="0" w:line="360" w:lineRule="auto"/>
              <w:ind w:left="290"/>
              <w:jc w:val="both"/>
              <w:rPr>
                <w:rFonts w:ascii="Book Antiqua" w:hAnsi="Book Antiqua"/>
                <w:b w:val="0"/>
                <w:i w:val="0"/>
                <w:sz w:val="24"/>
                <w:szCs w:val="24"/>
              </w:rPr>
            </w:pPr>
            <w:r w:rsidRPr="00CC6129">
              <w:rPr>
                <w:rFonts w:ascii="Book Antiqua" w:hAnsi="Book Antiqua"/>
                <w:b w:val="0"/>
                <w:i w:val="0"/>
                <w:sz w:val="24"/>
                <w:szCs w:val="24"/>
              </w:rPr>
              <w:t>0</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274</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24 (9)</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250 (91)</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snapToGrid w:val="0"/>
              <w:spacing w:after="0" w:line="360" w:lineRule="auto"/>
              <w:ind w:left="290" w:right="-70"/>
              <w:jc w:val="both"/>
              <w:rPr>
                <w:rFonts w:ascii="Book Antiqua" w:hAnsi="Book Antiqua"/>
                <w:sz w:val="24"/>
                <w:szCs w:val="24"/>
                <w:lang w:val="en-US"/>
              </w:rPr>
            </w:pPr>
            <w:r w:rsidRPr="00CC6129">
              <w:rPr>
                <w:rFonts w:ascii="Book Antiqua" w:hAnsi="Book Antiqua"/>
                <w:sz w:val="24"/>
                <w:szCs w:val="24"/>
                <w:lang w:val="en-US"/>
              </w:rPr>
              <w:t>1</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60</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7 (12)</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53 (88)</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snapToGrid w:val="0"/>
              <w:spacing w:after="0" w:line="360" w:lineRule="auto"/>
              <w:ind w:left="290" w:right="-70"/>
              <w:jc w:val="both"/>
              <w:rPr>
                <w:rFonts w:ascii="Book Antiqua" w:hAnsi="Book Antiqua"/>
                <w:sz w:val="24"/>
                <w:szCs w:val="24"/>
                <w:lang w:val="en-US"/>
              </w:rPr>
            </w:pPr>
            <w:r w:rsidRPr="00CC6129">
              <w:rPr>
                <w:rFonts w:ascii="Book Antiqua" w:hAnsi="Book Antiqua"/>
                <w:sz w:val="24"/>
                <w:szCs w:val="24"/>
                <w:lang w:val="en-US"/>
              </w:rPr>
              <w:t>2</w:t>
            </w:r>
          </w:p>
        </w:tc>
        <w:tc>
          <w:tcPr>
            <w:tcW w:w="927" w:type="dxa"/>
          </w:tcPr>
          <w:p w:rsidR="004A4B97" w:rsidRPr="00C125FC" w:rsidRDefault="00F200E4"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8</w:t>
            </w:r>
          </w:p>
        </w:tc>
        <w:tc>
          <w:tcPr>
            <w:tcW w:w="1239" w:type="dxa"/>
          </w:tcPr>
          <w:p w:rsidR="004A4B97" w:rsidRPr="00C125FC" w:rsidRDefault="00F200E4"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3</w:t>
            </w:r>
            <w:r w:rsidR="004A4B97" w:rsidRPr="00C125FC">
              <w:rPr>
                <w:rFonts w:ascii="Book Antiqua" w:hAnsi="Book Antiqua"/>
                <w:sz w:val="24"/>
                <w:szCs w:val="24"/>
                <w:lang w:val="en-US"/>
              </w:rPr>
              <w:t xml:space="preserve"> (</w:t>
            </w:r>
            <w:r w:rsidR="009E5647" w:rsidRPr="00C125FC">
              <w:rPr>
                <w:rFonts w:ascii="Book Antiqua" w:hAnsi="Book Antiqua"/>
                <w:sz w:val="24"/>
                <w:szCs w:val="24"/>
                <w:lang w:val="en-US"/>
              </w:rPr>
              <w:t>37</w:t>
            </w:r>
            <w:r w:rsidR="004A4B97" w:rsidRPr="00C125FC">
              <w:rPr>
                <w:rFonts w:ascii="Book Antiqua" w:hAnsi="Book Antiqua"/>
                <w:sz w:val="24"/>
                <w:szCs w:val="24"/>
                <w:lang w:val="en-US"/>
              </w:rPr>
              <w:t>)</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5 (</w:t>
            </w:r>
            <w:r w:rsidR="009E5647" w:rsidRPr="00C125FC">
              <w:rPr>
                <w:rFonts w:ascii="Book Antiqua" w:hAnsi="Book Antiqua"/>
                <w:sz w:val="24"/>
                <w:szCs w:val="24"/>
                <w:lang w:val="en-US"/>
              </w:rPr>
              <w:t>62</w:t>
            </w:r>
            <w:r w:rsidRPr="00C125FC">
              <w:rPr>
                <w:rFonts w:ascii="Book Antiqua" w:hAnsi="Book Antiqua"/>
                <w:sz w:val="24"/>
                <w:szCs w:val="24"/>
                <w:lang w:val="en-US"/>
              </w:rPr>
              <w:t>)</w:t>
            </w:r>
          </w:p>
        </w:tc>
        <w:tc>
          <w:tcPr>
            <w:tcW w:w="1976" w:type="dxa"/>
          </w:tcPr>
          <w:p w:rsidR="004A4B97" w:rsidRPr="00C125FC" w:rsidRDefault="00F200E4"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2.47</w:t>
            </w:r>
            <w:r w:rsidR="004A4B97" w:rsidRPr="00C125FC">
              <w:rPr>
                <w:rFonts w:ascii="Book Antiqua" w:hAnsi="Book Antiqua"/>
                <w:sz w:val="24"/>
                <w:szCs w:val="24"/>
                <w:lang w:val="en-US"/>
              </w:rPr>
              <w:t xml:space="preserve"> (</w:t>
            </w:r>
            <w:r w:rsidRPr="00C125FC">
              <w:rPr>
                <w:rFonts w:ascii="Book Antiqua" w:hAnsi="Book Antiqua"/>
                <w:sz w:val="24"/>
                <w:szCs w:val="24"/>
                <w:lang w:val="en-US"/>
              </w:rPr>
              <w:t>1.22</w:t>
            </w:r>
            <w:r w:rsidR="00C125FC" w:rsidRPr="00C125FC">
              <w:rPr>
                <w:rFonts w:ascii="Book Antiqua" w:hAnsi="Book Antiqua" w:hint="eastAsia"/>
                <w:sz w:val="24"/>
                <w:szCs w:val="24"/>
                <w:lang w:val="en-US" w:eastAsia="zh-CN"/>
              </w:rPr>
              <w:t>-</w:t>
            </w:r>
            <w:r w:rsidRPr="00C125FC">
              <w:rPr>
                <w:rFonts w:ascii="Book Antiqua" w:hAnsi="Book Antiqua"/>
                <w:sz w:val="24"/>
                <w:szCs w:val="24"/>
                <w:lang w:val="en-US"/>
              </w:rPr>
              <w:t>4.99</w:t>
            </w:r>
            <w:r w:rsidR="004A4B97" w:rsidRPr="00C125FC">
              <w:rPr>
                <w:rFonts w:ascii="Book Antiqua" w:hAnsi="Book Antiqua"/>
                <w:sz w:val="24"/>
                <w:szCs w:val="24"/>
                <w:lang w:val="en-US"/>
              </w:rPr>
              <w:t>)</w:t>
            </w: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0.</w:t>
            </w:r>
            <w:r w:rsidR="00F200E4" w:rsidRPr="00C125FC">
              <w:rPr>
                <w:rFonts w:ascii="Book Antiqua" w:hAnsi="Book Antiqua"/>
                <w:sz w:val="24"/>
                <w:szCs w:val="24"/>
                <w:lang w:val="en-US"/>
              </w:rPr>
              <w:t>012</w:t>
            </w:r>
          </w:p>
        </w:tc>
      </w:tr>
      <w:tr w:rsidR="00C125FC" w:rsidRPr="00CC6129" w:rsidTr="00D233DB">
        <w:trPr>
          <w:cantSplit/>
        </w:trPr>
        <w:tc>
          <w:tcPr>
            <w:tcW w:w="2702" w:type="dxa"/>
          </w:tcPr>
          <w:p w:rsidR="00C125FC" w:rsidRPr="00C125FC" w:rsidRDefault="00C125FC" w:rsidP="0010680C">
            <w:pPr>
              <w:pStyle w:val="Heading2"/>
              <w:keepNext w:val="0"/>
              <w:snapToGrid w:val="0"/>
              <w:spacing w:line="360" w:lineRule="auto"/>
              <w:jc w:val="both"/>
              <w:rPr>
                <w:rFonts w:ascii="Book Antiqua" w:hAnsi="Book Antiqua"/>
                <w:b w:val="0"/>
                <w:lang w:val="en-US"/>
              </w:rPr>
            </w:pPr>
            <w:r w:rsidRPr="00C125FC">
              <w:rPr>
                <w:rFonts w:ascii="Book Antiqua" w:hAnsi="Book Antiqua"/>
                <w:b w:val="0"/>
                <w:lang w:val="en-US"/>
              </w:rPr>
              <w:lastRenderedPageBreak/>
              <w:t>Homa index</w:t>
            </w:r>
          </w:p>
        </w:tc>
        <w:tc>
          <w:tcPr>
            <w:tcW w:w="924" w:type="dxa"/>
          </w:tcPr>
          <w:p w:rsidR="00C125FC" w:rsidRPr="00C125FC" w:rsidRDefault="00C125FC" w:rsidP="00C125FC">
            <w:pPr>
              <w:pStyle w:val="Heading2"/>
              <w:keepNext w:val="0"/>
              <w:snapToGrid w:val="0"/>
              <w:spacing w:line="360" w:lineRule="auto"/>
              <w:jc w:val="center"/>
              <w:rPr>
                <w:rFonts w:ascii="Book Antiqua" w:hAnsi="Book Antiqua"/>
                <w:b w:val="0"/>
                <w:lang w:val="en-US"/>
              </w:rPr>
            </w:pPr>
          </w:p>
        </w:tc>
        <w:tc>
          <w:tcPr>
            <w:tcW w:w="1242" w:type="dxa"/>
          </w:tcPr>
          <w:p w:rsidR="00C125FC" w:rsidRPr="00C125FC" w:rsidRDefault="00C125FC" w:rsidP="00C125FC">
            <w:pPr>
              <w:pStyle w:val="Heading2"/>
              <w:keepNext w:val="0"/>
              <w:snapToGrid w:val="0"/>
              <w:spacing w:line="360" w:lineRule="auto"/>
              <w:jc w:val="center"/>
              <w:rPr>
                <w:rFonts w:ascii="Book Antiqua" w:hAnsi="Book Antiqua"/>
                <w:b w:val="0"/>
                <w:lang w:val="en-US"/>
              </w:rPr>
            </w:pPr>
          </w:p>
        </w:tc>
        <w:tc>
          <w:tcPr>
            <w:tcW w:w="1078" w:type="dxa"/>
          </w:tcPr>
          <w:p w:rsidR="00C125FC" w:rsidRPr="00C125FC" w:rsidRDefault="00C125FC" w:rsidP="00C125FC">
            <w:pPr>
              <w:pStyle w:val="Heading2"/>
              <w:jc w:val="center"/>
              <w:rPr>
                <w:rFonts w:ascii="Book Antiqua" w:hAnsi="Book Antiqua"/>
                <w:lang w:val="en-US"/>
              </w:rPr>
            </w:pPr>
          </w:p>
        </w:tc>
        <w:tc>
          <w:tcPr>
            <w:tcW w:w="1976" w:type="dxa"/>
          </w:tcPr>
          <w:p w:rsidR="00C125FC" w:rsidRPr="00C125FC" w:rsidRDefault="00C125FC" w:rsidP="00C125FC">
            <w:pPr>
              <w:snapToGrid w:val="0"/>
              <w:spacing w:after="0" w:line="360" w:lineRule="auto"/>
              <w:jc w:val="center"/>
              <w:rPr>
                <w:rFonts w:ascii="Book Antiqua" w:hAnsi="Book Antiqua"/>
                <w:sz w:val="24"/>
                <w:szCs w:val="24"/>
                <w:lang w:val="en-US"/>
              </w:rPr>
            </w:pPr>
          </w:p>
        </w:tc>
        <w:tc>
          <w:tcPr>
            <w:tcW w:w="1306" w:type="dxa"/>
          </w:tcPr>
          <w:p w:rsidR="00C125FC" w:rsidRPr="00C125FC" w:rsidRDefault="00C125FC"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pStyle w:val="Heading5"/>
              <w:snapToGrid w:val="0"/>
              <w:spacing w:before="0" w:after="0" w:line="360" w:lineRule="auto"/>
              <w:ind w:left="290"/>
              <w:jc w:val="both"/>
              <w:rPr>
                <w:rFonts w:ascii="Book Antiqua" w:hAnsi="Book Antiqua"/>
                <w:b w:val="0"/>
                <w:i w:val="0"/>
                <w:sz w:val="24"/>
                <w:szCs w:val="24"/>
              </w:rPr>
            </w:pPr>
            <w:r w:rsidRPr="00CC6129">
              <w:rPr>
                <w:rFonts w:ascii="Book Antiqua" w:hAnsi="Book Antiqua"/>
                <w:b w:val="0"/>
                <w:i w:val="0"/>
                <w:sz w:val="24"/>
                <w:szCs w:val="24"/>
              </w:rPr>
              <w:t>≤</w:t>
            </w:r>
            <w:r w:rsidR="00C125FC">
              <w:rPr>
                <w:rFonts w:ascii="Book Antiqua" w:eastAsiaTheme="minorEastAsia" w:hAnsi="Book Antiqua" w:hint="eastAsia"/>
                <w:b w:val="0"/>
                <w:i w:val="0"/>
                <w:sz w:val="24"/>
                <w:szCs w:val="24"/>
                <w:lang w:eastAsia="zh-CN"/>
              </w:rPr>
              <w:t xml:space="preserve"> </w:t>
            </w:r>
            <w:r w:rsidRPr="00CC6129">
              <w:rPr>
                <w:rFonts w:ascii="Book Antiqua" w:hAnsi="Book Antiqua"/>
                <w:b w:val="0"/>
                <w:i w:val="0"/>
                <w:sz w:val="24"/>
                <w:szCs w:val="24"/>
              </w:rPr>
              <w:t>2.6%</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15</w:t>
            </w:r>
            <w:r w:rsidR="009E5647" w:rsidRPr="00C125FC">
              <w:rPr>
                <w:rFonts w:ascii="Book Antiqua" w:hAnsi="Book Antiqua"/>
                <w:sz w:val="24"/>
                <w:szCs w:val="24"/>
                <w:lang w:val="en-US"/>
              </w:rPr>
              <w:t>5</w:t>
            </w:r>
          </w:p>
        </w:tc>
        <w:tc>
          <w:tcPr>
            <w:tcW w:w="1239" w:type="dxa"/>
          </w:tcPr>
          <w:p w:rsidR="004A4B97" w:rsidRPr="00C125FC" w:rsidRDefault="009E564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7</w:t>
            </w:r>
            <w:r w:rsidR="004A4B97" w:rsidRPr="00C125FC">
              <w:rPr>
                <w:rFonts w:ascii="Book Antiqua" w:hAnsi="Book Antiqua"/>
                <w:sz w:val="24"/>
                <w:szCs w:val="24"/>
                <w:lang w:val="en-US"/>
              </w:rPr>
              <w:t xml:space="preserve"> (</w:t>
            </w:r>
            <w:r w:rsidRPr="00C125FC">
              <w:rPr>
                <w:rFonts w:ascii="Book Antiqua" w:hAnsi="Book Antiqua"/>
                <w:sz w:val="24"/>
                <w:szCs w:val="24"/>
                <w:lang w:val="en-US"/>
              </w:rPr>
              <w:t>5</w:t>
            </w:r>
            <w:r w:rsidR="004A4B97" w:rsidRPr="00C125FC">
              <w:rPr>
                <w:rFonts w:ascii="Book Antiqua" w:hAnsi="Book Antiqua"/>
                <w:sz w:val="24"/>
                <w:szCs w:val="24"/>
                <w:lang w:val="en-US"/>
              </w:rPr>
              <w:t>)</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148 (</w:t>
            </w:r>
            <w:r w:rsidR="009E5647" w:rsidRPr="00C125FC">
              <w:rPr>
                <w:rFonts w:ascii="Book Antiqua" w:hAnsi="Book Antiqua"/>
                <w:sz w:val="24"/>
                <w:szCs w:val="24"/>
                <w:lang w:val="en-US"/>
              </w:rPr>
              <w:t>95</w:t>
            </w:r>
            <w:r w:rsidRPr="00C125FC">
              <w:rPr>
                <w:rFonts w:ascii="Book Antiqua" w:hAnsi="Book Antiqua"/>
                <w:sz w:val="24"/>
                <w:szCs w:val="24"/>
                <w:lang w:val="en-US"/>
              </w:rPr>
              <w:t>)</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4A4B97" w:rsidP="0010680C">
            <w:pPr>
              <w:snapToGrid w:val="0"/>
              <w:spacing w:after="0" w:line="360" w:lineRule="auto"/>
              <w:ind w:left="290" w:right="-70"/>
              <w:jc w:val="both"/>
              <w:rPr>
                <w:rFonts w:ascii="Book Antiqua" w:hAnsi="Book Antiqua"/>
                <w:sz w:val="24"/>
                <w:szCs w:val="24"/>
                <w:lang w:val="en-US"/>
              </w:rPr>
            </w:pPr>
            <w:r w:rsidRPr="00CC6129">
              <w:rPr>
                <w:rFonts w:ascii="Book Antiqua" w:hAnsi="Book Antiqua"/>
                <w:sz w:val="24"/>
                <w:szCs w:val="24"/>
                <w:lang w:val="en-US"/>
              </w:rPr>
              <w:t>&gt;</w:t>
            </w:r>
            <w:r w:rsidR="00C125FC">
              <w:rPr>
                <w:rFonts w:ascii="Book Antiqua" w:hAnsi="Book Antiqua" w:hint="eastAsia"/>
                <w:sz w:val="24"/>
                <w:szCs w:val="24"/>
                <w:lang w:val="en-US" w:eastAsia="zh-CN"/>
              </w:rPr>
              <w:t xml:space="preserve"> </w:t>
            </w:r>
            <w:r w:rsidRPr="00CC6129">
              <w:rPr>
                <w:rFonts w:ascii="Book Antiqua" w:hAnsi="Book Antiqua"/>
                <w:sz w:val="24"/>
                <w:szCs w:val="24"/>
                <w:lang w:val="en-US"/>
              </w:rPr>
              <w:t>2.6%</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18</w:t>
            </w:r>
            <w:r w:rsidR="009E5647" w:rsidRPr="00C125FC">
              <w:rPr>
                <w:rFonts w:ascii="Book Antiqua" w:hAnsi="Book Antiqua"/>
                <w:sz w:val="24"/>
                <w:szCs w:val="24"/>
                <w:lang w:val="en-US"/>
              </w:rPr>
              <w:t>7</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w:t>
            </w:r>
            <w:r w:rsidR="009E5647" w:rsidRPr="00C125FC">
              <w:rPr>
                <w:rFonts w:ascii="Book Antiqua" w:hAnsi="Book Antiqua"/>
                <w:sz w:val="24"/>
                <w:szCs w:val="24"/>
                <w:lang w:val="en-US"/>
              </w:rPr>
              <w:t>7</w:t>
            </w:r>
            <w:r w:rsidRPr="00C125FC">
              <w:rPr>
                <w:rFonts w:ascii="Book Antiqua" w:hAnsi="Book Antiqua"/>
                <w:sz w:val="24"/>
                <w:szCs w:val="24"/>
                <w:lang w:val="en-US"/>
              </w:rPr>
              <w:t xml:space="preserve"> (14)</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160 (86)</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4.</w:t>
            </w:r>
            <w:r w:rsidR="00F200E4" w:rsidRPr="00C125FC">
              <w:rPr>
                <w:rFonts w:ascii="Book Antiqua" w:hAnsi="Book Antiqua"/>
                <w:sz w:val="24"/>
                <w:szCs w:val="24"/>
                <w:lang w:val="en-US"/>
              </w:rPr>
              <w:t>13</w:t>
            </w:r>
            <w:r w:rsidRPr="00C125FC">
              <w:rPr>
                <w:rFonts w:ascii="Book Antiqua" w:hAnsi="Book Antiqua"/>
                <w:sz w:val="24"/>
                <w:szCs w:val="24"/>
                <w:lang w:val="en-US"/>
              </w:rPr>
              <w:t xml:space="preserve"> (1.</w:t>
            </w:r>
            <w:r w:rsidR="00F200E4" w:rsidRPr="00C125FC">
              <w:rPr>
                <w:rFonts w:ascii="Book Antiqua" w:hAnsi="Book Antiqua"/>
                <w:sz w:val="24"/>
                <w:szCs w:val="24"/>
                <w:lang w:val="en-US"/>
              </w:rPr>
              <w:t>63</w:t>
            </w:r>
            <w:r w:rsidR="00C125FC" w:rsidRPr="00C125FC">
              <w:rPr>
                <w:rFonts w:ascii="Book Antiqua" w:hAnsi="Book Antiqua" w:hint="eastAsia"/>
                <w:sz w:val="24"/>
                <w:szCs w:val="24"/>
                <w:lang w:val="en-US" w:eastAsia="zh-CN"/>
              </w:rPr>
              <w:t>-</w:t>
            </w:r>
            <w:r w:rsidRPr="00C125FC">
              <w:rPr>
                <w:rFonts w:ascii="Book Antiqua" w:hAnsi="Book Antiqua"/>
                <w:sz w:val="24"/>
                <w:szCs w:val="24"/>
                <w:lang w:val="en-US"/>
              </w:rPr>
              <w:t>10.</w:t>
            </w:r>
            <w:r w:rsidR="00F200E4" w:rsidRPr="00C125FC">
              <w:rPr>
                <w:rFonts w:ascii="Book Antiqua" w:hAnsi="Book Antiqua"/>
                <w:sz w:val="24"/>
                <w:szCs w:val="24"/>
                <w:lang w:val="en-US"/>
              </w:rPr>
              <w:t>5</w:t>
            </w:r>
            <w:r w:rsidRPr="00C125FC">
              <w:rPr>
                <w:rFonts w:ascii="Book Antiqua" w:hAnsi="Book Antiqua"/>
                <w:sz w:val="24"/>
                <w:szCs w:val="24"/>
                <w:lang w:val="en-US"/>
              </w:rPr>
              <w:t>)</w:t>
            </w: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0.00</w:t>
            </w:r>
            <w:r w:rsidR="00F200E4" w:rsidRPr="00C125FC">
              <w:rPr>
                <w:rFonts w:ascii="Book Antiqua" w:hAnsi="Book Antiqua"/>
                <w:sz w:val="24"/>
                <w:szCs w:val="24"/>
                <w:lang w:val="en-US"/>
              </w:rPr>
              <w:t>3</w:t>
            </w:r>
          </w:p>
        </w:tc>
      </w:tr>
      <w:tr w:rsidR="00C125FC" w:rsidRPr="00CC6129" w:rsidTr="00D233DB">
        <w:trPr>
          <w:cantSplit/>
        </w:trPr>
        <w:tc>
          <w:tcPr>
            <w:tcW w:w="2702" w:type="dxa"/>
          </w:tcPr>
          <w:p w:rsidR="00C125FC" w:rsidRPr="00C125FC" w:rsidRDefault="00C125FC" w:rsidP="0010680C">
            <w:pPr>
              <w:pStyle w:val="Heading2"/>
              <w:keepNext w:val="0"/>
              <w:snapToGrid w:val="0"/>
              <w:spacing w:line="360" w:lineRule="auto"/>
              <w:jc w:val="both"/>
              <w:rPr>
                <w:rFonts w:ascii="Book Antiqua" w:hAnsi="Book Antiqua"/>
                <w:b w:val="0"/>
                <w:lang w:val="en-US"/>
              </w:rPr>
            </w:pPr>
            <w:r w:rsidRPr="00C125FC">
              <w:rPr>
                <w:rFonts w:ascii="Book Antiqua" w:hAnsi="Book Antiqua"/>
                <w:b w:val="0"/>
                <w:lang w:val="en-US"/>
              </w:rPr>
              <w:t>Bevacizumab</w:t>
            </w:r>
          </w:p>
        </w:tc>
        <w:tc>
          <w:tcPr>
            <w:tcW w:w="924" w:type="dxa"/>
          </w:tcPr>
          <w:p w:rsidR="00C125FC" w:rsidRPr="00C125FC" w:rsidRDefault="00C125FC" w:rsidP="00C125FC">
            <w:pPr>
              <w:pStyle w:val="Heading2"/>
              <w:keepNext w:val="0"/>
              <w:snapToGrid w:val="0"/>
              <w:spacing w:line="360" w:lineRule="auto"/>
              <w:jc w:val="center"/>
              <w:rPr>
                <w:rFonts w:ascii="Book Antiqua" w:hAnsi="Book Antiqua"/>
                <w:b w:val="0"/>
                <w:lang w:val="en-US"/>
              </w:rPr>
            </w:pPr>
          </w:p>
        </w:tc>
        <w:tc>
          <w:tcPr>
            <w:tcW w:w="1242" w:type="dxa"/>
          </w:tcPr>
          <w:p w:rsidR="00C125FC" w:rsidRPr="00C125FC" w:rsidRDefault="00C125FC" w:rsidP="00C125FC">
            <w:pPr>
              <w:pStyle w:val="Heading2"/>
              <w:keepNext w:val="0"/>
              <w:snapToGrid w:val="0"/>
              <w:spacing w:line="360" w:lineRule="auto"/>
              <w:jc w:val="center"/>
              <w:rPr>
                <w:rFonts w:ascii="Book Antiqua" w:hAnsi="Book Antiqua"/>
                <w:b w:val="0"/>
                <w:lang w:val="en-US"/>
              </w:rPr>
            </w:pPr>
          </w:p>
        </w:tc>
        <w:tc>
          <w:tcPr>
            <w:tcW w:w="1078" w:type="dxa"/>
          </w:tcPr>
          <w:p w:rsidR="00C125FC" w:rsidRPr="00C125FC" w:rsidRDefault="00C125FC" w:rsidP="00C125FC">
            <w:pPr>
              <w:pStyle w:val="Heading2"/>
              <w:jc w:val="center"/>
              <w:rPr>
                <w:rFonts w:ascii="Book Antiqua" w:hAnsi="Book Antiqua"/>
                <w:lang w:val="en-US"/>
              </w:rPr>
            </w:pPr>
          </w:p>
        </w:tc>
        <w:tc>
          <w:tcPr>
            <w:tcW w:w="1976" w:type="dxa"/>
          </w:tcPr>
          <w:p w:rsidR="00C125FC" w:rsidRPr="00C125FC" w:rsidRDefault="00C125FC" w:rsidP="00C125FC">
            <w:pPr>
              <w:snapToGrid w:val="0"/>
              <w:spacing w:after="0" w:line="360" w:lineRule="auto"/>
              <w:jc w:val="center"/>
              <w:rPr>
                <w:rFonts w:ascii="Book Antiqua" w:hAnsi="Book Antiqua"/>
                <w:sz w:val="24"/>
                <w:szCs w:val="24"/>
                <w:lang w:val="en-US"/>
              </w:rPr>
            </w:pPr>
          </w:p>
        </w:tc>
        <w:tc>
          <w:tcPr>
            <w:tcW w:w="1306" w:type="dxa"/>
          </w:tcPr>
          <w:p w:rsidR="00C125FC" w:rsidRPr="00C125FC" w:rsidRDefault="00C125FC"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B13423" w:rsidP="0010680C">
            <w:pPr>
              <w:snapToGrid w:val="0"/>
              <w:spacing w:after="0" w:line="360" w:lineRule="auto"/>
              <w:ind w:left="290" w:right="-70"/>
              <w:jc w:val="both"/>
              <w:rPr>
                <w:rFonts w:ascii="Book Antiqua" w:hAnsi="Book Antiqua"/>
                <w:sz w:val="24"/>
                <w:szCs w:val="24"/>
                <w:lang w:val="en-US"/>
              </w:rPr>
            </w:pPr>
            <w:r w:rsidRPr="00CC6129">
              <w:rPr>
                <w:rFonts w:ascii="Book Antiqua" w:hAnsi="Book Antiqua"/>
                <w:sz w:val="24"/>
                <w:szCs w:val="24"/>
                <w:lang w:val="en-US"/>
              </w:rPr>
              <w:t>No</w:t>
            </w:r>
          </w:p>
        </w:tc>
        <w:tc>
          <w:tcPr>
            <w:tcW w:w="927" w:type="dxa"/>
          </w:tcPr>
          <w:p w:rsidR="004A4B97" w:rsidRPr="00C125FC" w:rsidRDefault="00B13423"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270</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w:t>
            </w:r>
            <w:r w:rsidR="00B13423" w:rsidRPr="00C125FC">
              <w:rPr>
                <w:rFonts w:ascii="Book Antiqua" w:hAnsi="Book Antiqua"/>
                <w:sz w:val="24"/>
                <w:szCs w:val="24"/>
                <w:lang w:val="en-US"/>
              </w:rPr>
              <w:t xml:space="preserve">2 </w:t>
            </w:r>
            <w:r w:rsidRPr="00C125FC">
              <w:rPr>
                <w:rFonts w:ascii="Book Antiqua" w:hAnsi="Book Antiqua"/>
                <w:sz w:val="24"/>
                <w:szCs w:val="24"/>
                <w:lang w:val="en-US"/>
              </w:rPr>
              <w:t>(</w:t>
            </w:r>
            <w:r w:rsidR="00B13423" w:rsidRPr="00C125FC">
              <w:rPr>
                <w:rFonts w:ascii="Book Antiqua" w:hAnsi="Book Antiqua"/>
                <w:sz w:val="24"/>
                <w:szCs w:val="24"/>
                <w:lang w:val="en-US"/>
              </w:rPr>
              <w:t>8</w:t>
            </w:r>
            <w:r w:rsidRPr="00C125FC">
              <w:rPr>
                <w:rFonts w:ascii="Book Antiqua" w:hAnsi="Book Antiqua"/>
                <w:sz w:val="24"/>
                <w:szCs w:val="24"/>
                <w:lang w:val="en-US"/>
              </w:rPr>
              <w:t>)</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248 (9</w:t>
            </w:r>
            <w:r w:rsidR="00B13423" w:rsidRPr="00C125FC">
              <w:rPr>
                <w:rFonts w:ascii="Book Antiqua" w:hAnsi="Book Antiqua"/>
                <w:sz w:val="24"/>
                <w:szCs w:val="24"/>
                <w:lang w:val="en-US"/>
              </w:rPr>
              <w:t>2</w:t>
            </w:r>
            <w:r w:rsidRPr="00C125FC">
              <w:rPr>
                <w:rFonts w:ascii="Book Antiqua" w:hAnsi="Book Antiqua"/>
                <w:sz w:val="24"/>
                <w:szCs w:val="24"/>
                <w:lang w:val="en-US"/>
              </w:rPr>
              <w:t>)</w:t>
            </w:r>
          </w:p>
        </w:tc>
        <w:tc>
          <w:tcPr>
            <w:tcW w:w="1976" w:type="dxa"/>
          </w:tcPr>
          <w:p w:rsidR="004A4B97" w:rsidRPr="00C125FC" w:rsidRDefault="004A4B97" w:rsidP="00C125FC">
            <w:pPr>
              <w:snapToGrid w:val="0"/>
              <w:spacing w:after="0" w:line="360" w:lineRule="auto"/>
              <w:jc w:val="center"/>
              <w:rPr>
                <w:rFonts w:ascii="Book Antiqua" w:hAnsi="Book Antiqua"/>
                <w:sz w:val="24"/>
                <w:szCs w:val="24"/>
                <w:lang w:val="en-US"/>
              </w:rPr>
            </w:pP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p>
        </w:tc>
      </w:tr>
      <w:tr w:rsidR="004A4B97" w:rsidRPr="00CC6129" w:rsidTr="00D233DB">
        <w:trPr>
          <w:cantSplit/>
        </w:trPr>
        <w:tc>
          <w:tcPr>
            <w:tcW w:w="2702" w:type="dxa"/>
          </w:tcPr>
          <w:p w:rsidR="004A4B97" w:rsidRPr="00CC6129" w:rsidRDefault="00B13423" w:rsidP="0010680C">
            <w:pPr>
              <w:tabs>
                <w:tab w:val="left" w:pos="851"/>
              </w:tabs>
              <w:snapToGrid w:val="0"/>
              <w:spacing w:after="0" w:line="360" w:lineRule="auto"/>
              <w:ind w:left="290" w:right="-70"/>
              <w:jc w:val="both"/>
              <w:rPr>
                <w:rFonts w:ascii="Book Antiqua" w:hAnsi="Book Antiqua"/>
                <w:sz w:val="24"/>
                <w:szCs w:val="24"/>
                <w:lang w:val="en-US"/>
              </w:rPr>
            </w:pPr>
            <w:r w:rsidRPr="00CC6129">
              <w:rPr>
                <w:rFonts w:ascii="Book Antiqua" w:hAnsi="Book Antiqua"/>
                <w:sz w:val="24"/>
                <w:szCs w:val="24"/>
                <w:lang w:val="en-US"/>
              </w:rPr>
              <w:t>Yes</w:t>
            </w:r>
          </w:p>
        </w:tc>
        <w:tc>
          <w:tcPr>
            <w:tcW w:w="927"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7</w:t>
            </w:r>
            <w:r w:rsidR="00B13423" w:rsidRPr="00C125FC">
              <w:rPr>
                <w:rFonts w:ascii="Book Antiqua" w:hAnsi="Book Antiqua"/>
                <w:sz w:val="24"/>
                <w:szCs w:val="24"/>
                <w:lang w:val="en-US"/>
              </w:rPr>
              <w:t>2</w:t>
            </w:r>
          </w:p>
        </w:tc>
        <w:tc>
          <w:tcPr>
            <w:tcW w:w="1239"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w:t>
            </w:r>
            <w:r w:rsidR="00B13423" w:rsidRPr="00C125FC">
              <w:rPr>
                <w:rFonts w:ascii="Book Antiqua" w:hAnsi="Book Antiqua"/>
                <w:sz w:val="24"/>
                <w:szCs w:val="24"/>
                <w:lang w:val="en-US"/>
              </w:rPr>
              <w:t>2</w:t>
            </w:r>
            <w:r w:rsidRPr="00C125FC">
              <w:rPr>
                <w:rFonts w:ascii="Book Antiqua" w:hAnsi="Book Antiqua"/>
                <w:sz w:val="24"/>
                <w:szCs w:val="24"/>
                <w:lang w:val="en-US"/>
              </w:rPr>
              <w:t xml:space="preserve"> (1</w:t>
            </w:r>
            <w:r w:rsidR="00B13423" w:rsidRPr="00C125FC">
              <w:rPr>
                <w:rFonts w:ascii="Book Antiqua" w:hAnsi="Book Antiqua"/>
                <w:sz w:val="24"/>
                <w:szCs w:val="24"/>
                <w:lang w:val="en-US"/>
              </w:rPr>
              <w:t>7</w:t>
            </w:r>
            <w:r w:rsidRPr="00C125FC">
              <w:rPr>
                <w:rFonts w:ascii="Book Antiqua" w:hAnsi="Book Antiqua"/>
                <w:sz w:val="24"/>
                <w:szCs w:val="24"/>
                <w:lang w:val="en-US"/>
              </w:rPr>
              <w:t>)</w:t>
            </w:r>
          </w:p>
        </w:tc>
        <w:tc>
          <w:tcPr>
            <w:tcW w:w="1078"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60 (8</w:t>
            </w:r>
            <w:r w:rsidR="00B13423" w:rsidRPr="00C125FC">
              <w:rPr>
                <w:rFonts w:ascii="Book Antiqua" w:hAnsi="Book Antiqua"/>
                <w:sz w:val="24"/>
                <w:szCs w:val="24"/>
                <w:lang w:val="en-US"/>
              </w:rPr>
              <w:t>3</w:t>
            </w:r>
            <w:r w:rsidRPr="00C125FC">
              <w:rPr>
                <w:rFonts w:ascii="Book Antiqua" w:hAnsi="Book Antiqua"/>
                <w:sz w:val="24"/>
                <w:szCs w:val="24"/>
                <w:lang w:val="en-US"/>
              </w:rPr>
              <w:t>)</w:t>
            </w:r>
          </w:p>
        </w:tc>
        <w:tc>
          <w:tcPr>
            <w:tcW w:w="1976" w:type="dxa"/>
          </w:tcPr>
          <w:p w:rsidR="004A4B97" w:rsidRPr="00C125FC" w:rsidRDefault="009E564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1.77</w:t>
            </w:r>
            <w:r w:rsidR="004A4B97" w:rsidRPr="00C125FC">
              <w:rPr>
                <w:rFonts w:ascii="Book Antiqua" w:hAnsi="Book Antiqua"/>
                <w:sz w:val="24"/>
                <w:szCs w:val="24"/>
                <w:lang w:val="en-US"/>
              </w:rPr>
              <w:t xml:space="preserve"> (0.</w:t>
            </w:r>
            <w:r w:rsidRPr="00C125FC">
              <w:rPr>
                <w:rFonts w:ascii="Book Antiqua" w:hAnsi="Book Antiqua"/>
                <w:sz w:val="24"/>
                <w:szCs w:val="24"/>
                <w:lang w:val="en-US"/>
              </w:rPr>
              <w:t>74</w:t>
            </w:r>
            <w:r w:rsidR="00C125FC">
              <w:rPr>
                <w:rFonts w:ascii="Book Antiqua" w:hAnsi="Book Antiqua" w:hint="eastAsia"/>
                <w:sz w:val="24"/>
                <w:szCs w:val="24"/>
                <w:lang w:val="en-US" w:eastAsia="zh-CN"/>
              </w:rPr>
              <w:t>-</w:t>
            </w:r>
            <w:r w:rsidRPr="00C125FC">
              <w:rPr>
                <w:rFonts w:ascii="Book Antiqua" w:hAnsi="Book Antiqua"/>
                <w:sz w:val="24"/>
                <w:szCs w:val="24"/>
                <w:lang w:val="en-US"/>
              </w:rPr>
              <w:t>4.25</w:t>
            </w:r>
            <w:r w:rsidR="004A4B97" w:rsidRPr="00C125FC">
              <w:rPr>
                <w:rFonts w:ascii="Book Antiqua" w:hAnsi="Book Antiqua"/>
                <w:sz w:val="24"/>
                <w:szCs w:val="24"/>
                <w:lang w:val="en-US"/>
              </w:rPr>
              <w:t>)</w:t>
            </w:r>
          </w:p>
        </w:tc>
        <w:tc>
          <w:tcPr>
            <w:tcW w:w="1306" w:type="dxa"/>
          </w:tcPr>
          <w:p w:rsidR="004A4B97" w:rsidRPr="00C125FC" w:rsidRDefault="004A4B97" w:rsidP="00C125FC">
            <w:pPr>
              <w:snapToGrid w:val="0"/>
              <w:spacing w:after="0" w:line="360" w:lineRule="auto"/>
              <w:jc w:val="center"/>
              <w:rPr>
                <w:rFonts w:ascii="Book Antiqua" w:hAnsi="Book Antiqua"/>
                <w:sz w:val="24"/>
                <w:szCs w:val="24"/>
                <w:lang w:val="en-US"/>
              </w:rPr>
            </w:pPr>
            <w:r w:rsidRPr="00C125FC">
              <w:rPr>
                <w:rFonts w:ascii="Book Antiqua" w:hAnsi="Book Antiqua"/>
                <w:sz w:val="24"/>
                <w:szCs w:val="24"/>
                <w:lang w:val="en-US"/>
              </w:rPr>
              <w:t>0.1</w:t>
            </w:r>
            <w:r w:rsidR="009E5647" w:rsidRPr="00C125FC">
              <w:rPr>
                <w:rFonts w:ascii="Book Antiqua" w:hAnsi="Book Antiqua"/>
                <w:sz w:val="24"/>
                <w:szCs w:val="24"/>
                <w:lang w:val="en-US"/>
              </w:rPr>
              <w:t>99</w:t>
            </w:r>
          </w:p>
        </w:tc>
      </w:tr>
    </w:tbl>
    <w:p w:rsidR="004A4B97" w:rsidRPr="00B470F0" w:rsidRDefault="004A4B97" w:rsidP="0010680C">
      <w:pPr>
        <w:snapToGrid w:val="0"/>
        <w:spacing w:after="0" w:line="360" w:lineRule="auto"/>
        <w:ind w:right="1274"/>
        <w:jc w:val="both"/>
        <w:rPr>
          <w:rFonts w:ascii="Book Antiqua" w:hAnsi="Book Antiqua"/>
          <w:sz w:val="24"/>
          <w:szCs w:val="24"/>
          <w:lang w:val="en-US" w:eastAsia="zh-CN"/>
        </w:rPr>
      </w:pPr>
      <w:r w:rsidRPr="00CC6129">
        <w:rPr>
          <w:rFonts w:ascii="Book Antiqua" w:hAnsi="Book Antiqua"/>
          <w:sz w:val="24"/>
          <w:szCs w:val="24"/>
          <w:lang w:val="en-US"/>
        </w:rPr>
        <w:t>ECOG-PS:</w:t>
      </w:r>
      <w:r w:rsidR="0010680C">
        <w:rPr>
          <w:rFonts w:ascii="Book Antiqua" w:hAnsi="Book Antiqua"/>
          <w:sz w:val="24"/>
          <w:szCs w:val="24"/>
          <w:lang w:val="en-US"/>
        </w:rPr>
        <w:t xml:space="preserve"> </w:t>
      </w:r>
      <w:r w:rsidRPr="00CC6129">
        <w:rPr>
          <w:rFonts w:ascii="Book Antiqua" w:hAnsi="Book Antiqua"/>
          <w:sz w:val="24"/>
          <w:szCs w:val="24"/>
          <w:lang w:val="en-US"/>
        </w:rPr>
        <w:t>Eastern Cooperative Oncology Group performa</w:t>
      </w:r>
      <w:r w:rsidR="00B470F0">
        <w:rPr>
          <w:rFonts w:ascii="Book Antiqua" w:hAnsi="Book Antiqua"/>
          <w:sz w:val="24"/>
          <w:szCs w:val="24"/>
          <w:lang w:val="en-US"/>
        </w:rPr>
        <w:t>nce status;</w:t>
      </w:r>
      <w:r w:rsidR="00B470F0">
        <w:rPr>
          <w:rFonts w:ascii="Book Antiqua" w:hAnsi="Book Antiqua" w:hint="eastAsia"/>
          <w:sz w:val="24"/>
          <w:szCs w:val="24"/>
          <w:lang w:val="en-US" w:eastAsia="zh-CN"/>
        </w:rPr>
        <w:t xml:space="preserve"> </w:t>
      </w:r>
      <w:r w:rsidR="00B470F0">
        <w:rPr>
          <w:rFonts w:ascii="Book Antiqua" w:hAnsi="Book Antiqua"/>
          <w:sz w:val="24"/>
          <w:szCs w:val="24"/>
          <w:lang w:val="en-US"/>
        </w:rPr>
        <w:t xml:space="preserve">HR: Hazard ratio; </w:t>
      </w:r>
      <w:r w:rsidR="00B470F0" w:rsidRPr="00CC6129">
        <w:rPr>
          <w:rFonts w:ascii="Book Antiqua" w:hAnsi="Book Antiqua"/>
          <w:sz w:val="24"/>
          <w:szCs w:val="24"/>
          <w:lang w:val="en-US"/>
        </w:rPr>
        <w:t>T2D: Type 2 diabetes; IGT: Impaired glucose t</w:t>
      </w:r>
      <w:r w:rsidR="00B470F0">
        <w:rPr>
          <w:rFonts w:ascii="Book Antiqua" w:hAnsi="Book Antiqua"/>
          <w:sz w:val="24"/>
          <w:szCs w:val="24"/>
          <w:lang w:val="en-US"/>
        </w:rPr>
        <w:t>olerance</w:t>
      </w:r>
      <w:r w:rsidR="00B470F0">
        <w:rPr>
          <w:rFonts w:ascii="Book Antiqua" w:hAnsi="Book Antiqua" w:hint="eastAsia"/>
          <w:sz w:val="24"/>
          <w:szCs w:val="24"/>
          <w:lang w:val="en-US" w:eastAsia="zh-CN"/>
        </w:rPr>
        <w:t>;</w:t>
      </w:r>
      <w:r w:rsidR="00D233DB">
        <w:rPr>
          <w:rFonts w:ascii="Book Antiqua" w:hAnsi="Book Antiqua" w:hint="eastAsia"/>
          <w:sz w:val="24"/>
          <w:szCs w:val="24"/>
          <w:lang w:val="en-US" w:eastAsia="zh-CN"/>
        </w:rPr>
        <w:t xml:space="preserve"> </w:t>
      </w:r>
      <w:r w:rsidR="00B470F0" w:rsidRPr="00B470F0">
        <w:rPr>
          <w:rFonts w:ascii="Book Antiqua" w:hAnsi="Book Antiqua" w:hint="eastAsia"/>
          <w:caps/>
          <w:sz w:val="24"/>
          <w:szCs w:val="24"/>
          <w:lang w:val="en-US" w:eastAsia="zh-CN"/>
        </w:rPr>
        <w:t>vte</w:t>
      </w:r>
      <w:r w:rsidR="00B470F0" w:rsidRPr="00B470F0">
        <w:rPr>
          <w:rFonts w:ascii="Book Antiqua" w:hAnsi="Book Antiqua" w:hint="eastAsia"/>
          <w:sz w:val="24"/>
          <w:szCs w:val="24"/>
          <w:lang w:val="en-US" w:eastAsia="zh-CN"/>
        </w:rPr>
        <w:t xml:space="preserve">: </w:t>
      </w:r>
      <w:r w:rsidR="00B470F0" w:rsidRPr="00B470F0">
        <w:rPr>
          <w:rFonts w:ascii="Book Antiqua" w:hAnsi="Book Antiqua"/>
          <w:caps/>
          <w:sz w:val="24"/>
          <w:szCs w:val="24"/>
          <w:lang w:val="en-US" w:eastAsia="zh-CN"/>
        </w:rPr>
        <w:t>v</w:t>
      </w:r>
      <w:r w:rsidR="00B470F0" w:rsidRPr="00B470F0">
        <w:rPr>
          <w:rFonts w:ascii="Book Antiqua" w:hAnsi="Book Antiqua"/>
          <w:sz w:val="24"/>
          <w:szCs w:val="24"/>
          <w:lang w:val="en-US" w:eastAsia="zh-CN"/>
        </w:rPr>
        <w:t>enous thromboembolism</w:t>
      </w:r>
      <w:r w:rsidR="00B470F0" w:rsidRPr="00B470F0">
        <w:rPr>
          <w:rFonts w:ascii="Book Antiqua" w:hAnsi="Book Antiqua" w:hint="eastAsia"/>
          <w:sz w:val="24"/>
          <w:szCs w:val="24"/>
          <w:lang w:val="en-US" w:eastAsia="zh-CN"/>
        </w:rPr>
        <w:t>.</w:t>
      </w:r>
    </w:p>
    <w:p w:rsidR="004A4B97" w:rsidRPr="00CC6129" w:rsidRDefault="004A4B97" w:rsidP="0010680C">
      <w:pPr>
        <w:pStyle w:val="BodyText"/>
        <w:snapToGrid w:val="0"/>
        <w:spacing w:after="0" w:line="360" w:lineRule="auto"/>
        <w:ind w:right="-1"/>
        <w:jc w:val="both"/>
        <w:rPr>
          <w:rFonts w:ascii="Book Antiqua" w:hAnsi="Book Antiqua"/>
          <w:b/>
          <w:bCs/>
          <w:lang w:val="en-US"/>
        </w:rPr>
      </w:pPr>
      <w:r w:rsidRPr="00CC6129">
        <w:rPr>
          <w:rFonts w:ascii="Book Antiqua" w:hAnsi="Book Antiqua"/>
          <w:b/>
          <w:bCs/>
          <w:lang w:val="en-US"/>
        </w:rPr>
        <w:br w:type="page"/>
      </w:r>
    </w:p>
    <w:p w:rsidR="00CE44EB" w:rsidRPr="00CC6129" w:rsidRDefault="00CE44EB" w:rsidP="0010680C">
      <w:pPr>
        <w:snapToGrid w:val="0"/>
        <w:spacing w:after="0" w:line="360" w:lineRule="auto"/>
        <w:jc w:val="both"/>
        <w:rPr>
          <w:rFonts w:ascii="Book Antiqua" w:hAnsi="Book Antiqua"/>
          <w:sz w:val="24"/>
          <w:szCs w:val="24"/>
          <w:lang w:val="en-US"/>
        </w:rPr>
        <w:sectPr w:rsidR="00CE44EB" w:rsidRPr="00CC6129" w:rsidSect="003471E6">
          <w:pgSz w:w="11906" w:h="16838"/>
          <w:pgMar w:top="1134" w:right="567" w:bottom="1134" w:left="851" w:header="709" w:footer="709" w:gutter="0"/>
          <w:cols w:space="708"/>
          <w:docGrid w:linePitch="360"/>
        </w:sectPr>
      </w:pPr>
    </w:p>
    <w:p w:rsidR="00A0467A" w:rsidRDefault="00B84A8D" w:rsidP="0010680C">
      <w:pPr>
        <w:tabs>
          <w:tab w:val="left" w:pos="1418"/>
          <w:tab w:val="left" w:pos="15026"/>
        </w:tabs>
        <w:snapToGrid w:val="0"/>
        <w:spacing w:after="0" w:line="360" w:lineRule="auto"/>
        <w:ind w:left="1418" w:right="74" w:hanging="1418"/>
        <w:jc w:val="both"/>
        <w:rPr>
          <w:rFonts w:ascii="Book Antiqua" w:hAnsi="Book Antiqua"/>
          <w:sz w:val="24"/>
          <w:szCs w:val="24"/>
          <w:lang w:val="en-US" w:eastAsia="zh-CN"/>
        </w:rPr>
      </w:pPr>
      <w:r w:rsidRPr="00CC6129">
        <w:rPr>
          <w:rFonts w:ascii="Book Antiqua" w:hAnsi="Book Antiqua"/>
          <w:noProof/>
          <w:sz w:val="24"/>
          <w:szCs w:val="24"/>
          <w:lang w:val="en-US" w:eastAsia="zh-CN"/>
        </w:rPr>
        <w:lastRenderedPageBreak/>
        <w:drawing>
          <wp:inline distT="0" distB="0" distL="0" distR="0">
            <wp:extent cx="4285615" cy="687768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5615" cy="6877685"/>
                    </a:xfrm>
                    <a:prstGeom prst="rect">
                      <a:avLst/>
                    </a:prstGeom>
                    <a:noFill/>
                    <a:ln w="9525">
                      <a:noFill/>
                      <a:miter lim="800000"/>
                      <a:headEnd/>
                      <a:tailEnd/>
                    </a:ln>
                  </pic:spPr>
                </pic:pic>
              </a:graphicData>
            </a:graphic>
          </wp:inline>
        </w:drawing>
      </w:r>
    </w:p>
    <w:p w:rsidR="00A64A35" w:rsidRPr="00A64A35" w:rsidRDefault="00A64A35" w:rsidP="00A64A35">
      <w:pPr>
        <w:tabs>
          <w:tab w:val="left" w:pos="1418"/>
          <w:tab w:val="left" w:pos="15026"/>
        </w:tabs>
        <w:snapToGrid w:val="0"/>
        <w:spacing w:after="0" w:line="360" w:lineRule="auto"/>
        <w:ind w:right="74"/>
        <w:jc w:val="both"/>
        <w:rPr>
          <w:rFonts w:ascii="Book Antiqua" w:hAnsi="Book Antiqua"/>
          <w:sz w:val="24"/>
          <w:szCs w:val="24"/>
          <w:lang w:val="en-US" w:eastAsia="zh-CN"/>
        </w:rPr>
      </w:pPr>
      <w:r w:rsidRPr="00A64A35">
        <w:rPr>
          <w:rFonts w:ascii="Book Antiqua" w:hAnsi="Book Antiqua"/>
          <w:b/>
          <w:sz w:val="24"/>
          <w:szCs w:val="24"/>
          <w:lang w:val="en-US" w:eastAsia="zh-CN"/>
        </w:rPr>
        <w:t>Figure 1</w:t>
      </w:r>
      <w:r>
        <w:rPr>
          <w:rFonts w:ascii="Book Antiqua" w:hAnsi="Book Antiqua" w:hint="eastAsia"/>
          <w:b/>
          <w:sz w:val="24"/>
          <w:szCs w:val="24"/>
          <w:lang w:val="en-US" w:eastAsia="zh-CN"/>
        </w:rPr>
        <w:t xml:space="preserve"> </w:t>
      </w:r>
      <w:r w:rsidRPr="00A64A35">
        <w:rPr>
          <w:rFonts w:ascii="Book Antiqua" w:hAnsi="Book Antiqua"/>
          <w:b/>
          <w:sz w:val="24"/>
          <w:szCs w:val="24"/>
          <w:lang w:val="en-US" w:eastAsia="zh-CN"/>
        </w:rPr>
        <w:t xml:space="preserve">Kaplan–Meier curves of </w:t>
      </w:r>
      <w:r w:rsidRPr="00A64A35">
        <w:rPr>
          <w:rFonts w:ascii="Book Antiqua" w:hAnsi="Book Antiqua"/>
          <w:b/>
          <w:bCs/>
          <w:sz w:val="24"/>
          <w:szCs w:val="24"/>
          <w:lang w:val="en-US" w:eastAsia="zh-CN"/>
        </w:rPr>
        <w:t>venous thromboembolism</w:t>
      </w:r>
      <w:r w:rsidRPr="00A64A35">
        <w:rPr>
          <w:rFonts w:ascii="Book Antiqua" w:hAnsi="Book Antiqua"/>
          <w:b/>
          <w:sz w:val="24"/>
          <w:szCs w:val="24"/>
          <w:lang w:val="en-US" w:eastAsia="zh-CN"/>
        </w:rPr>
        <w:t>-free survival of the whole cohort of gastrointestinal cancer patients.</w:t>
      </w:r>
      <w:r w:rsidRPr="00A64A35">
        <w:rPr>
          <w:rFonts w:ascii="Book Antiqua" w:hAnsi="Book Antiqua"/>
          <w:sz w:val="24"/>
          <w:szCs w:val="24"/>
          <w:lang w:val="en-US" w:eastAsia="zh-CN"/>
        </w:rPr>
        <w:t xml:space="preserve"> Comparison between patients stratified on HOMA index </w:t>
      </w:r>
      <w:r>
        <w:rPr>
          <w:rFonts w:ascii="Book Antiqua" w:hAnsi="Book Antiqua" w:hint="eastAsia"/>
          <w:sz w:val="24"/>
          <w:szCs w:val="24"/>
          <w:lang w:val="en-US" w:eastAsia="zh-CN"/>
        </w:rPr>
        <w:t>(</w:t>
      </w:r>
      <w:r w:rsidRPr="00A64A35">
        <w:rPr>
          <w:rFonts w:ascii="Book Antiqua" w:hAnsi="Book Antiqua"/>
          <w:sz w:val="24"/>
          <w:szCs w:val="24"/>
          <w:lang w:val="en-US" w:eastAsia="zh-CN"/>
        </w:rPr>
        <w:t>Panel A; HR</w:t>
      </w:r>
      <w:r>
        <w:rPr>
          <w:rFonts w:ascii="Book Antiqua" w:hAnsi="Book Antiqua" w:hint="eastAsia"/>
          <w:sz w:val="24"/>
          <w:szCs w:val="24"/>
          <w:lang w:val="en-US" w:eastAsia="zh-CN"/>
        </w:rPr>
        <w:t xml:space="preserve"> = </w:t>
      </w:r>
      <w:r w:rsidRPr="00A64A35">
        <w:rPr>
          <w:rFonts w:ascii="Book Antiqua" w:hAnsi="Book Antiqua"/>
          <w:sz w:val="24"/>
          <w:szCs w:val="24"/>
          <w:lang w:val="en-US" w:eastAsia="zh-CN"/>
        </w:rPr>
        <w:t>3.17</w:t>
      </w:r>
      <w:r>
        <w:rPr>
          <w:rFonts w:ascii="Book Antiqua" w:hAnsi="Book Antiqua" w:hint="eastAsia"/>
          <w:sz w:val="24"/>
          <w:szCs w:val="24"/>
          <w:lang w:val="en-US" w:eastAsia="zh-CN"/>
        </w:rPr>
        <w:t xml:space="preserve">, </w:t>
      </w:r>
      <w:r>
        <w:rPr>
          <w:rFonts w:ascii="Book Antiqua" w:hAnsi="Book Antiqua"/>
          <w:sz w:val="24"/>
          <w:szCs w:val="24"/>
          <w:lang w:val="en-US" w:eastAsia="zh-CN"/>
        </w:rPr>
        <w:t>95%CI</w:t>
      </w:r>
      <w:r w:rsidRPr="00A64A35">
        <w:rPr>
          <w:rFonts w:ascii="Book Antiqua" w:hAnsi="Book Antiqua"/>
          <w:sz w:val="24"/>
          <w:szCs w:val="24"/>
          <w:lang w:val="en-US" w:eastAsia="zh-CN"/>
        </w:rPr>
        <w:t>: 1.61</w:t>
      </w:r>
      <w:r>
        <w:rPr>
          <w:rFonts w:ascii="Book Antiqua" w:hAnsi="Book Antiqua" w:hint="eastAsia"/>
          <w:sz w:val="24"/>
          <w:szCs w:val="24"/>
          <w:lang w:val="en-US" w:eastAsia="zh-CN"/>
        </w:rPr>
        <w:t>-</w:t>
      </w:r>
      <w:r w:rsidRPr="00A64A35">
        <w:rPr>
          <w:rFonts w:ascii="Book Antiqua" w:hAnsi="Book Antiqua"/>
          <w:sz w:val="24"/>
          <w:szCs w:val="24"/>
          <w:lang w:val="en-US" w:eastAsia="zh-CN"/>
        </w:rPr>
        <w:t>6.23</w:t>
      </w:r>
      <w:r>
        <w:rPr>
          <w:rFonts w:ascii="Book Antiqua" w:hAnsi="Book Antiqua" w:hint="eastAsia"/>
          <w:sz w:val="24"/>
          <w:szCs w:val="24"/>
          <w:lang w:val="en-US" w:eastAsia="zh-CN"/>
        </w:rPr>
        <w:t>)</w:t>
      </w:r>
      <w:r w:rsidRPr="00A64A35">
        <w:rPr>
          <w:rFonts w:ascii="Book Antiqua" w:hAnsi="Book Antiqua"/>
          <w:sz w:val="24"/>
          <w:szCs w:val="24"/>
          <w:lang w:val="en-US" w:eastAsia="zh-CN"/>
        </w:rPr>
        <w:t xml:space="preserve"> or fasting blood glucose (Panel B; HR</w:t>
      </w:r>
      <w:r>
        <w:rPr>
          <w:rFonts w:ascii="Book Antiqua" w:hAnsi="Book Antiqua" w:hint="eastAsia"/>
          <w:sz w:val="24"/>
          <w:szCs w:val="24"/>
          <w:lang w:val="en-US" w:eastAsia="zh-CN"/>
        </w:rPr>
        <w:t xml:space="preserve"> = </w:t>
      </w:r>
      <w:r w:rsidRPr="00A64A35">
        <w:rPr>
          <w:rFonts w:ascii="Book Antiqua" w:hAnsi="Book Antiqua"/>
          <w:sz w:val="24"/>
          <w:szCs w:val="24"/>
          <w:lang w:val="en-US" w:eastAsia="zh-CN"/>
        </w:rPr>
        <w:t>4.21</w:t>
      </w:r>
      <w:r>
        <w:rPr>
          <w:rFonts w:ascii="Book Antiqua" w:hAnsi="Book Antiqua" w:hint="eastAsia"/>
          <w:sz w:val="24"/>
          <w:szCs w:val="24"/>
          <w:lang w:val="en-US" w:eastAsia="zh-CN"/>
        </w:rPr>
        <w:t>,</w:t>
      </w:r>
      <w:r w:rsidRPr="00A64A35">
        <w:rPr>
          <w:rFonts w:ascii="Book Antiqua" w:hAnsi="Book Antiqua"/>
          <w:sz w:val="24"/>
          <w:szCs w:val="24"/>
          <w:lang w:val="en-US" w:eastAsia="zh-CN"/>
        </w:rPr>
        <w:t xml:space="preserve"> </w:t>
      </w:r>
      <w:r>
        <w:rPr>
          <w:rFonts w:ascii="Book Antiqua" w:hAnsi="Book Antiqua"/>
          <w:sz w:val="24"/>
          <w:szCs w:val="24"/>
          <w:lang w:val="en-US" w:eastAsia="zh-CN"/>
        </w:rPr>
        <w:t>95%CI</w:t>
      </w:r>
      <w:r w:rsidRPr="00A64A35">
        <w:rPr>
          <w:rFonts w:ascii="Book Antiqua" w:hAnsi="Book Antiqua"/>
          <w:sz w:val="24"/>
          <w:szCs w:val="24"/>
          <w:lang w:val="en-US" w:eastAsia="zh-CN"/>
        </w:rPr>
        <w:t>: 2.09</w:t>
      </w:r>
      <w:r>
        <w:rPr>
          <w:rFonts w:ascii="Book Antiqua" w:hAnsi="Book Antiqua" w:hint="eastAsia"/>
          <w:sz w:val="24"/>
          <w:szCs w:val="24"/>
          <w:lang w:val="en-US" w:eastAsia="zh-CN"/>
        </w:rPr>
        <w:t>-</w:t>
      </w:r>
      <w:r w:rsidRPr="00A64A35">
        <w:rPr>
          <w:rFonts w:ascii="Book Antiqua" w:hAnsi="Book Antiqua"/>
          <w:sz w:val="24"/>
          <w:szCs w:val="24"/>
          <w:lang w:val="en-US" w:eastAsia="zh-CN"/>
        </w:rPr>
        <w:t>8.46</w:t>
      </w:r>
      <w:r>
        <w:rPr>
          <w:rFonts w:ascii="Book Antiqua" w:hAnsi="Book Antiqua"/>
          <w:sz w:val="24"/>
          <w:szCs w:val="24"/>
          <w:lang w:val="en-US" w:eastAsia="zh-CN"/>
        </w:rPr>
        <w:t>)</w:t>
      </w:r>
      <w:r w:rsidRPr="00A64A35">
        <w:rPr>
          <w:rFonts w:ascii="Book Antiqua" w:hAnsi="Book Antiqua"/>
          <w:sz w:val="24"/>
          <w:szCs w:val="24"/>
          <w:lang w:val="en-US" w:eastAsia="zh-CN"/>
        </w:rPr>
        <w:t>.</w:t>
      </w:r>
    </w:p>
    <w:p w:rsidR="00A64A35" w:rsidRPr="00A64A35" w:rsidRDefault="00A64A35" w:rsidP="0010680C">
      <w:pPr>
        <w:tabs>
          <w:tab w:val="left" w:pos="1418"/>
          <w:tab w:val="left" w:pos="15026"/>
        </w:tabs>
        <w:snapToGrid w:val="0"/>
        <w:spacing w:after="0" w:line="360" w:lineRule="auto"/>
        <w:ind w:left="1418" w:right="74" w:hanging="1418"/>
        <w:jc w:val="both"/>
        <w:rPr>
          <w:rFonts w:ascii="Book Antiqua" w:hAnsi="Book Antiqua"/>
          <w:sz w:val="24"/>
          <w:szCs w:val="24"/>
          <w:lang w:val="en-US" w:eastAsia="zh-CN"/>
        </w:rPr>
      </w:pPr>
    </w:p>
    <w:p w:rsidR="00A0467A" w:rsidRPr="00CC6129" w:rsidRDefault="00A0467A" w:rsidP="0010680C">
      <w:pPr>
        <w:snapToGrid w:val="0"/>
        <w:spacing w:after="0" w:line="360" w:lineRule="auto"/>
        <w:jc w:val="both"/>
        <w:rPr>
          <w:rFonts w:ascii="Book Antiqua" w:hAnsi="Book Antiqua"/>
          <w:b/>
          <w:sz w:val="24"/>
          <w:szCs w:val="24"/>
          <w:lang w:val="en-US"/>
        </w:rPr>
      </w:pPr>
      <w:r w:rsidRPr="00CC6129">
        <w:rPr>
          <w:rFonts w:ascii="Book Antiqua" w:hAnsi="Book Antiqua"/>
          <w:b/>
          <w:sz w:val="24"/>
          <w:szCs w:val="24"/>
          <w:lang w:val="en-US"/>
        </w:rPr>
        <w:br w:type="page"/>
      </w:r>
    </w:p>
    <w:p w:rsidR="001E2B81" w:rsidRDefault="00B84A8D" w:rsidP="0010680C">
      <w:pPr>
        <w:snapToGrid w:val="0"/>
        <w:spacing w:after="0" w:line="360" w:lineRule="auto"/>
        <w:jc w:val="both"/>
        <w:rPr>
          <w:rFonts w:ascii="Book Antiqua" w:hAnsi="Book Antiqua"/>
          <w:sz w:val="24"/>
          <w:szCs w:val="24"/>
          <w:lang w:val="en-US" w:eastAsia="zh-CN"/>
        </w:rPr>
      </w:pPr>
      <w:r w:rsidRPr="00CC6129">
        <w:rPr>
          <w:rFonts w:ascii="Book Antiqua" w:hAnsi="Book Antiqua"/>
          <w:noProof/>
          <w:sz w:val="24"/>
          <w:szCs w:val="24"/>
          <w:lang w:val="en-US" w:eastAsia="zh-CN"/>
        </w:rPr>
        <w:lastRenderedPageBreak/>
        <w:drawing>
          <wp:inline distT="0" distB="0" distL="0" distR="0">
            <wp:extent cx="4282578" cy="6806316"/>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2578" cy="6806316"/>
                    </a:xfrm>
                    <a:prstGeom prst="rect">
                      <a:avLst/>
                    </a:prstGeom>
                    <a:noFill/>
                    <a:ln w="9525">
                      <a:noFill/>
                      <a:miter lim="800000"/>
                      <a:headEnd/>
                      <a:tailEnd/>
                    </a:ln>
                  </pic:spPr>
                </pic:pic>
              </a:graphicData>
            </a:graphic>
          </wp:inline>
        </w:drawing>
      </w:r>
    </w:p>
    <w:p w:rsidR="00BD6F4B" w:rsidRPr="00CC6129" w:rsidRDefault="00BD6F4B" w:rsidP="00BD6F4B">
      <w:pPr>
        <w:tabs>
          <w:tab w:val="left" w:pos="1418"/>
          <w:tab w:val="left" w:pos="15026"/>
        </w:tabs>
        <w:snapToGrid w:val="0"/>
        <w:spacing w:after="0" w:line="360" w:lineRule="auto"/>
        <w:ind w:right="74"/>
        <w:jc w:val="both"/>
        <w:rPr>
          <w:rFonts w:ascii="Book Antiqua" w:hAnsi="Book Antiqua"/>
          <w:sz w:val="24"/>
          <w:szCs w:val="24"/>
          <w:lang w:val="en-US"/>
        </w:rPr>
      </w:pPr>
      <w:r w:rsidRPr="00CC6129">
        <w:rPr>
          <w:rFonts w:ascii="Book Antiqua" w:hAnsi="Book Antiqua"/>
          <w:b/>
          <w:sz w:val="24"/>
          <w:szCs w:val="24"/>
          <w:lang w:val="en-US"/>
        </w:rPr>
        <w:t>Figure 2</w:t>
      </w:r>
      <w:r>
        <w:rPr>
          <w:rFonts w:ascii="Book Antiqua" w:hAnsi="Book Antiqua" w:hint="eastAsia"/>
          <w:b/>
          <w:sz w:val="24"/>
          <w:szCs w:val="24"/>
          <w:lang w:val="en-US" w:eastAsia="zh-CN"/>
        </w:rPr>
        <w:t xml:space="preserve"> </w:t>
      </w:r>
      <w:r w:rsidRPr="00CC6129">
        <w:rPr>
          <w:rFonts w:ascii="Book Antiqua" w:hAnsi="Book Antiqua"/>
          <w:b/>
          <w:sz w:val="24"/>
          <w:szCs w:val="24"/>
          <w:lang w:val="en-US"/>
        </w:rPr>
        <w:t xml:space="preserve">Kaplan–Meier curves of </w:t>
      </w:r>
      <w:r w:rsidRPr="00C125FC">
        <w:rPr>
          <w:rFonts w:ascii="Book Antiqua" w:hAnsi="Book Antiqua"/>
          <w:b/>
          <w:bCs/>
          <w:sz w:val="24"/>
          <w:szCs w:val="24"/>
          <w:lang w:val="en-US"/>
        </w:rPr>
        <w:t>venous thromboembolism</w:t>
      </w:r>
      <w:r w:rsidRPr="00CC6129">
        <w:rPr>
          <w:rFonts w:ascii="Book Antiqua" w:hAnsi="Book Antiqua"/>
          <w:b/>
          <w:sz w:val="24"/>
          <w:szCs w:val="24"/>
          <w:lang w:val="en-US"/>
        </w:rPr>
        <w:t>-free survival of non-diabetic non-obese gastrointestinal cancer patients.</w:t>
      </w:r>
      <w:r w:rsidR="00CD450D">
        <w:rPr>
          <w:rFonts w:ascii="Book Antiqua" w:hAnsi="Book Antiqua" w:hint="eastAsia"/>
          <w:sz w:val="24"/>
          <w:szCs w:val="24"/>
          <w:lang w:val="en-US" w:eastAsia="zh-CN"/>
        </w:rPr>
        <w:t xml:space="preserve"> </w:t>
      </w:r>
      <w:r w:rsidRPr="00CC6129">
        <w:rPr>
          <w:rFonts w:ascii="Book Antiqua" w:hAnsi="Book Antiqua"/>
          <w:sz w:val="24"/>
          <w:szCs w:val="24"/>
          <w:lang w:val="en-US"/>
        </w:rPr>
        <w:t>Comparison between patients stratified on HOMA index (Panel A; HR</w:t>
      </w:r>
      <w:r>
        <w:rPr>
          <w:rFonts w:ascii="Book Antiqua" w:hAnsi="Book Antiqua" w:hint="eastAsia"/>
          <w:sz w:val="24"/>
          <w:szCs w:val="24"/>
          <w:lang w:val="en-US" w:eastAsia="zh-CN"/>
        </w:rPr>
        <w:t xml:space="preserve"> = </w:t>
      </w:r>
      <w:r w:rsidRPr="00CC6129">
        <w:rPr>
          <w:rFonts w:ascii="Book Antiqua" w:hAnsi="Book Antiqua"/>
          <w:sz w:val="24"/>
          <w:szCs w:val="24"/>
          <w:lang w:val="en-US"/>
        </w:rPr>
        <w:t>2.67</w:t>
      </w:r>
      <w:r>
        <w:rPr>
          <w:rFonts w:ascii="Book Antiqua" w:hAnsi="Book Antiqua" w:hint="eastAsia"/>
          <w:sz w:val="24"/>
          <w:szCs w:val="24"/>
          <w:lang w:val="en-US" w:eastAsia="zh-CN"/>
        </w:rPr>
        <w:t>,</w:t>
      </w:r>
      <w:r w:rsidRPr="00CC6129">
        <w:rPr>
          <w:rFonts w:ascii="Book Antiqua" w:hAnsi="Book Antiqua"/>
          <w:sz w:val="24"/>
          <w:szCs w:val="24"/>
          <w:lang w:val="en-US"/>
        </w:rPr>
        <w:t xml:space="preserve"> </w:t>
      </w:r>
      <w:r>
        <w:rPr>
          <w:rFonts w:ascii="Book Antiqua" w:hAnsi="Book Antiqua"/>
          <w:sz w:val="24"/>
          <w:szCs w:val="24"/>
          <w:lang w:val="en-US"/>
        </w:rPr>
        <w:t>95%CI</w:t>
      </w:r>
      <w:r w:rsidRPr="00CC6129">
        <w:rPr>
          <w:rFonts w:ascii="Book Antiqua" w:hAnsi="Book Antiqua"/>
          <w:sz w:val="24"/>
          <w:szCs w:val="24"/>
          <w:lang w:val="en-US"/>
        </w:rPr>
        <w:t>: 1.05</w:t>
      </w:r>
      <w:r>
        <w:rPr>
          <w:rFonts w:ascii="Book Antiqua" w:hAnsi="Book Antiqua" w:hint="eastAsia"/>
          <w:sz w:val="24"/>
          <w:szCs w:val="24"/>
          <w:lang w:val="en-US" w:eastAsia="zh-CN"/>
        </w:rPr>
        <w:t>-</w:t>
      </w:r>
      <w:r w:rsidRPr="00CC6129">
        <w:rPr>
          <w:rFonts w:ascii="Book Antiqua" w:hAnsi="Book Antiqua"/>
          <w:sz w:val="24"/>
          <w:szCs w:val="24"/>
          <w:lang w:val="en-US"/>
        </w:rPr>
        <w:t>6.80)</w:t>
      </w:r>
      <w:r>
        <w:rPr>
          <w:rFonts w:ascii="Book Antiqua" w:hAnsi="Book Antiqua" w:hint="eastAsia"/>
          <w:sz w:val="24"/>
          <w:szCs w:val="24"/>
          <w:lang w:val="en-US" w:eastAsia="zh-CN"/>
        </w:rPr>
        <w:t xml:space="preserve"> </w:t>
      </w:r>
      <w:r>
        <w:rPr>
          <w:rFonts w:ascii="Book Antiqua" w:hAnsi="Book Antiqua"/>
          <w:sz w:val="24"/>
          <w:szCs w:val="24"/>
          <w:lang w:val="en-US"/>
        </w:rPr>
        <w:t xml:space="preserve">or fasting blood glucose </w:t>
      </w:r>
      <w:r w:rsidRPr="00CC6129">
        <w:rPr>
          <w:rFonts w:ascii="Book Antiqua" w:hAnsi="Book Antiqua"/>
          <w:sz w:val="24"/>
          <w:szCs w:val="24"/>
          <w:lang w:val="en-US"/>
        </w:rPr>
        <w:t>(Panel B; HR</w:t>
      </w:r>
      <w:r>
        <w:rPr>
          <w:rFonts w:ascii="Book Antiqua" w:hAnsi="Book Antiqua" w:hint="eastAsia"/>
          <w:sz w:val="24"/>
          <w:szCs w:val="24"/>
          <w:lang w:val="en-US" w:eastAsia="zh-CN"/>
        </w:rPr>
        <w:t xml:space="preserve"> = </w:t>
      </w:r>
      <w:r w:rsidRPr="00CC6129">
        <w:rPr>
          <w:rFonts w:ascii="Book Antiqua" w:hAnsi="Book Antiqua"/>
          <w:sz w:val="24"/>
          <w:szCs w:val="24"/>
          <w:lang w:val="en-US"/>
        </w:rPr>
        <w:t xml:space="preserve">3.38 </w:t>
      </w:r>
      <w:r>
        <w:rPr>
          <w:rFonts w:ascii="Book Antiqua" w:hAnsi="Book Antiqua"/>
          <w:sz w:val="24"/>
          <w:szCs w:val="24"/>
          <w:lang w:val="en-US"/>
        </w:rPr>
        <w:t>95%CI</w:t>
      </w:r>
      <w:r w:rsidRPr="00CC6129">
        <w:rPr>
          <w:rFonts w:ascii="Book Antiqua" w:hAnsi="Book Antiqua"/>
          <w:sz w:val="24"/>
          <w:szCs w:val="24"/>
          <w:lang w:val="en-US"/>
        </w:rPr>
        <w:t>: 1.19</w:t>
      </w:r>
      <w:r>
        <w:rPr>
          <w:rFonts w:ascii="Book Antiqua" w:hAnsi="Book Antiqua" w:hint="eastAsia"/>
          <w:sz w:val="24"/>
          <w:szCs w:val="24"/>
          <w:lang w:val="en-US" w:eastAsia="zh-CN"/>
        </w:rPr>
        <w:t>-</w:t>
      </w:r>
      <w:r w:rsidRPr="00CC6129">
        <w:rPr>
          <w:rFonts w:ascii="Book Antiqua" w:hAnsi="Book Antiqua"/>
          <w:sz w:val="24"/>
          <w:szCs w:val="24"/>
          <w:lang w:val="en-US"/>
        </w:rPr>
        <w:t>9.57).</w:t>
      </w:r>
    </w:p>
    <w:p w:rsidR="00BD6F4B" w:rsidRPr="00BD6F4B" w:rsidRDefault="00BD6F4B" w:rsidP="0010680C">
      <w:pPr>
        <w:snapToGrid w:val="0"/>
        <w:spacing w:after="0" w:line="360" w:lineRule="auto"/>
        <w:jc w:val="both"/>
        <w:rPr>
          <w:rFonts w:ascii="Book Antiqua" w:hAnsi="Book Antiqua"/>
          <w:sz w:val="24"/>
          <w:szCs w:val="24"/>
          <w:lang w:val="en-US" w:eastAsia="zh-CN"/>
        </w:rPr>
      </w:pPr>
    </w:p>
    <w:sectPr w:rsidR="00BD6F4B" w:rsidRPr="00BD6F4B" w:rsidSect="008820E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B28" w:rsidRDefault="00392B28" w:rsidP="009705AD">
      <w:pPr>
        <w:spacing w:after="0" w:line="240" w:lineRule="auto"/>
      </w:pPr>
      <w:r>
        <w:separator/>
      </w:r>
    </w:p>
  </w:endnote>
  <w:endnote w:type="continuationSeparator" w:id="0">
    <w:p w:rsidR="00392B28" w:rsidRDefault="00392B28" w:rsidP="0097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B28" w:rsidRDefault="00392B28" w:rsidP="009705AD">
      <w:pPr>
        <w:spacing w:after="0" w:line="240" w:lineRule="auto"/>
      </w:pPr>
      <w:r>
        <w:separator/>
      </w:r>
    </w:p>
  </w:footnote>
  <w:footnote w:type="continuationSeparator" w:id="0">
    <w:p w:rsidR="00392B28" w:rsidRDefault="00392B28" w:rsidP="00970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3B" w:rsidRDefault="004F713B" w:rsidP="003471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13B" w:rsidRDefault="004F713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3B" w:rsidRDefault="004F713B" w:rsidP="003471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714">
      <w:rPr>
        <w:rStyle w:val="PageNumber"/>
        <w:noProof/>
      </w:rPr>
      <w:t>29</w:t>
    </w:r>
    <w:r>
      <w:rPr>
        <w:rStyle w:val="PageNumber"/>
      </w:rPr>
      <w:fldChar w:fldCharType="end"/>
    </w:r>
  </w:p>
  <w:p w:rsidR="004F713B" w:rsidRDefault="004F713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93B86"/>
    <w:multiLevelType w:val="hybridMultilevel"/>
    <w:tmpl w:val="A918AA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A1"/>
    <w:rsid w:val="0000339E"/>
    <w:rsid w:val="00005BDD"/>
    <w:rsid w:val="00006AEB"/>
    <w:rsid w:val="00010F00"/>
    <w:rsid w:val="00022317"/>
    <w:rsid w:val="0003768F"/>
    <w:rsid w:val="0004053B"/>
    <w:rsid w:val="000475A1"/>
    <w:rsid w:val="0005114A"/>
    <w:rsid w:val="00054804"/>
    <w:rsid w:val="00060269"/>
    <w:rsid w:val="000730D3"/>
    <w:rsid w:val="00080048"/>
    <w:rsid w:val="00090263"/>
    <w:rsid w:val="00095D44"/>
    <w:rsid w:val="00096CD2"/>
    <w:rsid w:val="00097697"/>
    <w:rsid w:val="000A03F6"/>
    <w:rsid w:val="000B6ACD"/>
    <w:rsid w:val="000C5247"/>
    <w:rsid w:val="000C7FE9"/>
    <w:rsid w:val="000E0BDD"/>
    <w:rsid w:val="000F4264"/>
    <w:rsid w:val="000F7772"/>
    <w:rsid w:val="000F7E34"/>
    <w:rsid w:val="0010680C"/>
    <w:rsid w:val="0010711C"/>
    <w:rsid w:val="00110812"/>
    <w:rsid w:val="0014568F"/>
    <w:rsid w:val="0015266B"/>
    <w:rsid w:val="00155FFB"/>
    <w:rsid w:val="001620CB"/>
    <w:rsid w:val="0016558B"/>
    <w:rsid w:val="00166D89"/>
    <w:rsid w:val="00170C01"/>
    <w:rsid w:val="0017554B"/>
    <w:rsid w:val="00181F72"/>
    <w:rsid w:val="0018517D"/>
    <w:rsid w:val="001A4E47"/>
    <w:rsid w:val="001B1585"/>
    <w:rsid w:val="001E2B81"/>
    <w:rsid w:val="001E63A7"/>
    <w:rsid w:val="0020314E"/>
    <w:rsid w:val="002031DD"/>
    <w:rsid w:val="00204E6B"/>
    <w:rsid w:val="00211641"/>
    <w:rsid w:val="00217A46"/>
    <w:rsid w:val="00235587"/>
    <w:rsid w:val="00236558"/>
    <w:rsid w:val="00237438"/>
    <w:rsid w:val="002417C4"/>
    <w:rsid w:val="00264C41"/>
    <w:rsid w:val="00272767"/>
    <w:rsid w:val="0027576F"/>
    <w:rsid w:val="002B4CB1"/>
    <w:rsid w:val="002C0FD9"/>
    <w:rsid w:val="002D51E5"/>
    <w:rsid w:val="002E1D1D"/>
    <w:rsid w:val="002E4389"/>
    <w:rsid w:val="002F6910"/>
    <w:rsid w:val="003017D9"/>
    <w:rsid w:val="00311D7A"/>
    <w:rsid w:val="0031492E"/>
    <w:rsid w:val="003267DB"/>
    <w:rsid w:val="003471E6"/>
    <w:rsid w:val="0035030B"/>
    <w:rsid w:val="0035531A"/>
    <w:rsid w:val="00366230"/>
    <w:rsid w:val="003664C2"/>
    <w:rsid w:val="00367EC9"/>
    <w:rsid w:val="00372065"/>
    <w:rsid w:val="00383475"/>
    <w:rsid w:val="00392B28"/>
    <w:rsid w:val="00397D93"/>
    <w:rsid w:val="003A0627"/>
    <w:rsid w:val="003A48C9"/>
    <w:rsid w:val="003A7B25"/>
    <w:rsid w:val="003B6726"/>
    <w:rsid w:val="003B78E2"/>
    <w:rsid w:val="003C38DC"/>
    <w:rsid w:val="003C6168"/>
    <w:rsid w:val="003C6E97"/>
    <w:rsid w:val="003D14BA"/>
    <w:rsid w:val="003E06BC"/>
    <w:rsid w:val="003F033E"/>
    <w:rsid w:val="003F3175"/>
    <w:rsid w:val="0040190C"/>
    <w:rsid w:val="00401F52"/>
    <w:rsid w:val="00403934"/>
    <w:rsid w:val="00413385"/>
    <w:rsid w:val="00413DD8"/>
    <w:rsid w:val="004344D0"/>
    <w:rsid w:val="004425E2"/>
    <w:rsid w:val="00443DB9"/>
    <w:rsid w:val="004447BA"/>
    <w:rsid w:val="00460BFE"/>
    <w:rsid w:val="00491BAA"/>
    <w:rsid w:val="004945D4"/>
    <w:rsid w:val="004A4B97"/>
    <w:rsid w:val="004A6CD9"/>
    <w:rsid w:val="004B393B"/>
    <w:rsid w:val="004B6003"/>
    <w:rsid w:val="004C2707"/>
    <w:rsid w:val="004C4668"/>
    <w:rsid w:val="004C64B7"/>
    <w:rsid w:val="004D7F9B"/>
    <w:rsid w:val="004E1968"/>
    <w:rsid w:val="004E7716"/>
    <w:rsid w:val="004F20CA"/>
    <w:rsid w:val="004F713B"/>
    <w:rsid w:val="005004B1"/>
    <w:rsid w:val="005021E3"/>
    <w:rsid w:val="00516136"/>
    <w:rsid w:val="00521520"/>
    <w:rsid w:val="00534713"/>
    <w:rsid w:val="0054453F"/>
    <w:rsid w:val="00555F24"/>
    <w:rsid w:val="005716FA"/>
    <w:rsid w:val="005732F5"/>
    <w:rsid w:val="00576714"/>
    <w:rsid w:val="005803AB"/>
    <w:rsid w:val="005A0313"/>
    <w:rsid w:val="005A167F"/>
    <w:rsid w:val="005B59A0"/>
    <w:rsid w:val="005C04FB"/>
    <w:rsid w:val="005C61E6"/>
    <w:rsid w:val="005C728B"/>
    <w:rsid w:val="005D68BA"/>
    <w:rsid w:val="005D7EDB"/>
    <w:rsid w:val="005F52CA"/>
    <w:rsid w:val="005F6567"/>
    <w:rsid w:val="0060112E"/>
    <w:rsid w:val="0060777C"/>
    <w:rsid w:val="006117BF"/>
    <w:rsid w:val="00626FA4"/>
    <w:rsid w:val="00633150"/>
    <w:rsid w:val="00633534"/>
    <w:rsid w:val="0064421C"/>
    <w:rsid w:val="00661031"/>
    <w:rsid w:val="00661996"/>
    <w:rsid w:val="00681CD6"/>
    <w:rsid w:val="00690D57"/>
    <w:rsid w:val="006927FA"/>
    <w:rsid w:val="006933B2"/>
    <w:rsid w:val="00694A35"/>
    <w:rsid w:val="006A1D8A"/>
    <w:rsid w:val="006A24BA"/>
    <w:rsid w:val="006B0657"/>
    <w:rsid w:val="006B7EE0"/>
    <w:rsid w:val="006C65CA"/>
    <w:rsid w:val="006D679C"/>
    <w:rsid w:val="006F1817"/>
    <w:rsid w:val="00702F8B"/>
    <w:rsid w:val="00705C60"/>
    <w:rsid w:val="00707979"/>
    <w:rsid w:val="007103FE"/>
    <w:rsid w:val="00711A53"/>
    <w:rsid w:val="0071220B"/>
    <w:rsid w:val="0071796B"/>
    <w:rsid w:val="00720CC8"/>
    <w:rsid w:val="00723D04"/>
    <w:rsid w:val="0073522D"/>
    <w:rsid w:val="00744CF1"/>
    <w:rsid w:val="00750148"/>
    <w:rsid w:val="007504C9"/>
    <w:rsid w:val="00757A63"/>
    <w:rsid w:val="00762491"/>
    <w:rsid w:val="007639E2"/>
    <w:rsid w:val="007679BF"/>
    <w:rsid w:val="00773BDC"/>
    <w:rsid w:val="00774871"/>
    <w:rsid w:val="007928BF"/>
    <w:rsid w:val="007A15D3"/>
    <w:rsid w:val="007A31D9"/>
    <w:rsid w:val="007A56AC"/>
    <w:rsid w:val="007A60A8"/>
    <w:rsid w:val="007A79BB"/>
    <w:rsid w:val="007B05C6"/>
    <w:rsid w:val="007B0F0A"/>
    <w:rsid w:val="007B105D"/>
    <w:rsid w:val="007D6042"/>
    <w:rsid w:val="007E6D72"/>
    <w:rsid w:val="007F1C88"/>
    <w:rsid w:val="00801954"/>
    <w:rsid w:val="00815421"/>
    <w:rsid w:val="00836689"/>
    <w:rsid w:val="00836D3B"/>
    <w:rsid w:val="00841B06"/>
    <w:rsid w:val="00851E3B"/>
    <w:rsid w:val="008630D1"/>
    <w:rsid w:val="0086724A"/>
    <w:rsid w:val="00880B1B"/>
    <w:rsid w:val="008820EB"/>
    <w:rsid w:val="00883E24"/>
    <w:rsid w:val="008A2BEE"/>
    <w:rsid w:val="008B5A62"/>
    <w:rsid w:val="008B7D4C"/>
    <w:rsid w:val="008C27ED"/>
    <w:rsid w:val="008D0A80"/>
    <w:rsid w:val="008D715D"/>
    <w:rsid w:val="008F3055"/>
    <w:rsid w:val="009121E0"/>
    <w:rsid w:val="00912211"/>
    <w:rsid w:val="00923BA9"/>
    <w:rsid w:val="0094705C"/>
    <w:rsid w:val="009621F0"/>
    <w:rsid w:val="0096410B"/>
    <w:rsid w:val="00965812"/>
    <w:rsid w:val="009705AD"/>
    <w:rsid w:val="00971D95"/>
    <w:rsid w:val="00975C23"/>
    <w:rsid w:val="0098314F"/>
    <w:rsid w:val="009A2962"/>
    <w:rsid w:val="009C49CB"/>
    <w:rsid w:val="009D24B4"/>
    <w:rsid w:val="009D368C"/>
    <w:rsid w:val="009D6123"/>
    <w:rsid w:val="009E5647"/>
    <w:rsid w:val="009E5F54"/>
    <w:rsid w:val="009F1420"/>
    <w:rsid w:val="009F32D5"/>
    <w:rsid w:val="00A02E0B"/>
    <w:rsid w:val="00A0467A"/>
    <w:rsid w:val="00A0652F"/>
    <w:rsid w:val="00A27673"/>
    <w:rsid w:val="00A35366"/>
    <w:rsid w:val="00A4570E"/>
    <w:rsid w:val="00A5130E"/>
    <w:rsid w:val="00A55B26"/>
    <w:rsid w:val="00A64A35"/>
    <w:rsid w:val="00A70055"/>
    <w:rsid w:val="00A746EA"/>
    <w:rsid w:val="00A77F90"/>
    <w:rsid w:val="00A80086"/>
    <w:rsid w:val="00A8258C"/>
    <w:rsid w:val="00A841E4"/>
    <w:rsid w:val="00A92736"/>
    <w:rsid w:val="00A92CC1"/>
    <w:rsid w:val="00AA1E22"/>
    <w:rsid w:val="00AB04AB"/>
    <w:rsid w:val="00AC340F"/>
    <w:rsid w:val="00AD1377"/>
    <w:rsid w:val="00AD3322"/>
    <w:rsid w:val="00AD3739"/>
    <w:rsid w:val="00AD52B7"/>
    <w:rsid w:val="00AD6F6B"/>
    <w:rsid w:val="00AE38CC"/>
    <w:rsid w:val="00AF5E37"/>
    <w:rsid w:val="00B0216A"/>
    <w:rsid w:val="00B03A59"/>
    <w:rsid w:val="00B10C6C"/>
    <w:rsid w:val="00B13423"/>
    <w:rsid w:val="00B22EDD"/>
    <w:rsid w:val="00B470F0"/>
    <w:rsid w:val="00B55408"/>
    <w:rsid w:val="00B60261"/>
    <w:rsid w:val="00B6422E"/>
    <w:rsid w:val="00B64CF8"/>
    <w:rsid w:val="00B71C08"/>
    <w:rsid w:val="00B722A1"/>
    <w:rsid w:val="00B805BE"/>
    <w:rsid w:val="00B84A8D"/>
    <w:rsid w:val="00B93790"/>
    <w:rsid w:val="00B938A6"/>
    <w:rsid w:val="00B95525"/>
    <w:rsid w:val="00BA34AC"/>
    <w:rsid w:val="00BA51CB"/>
    <w:rsid w:val="00BB278D"/>
    <w:rsid w:val="00BC404F"/>
    <w:rsid w:val="00BD07B8"/>
    <w:rsid w:val="00BD081C"/>
    <w:rsid w:val="00BD4DA2"/>
    <w:rsid w:val="00BD6F4B"/>
    <w:rsid w:val="00BF1FDA"/>
    <w:rsid w:val="00BF38BA"/>
    <w:rsid w:val="00BF42D0"/>
    <w:rsid w:val="00BF482C"/>
    <w:rsid w:val="00C125FC"/>
    <w:rsid w:val="00C155B0"/>
    <w:rsid w:val="00C15801"/>
    <w:rsid w:val="00C26128"/>
    <w:rsid w:val="00C3475E"/>
    <w:rsid w:val="00C40976"/>
    <w:rsid w:val="00C44D64"/>
    <w:rsid w:val="00C52A0C"/>
    <w:rsid w:val="00C71060"/>
    <w:rsid w:val="00C73017"/>
    <w:rsid w:val="00C73470"/>
    <w:rsid w:val="00C82FBE"/>
    <w:rsid w:val="00CA078B"/>
    <w:rsid w:val="00CB0808"/>
    <w:rsid w:val="00CB1B39"/>
    <w:rsid w:val="00CB4BD7"/>
    <w:rsid w:val="00CB5F73"/>
    <w:rsid w:val="00CC1C17"/>
    <w:rsid w:val="00CC6129"/>
    <w:rsid w:val="00CD450D"/>
    <w:rsid w:val="00CD5B25"/>
    <w:rsid w:val="00CE1DC6"/>
    <w:rsid w:val="00CE2299"/>
    <w:rsid w:val="00CE4416"/>
    <w:rsid w:val="00CE44EB"/>
    <w:rsid w:val="00CE652F"/>
    <w:rsid w:val="00CE75F4"/>
    <w:rsid w:val="00CF1E2B"/>
    <w:rsid w:val="00D000C4"/>
    <w:rsid w:val="00D02BA8"/>
    <w:rsid w:val="00D05653"/>
    <w:rsid w:val="00D15003"/>
    <w:rsid w:val="00D233DB"/>
    <w:rsid w:val="00D24FF2"/>
    <w:rsid w:val="00D32EB8"/>
    <w:rsid w:val="00D55B56"/>
    <w:rsid w:val="00D610BD"/>
    <w:rsid w:val="00D62625"/>
    <w:rsid w:val="00D658DD"/>
    <w:rsid w:val="00D66E41"/>
    <w:rsid w:val="00D70E54"/>
    <w:rsid w:val="00D808C4"/>
    <w:rsid w:val="00D87414"/>
    <w:rsid w:val="00D924BF"/>
    <w:rsid w:val="00DA49AC"/>
    <w:rsid w:val="00DB3386"/>
    <w:rsid w:val="00DB3AC7"/>
    <w:rsid w:val="00DC1D3D"/>
    <w:rsid w:val="00DC23F7"/>
    <w:rsid w:val="00DC446C"/>
    <w:rsid w:val="00DD13E8"/>
    <w:rsid w:val="00DD3E42"/>
    <w:rsid w:val="00DD6606"/>
    <w:rsid w:val="00DE033E"/>
    <w:rsid w:val="00DE3702"/>
    <w:rsid w:val="00DE692A"/>
    <w:rsid w:val="00E135D6"/>
    <w:rsid w:val="00E35E34"/>
    <w:rsid w:val="00E44AF9"/>
    <w:rsid w:val="00E467BE"/>
    <w:rsid w:val="00E542FB"/>
    <w:rsid w:val="00E54801"/>
    <w:rsid w:val="00E550A3"/>
    <w:rsid w:val="00E667E0"/>
    <w:rsid w:val="00E673C3"/>
    <w:rsid w:val="00E67D75"/>
    <w:rsid w:val="00E70B08"/>
    <w:rsid w:val="00E82AAC"/>
    <w:rsid w:val="00E86C07"/>
    <w:rsid w:val="00E873B9"/>
    <w:rsid w:val="00E90A91"/>
    <w:rsid w:val="00E93B11"/>
    <w:rsid w:val="00EB1842"/>
    <w:rsid w:val="00EB75A0"/>
    <w:rsid w:val="00ED0504"/>
    <w:rsid w:val="00F006DC"/>
    <w:rsid w:val="00F06029"/>
    <w:rsid w:val="00F17870"/>
    <w:rsid w:val="00F200E4"/>
    <w:rsid w:val="00F23074"/>
    <w:rsid w:val="00F37002"/>
    <w:rsid w:val="00F66995"/>
    <w:rsid w:val="00F7147F"/>
    <w:rsid w:val="00F8072F"/>
    <w:rsid w:val="00F9216D"/>
    <w:rsid w:val="00F940D7"/>
    <w:rsid w:val="00FA1861"/>
    <w:rsid w:val="00FA6578"/>
    <w:rsid w:val="00FC2186"/>
    <w:rsid w:val="00FD411E"/>
    <w:rsid w:val="00FD44C7"/>
    <w:rsid w:val="00FD70F1"/>
    <w:rsid w:val="00FF0BC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04536C-4D90-4F8F-A396-0D636BB1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4FB"/>
  </w:style>
  <w:style w:type="paragraph" w:styleId="Heading2">
    <w:name w:val="heading 2"/>
    <w:basedOn w:val="Normal"/>
    <w:next w:val="Normal"/>
    <w:link w:val="Heading2Char"/>
    <w:qFormat/>
    <w:rsid w:val="004A4B97"/>
    <w:pPr>
      <w:keepNext/>
      <w:spacing w:after="0" w:line="240" w:lineRule="auto"/>
      <w:outlineLvl w:val="1"/>
    </w:pPr>
    <w:rPr>
      <w:rFonts w:ascii="Times New Roman" w:eastAsia="Times New Roman" w:hAnsi="Times New Roman" w:cs="Times New Roman"/>
      <w:b/>
      <w:bCs/>
      <w:sz w:val="24"/>
      <w:szCs w:val="24"/>
      <w:lang w:val="fr-FR" w:eastAsia="it-IT"/>
    </w:rPr>
  </w:style>
  <w:style w:type="paragraph" w:styleId="Heading3">
    <w:name w:val="heading 3"/>
    <w:basedOn w:val="Normal"/>
    <w:next w:val="Normal"/>
    <w:link w:val="Heading3Char"/>
    <w:qFormat/>
    <w:rsid w:val="004A4B97"/>
    <w:pPr>
      <w:keepNext/>
      <w:spacing w:before="240" w:after="60" w:line="240" w:lineRule="auto"/>
      <w:outlineLvl w:val="2"/>
    </w:pPr>
    <w:rPr>
      <w:rFonts w:ascii="Arial" w:eastAsia="Times New Roman" w:hAnsi="Arial" w:cs="Arial"/>
      <w:b/>
      <w:bCs/>
      <w:sz w:val="26"/>
      <w:szCs w:val="26"/>
      <w:lang w:val="en-US" w:eastAsia="it-IT"/>
    </w:rPr>
  </w:style>
  <w:style w:type="paragraph" w:styleId="Heading5">
    <w:name w:val="heading 5"/>
    <w:basedOn w:val="Normal"/>
    <w:next w:val="Normal"/>
    <w:link w:val="Heading5Char"/>
    <w:qFormat/>
    <w:rsid w:val="004A4B97"/>
    <w:pPr>
      <w:spacing w:before="240" w:after="60" w:line="240" w:lineRule="auto"/>
      <w:outlineLvl w:val="4"/>
    </w:pPr>
    <w:rPr>
      <w:rFonts w:ascii="Times New Roman" w:eastAsia="Times New Roman" w:hAnsi="Times New Roman" w:cs="Times New Roman"/>
      <w:b/>
      <w:bCs/>
      <w:i/>
      <w:iCs/>
      <w:sz w:val="26"/>
      <w:szCs w:val="26"/>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722A1"/>
    <w:rPr>
      <w:color w:val="0000FF"/>
      <w:u w:val="single"/>
    </w:rPr>
  </w:style>
  <w:style w:type="character" w:styleId="CommentReference">
    <w:name w:val="annotation reference"/>
    <w:basedOn w:val="DefaultParagraphFont"/>
    <w:uiPriority w:val="99"/>
    <w:semiHidden/>
    <w:unhideWhenUsed/>
    <w:rsid w:val="007A60A8"/>
    <w:rPr>
      <w:sz w:val="21"/>
      <w:szCs w:val="21"/>
    </w:rPr>
  </w:style>
  <w:style w:type="paragraph" w:styleId="CommentText">
    <w:name w:val="annotation text"/>
    <w:basedOn w:val="Normal"/>
    <w:link w:val="CommentTextChar"/>
    <w:uiPriority w:val="99"/>
    <w:unhideWhenUsed/>
    <w:rsid w:val="007A60A8"/>
    <w:pPr>
      <w:spacing w:after="0" w:line="240" w:lineRule="auto"/>
    </w:pPr>
    <w:rPr>
      <w:rFonts w:ascii="Times New Roman" w:eastAsia="Times New Roman" w:hAnsi="Times New Roman" w:cs="Times New Roman"/>
      <w:sz w:val="24"/>
      <w:szCs w:val="24"/>
      <w:lang w:eastAsia="it-IT"/>
    </w:rPr>
  </w:style>
  <w:style w:type="character" w:customStyle="1" w:styleId="CommentTextChar">
    <w:name w:val="Comment Text Char"/>
    <w:basedOn w:val="DefaultParagraphFont"/>
    <w:link w:val="CommentText"/>
    <w:uiPriority w:val="99"/>
    <w:rsid w:val="007A60A8"/>
    <w:rPr>
      <w:rFonts w:ascii="Times New Roman" w:eastAsia="Times New Roman" w:hAnsi="Times New Roman" w:cs="Times New Roman"/>
      <w:sz w:val="24"/>
      <w:szCs w:val="24"/>
      <w:lang w:eastAsia="it-IT"/>
    </w:rPr>
  </w:style>
  <w:style w:type="paragraph" w:styleId="BalloonText">
    <w:name w:val="Balloon Text"/>
    <w:basedOn w:val="Normal"/>
    <w:link w:val="BalloonTextChar"/>
    <w:semiHidden/>
    <w:unhideWhenUsed/>
    <w:rsid w:val="007A6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A8"/>
    <w:rPr>
      <w:rFonts w:ascii="Tahoma" w:hAnsi="Tahoma" w:cs="Tahoma"/>
      <w:sz w:val="16"/>
      <w:szCs w:val="16"/>
    </w:rPr>
  </w:style>
  <w:style w:type="character" w:customStyle="1" w:styleId="Heading2Char">
    <w:name w:val="Heading 2 Char"/>
    <w:basedOn w:val="DefaultParagraphFont"/>
    <w:link w:val="Heading2"/>
    <w:rsid w:val="004A4B97"/>
    <w:rPr>
      <w:rFonts w:ascii="Times New Roman" w:eastAsia="Times New Roman" w:hAnsi="Times New Roman" w:cs="Times New Roman"/>
      <w:b/>
      <w:bCs/>
      <w:sz w:val="24"/>
      <w:szCs w:val="24"/>
      <w:lang w:val="fr-FR" w:eastAsia="it-IT"/>
    </w:rPr>
  </w:style>
  <w:style w:type="character" w:customStyle="1" w:styleId="Heading3Char">
    <w:name w:val="Heading 3 Char"/>
    <w:basedOn w:val="DefaultParagraphFont"/>
    <w:link w:val="Heading3"/>
    <w:rsid w:val="004A4B97"/>
    <w:rPr>
      <w:rFonts w:ascii="Arial" w:eastAsia="Times New Roman" w:hAnsi="Arial" w:cs="Arial"/>
      <w:b/>
      <w:bCs/>
      <w:sz w:val="26"/>
      <w:szCs w:val="26"/>
      <w:lang w:val="en-US" w:eastAsia="it-IT"/>
    </w:rPr>
  </w:style>
  <w:style w:type="character" w:customStyle="1" w:styleId="Heading5Char">
    <w:name w:val="Heading 5 Char"/>
    <w:basedOn w:val="DefaultParagraphFont"/>
    <w:link w:val="Heading5"/>
    <w:rsid w:val="004A4B97"/>
    <w:rPr>
      <w:rFonts w:ascii="Times New Roman" w:eastAsia="Times New Roman" w:hAnsi="Times New Roman" w:cs="Times New Roman"/>
      <w:b/>
      <w:bCs/>
      <w:i/>
      <w:iCs/>
      <w:sz w:val="26"/>
      <w:szCs w:val="26"/>
      <w:lang w:val="en-US" w:eastAsia="it-IT"/>
    </w:rPr>
  </w:style>
  <w:style w:type="paragraph" w:styleId="Header">
    <w:name w:val="header"/>
    <w:basedOn w:val="Normal"/>
    <w:link w:val="HeaderChar"/>
    <w:rsid w:val="004A4B97"/>
    <w:pPr>
      <w:tabs>
        <w:tab w:val="center" w:pos="4819"/>
        <w:tab w:val="right" w:pos="9638"/>
      </w:tabs>
      <w:spacing w:after="0" w:line="240" w:lineRule="auto"/>
    </w:pPr>
    <w:rPr>
      <w:rFonts w:ascii="Times New Roman" w:eastAsia="Times New Roman" w:hAnsi="Times New Roman" w:cs="Times New Roman"/>
      <w:sz w:val="24"/>
      <w:szCs w:val="24"/>
      <w:lang w:val="en-US" w:eastAsia="it-IT"/>
    </w:rPr>
  </w:style>
  <w:style w:type="character" w:customStyle="1" w:styleId="HeaderChar">
    <w:name w:val="Header Char"/>
    <w:basedOn w:val="DefaultParagraphFont"/>
    <w:link w:val="Header"/>
    <w:rsid w:val="004A4B97"/>
    <w:rPr>
      <w:rFonts w:ascii="Times New Roman" w:eastAsia="Times New Roman" w:hAnsi="Times New Roman" w:cs="Times New Roman"/>
      <w:sz w:val="24"/>
      <w:szCs w:val="24"/>
      <w:lang w:val="en-US" w:eastAsia="it-IT"/>
    </w:rPr>
  </w:style>
  <w:style w:type="character" w:styleId="PageNumber">
    <w:name w:val="page number"/>
    <w:basedOn w:val="DefaultParagraphFont"/>
    <w:rsid w:val="004A4B97"/>
  </w:style>
  <w:style w:type="character" w:customStyle="1" w:styleId="normal1">
    <w:name w:val="normal1"/>
    <w:basedOn w:val="DefaultParagraphFont"/>
    <w:rsid w:val="004A4B97"/>
    <w:rPr>
      <w:rFonts w:ascii="Arial" w:hAnsi="Arial" w:cs="Arial" w:hint="default"/>
      <w:color w:val="000000"/>
      <w:sz w:val="20"/>
      <w:szCs w:val="20"/>
    </w:rPr>
  </w:style>
  <w:style w:type="paragraph" w:styleId="BodyText">
    <w:name w:val="Body Text"/>
    <w:basedOn w:val="Normal"/>
    <w:link w:val="BodyTextChar"/>
    <w:rsid w:val="004A4B97"/>
    <w:pPr>
      <w:spacing w:after="120" w:line="240" w:lineRule="auto"/>
    </w:pPr>
    <w:rPr>
      <w:rFonts w:ascii="Times New Roman" w:eastAsia="Times New Roman" w:hAnsi="Times New Roman" w:cs="Times New Roman"/>
      <w:sz w:val="24"/>
      <w:szCs w:val="24"/>
      <w:lang w:eastAsia="it-IT"/>
    </w:rPr>
  </w:style>
  <w:style w:type="character" w:customStyle="1" w:styleId="BodyTextChar">
    <w:name w:val="Body Text Char"/>
    <w:basedOn w:val="DefaultParagraphFont"/>
    <w:link w:val="BodyText"/>
    <w:rsid w:val="004A4B97"/>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E873B9"/>
    <w:pPr>
      <w:ind w:left="720"/>
      <w:contextualSpacing/>
    </w:pPr>
  </w:style>
  <w:style w:type="paragraph" w:styleId="CommentSubject">
    <w:name w:val="annotation subject"/>
    <w:basedOn w:val="CommentText"/>
    <w:next w:val="CommentText"/>
    <w:link w:val="CommentSubjectChar"/>
    <w:uiPriority w:val="99"/>
    <w:semiHidden/>
    <w:unhideWhenUsed/>
    <w:rsid w:val="00AE38CC"/>
    <w:pPr>
      <w:spacing w:after="200" w:line="276" w:lineRule="auto"/>
    </w:pPr>
    <w:rPr>
      <w:rFonts w:asciiTheme="minorHAnsi" w:eastAsiaTheme="minorEastAsia"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AE38CC"/>
    <w:rPr>
      <w:rFonts w:ascii="Times New Roman" w:eastAsia="Times New Roman" w:hAnsi="Times New Roman" w:cs="Times New Roman"/>
      <w:b/>
      <w:bCs/>
      <w:sz w:val="24"/>
      <w:szCs w:val="24"/>
      <w:lang w:eastAsia="it-IT"/>
    </w:rPr>
  </w:style>
  <w:style w:type="paragraph" w:customStyle="1" w:styleId="1">
    <w:name w:val="正文1"/>
    <w:uiPriority w:val="99"/>
    <w:rsid w:val="00AE38CC"/>
    <w:pPr>
      <w:spacing w:after="0"/>
    </w:pPr>
    <w:rPr>
      <w:rFonts w:ascii="Arial" w:eastAsia="SimSun" w:hAnsi="Arial" w:cs="Arial"/>
      <w:color w:val="000000"/>
      <w:szCs w:val="20"/>
      <w:lang w:val="pl-PL" w:eastAsia="pl-PL"/>
    </w:rPr>
  </w:style>
  <w:style w:type="paragraph" w:styleId="Revision">
    <w:name w:val="Revision"/>
    <w:hidden/>
    <w:uiPriority w:val="99"/>
    <w:semiHidden/>
    <w:rsid w:val="00E542FB"/>
    <w:pPr>
      <w:spacing w:after="0" w:line="240" w:lineRule="auto"/>
    </w:pPr>
  </w:style>
  <w:style w:type="paragraph" w:styleId="Footer">
    <w:name w:val="footer"/>
    <w:basedOn w:val="Normal"/>
    <w:link w:val="FooterChar"/>
    <w:uiPriority w:val="99"/>
    <w:unhideWhenUsed/>
    <w:rsid w:val="00C125F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125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855899">
      <w:bodyDiv w:val="1"/>
      <w:marLeft w:val="0"/>
      <w:marRight w:val="0"/>
      <w:marTop w:val="0"/>
      <w:marBottom w:val="0"/>
      <w:divBdr>
        <w:top w:val="none" w:sz="0" w:space="0" w:color="auto"/>
        <w:left w:val="none" w:sz="0" w:space="0" w:color="auto"/>
        <w:bottom w:val="none" w:sz="0" w:space="0" w:color="auto"/>
        <w:right w:val="none" w:sz="0" w:space="0" w:color="auto"/>
      </w:divBdr>
    </w:div>
    <w:div w:id="17612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rizia.ferroni@sanraffael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592D0FF-92D3-4C72-B65C-2B0BF369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6523</Words>
  <Characters>37184</Characters>
  <Application>Microsoft Office Word</Application>
  <DocSecurity>0</DocSecurity>
  <Lines>309</Lines>
  <Paragraphs>87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patrizia.ferroni@outlook.com</dc:creator>
  <cp:lastModifiedBy>Na Ma</cp:lastModifiedBy>
  <cp:revision>2</cp:revision>
  <dcterms:created xsi:type="dcterms:W3CDTF">2017-07-11T23:33:00Z</dcterms:created>
  <dcterms:modified xsi:type="dcterms:W3CDTF">2017-07-11T23:33:00Z</dcterms:modified>
</cp:coreProperties>
</file>