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2C937" w14:textId="77777777" w:rsidR="007E0B60" w:rsidRPr="00296D1C" w:rsidRDefault="007E0B60" w:rsidP="00A94613">
      <w:pPr>
        <w:widowControl w:val="0"/>
        <w:autoSpaceDE w:val="0"/>
        <w:autoSpaceDN w:val="0"/>
        <w:adjustRightInd w:val="0"/>
        <w:snapToGrid w:val="0"/>
        <w:spacing w:line="360" w:lineRule="auto"/>
        <w:jc w:val="both"/>
        <w:outlineLvl w:val="0"/>
        <w:rPr>
          <w:rFonts w:ascii="Book Antiqua" w:hAnsi="Book Antiqua" w:cs="PêıøU'EAŸ"/>
          <w:b/>
          <w:i/>
          <w:color w:val="000000" w:themeColor="text1"/>
          <w:lang w:val="en-US" w:eastAsia="zh-CN"/>
        </w:rPr>
      </w:pPr>
      <w:r w:rsidRPr="00296D1C">
        <w:rPr>
          <w:rFonts w:ascii="Book Antiqua" w:hAnsi="Book Antiqua" w:cs="Helvetica"/>
          <w:b/>
          <w:color w:val="000000" w:themeColor="text1"/>
          <w:lang w:val="en-US"/>
        </w:rPr>
        <w:t>Name of Journal:</w:t>
      </w:r>
      <w:r w:rsidRPr="00296D1C">
        <w:rPr>
          <w:rFonts w:ascii="Book Antiqua" w:hAnsi="Book Antiqua" w:cs="PêıøU'EAŸ"/>
          <w:b/>
          <w:color w:val="000000" w:themeColor="text1"/>
          <w:lang w:val="en-US"/>
        </w:rPr>
        <w:t xml:space="preserve"> </w:t>
      </w:r>
      <w:r w:rsidRPr="00296D1C">
        <w:rPr>
          <w:rFonts w:ascii="Book Antiqua" w:hAnsi="Book Antiqua" w:cs="PêıøU'EAŸ"/>
          <w:b/>
          <w:i/>
          <w:color w:val="000000" w:themeColor="text1"/>
          <w:lang w:val="en-US"/>
        </w:rPr>
        <w:t>World Journal of Gastroenterology</w:t>
      </w:r>
    </w:p>
    <w:p w14:paraId="1D0B0C19" w14:textId="67F8DA9E" w:rsidR="00296D1C" w:rsidRPr="00296D1C" w:rsidRDefault="00296D1C" w:rsidP="00A94613">
      <w:pPr>
        <w:widowControl w:val="0"/>
        <w:autoSpaceDE w:val="0"/>
        <w:autoSpaceDN w:val="0"/>
        <w:adjustRightInd w:val="0"/>
        <w:snapToGrid w:val="0"/>
        <w:spacing w:line="360" w:lineRule="auto"/>
        <w:jc w:val="both"/>
        <w:outlineLvl w:val="0"/>
        <w:rPr>
          <w:rFonts w:ascii="Book Antiqua" w:hAnsi="Book Antiqua" w:cs="PêıøU'EAŸ"/>
          <w:b/>
          <w:color w:val="000000" w:themeColor="text1"/>
          <w:lang w:val="en-US" w:eastAsia="zh-CN"/>
        </w:rPr>
      </w:pPr>
      <w:bookmarkStart w:id="0" w:name="OLE_LINK485"/>
      <w:bookmarkStart w:id="1" w:name="OLE_LINK486"/>
      <w:bookmarkStart w:id="2" w:name="OLE_LINK661"/>
      <w:bookmarkStart w:id="3" w:name="OLE_LINK768"/>
      <w:r w:rsidRPr="00296D1C">
        <w:rPr>
          <w:rFonts w:ascii="Book Antiqua" w:hAnsi="Book Antiqua" w:cs="PêıøU'EAŸ"/>
          <w:b/>
          <w:color w:val="000000" w:themeColor="text1"/>
          <w:lang w:val="en-US" w:eastAsia="zh-CN"/>
        </w:rPr>
        <w:t>Manuscript NO:</w:t>
      </w:r>
      <w:bookmarkEnd w:id="0"/>
      <w:bookmarkEnd w:id="1"/>
      <w:bookmarkEnd w:id="2"/>
      <w:bookmarkEnd w:id="3"/>
      <w:r w:rsidRPr="00296D1C">
        <w:rPr>
          <w:rFonts w:ascii="Book Antiqua" w:hAnsi="Book Antiqua" w:cs="PêıøU'EAŸ" w:hint="eastAsia"/>
          <w:b/>
          <w:color w:val="000000" w:themeColor="text1"/>
          <w:lang w:val="en-US" w:eastAsia="zh-CN"/>
        </w:rPr>
        <w:t xml:space="preserve"> 33257</w:t>
      </w:r>
    </w:p>
    <w:p w14:paraId="41BE200B" w14:textId="0D1EC3D3" w:rsidR="007E0B60" w:rsidRPr="00296D1C" w:rsidRDefault="007E0B60" w:rsidP="00A94613">
      <w:pPr>
        <w:widowControl w:val="0"/>
        <w:autoSpaceDE w:val="0"/>
        <w:autoSpaceDN w:val="0"/>
        <w:adjustRightInd w:val="0"/>
        <w:snapToGrid w:val="0"/>
        <w:spacing w:line="360" w:lineRule="auto"/>
        <w:jc w:val="both"/>
        <w:outlineLvl w:val="0"/>
        <w:rPr>
          <w:rFonts w:ascii="Book Antiqua" w:hAnsi="Book Antiqua" w:cs="PêıøU'EAŸ"/>
          <w:b/>
          <w:color w:val="000000" w:themeColor="text1"/>
          <w:lang w:val="en-US"/>
        </w:rPr>
      </w:pPr>
      <w:r w:rsidRPr="00296D1C">
        <w:rPr>
          <w:rFonts w:ascii="Book Antiqua" w:hAnsi="Book Antiqua" w:cs="Helvetica"/>
          <w:b/>
          <w:color w:val="000000" w:themeColor="text1"/>
          <w:lang w:val="en-US"/>
        </w:rPr>
        <w:t>Manuscript Type:</w:t>
      </w:r>
      <w:r w:rsidRPr="00296D1C">
        <w:rPr>
          <w:rFonts w:ascii="Book Antiqua" w:hAnsi="Book Antiqua" w:cs="PêıøU'EAŸ"/>
          <w:b/>
          <w:color w:val="000000" w:themeColor="text1"/>
          <w:lang w:val="en-US"/>
        </w:rPr>
        <w:t xml:space="preserve"> </w:t>
      </w:r>
      <w:r w:rsidR="00296D1C" w:rsidRPr="00296D1C">
        <w:rPr>
          <w:rFonts w:ascii="Book Antiqua" w:hAnsi="Book Antiqua" w:cs="Helvetica"/>
          <w:b/>
          <w:caps/>
          <w:color w:val="000000" w:themeColor="text1"/>
          <w:lang w:val="en-US"/>
        </w:rPr>
        <w:t>Systematic Review</w:t>
      </w:r>
    </w:p>
    <w:p w14:paraId="6AF3663A" w14:textId="77777777" w:rsidR="007E0B60" w:rsidRPr="00124E11" w:rsidRDefault="007E0B60" w:rsidP="00A94613">
      <w:pPr>
        <w:snapToGrid w:val="0"/>
        <w:spacing w:line="360" w:lineRule="auto"/>
        <w:jc w:val="both"/>
        <w:rPr>
          <w:rFonts w:ascii="Book Antiqua" w:hAnsi="Book Antiqua" w:cs="Helvetica"/>
          <w:b/>
          <w:color w:val="000000" w:themeColor="text1"/>
          <w:lang w:val="en-US"/>
        </w:rPr>
      </w:pPr>
    </w:p>
    <w:p w14:paraId="0159AEC3" w14:textId="58B30927" w:rsidR="00E32F0F" w:rsidRPr="00124E11" w:rsidRDefault="00E32F0F" w:rsidP="00A94613">
      <w:pPr>
        <w:snapToGrid w:val="0"/>
        <w:spacing w:line="360" w:lineRule="auto"/>
        <w:jc w:val="both"/>
        <w:rPr>
          <w:rFonts w:ascii="Book Antiqua" w:hAnsi="Book Antiqua" w:cs="Helvetica"/>
          <w:b/>
          <w:color w:val="000000" w:themeColor="text1"/>
          <w:lang w:val="en-US"/>
        </w:rPr>
      </w:pPr>
      <w:r w:rsidRPr="00124E11">
        <w:rPr>
          <w:rFonts w:ascii="Book Antiqua" w:hAnsi="Book Antiqua" w:cs="Helvetica"/>
          <w:b/>
          <w:color w:val="000000" w:themeColor="text1"/>
          <w:lang w:val="en-US"/>
        </w:rPr>
        <w:t xml:space="preserve">Laparoscopic </w:t>
      </w:r>
      <w:r w:rsidR="00124E11" w:rsidRPr="00124E11">
        <w:rPr>
          <w:rFonts w:ascii="Book Antiqua" w:hAnsi="Book Antiqua" w:cs="Helvetica"/>
          <w:b/>
          <w:color w:val="000000" w:themeColor="text1"/>
          <w:lang w:val="en-US"/>
        </w:rPr>
        <w:t>ultrasonography as an alternative to intraoperative cholangiography during laparoscopic cholecystectomy</w:t>
      </w:r>
    </w:p>
    <w:p w14:paraId="68922709" w14:textId="77777777" w:rsidR="00E32F0F" w:rsidRPr="00124E11" w:rsidRDefault="00E32F0F" w:rsidP="00A94613">
      <w:pPr>
        <w:snapToGrid w:val="0"/>
        <w:spacing w:line="360" w:lineRule="auto"/>
        <w:jc w:val="both"/>
        <w:rPr>
          <w:rFonts w:ascii="Book Antiqua" w:hAnsi="Book Antiqua" w:cs="Helvetica"/>
          <w:b/>
          <w:color w:val="000000" w:themeColor="text1"/>
          <w:lang w:val="en-US"/>
        </w:rPr>
      </w:pPr>
    </w:p>
    <w:p w14:paraId="73D8104C" w14:textId="39C74EBA" w:rsidR="008063B6" w:rsidRPr="00124E11" w:rsidRDefault="008063B6" w:rsidP="00A94613">
      <w:pPr>
        <w:snapToGrid w:val="0"/>
        <w:spacing w:line="360" w:lineRule="auto"/>
        <w:jc w:val="both"/>
        <w:outlineLvl w:val="0"/>
        <w:rPr>
          <w:rFonts w:ascii="Book Antiqua" w:hAnsi="Book Antiqua" w:cs="Helvetica"/>
          <w:b/>
          <w:color w:val="000000" w:themeColor="text1"/>
          <w:lang w:val="en-US" w:eastAsia="zh-CN"/>
        </w:rPr>
      </w:pPr>
      <w:r w:rsidRPr="00124E11">
        <w:rPr>
          <w:rFonts w:ascii="Book Antiqua" w:hAnsi="Book Antiqua" w:cs="Helvetica"/>
          <w:color w:val="000000" w:themeColor="text1"/>
          <w:lang w:val="en-US"/>
        </w:rPr>
        <w:t>Dili A</w:t>
      </w:r>
      <w:r w:rsidR="00296D1C">
        <w:rPr>
          <w:rFonts w:ascii="Book Antiqua" w:hAnsi="Book Antiqua" w:cs="Helvetica" w:hint="eastAsia"/>
          <w:color w:val="000000" w:themeColor="text1"/>
          <w:lang w:val="en-US" w:eastAsia="zh-CN"/>
        </w:rPr>
        <w:t xml:space="preserve"> </w:t>
      </w:r>
      <w:r w:rsidRPr="00124E11">
        <w:rPr>
          <w:rFonts w:ascii="Book Antiqua" w:hAnsi="Book Antiqua" w:cs="Helvetica"/>
          <w:i/>
          <w:color w:val="000000" w:themeColor="text1"/>
          <w:lang w:val="en-US"/>
        </w:rPr>
        <w:t>et al.</w:t>
      </w:r>
      <w:r w:rsidRPr="00124E11">
        <w:rPr>
          <w:rFonts w:ascii="Book Antiqua" w:hAnsi="Book Antiqua" w:cs="Helvetica"/>
          <w:b/>
          <w:color w:val="000000" w:themeColor="text1"/>
          <w:lang w:val="en-US"/>
        </w:rPr>
        <w:t xml:space="preserve"> </w:t>
      </w:r>
      <w:r w:rsidRPr="00124E11">
        <w:rPr>
          <w:rFonts w:ascii="Book Antiqua" w:hAnsi="Book Antiqua" w:cs="Helvetica"/>
          <w:color w:val="000000" w:themeColor="text1"/>
          <w:lang w:val="en-US"/>
        </w:rPr>
        <w:t>L</w:t>
      </w:r>
      <w:r w:rsidRPr="00124E11">
        <w:rPr>
          <w:rFonts w:ascii="Book Antiqua" w:hAnsi="Book Antiqua"/>
          <w:color w:val="000000" w:themeColor="text1"/>
          <w:lang w:val="en-US"/>
        </w:rPr>
        <w:t xml:space="preserve">aparoscopic ultrasonography and </w:t>
      </w:r>
      <w:r w:rsidR="00CD52D6" w:rsidRPr="00124E11">
        <w:rPr>
          <w:rFonts w:ascii="Book Antiqua" w:hAnsi="Book Antiqua"/>
          <w:color w:val="000000" w:themeColor="text1"/>
          <w:lang w:val="en-US"/>
        </w:rPr>
        <w:t>cholecystectomy</w:t>
      </w:r>
    </w:p>
    <w:p w14:paraId="42F61F6E" w14:textId="77777777" w:rsidR="008063B6" w:rsidRPr="00124E11" w:rsidRDefault="008063B6" w:rsidP="00A94613">
      <w:pPr>
        <w:snapToGrid w:val="0"/>
        <w:spacing w:line="360" w:lineRule="auto"/>
        <w:jc w:val="both"/>
        <w:rPr>
          <w:rFonts w:ascii="Book Antiqua" w:hAnsi="Book Antiqua" w:cs="Helvetica"/>
          <w:b/>
          <w:color w:val="000000" w:themeColor="text1"/>
          <w:lang w:val="en-US"/>
        </w:rPr>
      </w:pPr>
    </w:p>
    <w:p w14:paraId="7720A77C" w14:textId="2FECF2C3" w:rsidR="008063B6" w:rsidRPr="00124E11" w:rsidRDefault="008063B6" w:rsidP="00A94613">
      <w:pPr>
        <w:snapToGrid w:val="0"/>
        <w:spacing w:line="360" w:lineRule="auto"/>
        <w:jc w:val="both"/>
        <w:outlineLvl w:val="0"/>
        <w:rPr>
          <w:rFonts w:ascii="Book Antiqua" w:hAnsi="Book Antiqua" w:cs="Helvetica"/>
          <w:color w:val="000000" w:themeColor="text1"/>
          <w:lang w:val="en-US"/>
        </w:rPr>
      </w:pPr>
      <w:r w:rsidRPr="00124E11">
        <w:rPr>
          <w:rFonts w:ascii="Book Antiqua" w:hAnsi="Book Antiqua" w:cs="Helvetica"/>
          <w:color w:val="000000" w:themeColor="text1"/>
          <w:lang w:val="en-US"/>
        </w:rPr>
        <w:t>Alexandra</w:t>
      </w:r>
      <w:r w:rsidR="00CD52D6" w:rsidRPr="00124E11">
        <w:rPr>
          <w:rFonts w:ascii="Book Antiqua" w:hAnsi="Book Antiqua" w:cs="Helvetica"/>
          <w:color w:val="000000" w:themeColor="text1"/>
          <w:lang w:val="en-US" w:eastAsia="zh-CN"/>
        </w:rPr>
        <w:t xml:space="preserve"> </w:t>
      </w:r>
      <w:r w:rsidRPr="00124E11">
        <w:rPr>
          <w:rFonts w:ascii="Book Antiqua" w:hAnsi="Book Antiqua" w:cs="Helvetica"/>
          <w:color w:val="000000" w:themeColor="text1"/>
          <w:lang w:val="en-US"/>
        </w:rPr>
        <w:t>Dili,</w:t>
      </w:r>
      <w:r w:rsidR="00CD52D6" w:rsidRPr="00124E11">
        <w:rPr>
          <w:rFonts w:ascii="Book Antiqua" w:hAnsi="Book Antiqua" w:cs="Helvetica"/>
          <w:color w:val="000000" w:themeColor="text1"/>
          <w:lang w:val="en-US" w:eastAsia="zh-CN"/>
        </w:rPr>
        <w:t xml:space="preserve"> </w:t>
      </w:r>
      <w:r w:rsidRPr="00124E11">
        <w:rPr>
          <w:rFonts w:ascii="Book Antiqua" w:hAnsi="Book Antiqua" w:cs="Helvetica"/>
          <w:color w:val="000000" w:themeColor="text1"/>
          <w:lang w:val="en-US"/>
        </w:rPr>
        <w:t>Claude Bertrand</w:t>
      </w:r>
    </w:p>
    <w:p w14:paraId="3AC628CC" w14:textId="77777777" w:rsidR="008063B6" w:rsidRPr="00124E11" w:rsidRDefault="008063B6" w:rsidP="00A94613">
      <w:pPr>
        <w:snapToGrid w:val="0"/>
        <w:spacing w:line="360" w:lineRule="auto"/>
        <w:jc w:val="both"/>
        <w:rPr>
          <w:rFonts w:ascii="Book Antiqua" w:hAnsi="Book Antiqua"/>
          <w:b/>
          <w:color w:val="000000" w:themeColor="text1"/>
          <w:lang w:val="en-US"/>
        </w:rPr>
      </w:pPr>
    </w:p>
    <w:p w14:paraId="5F17F18D" w14:textId="0DBB782A" w:rsidR="008063B6" w:rsidRPr="00124E11" w:rsidRDefault="008063B6"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b/>
          <w:color w:val="000000" w:themeColor="text1"/>
          <w:lang w:val="en-US"/>
        </w:rPr>
        <w:t xml:space="preserve">Alexandra Dili, Claude Bertrand, </w:t>
      </w:r>
      <w:r w:rsidRPr="00124E11">
        <w:rPr>
          <w:rFonts w:ascii="Book Antiqua" w:hAnsi="Book Antiqua" w:cs="Helvetica"/>
          <w:color w:val="000000" w:themeColor="text1"/>
          <w:lang w:val="en-US"/>
        </w:rPr>
        <w:t>Unit of Digestive, Endocrine and General Surgery, Department of Surgery, University Hospital - Godinne, Université catholique de Louvain, CHU UCL Namur,</w:t>
      </w:r>
      <w:r w:rsidR="00CD52D6" w:rsidRPr="00124E11">
        <w:rPr>
          <w:rFonts w:ascii="Book Antiqua" w:hAnsi="Book Antiqua" w:cs="Helvetica"/>
          <w:color w:val="000000" w:themeColor="text1"/>
          <w:lang w:val="en-US" w:eastAsia="zh-CN"/>
        </w:rPr>
        <w:t xml:space="preserve"> </w:t>
      </w:r>
      <w:r w:rsidRPr="00124E11">
        <w:rPr>
          <w:rFonts w:ascii="Book Antiqua" w:hAnsi="Book Antiqua" w:cs="Helvetica"/>
          <w:color w:val="000000" w:themeColor="text1"/>
          <w:lang w:val="en-US"/>
        </w:rPr>
        <w:t>5530</w:t>
      </w:r>
      <w:r w:rsidR="00AF4D85">
        <w:rPr>
          <w:rFonts w:ascii="Book Antiqua" w:hAnsi="Book Antiqua" w:cs="Helvetica" w:hint="eastAsia"/>
          <w:color w:val="000000" w:themeColor="text1"/>
          <w:lang w:val="en-US" w:eastAsia="zh-CN"/>
        </w:rPr>
        <w:t xml:space="preserve"> </w:t>
      </w:r>
      <w:r w:rsidRPr="00124E11">
        <w:rPr>
          <w:rFonts w:ascii="Book Antiqua" w:hAnsi="Book Antiqua" w:cs="Helvetica"/>
          <w:color w:val="000000" w:themeColor="text1"/>
          <w:lang w:val="en-US"/>
        </w:rPr>
        <w:t>Yvoir, Belgium</w:t>
      </w:r>
    </w:p>
    <w:p w14:paraId="45959567" w14:textId="77777777" w:rsidR="008361D9" w:rsidRPr="00124E11" w:rsidRDefault="008361D9" w:rsidP="00A94613">
      <w:pPr>
        <w:snapToGrid w:val="0"/>
        <w:spacing w:line="360" w:lineRule="auto"/>
        <w:jc w:val="both"/>
        <w:rPr>
          <w:rFonts w:ascii="Book Antiqua" w:hAnsi="Book Antiqua" w:cs="Helvetica"/>
          <w:color w:val="000000" w:themeColor="text1"/>
          <w:lang w:val="en-US"/>
        </w:rPr>
      </w:pPr>
    </w:p>
    <w:p w14:paraId="6653F731" w14:textId="26463CF6" w:rsidR="001D103E" w:rsidRPr="00124E11" w:rsidRDefault="001D103E" w:rsidP="00A94613">
      <w:pPr>
        <w:widowControl w:val="0"/>
        <w:autoSpaceDE w:val="0"/>
        <w:autoSpaceDN w:val="0"/>
        <w:adjustRightInd w:val="0"/>
        <w:snapToGrid w:val="0"/>
        <w:spacing w:line="360" w:lineRule="auto"/>
        <w:jc w:val="both"/>
        <w:rPr>
          <w:rFonts w:ascii="Book Antiqua" w:hAnsi="Book Antiqua" w:cs="Helvetica"/>
          <w:color w:val="000000" w:themeColor="text1"/>
          <w:lang w:val="en-US"/>
        </w:rPr>
      </w:pPr>
      <w:r w:rsidRPr="00124E11">
        <w:rPr>
          <w:rFonts w:ascii="Book Antiqua" w:hAnsi="Book Antiqua" w:cs="Helvetica"/>
          <w:b/>
          <w:color w:val="000000" w:themeColor="text1"/>
          <w:lang w:val="en-US"/>
        </w:rPr>
        <w:t>Author contributions:</w:t>
      </w:r>
      <w:r w:rsidRPr="00124E11">
        <w:rPr>
          <w:rFonts w:ascii="Book Antiqua" w:hAnsi="Book Antiqua" w:cs="Helvetica"/>
          <w:color w:val="000000" w:themeColor="text1"/>
          <w:lang w:val="en-US"/>
        </w:rPr>
        <w:t xml:space="preserve"> All authors equally contributed to this paper with conception and design of the study, literature review and analysis, drafting and critical revision and editing, and final approval of the final version.</w:t>
      </w:r>
    </w:p>
    <w:p w14:paraId="61027AE7" w14:textId="77777777" w:rsidR="008361D9" w:rsidRPr="00124E11" w:rsidRDefault="008361D9" w:rsidP="00A94613">
      <w:pPr>
        <w:snapToGrid w:val="0"/>
        <w:spacing w:line="360" w:lineRule="auto"/>
        <w:jc w:val="both"/>
        <w:rPr>
          <w:rFonts w:ascii="Book Antiqua" w:hAnsi="Book Antiqua" w:cs="Helvetica"/>
          <w:color w:val="000000" w:themeColor="text1"/>
          <w:lang w:val="en-US"/>
        </w:rPr>
      </w:pPr>
    </w:p>
    <w:p w14:paraId="2166B906" w14:textId="0C7D62B7" w:rsidR="001D103E" w:rsidRPr="00124E11" w:rsidRDefault="001D103E" w:rsidP="00A94613">
      <w:pPr>
        <w:widowControl w:val="0"/>
        <w:autoSpaceDE w:val="0"/>
        <w:autoSpaceDN w:val="0"/>
        <w:adjustRightInd w:val="0"/>
        <w:snapToGrid w:val="0"/>
        <w:spacing w:line="360" w:lineRule="auto"/>
        <w:jc w:val="both"/>
        <w:outlineLvl w:val="0"/>
        <w:rPr>
          <w:rFonts w:ascii="Book Antiqua" w:hAnsi="Book Antiqua" w:cs="Helvetica"/>
          <w:color w:val="000000" w:themeColor="text1"/>
          <w:lang w:val="en-US" w:eastAsia="zh-CN"/>
        </w:rPr>
      </w:pPr>
      <w:r w:rsidRPr="00124E11">
        <w:rPr>
          <w:rFonts w:ascii="Book Antiqua" w:hAnsi="Book Antiqua" w:cs="Helvetica"/>
          <w:b/>
          <w:color w:val="000000" w:themeColor="text1"/>
          <w:lang w:val="en-US"/>
        </w:rPr>
        <w:t>Conflict-of-interest</w:t>
      </w:r>
      <w:r w:rsidR="00AF4D85">
        <w:rPr>
          <w:rFonts w:ascii="Book Antiqua" w:hAnsi="Book Antiqua" w:cs="Helvetica" w:hint="eastAsia"/>
          <w:b/>
          <w:color w:val="000000" w:themeColor="text1"/>
          <w:lang w:val="en-US" w:eastAsia="zh-CN"/>
        </w:rPr>
        <w:t xml:space="preserve"> </w:t>
      </w:r>
      <w:r w:rsidR="00AF4D85" w:rsidRPr="00124E11">
        <w:rPr>
          <w:rFonts w:ascii="Book Antiqua" w:hAnsi="Book Antiqua" w:cs="Helvetica"/>
          <w:b/>
          <w:color w:val="000000" w:themeColor="text1"/>
          <w:lang w:val="en-US"/>
        </w:rPr>
        <w:t>statement</w:t>
      </w:r>
      <w:r w:rsidRPr="00124E11">
        <w:rPr>
          <w:rFonts w:ascii="Book Antiqua" w:hAnsi="Book Antiqua" w:cs="Helvetica"/>
          <w:b/>
          <w:color w:val="000000" w:themeColor="text1"/>
          <w:lang w:val="en-US"/>
        </w:rPr>
        <w:t>:</w:t>
      </w:r>
      <w:r w:rsidR="00AF4D85">
        <w:rPr>
          <w:rFonts w:ascii="Book Antiqua" w:hAnsi="Book Antiqua" w:cs="Helvetica" w:hint="eastAsia"/>
          <w:color w:val="000000" w:themeColor="text1"/>
          <w:lang w:val="en-US" w:eastAsia="zh-CN"/>
        </w:rPr>
        <w:t xml:space="preserve"> </w:t>
      </w:r>
      <w:r w:rsidRPr="00124E11">
        <w:rPr>
          <w:rFonts w:ascii="Book Antiqua" w:hAnsi="Book Antiqua" w:cs="Helvetica"/>
          <w:color w:val="000000" w:themeColor="text1"/>
          <w:lang w:val="en-US"/>
        </w:rPr>
        <w:t>No potential conflict</w:t>
      </w:r>
      <w:r w:rsidR="00AF4D85">
        <w:rPr>
          <w:rFonts w:ascii="Book Antiqua" w:hAnsi="Book Antiqua" w:cs="Helvetica"/>
          <w:color w:val="000000" w:themeColor="text1"/>
          <w:lang w:val="en-US"/>
        </w:rPr>
        <w:t>s of interest.</w:t>
      </w:r>
    </w:p>
    <w:p w14:paraId="5B118CAD" w14:textId="77777777" w:rsidR="00D46552" w:rsidRPr="00124E11" w:rsidRDefault="00D46552" w:rsidP="00A94613">
      <w:pPr>
        <w:widowControl w:val="0"/>
        <w:autoSpaceDE w:val="0"/>
        <w:autoSpaceDN w:val="0"/>
        <w:adjustRightInd w:val="0"/>
        <w:snapToGrid w:val="0"/>
        <w:spacing w:line="360" w:lineRule="auto"/>
        <w:jc w:val="both"/>
        <w:rPr>
          <w:rFonts w:ascii="Book Antiqua" w:hAnsi="Book Antiqua" w:cs="Helvetica"/>
          <w:b/>
          <w:color w:val="000000" w:themeColor="text1"/>
          <w:lang w:val="en-US"/>
        </w:rPr>
      </w:pPr>
    </w:p>
    <w:p w14:paraId="1F07A214" w14:textId="4C8345CF" w:rsidR="00D46552" w:rsidRPr="00124E11" w:rsidRDefault="00D46552" w:rsidP="00A94613">
      <w:pPr>
        <w:widowControl w:val="0"/>
        <w:autoSpaceDE w:val="0"/>
        <w:autoSpaceDN w:val="0"/>
        <w:adjustRightInd w:val="0"/>
        <w:snapToGrid w:val="0"/>
        <w:spacing w:line="360" w:lineRule="auto"/>
        <w:jc w:val="both"/>
        <w:rPr>
          <w:rFonts w:ascii="Book Antiqua" w:hAnsi="Book Antiqua" w:cs="Helvetica"/>
          <w:color w:val="000000" w:themeColor="text1"/>
          <w:lang w:val="en-US"/>
        </w:rPr>
      </w:pPr>
      <w:r w:rsidRPr="00124E11">
        <w:rPr>
          <w:rFonts w:ascii="Book Antiqua" w:hAnsi="Book Antiqua" w:cs="Helvetica"/>
          <w:b/>
          <w:color w:val="000000" w:themeColor="text1"/>
          <w:lang w:val="en-US"/>
        </w:rPr>
        <w:t>Data</w:t>
      </w:r>
      <w:r w:rsidR="00B06F15" w:rsidRPr="00124E11">
        <w:rPr>
          <w:rFonts w:ascii="Book Antiqua" w:hAnsi="Book Antiqua" w:cs="Helvetica"/>
          <w:b/>
          <w:color w:val="000000" w:themeColor="text1"/>
          <w:lang w:val="en-US"/>
        </w:rPr>
        <w:t xml:space="preserve"> </w:t>
      </w:r>
      <w:r w:rsidRPr="00124E11">
        <w:rPr>
          <w:rFonts w:ascii="Book Antiqua" w:hAnsi="Book Antiqua" w:cs="Helvetica"/>
          <w:b/>
          <w:color w:val="000000" w:themeColor="text1"/>
          <w:lang w:val="en-US"/>
        </w:rPr>
        <w:t>sharing</w:t>
      </w:r>
      <w:r w:rsidR="00B06F15" w:rsidRPr="00124E11">
        <w:rPr>
          <w:rFonts w:ascii="Book Antiqua" w:hAnsi="Book Antiqua" w:cs="Helvetica"/>
          <w:b/>
          <w:color w:val="000000" w:themeColor="text1"/>
          <w:lang w:val="en-US"/>
        </w:rPr>
        <w:t xml:space="preserve"> statement: </w:t>
      </w:r>
      <w:r w:rsidR="00B06F15" w:rsidRPr="00124E11">
        <w:rPr>
          <w:rFonts w:ascii="Book Antiqua" w:hAnsi="Book Antiqua" w:cs="Helvetica"/>
          <w:color w:val="000000" w:themeColor="text1"/>
          <w:lang w:val="en-US"/>
        </w:rPr>
        <w:t>the</w:t>
      </w:r>
      <w:r w:rsidR="00E61468" w:rsidRPr="00124E11">
        <w:rPr>
          <w:rFonts w:ascii="Book Antiqua" w:hAnsi="Book Antiqua" w:cs="Helvetica"/>
          <w:color w:val="000000" w:themeColor="text1"/>
          <w:lang w:val="en-US"/>
        </w:rPr>
        <w:t>se</w:t>
      </w:r>
      <w:r w:rsidR="00B06F15" w:rsidRPr="00124E11">
        <w:rPr>
          <w:rFonts w:ascii="Book Antiqua" w:hAnsi="Book Antiqua" w:cs="Helvetica"/>
          <w:color w:val="000000" w:themeColor="text1"/>
          <w:lang w:val="en-US"/>
        </w:rPr>
        <w:t xml:space="preserve"> data </w:t>
      </w:r>
      <w:r w:rsidR="00E61468" w:rsidRPr="00124E11">
        <w:rPr>
          <w:rFonts w:ascii="Book Antiqua" w:hAnsi="Book Antiqua" w:cs="Helvetica"/>
          <w:color w:val="000000" w:themeColor="text1"/>
          <w:lang w:val="en-US"/>
        </w:rPr>
        <w:t>were</w:t>
      </w:r>
      <w:r w:rsidR="00B06F15" w:rsidRPr="00124E11">
        <w:rPr>
          <w:rFonts w:ascii="Book Antiqua" w:hAnsi="Book Antiqua" w:cs="Helvetica"/>
          <w:color w:val="000000" w:themeColor="text1"/>
          <w:lang w:val="en-US"/>
        </w:rPr>
        <w:t xml:space="preserve"> extracted from </w:t>
      </w:r>
      <w:r w:rsidR="00E125DF" w:rsidRPr="00124E11">
        <w:rPr>
          <w:rFonts w:ascii="Book Antiqua" w:hAnsi="Book Antiqua" w:cs="Helvetica"/>
          <w:color w:val="000000" w:themeColor="text1"/>
          <w:lang w:val="en-US"/>
        </w:rPr>
        <w:t xml:space="preserve">the </w:t>
      </w:r>
      <w:r w:rsidR="00B06F15" w:rsidRPr="00124E11">
        <w:rPr>
          <w:rFonts w:ascii="Book Antiqua" w:hAnsi="Book Antiqua" w:cs="Helvetica"/>
          <w:color w:val="000000" w:themeColor="text1"/>
          <w:lang w:val="en-US"/>
        </w:rPr>
        <w:t>reference</w:t>
      </w:r>
      <w:r w:rsidR="00E61468" w:rsidRPr="00124E11">
        <w:rPr>
          <w:rFonts w:ascii="Book Antiqua" w:hAnsi="Book Antiqua" w:cs="Helvetica"/>
          <w:color w:val="000000" w:themeColor="text1"/>
          <w:lang w:val="en-US"/>
        </w:rPr>
        <w:t>d articles</w:t>
      </w:r>
      <w:r w:rsidR="00B06F15" w:rsidRPr="00124E11">
        <w:rPr>
          <w:rFonts w:ascii="Book Antiqua" w:hAnsi="Book Antiqua" w:cs="Helvetica"/>
          <w:color w:val="000000" w:themeColor="text1"/>
          <w:lang w:val="en-US"/>
        </w:rPr>
        <w:t xml:space="preserve"> </w:t>
      </w:r>
      <w:r w:rsidR="00E61468" w:rsidRPr="00124E11">
        <w:rPr>
          <w:rFonts w:ascii="Book Antiqua" w:hAnsi="Book Antiqua" w:cs="Helvetica"/>
          <w:color w:val="000000" w:themeColor="text1"/>
          <w:lang w:val="en-US"/>
        </w:rPr>
        <w:t xml:space="preserve">and are </w:t>
      </w:r>
      <w:r w:rsidR="00B43C1A" w:rsidRPr="00124E11">
        <w:rPr>
          <w:rFonts w:ascii="Book Antiqua" w:hAnsi="Book Antiqua" w:cs="Helvetica"/>
          <w:color w:val="000000" w:themeColor="text1"/>
          <w:lang w:val="en-US"/>
        </w:rPr>
        <w:t>already in the public domain</w:t>
      </w:r>
      <w:r w:rsidR="009B4B1D" w:rsidRPr="00124E11">
        <w:rPr>
          <w:rFonts w:ascii="Book Antiqua" w:hAnsi="Book Antiqua" w:cs="Helvetica"/>
          <w:color w:val="000000" w:themeColor="text1"/>
          <w:lang w:val="en-US"/>
        </w:rPr>
        <w:t>.</w:t>
      </w:r>
    </w:p>
    <w:p w14:paraId="02E1A7F2" w14:textId="77777777" w:rsidR="00D46552" w:rsidRPr="00124E11" w:rsidRDefault="00D46552" w:rsidP="00A94613">
      <w:pPr>
        <w:widowControl w:val="0"/>
        <w:autoSpaceDE w:val="0"/>
        <w:autoSpaceDN w:val="0"/>
        <w:adjustRightInd w:val="0"/>
        <w:snapToGrid w:val="0"/>
        <w:spacing w:line="360" w:lineRule="auto"/>
        <w:jc w:val="both"/>
        <w:rPr>
          <w:rFonts w:ascii="Book Antiqua" w:hAnsi="Book Antiqua" w:cs="Helvetica"/>
          <w:color w:val="000000" w:themeColor="text1"/>
          <w:lang w:val="en-US"/>
        </w:rPr>
      </w:pPr>
    </w:p>
    <w:p w14:paraId="37992491" w14:textId="77777777" w:rsidR="00AF4D85" w:rsidRPr="00005305" w:rsidRDefault="00AF4D85" w:rsidP="00A94613">
      <w:pPr>
        <w:pStyle w:val="1"/>
        <w:snapToGrid w:val="0"/>
        <w:spacing w:line="360" w:lineRule="auto"/>
        <w:jc w:val="both"/>
        <w:rPr>
          <w:rFonts w:ascii="Book Antiqua" w:hAnsi="Book Antiqua" w:cs="Times New Roman"/>
          <w:bCs/>
          <w:color w:val="auto"/>
          <w:sz w:val="24"/>
          <w:highlight w:val="white"/>
          <w:lang w:val="en-US"/>
        </w:rPr>
      </w:pPr>
      <w:bookmarkStart w:id="4" w:name="OLE_LINK734"/>
      <w:bookmarkStart w:id="5" w:name="OLE_LINK441"/>
      <w:bookmarkStart w:id="6" w:name="OLE_LINK442"/>
      <w:bookmarkStart w:id="7" w:name="OLE_LINK1032"/>
      <w:bookmarkStart w:id="8" w:name="OLE_LINK1232"/>
      <w:bookmarkStart w:id="9"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0" w:name="OLE_LINK479"/>
      <w:bookmarkStart w:id="11" w:name="OLE_LINK496"/>
      <w:bookmarkStart w:id="12" w:name="OLE_LINK506"/>
      <w:bookmarkStart w:id="13"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4"/>
      <w:bookmarkEnd w:id="10"/>
      <w:bookmarkEnd w:id="11"/>
      <w:bookmarkEnd w:id="12"/>
      <w:bookmarkEnd w:id="13"/>
    </w:p>
    <w:bookmarkEnd w:id="5"/>
    <w:bookmarkEnd w:id="6"/>
    <w:bookmarkEnd w:id="7"/>
    <w:bookmarkEnd w:id="8"/>
    <w:bookmarkEnd w:id="9"/>
    <w:p w14:paraId="091CA05A" w14:textId="77777777" w:rsidR="00AF4D85" w:rsidRDefault="00AF4D85" w:rsidP="00A94613">
      <w:pPr>
        <w:pStyle w:val="1"/>
        <w:snapToGrid w:val="0"/>
        <w:spacing w:line="360" w:lineRule="auto"/>
        <w:jc w:val="both"/>
        <w:rPr>
          <w:rFonts w:ascii="Book Antiqua" w:hAnsi="Book Antiqua" w:cs="Times New Roman"/>
          <w:b/>
          <w:bCs/>
          <w:color w:val="FF0000"/>
          <w:sz w:val="24"/>
          <w:highlight w:val="white"/>
          <w:lang w:val="en-US" w:eastAsia="zh-CN"/>
        </w:rPr>
      </w:pPr>
    </w:p>
    <w:p w14:paraId="2A404FB9" w14:textId="77777777" w:rsidR="00AF4D85" w:rsidRDefault="00AF4D85" w:rsidP="00A94613">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003F3A70" w14:textId="77777777" w:rsidR="00AF4D85" w:rsidRDefault="00AF4D85" w:rsidP="00A94613">
      <w:pPr>
        <w:widowControl w:val="0"/>
        <w:autoSpaceDE w:val="0"/>
        <w:autoSpaceDN w:val="0"/>
        <w:adjustRightInd w:val="0"/>
        <w:snapToGrid w:val="0"/>
        <w:spacing w:line="360" w:lineRule="auto"/>
        <w:jc w:val="both"/>
        <w:rPr>
          <w:rFonts w:ascii="Book Antiqua" w:hAnsi="Book Antiqua" w:cs="Helvetica"/>
          <w:b/>
          <w:color w:val="000000" w:themeColor="text1"/>
          <w:lang w:val="en-US" w:eastAsia="zh-CN"/>
        </w:rPr>
      </w:pPr>
    </w:p>
    <w:p w14:paraId="68B800A5" w14:textId="1DCA147F" w:rsidR="008063B6" w:rsidRPr="00124E11" w:rsidRDefault="008063B6" w:rsidP="00A94613">
      <w:pPr>
        <w:widowControl w:val="0"/>
        <w:autoSpaceDE w:val="0"/>
        <w:autoSpaceDN w:val="0"/>
        <w:adjustRightInd w:val="0"/>
        <w:snapToGrid w:val="0"/>
        <w:spacing w:line="360" w:lineRule="auto"/>
        <w:jc w:val="both"/>
        <w:rPr>
          <w:rFonts w:ascii="Book Antiqua" w:hAnsi="Book Antiqua" w:cs="Helvetica"/>
          <w:color w:val="000000" w:themeColor="text1"/>
        </w:rPr>
      </w:pPr>
      <w:r w:rsidRPr="00124E11">
        <w:rPr>
          <w:rFonts w:ascii="Book Antiqua" w:hAnsi="Book Antiqua" w:cs="Helvetica"/>
          <w:b/>
          <w:color w:val="000000" w:themeColor="text1"/>
          <w:lang w:val="en-US"/>
        </w:rPr>
        <w:t>Correspondence to:</w:t>
      </w:r>
      <w:r w:rsidRPr="00124E11">
        <w:rPr>
          <w:rFonts w:ascii="Book Antiqua" w:hAnsi="Book Antiqua" w:cs="Helvetica"/>
          <w:color w:val="000000" w:themeColor="text1"/>
          <w:lang w:val="en-US"/>
        </w:rPr>
        <w:t xml:space="preserve"> </w:t>
      </w:r>
      <w:r w:rsidR="00AF4D85" w:rsidRPr="00AF4D85">
        <w:rPr>
          <w:rFonts w:ascii="Book Antiqua" w:hAnsi="Book Antiqua" w:cs="Helvetica" w:hint="eastAsia"/>
          <w:b/>
          <w:color w:val="000000" w:themeColor="text1"/>
          <w:lang w:val="en-US" w:eastAsia="zh-CN"/>
        </w:rPr>
        <w:t>Dr.</w:t>
      </w:r>
      <w:r w:rsidR="00AF4D85">
        <w:rPr>
          <w:rFonts w:ascii="Book Antiqua" w:hAnsi="Book Antiqua" w:cs="Helvetica" w:hint="eastAsia"/>
          <w:color w:val="000000" w:themeColor="text1"/>
          <w:lang w:val="en-US" w:eastAsia="zh-CN"/>
        </w:rPr>
        <w:t xml:space="preserve"> </w:t>
      </w:r>
      <w:r w:rsidRPr="00AF4D85">
        <w:rPr>
          <w:rFonts w:ascii="Book Antiqua" w:hAnsi="Book Antiqua" w:cs="Helvetica"/>
          <w:b/>
          <w:color w:val="000000" w:themeColor="text1"/>
          <w:lang w:val="en-US"/>
        </w:rPr>
        <w:t>Claude Bertrand,</w:t>
      </w:r>
      <w:r w:rsidRPr="00124E11">
        <w:rPr>
          <w:rFonts w:ascii="Book Antiqua" w:hAnsi="Book Antiqua" w:cs="Helvetica"/>
          <w:b/>
          <w:color w:val="000000" w:themeColor="text1"/>
          <w:lang w:val="en-US"/>
        </w:rPr>
        <w:t xml:space="preserve"> </w:t>
      </w:r>
      <w:r w:rsidRPr="00124E11">
        <w:rPr>
          <w:rFonts w:ascii="Book Antiqua" w:hAnsi="Book Antiqua" w:cs="Helvetica"/>
          <w:color w:val="000000" w:themeColor="text1"/>
          <w:lang w:val="en-US"/>
        </w:rPr>
        <w:t>Unit of Digestive, Endocrine and General Surgery, Department of Surgery, University Hospital - Godinne, Université catholique de Louvain, CHU UCL Namur,</w:t>
      </w:r>
      <w:r w:rsidR="00822039">
        <w:rPr>
          <w:rFonts w:ascii="Book Antiqua" w:hAnsi="Book Antiqua" w:cs="Helvetica"/>
          <w:color w:val="000000" w:themeColor="text1"/>
          <w:lang w:val="en-US"/>
        </w:rPr>
        <w:t xml:space="preserve"> </w:t>
      </w:r>
      <w:r w:rsidRPr="00124E11">
        <w:rPr>
          <w:rFonts w:ascii="Book Antiqua" w:hAnsi="Book Antiqua" w:cs="Helvetica"/>
          <w:color w:val="000000" w:themeColor="text1"/>
          <w:lang w:val="en-US"/>
        </w:rPr>
        <w:t xml:space="preserve">Av. </w:t>
      </w:r>
      <w:r w:rsidRPr="00124E11">
        <w:rPr>
          <w:rFonts w:ascii="Book Antiqua" w:hAnsi="Book Antiqua" w:cs="Helvetica"/>
          <w:color w:val="000000" w:themeColor="text1"/>
        </w:rPr>
        <w:t>Docteur G. Thérasse 1, 5530 Yvoir, Belgium.</w:t>
      </w:r>
      <w:r w:rsidR="00AF4D85">
        <w:rPr>
          <w:rFonts w:ascii="Book Antiqua" w:hAnsi="Book Antiqua" w:cs="Helvetica" w:hint="eastAsia"/>
          <w:color w:val="000000" w:themeColor="text1"/>
          <w:lang w:eastAsia="zh-CN"/>
        </w:rPr>
        <w:t xml:space="preserve"> </w:t>
      </w:r>
      <w:hyperlink r:id="rId8" w:history="1">
        <w:r w:rsidRPr="00124E11">
          <w:rPr>
            <w:rStyle w:val="Hyperlink"/>
            <w:rFonts w:ascii="Book Antiqua" w:hAnsi="Book Antiqua" w:cs="Helvetica"/>
            <w:color w:val="000000" w:themeColor="text1"/>
          </w:rPr>
          <w:t>cl.bertrand@uclouvain.be</w:t>
        </w:r>
      </w:hyperlink>
    </w:p>
    <w:p w14:paraId="75FDA1A4" w14:textId="77777777" w:rsidR="008063B6" w:rsidRPr="00124E11" w:rsidRDefault="008063B6" w:rsidP="00A94613">
      <w:pPr>
        <w:widowControl w:val="0"/>
        <w:autoSpaceDE w:val="0"/>
        <w:autoSpaceDN w:val="0"/>
        <w:adjustRightInd w:val="0"/>
        <w:snapToGrid w:val="0"/>
        <w:spacing w:line="360" w:lineRule="auto"/>
        <w:jc w:val="both"/>
        <w:rPr>
          <w:rFonts w:ascii="Book Antiqua" w:hAnsi="Book Antiqua" w:cs="Helvetica"/>
          <w:color w:val="000000" w:themeColor="text1"/>
        </w:rPr>
      </w:pPr>
      <w:r w:rsidRPr="00124E11">
        <w:rPr>
          <w:rFonts w:ascii="Book Antiqua" w:hAnsi="Book Antiqua" w:cs="Helvetica"/>
          <w:b/>
          <w:color w:val="000000" w:themeColor="text1"/>
        </w:rPr>
        <w:t>Telephone:</w:t>
      </w:r>
      <w:r w:rsidRPr="00124E11">
        <w:rPr>
          <w:rFonts w:ascii="Book Antiqua" w:hAnsi="Book Antiqua" w:cs="Helvetica"/>
          <w:color w:val="000000" w:themeColor="text1"/>
        </w:rPr>
        <w:t xml:space="preserve"> +32-81-423051</w:t>
      </w:r>
    </w:p>
    <w:p w14:paraId="1E2EF968" w14:textId="77777777" w:rsidR="008063B6" w:rsidRPr="00124E11" w:rsidRDefault="008063B6"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b/>
          <w:color w:val="000000" w:themeColor="text1"/>
          <w:lang w:val="en-US"/>
        </w:rPr>
        <w:t>Fax:</w:t>
      </w:r>
      <w:r w:rsidRPr="00124E11">
        <w:rPr>
          <w:rFonts w:ascii="Book Antiqua" w:hAnsi="Book Antiqua" w:cs="Helvetica"/>
          <w:color w:val="000000" w:themeColor="text1"/>
          <w:lang w:val="en-US"/>
        </w:rPr>
        <w:t xml:space="preserve"> +32-81-423051</w:t>
      </w:r>
    </w:p>
    <w:p w14:paraId="2EFDDF4D" w14:textId="77777777" w:rsidR="00AF4D85" w:rsidRDefault="00AF4D85" w:rsidP="00A94613">
      <w:pPr>
        <w:snapToGrid w:val="0"/>
        <w:spacing w:line="360" w:lineRule="auto"/>
        <w:jc w:val="both"/>
        <w:rPr>
          <w:rFonts w:ascii="Book Antiqua" w:hAnsi="Book Antiqua"/>
          <w:b/>
          <w:lang w:eastAsia="zh-CN"/>
        </w:rPr>
      </w:pPr>
    </w:p>
    <w:p w14:paraId="33BA1509" w14:textId="4546B005" w:rsidR="00AF4D85" w:rsidRPr="003F4CB8" w:rsidRDefault="00AF4D85" w:rsidP="00A94613">
      <w:pPr>
        <w:snapToGrid w:val="0"/>
        <w:spacing w:line="360" w:lineRule="auto"/>
        <w:jc w:val="both"/>
        <w:rPr>
          <w:rFonts w:ascii="Book Antiqua" w:hAnsi="Book Antiqua"/>
          <w:b/>
          <w:lang w:eastAsia="zh-CN"/>
        </w:rPr>
      </w:pPr>
      <w:r w:rsidRPr="003F4CB8">
        <w:rPr>
          <w:rFonts w:ascii="Book Antiqua" w:hAnsi="Book Antiqua"/>
          <w:b/>
        </w:rPr>
        <w:t>Received:</w:t>
      </w:r>
      <w:r>
        <w:rPr>
          <w:rFonts w:ascii="Book Antiqua" w:hAnsi="Book Antiqua" w:hint="eastAsia"/>
          <w:b/>
          <w:lang w:eastAsia="zh-CN"/>
        </w:rPr>
        <w:t xml:space="preserve"> </w:t>
      </w:r>
      <w:r w:rsidRPr="00AF4D85">
        <w:rPr>
          <w:rFonts w:ascii="Book Antiqua" w:hAnsi="Book Antiqua" w:hint="eastAsia"/>
          <w:lang w:eastAsia="zh-CN"/>
        </w:rPr>
        <w:t>January 30, 2017</w:t>
      </w:r>
    </w:p>
    <w:p w14:paraId="04C5C68E" w14:textId="26024CEC" w:rsidR="00AF4D85" w:rsidRPr="003F4CB8" w:rsidRDefault="00AF4D85" w:rsidP="00A94613">
      <w:pPr>
        <w:snapToGrid w:val="0"/>
        <w:spacing w:line="360" w:lineRule="auto"/>
        <w:jc w:val="both"/>
        <w:rPr>
          <w:rFonts w:ascii="Book Antiqua" w:hAnsi="Book Antiqua"/>
          <w:b/>
          <w:lang w:eastAsia="zh-CN"/>
        </w:rPr>
      </w:pPr>
      <w:r w:rsidRPr="003F4CB8">
        <w:rPr>
          <w:rFonts w:ascii="Book Antiqua" w:hAnsi="Book Antiqua"/>
          <w:b/>
        </w:rPr>
        <w:t>Peer-review started:</w:t>
      </w:r>
      <w:r>
        <w:rPr>
          <w:rFonts w:ascii="Book Antiqua" w:hAnsi="Book Antiqua" w:hint="eastAsia"/>
          <w:b/>
          <w:lang w:eastAsia="zh-CN"/>
        </w:rPr>
        <w:t xml:space="preserve"> </w:t>
      </w:r>
      <w:r w:rsidRPr="00AF4D85">
        <w:rPr>
          <w:rFonts w:ascii="Book Antiqua" w:hAnsi="Book Antiqua" w:hint="eastAsia"/>
          <w:lang w:eastAsia="zh-CN"/>
        </w:rPr>
        <w:t>February 8, 2017</w:t>
      </w:r>
    </w:p>
    <w:p w14:paraId="325ED641" w14:textId="5C20209B" w:rsidR="00AF4D85" w:rsidRPr="003F4CB8" w:rsidRDefault="00AF4D85" w:rsidP="00A94613">
      <w:pPr>
        <w:snapToGrid w:val="0"/>
        <w:spacing w:line="360" w:lineRule="auto"/>
        <w:jc w:val="both"/>
        <w:rPr>
          <w:rFonts w:ascii="Book Antiqua" w:hAnsi="Book Antiqua"/>
          <w:b/>
          <w:lang w:eastAsia="zh-CN"/>
        </w:rPr>
      </w:pPr>
      <w:r w:rsidRPr="003F4CB8">
        <w:rPr>
          <w:rFonts w:ascii="Book Antiqua" w:hAnsi="Book Antiqua"/>
          <w:b/>
        </w:rPr>
        <w:t>First decision:</w:t>
      </w:r>
      <w:r>
        <w:rPr>
          <w:rFonts w:ascii="Book Antiqua" w:hAnsi="Book Antiqua" w:hint="eastAsia"/>
          <w:b/>
          <w:lang w:eastAsia="zh-CN"/>
        </w:rPr>
        <w:t xml:space="preserve"> </w:t>
      </w:r>
      <w:r w:rsidRPr="00AF4D85">
        <w:rPr>
          <w:rFonts w:ascii="Book Antiqua" w:hAnsi="Book Antiqua" w:hint="eastAsia"/>
          <w:lang w:eastAsia="zh-CN"/>
        </w:rPr>
        <w:t>March 3, 2017</w:t>
      </w:r>
    </w:p>
    <w:p w14:paraId="7B4E5CF1" w14:textId="4265E04A" w:rsidR="00AF4D85" w:rsidRPr="003F4CB8" w:rsidRDefault="00AF4D85" w:rsidP="00A94613">
      <w:pPr>
        <w:snapToGrid w:val="0"/>
        <w:spacing w:line="360" w:lineRule="auto"/>
        <w:jc w:val="both"/>
        <w:rPr>
          <w:rFonts w:ascii="Book Antiqua" w:hAnsi="Book Antiqua"/>
          <w:b/>
          <w:lang w:eastAsia="zh-CN"/>
        </w:rPr>
      </w:pPr>
      <w:r w:rsidRPr="003F4CB8">
        <w:rPr>
          <w:rFonts w:ascii="Book Antiqua" w:hAnsi="Book Antiqua"/>
          <w:b/>
        </w:rPr>
        <w:t>Revised:</w:t>
      </w:r>
      <w:r>
        <w:rPr>
          <w:rFonts w:ascii="Book Antiqua" w:hAnsi="Book Antiqua" w:hint="eastAsia"/>
          <w:b/>
          <w:lang w:eastAsia="zh-CN"/>
        </w:rPr>
        <w:t xml:space="preserve"> </w:t>
      </w:r>
      <w:r w:rsidRPr="00AF4D85">
        <w:rPr>
          <w:rFonts w:ascii="Book Antiqua" w:hAnsi="Book Antiqua" w:hint="eastAsia"/>
          <w:lang w:eastAsia="zh-CN"/>
        </w:rPr>
        <w:t>April 8, 2017</w:t>
      </w:r>
    </w:p>
    <w:p w14:paraId="085087E2" w14:textId="3311BF70" w:rsidR="00AF4D85" w:rsidRPr="00863BDE" w:rsidRDefault="00AF4D85" w:rsidP="00863BDE">
      <w:pPr>
        <w:spacing w:line="360" w:lineRule="auto"/>
        <w:rPr>
          <w:rFonts w:ascii="Book Antiqua" w:hAnsi="Book Antiqua"/>
          <w:color w:val="000000"/>
        </w:rPr>
      </w:pPr>
      <w:r w:rsidRPr="003F4CB8">
        <w:rPr>
          <w:rFonts w:ascii="Book Antiqua" w:hAnsi="Book Antiqua"/>
          <w:b/>
        </w:rPr>
        <w:t>Accepted:</w:t>
      </w:r>
      <w:bookmarkStart w:id="14" w:name="OLE_LINK116"/>
      <w:bookmarkStart w:id="15" w:name="OLE_LINK117"/>
      <w:bookmarkStart w:id="16" w:name="OLE_LINK118"/>
      <w:bookmarkStart w:id="17" w:name="OLE_LINK125"/>
      <w:bookmarkStart w:id="18" w:name="OLE_LINK122"/>
      <w:bookmarkStart w:id="19" w:name="OLE_LINK126"/>
      <w:bookmarkStart w:id="20" w:name="OLE_LINK127"/>
      <w:bookmarkStart w:id="21" w:name="OLE_LINK129"/>
      <w:r w:rsidR="00863BDE" w:rsidRPr="00863BDE">
        <w:rPr>
          <w:rFonts w:ascii="Book Antiqua" w:hAnsi="Book Antiqua"/>
          <w:color w:val="000000"/>
        </w:rPr>
        <w:t xml:space="preserve"> </w:t>
      </w:r>
      <w:r w:rsidR="00863BDE">
        <w:rPr>
          <w:rFonts w:ascii="Book Antiqua" w:hAnsi="Book Antiqua"/>
          <w:color w:val="000000"/>
        </w:rPr>
        <w:t>June 18, 2017</w:t>
      </w:r>
      <w:bookmarkStart w:id="22" w:name="_GoBack"/>
      <w:bookmarkEnd w:id="14"/>
      <w:bookmarkEnd w:id="15"/>
      <w:bookmarkEnd w:id="16"/>
      <w:bookmarkEnd w:id="17"/>
      <w:bookmarkEnd w:id="18"/>
      <w:bookmarkEnd w:id="19"/>
      <w:bookmarkEnd w:id="20"/>
      <w:bookmarkEnd w:id="21"/>
      <w:bookmarkEnd w:id="22"/>
    </w:p>
    <w:p w14:paraId="1479A605" w14:textId="77777777" w:rsidR="00AF4D85" w:rsidRPr="003F4CB8" w:rsidRDefault="00AF4D85" w:rsidP="00A94613">
      <w:pPr>
        <w:snapToGrid w:val="0"/>
        <w:spacing w:line="360" w:lineRule="auto"/>
        <w:jc w:val="both"/>
        <w:rPr>
          <w:rFonts w:ascii="Book Antiqua" w:hAnsi="Book Antiqua"/>
          <w:b/>
        </w:rPr>
      </w:pPr>
      <w:r w:rsidRPr="003F4CB8">
        <w:rPr>
          <w:rFonts w:ascii="Book Antiqua" w:hAnsi="Book Antiqua"/>
          <w:b/>
        </w:rPr>
        <w:t>Article in press:</w:t>
      </w:r>
    </w:p>
    <w:p w14:paraId="19E2DB25" w14:textId="77777777" w:rsidR="00AF4D85" w:rsidRPr="003F4CB8" w:rsidRDefault="00AF4D85" w:rsidP="00A94613">
      <w:pPr>
        <w:snapToGrid w:val="0"/>
        <w:spacing w:line="360" w:lineRule="auto"/>
        <w:jc w:val="both"/>
        <w:rPr>
          <w:rFonts w:ascii="Book Antiqua" w:hAnsi="Book Antiqua" w:cs="Arial"/>
          <w:b/>
          <w:lang w:val="pl-PL"/>
        </w:rPr>
      </w:pPr>
      <w:r w:rsidRPr="003F4CB8">
        <w:rPr>
          <w:rFonts w:ascii="Book Antiqua" w:hAnsi="Book Antiqua" w:cs="Arial"/>
          <w:b/>
          <w:lang w:val="pl-PL" w:eastAsia="pl-PL"/>
        </w:rPr>
        <w:t>Published online</w:t>
      </w:r>
      <w:r w:rsidRPr="003F4CB8">
        <w:rPr>
          <w:rFonts w:ascii="Book Antiqua" w:hAnsi="Book Antiqua" w:cs="Arial" w:hint="eastAsia"/>
          <w:b/>
          <w:lang w:val="pl-PL" w:eastAsia="pl-PL"/>
        </w:rPr>
        <w:t>:</w:t>
      </w:r>
    </w:p>
    <w:p w14:paraId="152C42A1" w14:textId="77777777" w:rsidR="00C67DC6" w:rsidRPr="00124E11" w:rsidRDefault="00C67DC6" w:rsidP="00A94613">
      <w:pPr>
        <w:snapToGrid w:val="0"/>
        <w:spacing w:line="360" w:lineRule="auto"/>
        <w:jc w:val="both"/>
        <w:rPr>
          <w:rFonts w:ascii="Book Antiqua" w:hAnsi="Book Antiqua" w:cs="Helvetica"/>
          <w:b/>
          <w:color w:val="000000" w:themeColor="text1"/>
          <w:lang w:val="en-US"/>
        </w:rPr>
      </w:pPr>
    </w:p>
    <w:p w14:paraId="64DCC89D" w14:textId="77777777" w:rsidR="009F697B" w:rsidRPr="00124E11" w:rsidRDefault="009F697B" w:rsidP="00A94613">
      <w:pPr>
        <w:snapToGrid w:val="0"/>
        <w:spacing w:line="360" w:lineRule="auto"/>
        <w:jc w:val="both"/>
        <w:rPr>
          <w:rFonts w:ascii="Book Antiqua" w:hAnsi="Book Antiqua"/>
          <w:b/>
          <w:color w:val="000000" w:themeColor="text1"/>
          <w:lang w:val="en-US"/>
        </w:rPr>
      </w:pPr>
      <w:r w:rsidRPr="00124E11">
        <w:rPr>
          <w:rFonts w:ascii="Book Antiqua" w:hAnsi="Book Antiqua"/>
          <w:b/>
          <w:color w:val="000000" w:themeColor="text1"/>
          <w:lang w:val="en-US"/>
        </w:rPr>
        <w:br w:type="page"/>
      </w:r>
    </w:p>
    <w:p w14:paraId="05092786" w14:textId="77777777" w:rsidR="009F697B" w:rsidRPr="00124E11" w:rsidRDefault="009F697B" w:rsidP="00A94613">
      <w:pPr>
        <w:snapToGrid w:val="0"/>
        <w:spacing w:line="360" w:lineRule="auto"/>
        <w:jc w:val="both"/>
        <w:outlineLvl w:val="0"/>
        <w:rPr>
          <w:rFonts w:ascii="Book Antiqua" w:hAnsi="Book Antiqua"/>
          <w:b/>
          <w:color w:val="000000" w:themeColor="text1"/>
          <w:lang w:val="en-US"/>
        </w:rPr>
      </w:pPr>
      <w:r w:rsidRPr="00124E11">
        <w:rPr>
          <w:rFonts w:ascii="Book Antiqua" w:hAnsi="Book Antiqua"/>
          <w:b/>
          <w:color w:val="000000" w:themeColor="text1"/>
          <w:lang w:val="en-US"/>
        </w:rPr>
        <w:lastRenderedPageBreak/>
        <w:t>Abstract</w:t>
      </w:r>
    </w:p>
    <w:p w14:paraId="6D9741F4" w14:textId="77777777" w:rsidR="00A81957" w:rsidRPr="00124E11" w:rsidRDefault="00D46552" w:rsidP="00A94613">
      <w:pPr>
        <w:snapToGrid w:val="0"/>
        <w:spacing w:line="360" w:lineRule="auto"/>
        <w:jc w:val="both"/>
        <w:rPr>
          <w:rFonts w:ascii="Book Antiqua" w:hAnsi="Book Antiqua" w:cs="Helvetica"/>
          <w:b/>
          <w:i/>
          <w:caps/>
          <w:color w:val="000000" w:themeColor="text1"/>
          <w:lang w:val="en-US" w:eastAsia="zh-CN"/>
        </w:rPr>
      </w:pPr>
      <w:r w:rsidRPr="00124E11">
        <w:rPr>
          <w:rFonts w:ascii="Book Antiqua" w:hAnsi="Book Antiqua" w:cs="Helvetica"/>
          <w:b/>
          <w:i/>
          <w:caps/>
          <w:color w:val="000000" w:themeColor="text1"/>
          <w:lang w:val="en-US"/>
        </w:rPr>
        <w:t>Aim</w:t>
      </w:r>
    </w:p>
    <w:p w14:paraId="33FA6A80" w14:textId="5ECA1185" w:rsidR="00D46552" w:rsidRPr="00124E11" w:rsidRDefault="00D46552"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color w:val="000000" w:themeColor="text1"/>
          <w:lang w:val="en-US"/>
        </w:rPr>
        <w:t>To assess the role of laparoscopic ultrasound</w:t>
      </w:r>
      <w:r w:rsidR="009B4B1D" w:rsidRPr="00124E11">
        <w:rPr>
          <w:rFonts w:ascii="Book Antiqua" w:hAnsi="Book Antiqua" w:cs="Helvetica"/>
          <w:color w:val="000000" w:themeColor="text1"/>
          <w:lang w:val="en-US"/>
        </w:rPr>
        <w:t xml:space="preserve"> </w:t>
      </w:r>
      <w:r w:rsidRPr="00124E11">
        <w:rPr>
          <w:rFonts w:ascii="Book Antiqua" w:hAnsi="Book Antiqua" w:cs="Helvetica"/>
          <w:color w:val="000000" w:themeColor="text1"/>
          <w:lang w:val="en-US"/>
        </w:rPr>
        <w:t>(LUS) as a substitute for intraoperative cholangiography (IOC) during cholecystectomy.</w:t>
      </w:r>
    </w:p>
    <w:p w14:paraId="090EFA1B" w14:textId="77777777" w:rsidR="00A81957" w:rsidRPr="00124E11" w:rsidRDefault="00A81957" w:rsidP="00A94613">
      <w:pPr>
        <w:snapToGrid w:val="0"/>
        <w:spacing w:line="360" w:lineRule="auto"/>
        <w:jc w:val="both"/>
        <w:rPr>
          <w:rFonts w:ascii="Book Antiqua" w:hAnsi="Book Antiqua" w:cs="Helvetica"/>
          <w:b/>
          <w:color w:val="000000" w:themeColor="text1"/>
          <w:lang w:val="en-US" w:eastAsia="zh-CN"/>
        </w:rPr>
      </w:pPr>
    </w:p>
    <w:p w14:paraId="1C90DE11" w14:textId="77777777" w:rsidR="00A81957" w:rsidRPr="00124E11" w:rsidRDefault="00D46552" w:rsidP="00A94613">
      <w:pPr>
        <w:snapToGrid w:val="0"/>
        <w:spacing w:line="360" w:lineRule="auto"/>
        <w:jc w:val="both"/>
        <w:rPr>
          <w:rFonts w:ascii="Book Antiqua" w:hAnsi="Book Antiqua" w:cs="Helvetica"/>
          <w:b/>
          <w:i/>
          <w:caps/>
          <w:color w:val="000000" w:themeColor="text1"/>
          <w:lang w:val="en-US" w:eastAsia="zh-CN"/>
        </w:rPr>
      </w:pPr>
      <w:r w:rsidRPr="00124E11">
        <w:rPr>
          <w:rFonts w:ascii="Book Antiqua" w:hAnsi="Book Antiqua" w:cs="Helvetica"/>
          <w:b/>
          <w:i/>
          <w:caps/>
          <w:color w:val="000000" w:themeColor="text1"/>
          <w:lang w:val="en-US"/>
        </w:rPr>
        <w:t>Methods</w:t>
      </w:r>
    </w:p>
    <w:p w14:paraId="7CC91D67" w14:textId="40E85E48" w:rsidR="00D46552" w:rsidRPr="00124E11" w:rsidRDefault="00EF07B9"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color w:val="000000" w:themeColor="text1"/>
          <w:lang w:val="en-US"/>
        </w:rPr>
        <w:t xml:space="preserve">We present a </w:t>
      </w:r>
      <w:r w:rsidR="00D46552" w:rsidRPr="00124E11">
        <w:rPr>
          <w:rFonts w:ascii="Book Antiqua" w:hAnsi="Book Antiqua" w:cs="Helvetica"/>
          <w:color w:val="000000" w:themeColor="text1"/>
          <w:lang w:val="en-US"/>
        </w:rPr>
        <w:t>MEDLINE and P</w:t>
      </w:r>
      <w:r w:rsidR="00822039" w:rsidRPr="00124E11">
        <w:rPr>
          <w:rFonts w:ascii="Book Antiqua" w:hAnsi="Book Antiqua" w:cs="Helvetica"/>
          <w:color w:val="000000" w:themeColor="text1"/>
          <w:lang w:val="en-US"/>
        </w:rPr>
        <w:t>ub</w:t>
      </w:r>
      <w:r w:rsidR="00D46552" w:rsidRPr="00124E11">
        <w:rPr>
          <w:rFonts w:ascii="Book Antiqua" w:hAnsi="Book Antiqua" w:cs="Helvetica"/>
          <w:color w:val="000000" w:themeColor="text1"/>
          <w:lang w:val="en-US"/>
        </w:rPr>
        <w:t>M</w:t>
      </w:r>
      <w:r w:rsidR="00822039" w:rsidRPr="00124E11">
        <w:rPr>
          <w:rFonts w:ascii="Book Antiqua" w:hAnsi="Book Antiqua" w:cs="Helvetica"/>
          <w:color w:val="000000" w:themeColor="text1"/>
          <w:lang w:val="en-US"/>
        </w:rPr>
        <w:t>ed</w:t>
      </w:r>
      <w:r w:rsidR="00D46552" w:rsidRPr="00124E11">
        <w:rPr>
          <w:rFonts w:ascii="Book Antiqua" w:hAnsi="Book Antiqua" w:cs="Helvetica"/>
          <w:color w:val="000000" w:themeColor="text1"/>
          <w:lang w:val="en-US"/>
        </w:rPr>
        <w:t xml:space="preserve"> </w:t>
      </w:r>
      <w:r w:rsidRPr="00124E11">
        <w:rPr>
          <w:rFonts w:ascii="Book Antiqua" w:hAnsi="Book Antiqua" w:cs="Helvetica"/>
          <w:color w:val="000000" w:themeColor="text1"/>
          <w:lang w:val="en-US"/>
        </w:rPr>
        <w:t xml:space="preserve">literature </w:t>
      </w:r>
      <w:r w:rsidR="00D46552" w:rsidRPr="00124E11">
        <w:rPr>
          <w:rFonts w:ascii="Book Antiqua" w:hAnsi="Book Antiqua" w:cs="Helvetica"/>
          <w:color w:val="000000" w:themeColor="text1"/>
          <w:lang w:val="en-US"/>
        </w:rPr>
        <w:t>search</w:t>
      </w:r>
      <w:r w:rsidR="00ED3BE8"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 xml:space="preserve"> </w:t>
      </w:r>
      <w:r w:rsidRPr="00124E11">
        <w:rPr>
          <w:rFonts w:ascii="Book Antiqua" w:hAnsi="Book Antiqua" w:cs="Helvetica"/>
          <w:color w:val="000000" w:themeColor="text1"/>
          <w:lang w:val="en-US"/>
        </w:rPr>
        <w:t>having used</w:t>
      </w:r>
      <w:r w:rsidR="008502CD"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the key</w:t>
      </w:r>
      <w:r w:rsidR="008502CD"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 xml:space="preserve">words “laparoscopic intraoperative ultrasound” and “laparoscopic cholecystectomy”. </w:t>
      </w:r>
      <w:r w:rsidR="009B4B1D" w:rsidRPr="00124E11">
        <w:rPr>
          <w:rFonts w:ascii="Book Antiqua" w:hAnsi="Book Antiqua" w:cs="Helvetica"/>
          <w:color w:val="000000" w:themeColor="text1"/>
          <w:lang w:val="en-US"/>
        </w:rPr>
        <w:t xml:space="preserve">All relevant </w:t>
      </w:r>
      <w:r w:rsidR="00D46552" w:rsidRPr="00124E11">
        <w:rPr>
          <w:rFonts w:ascii="Book Antiqua" w:hAnsi="Book Antiqua" w:cs="Helvetica"/>
          <w:color w:val="000000" w:themeColor="text1"/>
          <w:lang w:val="en-US"/>
        </w:rPr>
        <w:t xml:space="preserve">English </w:t>
      </w:r>
      <w:r w:rsidR="00E125DF" w:rsidRPr="00124E11">
        <w:rPr>
          <w:rFonts w:ascii="Book Antiqua" w:hAnsi="Book Antiqua" w:cs="Helvetica"/>
          <w:color w:val="000000" w:themeColor="text1"/>
          <w:lang w:val="en-US"/>
        </w:rPr>
        <w:t xml:space="preserve">language publications </w:t>
      </w:r>
      <w:r w:rsidR="008502CD" w:rsidRPr="00124E11">
        <w:rPr>
          <w:rFonts w:ascii="Book Antiqua" w:hAnsi="Book Antiqua" w:cs="Helvetica"/>
          <w:color w:val="000000" w:themeColor="text1"/>
          <w:lang w:val="en-US"/>
        </w:rPr>
        <w:t xml:space="preserve">from 2000 to 2016 </w:t>
      </w:r>
      <w:r w:rsidRPr="00124E11">
        <w:rPr>
          <w:rFonts w:ascii="Book Antiqua" w:hAnsi="Book Antiqua" w:cs="Helvetica"/>
          <w:color w:val="000000" w:themeColor="text1"/>
          <w:lang w:val="en-US"/>
        </w:rPr>
        <w:t>were identified, with</w:t>
      </w:r>
      <w:r w:rsidR="008502CD"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 xml:space="preserve">data </w:t>
      </w:r>
      <w:r w:rsidR="004F7839" w:rsidRPr="00124E11">
        <w:rPr>
          <w:rFonts w:ascii="Book Antiqua" w:hAnsi="Book Antiqua" w:cs="Helvetica"/>
          <w:color w:val="000000" w:themeColor="text1"/>
          <w:lang w:val="en-US"/>
        </w:rPr>
        <w:t xml:space="preserve">extracted </w:t>
      </w:r>
      <w:r w:rsidR="008502CD" w:rsidRPr="00124E11">
        <w:rPr>
          <w:rFonts w:ascii="Book Antiqua" w:hAnsi="Book Antiqua" w:cs="Helvetica"/>
          <w:color w:val="000000" w:themeColor="text1"/>
          <w:lang w:val="en-US"/>
        </w:rPr>
        <w:t xml:space="preserve">for </w:t>
      </w:r>
      <w:r w:rsidR="00D46552" w:rsidRPr="00124E11">
        <w:rPr>
          <w:rFonts w:ascii="Book Antiqua" w:hAnsi="Book Antiqua" w:cs="Helvetica"/>
          <w:color w:val="000000" w:themeColor="text1"/>
          <w:lang w:val="en-US"/>
        </w:rPr>
        <w:t xml:space="preserve">the role of LUS in </w:t>
      </w:r>
      <w:r w:rsidR="00E125DF" w:rsidRPr="00124E11">
        <w:rPr>
          <w:rFonts w:ascii="Book Antiqua" w:hAnsi="Book Antiqua" w:cs="Helvetica"/>
          <w:color w:val="000000" w:themeColor="text1"/>
          <w:lang w:val="en-US"/>
        </w:rPr>
        <w:t xml:space="preserve">the </w:t>
      </w:r>
      <w:r w:rsidR="00D46552" w:rsidRPr="00124E11">
        <w:rPr>
          <w:rFonts w:ascii="Book Antiqua" w:hAnsi="Book Antiqua" w:cs="Helvetica"/>
          <w:color w:val="000000" w:themeColor="text1"/>
          <w:lang w:val="en-US"/>
        </w:rPr>
        <w:t xml:space="preserve">anatomical delineation of the biliary tract, </w:t>
      </w:r>
      <w:r w:rsidR="008502CD" w:rsidRPr="00124E11">
        <w:rPr>
          <w:rFonts w:ascii="Book Antiqua" w:hAnsi="Book Antiqua" w:cs="Helvetica"/>
          <w:color w:val="000000" w:themeColor="text1"/>
          <w:lang w:val="en-US"/>
        </w:rPr>
        <w:t xml:space="preserve">detection of </w:t>
      </w:r>
      <w:r w:rsidR="00D46552" w:rsidRPr="00124E11">
        <w:rPr>
          <w:rFonts w:ascii="Book Antiqua" w:hAnsi="Book Antiqua" w:cs="Helvetica"/>
          <w:color w:val="000000" w:themeColor="text1"/>
          <w:lang w:val="en-US"/>
        </w:rPr>
        <w:t>common bile duct stone</w:t>
      </w:r>
      <w:r w:rsidR="008502CD" w:rsidRPr="00124E11">
        <w:rPr>
          <w:rFonts w:ascii="Book Antiqua" w:hAnsi="Book Antiqua" w:cs="Helvetica"/>
          <w:color w:val="000000" w:themeColor="text1"/>
          <w:lang w:val="en-US"/>
        </w:rPr>
        <w:t>s</w:t>
      </w:r>
      <w:r w:rsidR="00D46552" w:rsidRPr="00124E11">
        <w:rPr>
          <w:rFonts w:ascii="Book Antiqua" w:hAnsi="Book Antiqua" w:cs="Helvetica"/>
          <w:color w:val="000000" w:themeColor="text1"/>
          <w:lang w:val="en-US"/>
        </w:rPr>
        <w:t xml:space="preserve"> (CBDS), prevention or early detection of biliary duct injury</w:t>
      </w:r>
      <w:r w:rsidR="008502CD"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 xml:space="preserve">(BDI), and incidental findings during laparoscopic cholecystectomy. Data </w:t>
      </w:r>
      <w:r w:rsidR="00E125DF" w:rsidRPr="00124E11">
        <w:rPr>
          <w:rFonts w:ascii="Book Antiqua" w:hAnsi="Book Antiqua" w:cs="Helvetica"/>
          <w:color w:val="000000" w:themeColor="text1"/>
          <w:lang w:val="en-US"/>
        </w:rPr>
        <w:t>for</w:t>
      </w:r>
      <w:r w:rsidR="00D46552" w:rsidRPr="00124E11">
        <w:rPr>
          <w:rFonts w:ascii="Book Antiqua" w:hAnsi="Book Antiqua" w:cs="Helvetica"/>
          <w:color w:val="000000" w:themeColor="text1"/>
          <w:lang w:val="en-US"/>
        </w:rPr>
        <w:t xml:space="preserve"> the role of LUS </w:t>
      </w:r>
      <w:r w:rsidR="008502CD" w:rsidRPr="00822039">
        <w:rPr>
          <w:rFonts w:ascii="Book Antiqua" w:hAnsi="Book Antiqua" w:cs="Helvetica"/>
          <w:i/>
          <w:color w:val="000000" w:themeColor="text1"/>
          <w:lang w:val="en-US"/>
        </w:rPr>
        <w:t>vs</w:t>
      </w:r>
      <w:r w:rsidR="00822039">
        <w:rPr>
          <w:rFonts w:ascii="Book Antiqua" w:hAnsi="Book Antiqua" w:cs="Helvetica" w:hint="eastAsia"/>
          <w:color w:val="000000" w:themeColor="text1"/>
          <w:lang w:val="en-US" w:eastAsia="zh-CN"/>
        </w:rPr>
        <w:t xml:space="preserve"> </w:t>
      </w:r>
      <w:r w:rsidR="00D46552" w:rsidRPr="00124E11">
        <w:rPr>
          <w:rFonts w:ascii="Book Antiqua" w:hAnsi="Book Antiqua" w:cs="Helvetica"/>
          <w:color w:val="000000" w:themeColor="text1"/>
          <w:lang w:val="en-US"/>
        </w:rPr>
        <w:t xml:space="preserve">IOC in </w:t>
      </w:r>
      <w:r w:rsidR="00E125DF" w:rsidRPr="00124E11">
        <w:rPr>
          <w:rFonts w:ascii="Book Antiqua" w:hAnsi="Book Antiqua" w:cs="Helvetica"/>
          <w:color w:val="000000" w:themeColor="text1"/>
          <w:lang w:val="en-US"/>
        </w:rPr>
        <w:t>complex</w:t>
      </w:r>
      <w:r w:rsidR="00D46552" w:rsidRPr="00124E11">
        <w:rPr>
          <w:rFonts w:ascii="Book Antiqua" w:hAnsi="Book Antiqua" w:cs="Helvetica"/>
          <w:color w:val="000000" w:themeColor="text1"/>
          <w:lang w:val="en-US"/>
        </w:rPr>
        <w:t xml:space="preserve"> situations </w:t>
      </w:r>
      <w:r w:rsidR="008502CD" w:rsidRPr="00124E11">
        <w:rPr>
          <w:rFonts w:ascii="Book Antiqua" w:hAnsi="Book Antiqua" w:cs="Helvetica"/>
          <w:color w:val="000000" w:themeColor="text1"/>
          <w:lang w:val="en-US"/>
        </w:rPr>
        <w:t xml:space="preserve">(i.e. </w:t>
      </w:r>
      <w:r w:rsidR="00D46552" w:rsidRPr="00124E11">
        <w:rPr>
          <w:rFonts w:ascii="Book Antiqua" w:hAnsi="Book Antiqua" w:cs="Helvetica"/>
          <w:color w:val="000000" w:themeColor="text1"/>
          <w:lang w:val="en-US"/>
        </w:rPr>
        <w:t>inflammatory disease</w:t>
      </w:r>
      <w:r w:rsidR="008502CD" w:rsidRPr="00124E11">
        <w:rPr>
          <w:rFonts w:ascii="Book Antiqua" w:hAnsi="Book Antiqua" w:cs="Helvetica"/>
          <w:color w:val="000000" w:themeColor="text1"/>
          <w:lang w:val="en-US"/>
        </w:rPr>
        <w:t>/f</w:t>
      </w:r>
      <w:r w:rsidR="00D46552" w:rsidRPr="00124E11">
        <w:rPr>
          <w:rFonts w:ascii="Book Antiqua" w:hAnsi="Book Antiqua" w:cs="Helvetica"/>
          <w:color w:val="000000" w:themeColor="text1"/>
          <w:lang w:val="en-US"/>
        </w:rPr>
        <w:t>ibrosis</w:t>
      </w:r>
      <w:r w:rsidR="008502CD" w:rsidRPr="00124E11">
        <w:rPr>
          <w:rFonts w:ascii="Book Antiqua" w:hAnsi="Book Antiqua" w:cs="Helvetica"/>
          <w:color w:val="000000" w:themeColor="text1"/>
          <w:lang w:val="en-US"/>
        </w:rPr>
        <w:t>)</w:t>
      </w:r>
      <w:r w:rsidRPr="00124E11">
        <w:rPr>
          <w:rFonts w:ascii="Book Antiqua" w:hAnsi="Book Antiqua" w:cs="Helvetica"/>
          <w:color w:val="000000" w:themeColor="text1"/>
          <w:lang w:val="en-US"/>
        </w:rPr>
        <w:t xml:space="preserve"> were</w:t>
      </w:r>
      <w:r w:rsidR="00D46552" w:rsidRPr="00124E11">
        <w:rPr>
          <w:rFonts w:ascii="Book Antiqua" w:hAnsi="Book Antiqua" w:cs="Helvetica"/>
          <w:color w:val="000000" w:themeColor="text1"/>
          <w:lang w:val="en-US"/>
        </w:rPr>
        <w:t xml:space="preserve"> specifically analyzed. </w:t>
      </w:r>
    </w:p>
    <w:p w14:paraId="38A512B5" w14:textId="77777777" w:rsidR="00A81957" w:rsidRPr="00124E11" w:rsidRDefault="00A81957" w:rsidP="00A94613">
      <w:pPr>
        <w:snapToGrid w:val="0"/>
        <w:spacing w:line="360" w:lineRule="auto"/>
        <w:jc w:val="both"/>
        <w:rPr>
          <w:rFonts w:ascii="Book Antiqua" w:hAnsi="Book Antiqua" w:cs="Helvetica"/>
          <w:b/>
          <w:color w:val="000000" w:themeColor="text1"/>
          <w:lang w:val="en-US" w:eastAsia="zh-CN"/>
        </w:rPr>
      </w:pPr>
    </w:p>
    <w:p w14:paraId="2E9DE338" w14:textId="77777777" w:rsidR="00A81957" w:rsidRPr="00124E11" w:rsidRDefault="00D46552" w:rsidP="00A94613">
      <w:pPr>
        <w:snapToGrid w:val="0"/>
        <w:spacing w:line="360" w:lineRule="auto"/>
        <w:jc w:val="both"/>
        <w:rPr>
          <w:rFonts w:ascii="Book Antiqua" w:hAnsi="Book Antiqua" w:cs="Helvetica"/>
          <w:b/>
          <w:i/>
          <w:caps/>
          <w:color w:val="000000" w:themeColor="text1"/>
          <w:lang w:val="en-US" w:eastAsia="zh-CN"/>
        </w:rPr>
      </w:pPr>
      <w:r w:rsidRPr="00124E11">
        <w:rPr>
          <w:rFonts w:ascii="Book Antiqua" w:hAnsi="Book Antiqua" w:cs="Helvetica"/>
          <w:b/>
          <w:i/>
          <w:caps/>
          <w:color w:val="000000" w:themeColor="text1"/>
          <w:lang w:val="en-US"/>
        </w:rPr>
        <w:t>Results</w:t>
      </w:r>
    </w:p>
    <w:p w14:paraId="1141695C" w14:textId="01FBF0FB" w:rsidR="00D46552" w:rsidRPr="00124E11" w:rsidRDefault="00EF07B9"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color w:val="000000" w:themeColor="text1"/>
          <w:lang w:val="en-US"/>
        </w:rPr>
        <w:t>We report data from e</w:t>
      </w:r>
      <w:r w:rsidR="00701493" w:rsidRPr="00124E11">
        <w:rPr>
          <w:rFonts w:ascii="Book Antiqua" w:hAnsi="Book Antiqua" w:cs="Helvetica"/>
          <w:color w:val="000000" w:themeColor="text1"/>
          <w:lang w:val="en-US"/>
        </w:rPr>
        <w:t>ighteen</w:t>
      </w:r>
      <w:r w:rsidR="00D46552" w:rsidRPr="00124E11">
        <w:rPr>
          <w:rFonts w:ascii="Book Antiqua" w:hAnsi="Book Antiqua" w:cs="Helvetica"/>
          <w:color w:val="000000" w:themeColor="text1"/>
          <w:lang w:val="en-US"/>
        </w:rPr>
        <w:t xml:space="preserve"> reports, 13 prospective non-randomized trials, 5 retrospective trials</w:t>
      </w:r>
      <w:r w:rsidR="004F7839" w:rsidRPr="00124E11">
        <w:rPr>
          <w:rFonts w:ascii="Book Antiqua" w:hAnsi="Book Antiqua" w:cs="Helvetica"/>
          <w:color w:val="000000" w:themeColor="text1"/>
          <w:lang w:val="en-US"/>
        </w:rPr>
        <w:t>, and t</w:t>
      </w:r>
      <w:r w:rsidR="00D46552" w:rsidRPr="00124E11">
        <w:rPr>
          <w:rFonts w:ascii="Book Antiqua" w:hAnsi="Book Antiqua" w:cs="Helvetica"/>
          <w:color w:val="000000" w:themeColor="text1"/>
          <w:lang w:val="en-US"/>
        </w:rPr>
        <w:t>wo meta-analyses</w:t>
      </w:r>
      <w:r w:rsidR="00701493" w:rsidRPr="00124E11">
        <w:rPr>
          <w:rFonts w:ascii="Book Antiqua" w:hAnsi="Book Antiqua" w:cs="Helvetica"/>
          <w:color w:val="000000" w:themeColor="text1"/>
          <w:lang w:val="en-US"/>
        </w:rPr>
        <w:t xml:space="preserve"> assessing diagnostic accuracy, with one analysis also assessing </w:t>
      </w:r>
      <w:r w:rsidR="00D46552" w:rsidRPr="00124E11">
        <w:rPr>
          <w:rFonts w:ascii="Book Antiqua" w:hAnsi="Book Antiqua" w:cs="Helvetica"/>
          <w:color w:val="000000" w:themeColor="text1"/>
          <w:lang w:val="en-US"/>
        </w:rPr>
        <w:t xml:space="preserve">costs, </w:t>
      </w:r>
      <w:r w:rsidR="00701493" w:rsidRPr="00124E11">
        <w:rPr>
          <w:rFonts w:ascii="Book Antiqua" w:hAnsi="Book Antiqua" w:cs="Helvetica"/>
          <w:color w:val="000000" w:themeColor="text1"/>
          <w:lang w:val="en-US"/>
        </w:rPr>
        <w:t xml:space="preserve">duration of </w:t>
      </w:r>
      <w:r w:rsidR="00D46552" w:rsidRPr="00124E11">
        <w:rPr>
          <w:rFonts w:ascii="Book Antiqua" w:hAnsi="Book Antiqua" w:cs="Helvetica"/>
          <w:color w:val="000000" w:themeColor="text1"/>
          <w:lang w:val="en-US"/>
        </w:rPr>
        <w:t xml:space="preserve">the examination, and anatomical </w:t>
      </w:r>
      <w:r w:rsidR="00701493" w:rsidRPr="00124E11">
        <w:rPr>
          <w:rFonts w:ascii="Book Antiqua" w:hAnsi="Book Antiqua" w:cs="Helvetica"/>
          <w:color w:val="000000" w:themeColor="text1"/>
          <w:lang w:val="en-US"/>
        </w:rPr>
        <w:t>mapping</w:t>
      </w:r>
      <w:r w:rsidR="00D46552" w:rsidRPr="00124E11">
        <w:rPr>
          <w:rFonts w:ascii="Book Antiqua" w:hAnsi="Book Antiqua" w:cs="Helvetica"/>
          <w:color w:val="000000" w:themeColor="text1"/>
          <w:lang w:val="en-US"/>
        </w:rPr>
        <w:t xml:space="preserve">. </w:t>
      </w:r>
      <w:r w:rsidRPr="00124E11">
        <w:rPr>
          <w:rFonts w:ascii="Book Antiqua" w:hAnsi="Book Antiqua" w:cs="Helvetica"/>
          <w:color w:val="000000" w:themeColor="text1"/>
          <w:lang w:val="en-US"/>
        </w:rPr>
        <w:t xml:space="preserve">Overall, </w:t>
      </w:r>
      <w:r w:rsidR="0007616C" w:rsidRPr="00124E11">
        <w:rPr>
          <w:rFonts w:ascii="Book Antiqua" w:hAnsi="Book Antiqua" w:cs="Helvetica"/>
          <w:color w:val="000000" w:themeColor="text1"/>
          <w:lang w:val="en-US"/>
        </w:rPr>
        <w:t xml:space="preserve">LUS </w:t>
      </w:r>
      <w:r w:rsidRPr="00124E11">
        <w:rPr>
          <w:rFonts w:ascii="Book Antiqua" w:hAnsi="Book Antiqua" w:cs="Helvetica"/>
          <w:color w:val="000000" w:themeColor="text1"/>
          <w:lang w:val="en-US"/>
        </w:rPr>
        <w:t xml:space="preserve">was shown to </w:t>
      </w:r>
      <w:r w:rsidR="0007616C" w:rsidRPr="00124E11">
        <w:rPr>
          <w:rFonts w:ascii="Book Antiqua" w:hAnsi="Book Antiqua" w:cs="Helvetica"/>
          <w:color w:val="000000" w:themeColor="text1"/>
          <w:lang w:val="en-US"/>
        </w:rPr>
        <w:t>provide</w:t>
      </w:r>
      <w:r w:rsidR="00701493" w:rsidRPr="00124E11">
        <w:rPr>
          <w:rFonts w:ascii="Book Antiqua" w:hAnsi="Book Antiqua" w:cs="Helvetica"/>
          <w:color w:val="000000" w:themeColor="text1"/>
          <w:lang w:val="en-US"/>
        </w:rPr>
        <w:t xml:space="preserve"> </w:t>
      </w:r>
      <w:r w:rsidR="004F7839" w:rsidRPr="00124E11">
        <w:rPr>
          <w:rFonts w:ascii="Book Antiqua" w:hAnsi="Book Antiqua" w:cs="Helvetica"/>
          <w:color w:val="000000" w:themeColor="text1"/>
          <w:lang w:val="en-US"/>
        </w:rPr>
        <w:t>highly sensitive mapping</w:t>
      </w:r>
      <w:r w:rsidR="00D46552" w:rsidRPr="00124E11">
        <w:rPr>
          <w:rFonts w:ascii="Book Antiqua" w:hAnsi="Book Antiqua" w:cs="Helvetica"/>
          <w:color w:val="000000" w:themeColor="text1"/>
          <w:lang w:val="en-US"/>
        </w:rPr>
        <w:t xml:space="preserve"> </w:t>
      </w:r>
      <w:r w:rsidR="004F7839" w:rsidRPr="00124E11">
        <w:rPr>
          <w:rFonts w:ascii="Book Antiqua" w:hAnsi="Book Antiqua" w:cs="Helvetica"/>
          <w:color w:val="000000" w:themeColor="text1"/>
          <w:lang w:val="en-US"/>
        </w:rPr>
        <w:t xml:space="preserve">of the </w:t>
      </w:r>
      <w:r w:rsidR="00D46552" w:rsidRPr="00124E11">
        <w:rPr>
          <w:rFonts w:ascii="Book Antiqua" w:hAnsi="Book Antiqua" w:cs="Helvetica"/>
          <w:color w:val="000000" w:themeColor="text1"/>
          <w:lang w:val="en-US"/>
        </w:rPr>
        <w:t>extra</w:t>
      </w:r>
      <w:r w:rsidR="00ED3BE8"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pancreatic biliary anatomy in 92</w:t>
      </w:r>
      <w:r w:rsidR="00A81957"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-100%</w:t>
      </w:r>
      <w:r w:rsidR="0007616C"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of patients</w:t>
      </w:r>
      <w:r w:rsidR="004F7839" w:rsidRPr="00124E11">
        <w:rPr>
          <w:rFonts w:ascii="Book Antiqua" w:hAnsi="Book Antiqua" w:cs="Helvetica"/>
          <w:color w:val="000000" w:themeColor="text1"/>
          <w:lang w:val="en-US"/>
        </w:rPr>
        <w:t xml:space="preserve">, </w:t>
      </w:r>
      <w:r w:rsidR="009B4B1D" w:rsidRPr="00124E11">
        <w:rPr>
          <w:rFonts w:ascii="Book Antiqua" w:hAnsi="Book Antiqua" w:cs="Helvetica"/>
          <w:color w:val="000000" w:themeColor="text1"/>
          <w:lang w:val="en-US"/>
        </w:rPr>
        <w:t xml:space="preserve">with more difficulty </w:t>
      </w:r>
      <w:r w:rsidRPr="00124E11">
        <w:rPr>
          <w:rFonts w:ascii="Book Antiqua" w:hAnsi="Book Antiqua" w:cs="Helvetica"/>
          <w:color w:val="000000" w:themeColor="text1"/>
          <w:lang w:val="en-US"/>
        </w:rPr>
        <w:t xml:space="preserve">encountered </w:t>
      </w:r>
      <w:r w:rsidR="00937238" w:rsidRPr="00124E11">
        <w:rPr>
          <w:rFonts w:ascii="Book Antiqua" w:hAnsi="Book Antiqua" w:cs="Helvetica"/>
          <w:color w:val="000000" w:themeColor="text1"/>
          <w:lang w:val="en-US"/>
        </w:rPr>
        <w:t xml:space="preserve">in delineation of </w:t>
      </w:r>
      <w:r w:rsidR="004F7839" w:rsidRPr="00124E11">
        <w:rPr>
          <w:rFonts w:ascii="Book Antiqua" w:hAnsi="Book Antiqua" w:cs="Helvetica"/>
          <w:color w:val="000000" w:themeColor="text1"/>
          <w:lang w:val="en-US"/>
        </w:rPr>
        <w:t xml:space="preserve">the </w:t>
      </w:r>
      <w:r w:rsidR="00B06F15" w:rsidRPr="00124E11">
        <w:rPr>
          <w:rFonts w:ascii="Book Antiqua" w:hAnsi="Book Antiqua" w:cs="Helvetica"/>
          <w:color w:val="000000" w:themeColor="text1"/>
          <w:lang w:val="en-US"/>
        </w:rPr>
        <w:t>intra</w:t>
      </w:r>
      <w:r w:rsidRPr="00124E11">
        <w:rPr>
          <w:rFonts w:ascii="Book Antiqua" w:hAnsi="Book Antiqua" w:cs="Helvetica"/>
          <w:color w:val="000000" w:themeColor="text1"/>
          <w:lang w:val="en-US"/>
        </w:rPr>
        <w:t>-</w:t>
      </w:r>
      <w:r w:rsidR="00B06F15" w:rsidRPr="00124E11">
        <w:rPr>
          <w:rFonts w:ascii="Book Antiqua" w:hAnsi="Book Antiqua" w:cs="Helvetica"/>
          <w:color w:val="000000" w:themeColor="text1"/>
          <w:lang w:val="en-US"/>
        </w:rPr>
        <w:t>pancreatic</w:t>
      </w:r>
      <w:r w:rsidR="00D46552" w:rsidRPr="00124E11">
        <w:rPr>
          <w:rFonts w:ascii="Book Antiqua" w:hAnsi="Book Antiqua" w:cs="Helvetica"/>
          <w:color w:val="000000" w:themeColor="text1"/>
          <w:lang w:val="en-US"/>
        </w:rPr>
        <w:t xml:space="preserve"> segment of the biliary tract</w:t>
      </w:r>
      <w:r w:rsidR="009B4B1D" w:rsidRPr="00124E11">
        <w:rPr>
          <w:rFonts w:ascii="Book Antiqua" w:hAnsi="Book Antiqua" w:cs="Helvetica"/>
          <w:color w:val="000000" w:themeColor="text1"/>
          <w:lang w:val="en-US"/>
        </w:rPr>
        <w:t xml:space="preserve"> (73.8</w:t>
      </w:r>
      <w:r w:rsidR="00A81957" w:rsidRPr="00124E11">
        <w:rPr>
          <w:rFonts w:ascii="Book Antiqua" w:hAnsi="Book Antiqua" w:cs="Helvetica"/>
          <w:color w:val="000000" w:themeColor="text1"/>
          <w:lang w:val="en-US"/>
        </w:rPr>
        <w:t>%</w:t>
      </w:r>
      <w:r w:rsidR="009B4B1D" w:rsidRPr="00124E11">
        <w:rPr>
          <w:rFonts w:ascii="Book Antiqua" w:hAnsi="Book Antiqua" w:cs="Helvetica"/>
          <w:color w:val="000000" w:themeColor="text1"/>
          <w:lang w:val="en-US"/>
        </w:rPr>
        <w:t>-98%)</w:t>
      </w:r>
      <w:r w:rsidR="004F7839"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 xml:space="preserve"> </w:t>
      </w:r>
      <w:r w:rsidR="00937238" w:rsidRPr="00124E11">
        <w:rPr>
          <w:rFonts w:ascii="Book Antiqua" w:hAnsi="Book Antiqua" w:cs="Helvetica"/>
          <w:color w:val="000000" w:themeColor="text1"/>
          <w:lang w:val="en-US"/>
        </w:rPr>
        <w:t>Identification of v</w:t>
      </w:r>
      <w:r w:rsidR="009B4B1D" w:rsidRPr="00124E11">
        <w:rPr>
          <w:rFonts w:ascii="Book Antiqua" w:hAnsi="Book Antiqua" w:cs="Helvetica"/>
          <w:color w:val="000000" w:themeColor="text1"/>
          <w:lang w:val="en-US"/>
        </w:rPr>
        <w:t>ascular and biliary variation</w:t>
      </w:r>
      <w:r w:rsidR="00937238" w:rsidRPr="00124E11">
        <w:rPr>
          <w:rFonts w:ascii="Book Antiqua" w:hAnsi="Book Antiqua" w:cs="Helvetica"/>
          <w:color w:val="000000" w:themeColor="text1"/>
          <w:lang w:val="en-US"/>
        </w:rPr>
        <w:t>s</w:t>
      </w:r>
      <w:r w:rsidRPr="00124E11">
        <w:rPr>
          <w:rFonts w:ascii="Book Antiqua" w:hAnsi="Book Antiqua" w:cs="Helvetica"/>
          <w:color w:val="000000" w:themeColor="text1"/>
          <w:lang w:val="en-US"/>
        </w:rPr>
        <w:t xml:space="preserve"> </w:t>
      </w:r>
      <w:r w:rsidR="00937238" w:rsidRPr="00124E11">
        <w:rPr>
          <w:rFonts w:ascii="Book Antiqua" w:hAnsi="Book Antiqua" w:cs="Helvetica"/>
          <w:color w:val="000000" w:themeColor="text1"/>
          <w:lang w:val="en-US"/>
        </w:rPr>
        <w:t>has been documented</w:t>
      </w:r>
      <w:r w:rsidR="009B4B1D" w:rsidRPr="00124E11">
        <w:rPr>
          <w:rFonts w:ascii="Book Antiqua" w:hAnsi="Book Antiqua" w:cs="Helvetica"/>
          <w:color w:val="000000" w:themeColor="text1"/>
          <w:lang w:val="en-US"/>
        </w:rPr>
        <w:t xml:space="preserve"> in two studies. </w:t>
      </w:r>
      <w:r w:rsidR="00701493" w:rsidRPr="00124E11">
        <w:rPr>
          <w:rFonts w:ascii="Book Antiqua" w:hAnsi="Book Antiqua" w:cs="Helvetica"/>
          <w:color w:val="000000" w:themeColor="text1"/>
          <w:lang w:val="en-US"/>
        </w:rPr>
        <w:t>Although</w:t>
      </w:r>
      <w:r w:rsidR="004F7839"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 xml:space="preserve">inflammatory disease </w:t>
      </w:r>
      <w:r w:rsidR="004F7839" w:rsidRPr="00124E11">
        <w:rPr>
          <w:rFonts w:ascii="Book Antiqua" w:hAnsi="Book Antiqua" w:cs="Helvetica"/>
          <w:color w:val="000000" w:themeColor="text1"/>
          <w:lang w:val="en-US"/>
        </w:rPr>
        <w:t xml:space="preserve">hampered </w:t>
      </w:r>
      <w:r w:rsidR="0007616C" w:rsidRPr="00124E11">
        <w:rPr>
          <w:rFonts w:ascii="Book Antiqua" w:hAnsi="Book Antiqua" w:cs="Helvetica"/>
          <w:color w:val="000000" w:themeColor="text1"/>
          <w:lang w:val="en-US"/>
        </w:rPr>
        <w:t xml:space="preserve">accuracy, </w:t>
      </w:r>
      <w:r w:rsidR="00D46552" w:rsidRPr="00124E11">
        <w:rPr>
          <w:rFonts w:ascii="Book Antiqua" w:hAnsi="Book Antiqua" w:cs="Helvetica"/>
          <w:color w:val="000000" w:themeColor="text1"/>
          <w:lang w:val="en-US"/>
        </w:rPr>
        <w:t>LUS</w:t>
      </w:r>
      <w:r w:rsidR="0007616C" w:rsidRPr="00124E11">
        <w:rPr>
          <w:rFonts w:ascii="Book Antiqua" w:hAnsi="Book Antiqua" w:cs="Helvetica"/>
          <w:color w:val="000000" w:themeColor="text1"/>
          <w:lang w:val="en-US"/>
        </w:rPr>
        <w:t xml:space="preserve"> </w:t>
      </w:r>
      <w:r w:rsidR="004F7839" w:rsidRPr="00124E11">
        <w:rPr>
          <w:rFonts w:ascii="Book Antiqua" w:hAnsi="Book Antiqua" w:cs="Helvetica"/>
          <w:color w:val="000000" w:themeColor="text1"/>
          <w:lang w:val="en-US"/>
        </w:rPr>
        <w:t xml:space="preserve">was still advantageous vs. </w:t>
      </w:r>
      <w:r w:rsidR="00B06F15" w:rsidRPr="00124E11">
        <w:rPr>
          <w:rFonts w:ascii="Book Antiqua" w:hAnsi="Book Antiqua" w:cs="Helvetica"/>
          <w:color w:val="000000" w:themeColor="text1"/>
          <w:lang w:val="en-US"/>
        </w:rPr>
        <w:t>IOC in</w:t>
      </w:r>
      <w:r w:rsidR="00D46552" w:rsidRPr="00124E11">
        <w:rPr>
          <w:rFonts w:ascii="Book Antiqua" w:hAnsi="Book Antiqua" w:cs="Helvetica"/>
          <w:color w:val="000000" w:themeColor="text1"/>
          <w:lang w:val="en-US"/>
        </w:rPr>
        <w:t xml:space="preserve"> patients with obscured anatomy. </w:t>
      </w:r>
      <w:r w:rsidR="00937238" w:rsidRPr="00124E11">
        <w:rPr>
          <w:rFonts w:ascii="Book Antiqua" w:hAnsi="Book Antiqua" w:cs="Helvetica"/>
          <w:color w:val="000000" w:themeColor="text1"/>
          <w:lang w:val="en-US"/>
        </w:rPr>
        <w:t>LUS</w:t>
      </w:r>
      <w:r w:rsidR="00B75BCD" w:rsidRPr="00124E11">
        <w:rPr>
          <w:rFonts w:ascii="Book Antiqua" w:hAnsi="Book Antiqua" w:cs="Helvetica"/>
          <w:color w:val="000000" w:themeColor="text1"/>
          <w:lang w:val="en-US"/>
        </w:rPr>
        <w:t xml:space="preserve"> can be performed before any dissection and repeated</w:t>
      </w:r>
      <w:r w:rsidR="00937238" w:rsidRPr="00124E11">
        <w:rPr>
          <w:rFonts w:ascii="Book Antiqua" w:hAnsi="Book Antiqua" w:cs="Helvetica"/>
          <w:color w:val="000000" w:themeColor="text1"/>
          <w:lang w:val="en-US"/>
        </w:rPr>
        <w:t xml:space="preserve"> at will to</w:t>
      </w:r>
      <w:r w:rsidR="00F35C0F" w:rsidRPr="00124E11">
        <w:rPr>
          <w:rFonts w:ascii="Book Antiqua" w:hAnsi="Book Antiqua" w:cs="Helvetica"/>
          <w:color w:val="000000" w:themeColor="text1"/>
          <w:lang w:val="en-US"/>
        </w:rPr>
        <w:t xml:space="preserve"> </w:t>
      </w:r>
      <w:r w:rsidR="00937238" w:rsidRPr="00124E11">
        <w:rPr>
          <w:rFonts w:ascii="Book Antiqua" w:hAnsi="Book Antiqua" w:cs="Helvetica"/>
          <w:color w:val="000000" w:themeColor="text1"/>
          <w:lang w:val="en-US"/>
        </w:rPr>
        <w:t>g</w:t>
      </w:r>
      <w:r w:rsidR="00F35C0F" w:rsidRPr="00124E11">
        <w:rPr>
          <w:rFonts w:ascii="Book Antiqua" w:hAnsi="Book Antiqua" w:cs="Helvetica"/>
          <w:color w:val="000000" w:themeColor="text1"/>
          <w:lang w:val="en-US"/>
        </w:rPr>
        <w:t xml:space="preserve">uide the surgeon </w:t>
      </w:r>
      <w:r w:rsidR="00D46A20" w:rsidRPr="00124E11">
        <w:rPr>
          <w:rFonts w:ascii="Book Antiqua" w:hAnsi="Book Antiqua" w:cs="Helvetica"/>
          <w:color w:val="000000" w:themeColor="text1"/>
          <w:lang w:val="en-US"/>
        </w:rPr>
        <w:t xml:space="preserve">especially </w:t>
      </w:r>
      <w:r w:rsidR="00F35C0F" w:rsidRPr="00124E11">
        <w:rPr>
          <w:rFonts w:ascii="Book Antiqua" w:hAnsi="Book Antiqua" w:cs="Helvetica"/>
          <w:color w:val="000000" w:themeColor="text1"/>
          <w:lang w:val="en-US"/>
        </w:rPr>
        <w:t>when hilar mapping is difficult</w:t>
      </w:r>
      <w:r w:rsidR="00B75BCD" w:rsidRPr="00124E11">
        <w:rPr>
          <w:rFonts w:ascii="Book Antiqua" w:hAnsi="Book Antiqua" w:cs="Helvetica"/>
          <w:color w:val="000000" w:themeColor="text1"/>
          <w:lang w:val="en-US"/>
        </w:rPr>
        <w:t xml:space="preserve"> </w:t>
      </w:r>
      <w:r w:rsidR="00F35C0F" w:rsidRPr="00124E11">
        <w:rPr>
          <w:rFonts w:ascii="Book Antiqua" w:hAnsi="Book Antiqua" w:cs="Helvetica"/>
          <w:color w:val="000000" w:themeColor="text1"/>
          <w:lang w:val="en-US"/>
        </w:rPr>
        <w:t>due to fibrosis and inflammation</w:t>
      </w:r>
      <w:r w:rsidR="00D21396" w:rsidRPr="00124E11">
        <w:rPr>
          <w:rFonts w:ascii="Book Antiqua" w:hAnsi="Book Antiqua" w:cs="Helvetica"/>
          <w:color w:val="000000" w:themeColor="text1"/>
          <w:lang w:val="en-US"/>
        </w:rPr>
        <w:t xml:space="preserve">. In two studies LUS prevented conversion in 91% of patients with difficult scenarios. </w:t>
      </w:r>
      <w:r w:rsidR="00D46552" w:rsidRPr="00124E11">
        <w:rPr>
          <w:rFonts w:ascii="Book Antiqua" w:hAnsi="Book Antiqua" w:cs="Helvetica"/>
          <w:color w:val="000000" w:themeColor="text1"/>
          <w:lang w:val="en-US"/>
        </w:rPr>
        <w:t xml:space="preserve">Considering CBDS detection, </w:t>
      </w:r>
      <w:r w:rsidR="009B4B1D" w:rsidRPr="00124E11">
        <w:rPr>
          <w:rFonts w:ascii="Book Antiqua" w:hAnsi="Book Antiqua" w:cs="Helvetica"/>
          <w:color w:val="000000" w:themeColor="text1"/>
          <w:lang w:val="en-US"/>
        </w:rPr>
        <w:t>LUS</w:t>
      </w:r>
      <w:r w:rsidR="004F7839" w:rsidRPr="00124E11">
        <w:rPr>
          <w:rFonts w:ascii="Book Antiqua" w:hAnsi="Book Antiqua" w:cs="Helvetica"/>
          <w:color w:val="000000" w:themeColor="text1"/>
          <w:lang w:val="en-US"/>
        </w:rPr>
        <w:t xml:space="preserve"> sensitivity and </w:t>
      </w:r>
      <w:r w:rsidR="0007616C" w:rsidRPr="00124E11">
        <w:rPr>
          <w:rFonts w:ascii="Book Antiqua" w:hAnsi="Book Antiqua" w:cs="Helvetica"/>
          <w:color w:val="000000" w:themeColor="text1"/>
          <w:lang w:val="en-US"/>
        </w:rPr>
        <w:t>specificity</w:t>
      </w:r>
      <w:r w:rsidR="00ED3BE8" w:rsidRPr="00124E11">
        <w:rPr>
          <w:rFonts w:ascii="Book Antiqua" w:hAnsi="Book Antiqua" w:cs="Helvetica"/>
          <w:color w:val="000000" w:themeColor="text1"/>
          <w:lang w:val="en-US"/>
        </w:rPr>
        <w:t xml:space="preserve"> were</w:t>
      </w:r>
      <w:r w:rsidR="0007616C"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76</w:t>
      </w:r>
      <w:r w:rsidR="00A81957"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-100% and 96</w:t>
      </w:r>
      <w:r w:rsidR="00FB1C95"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2</w:t>
      </w:r>
      <w:r w:rsidR="00A81957"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-100%</w:t>
      </w:r>
      <w:r w:rsidR="0007616C"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 xml:space="preserve"> respectively.</w:t>
      </w:r>
      <w:r w:rsidR="00A81957" w:rsidRPr="00124E11">
        <w:rPr>
          <w:rFonts w:ascii="Book Antiqua" w:hAnsi="Book Antiqua" w:cs="Helvetica"/>
          <w:color w:val="000000" w:themeColor="text1"/>
          <w:lang w:val="en-US" w:eastAsia="zh-CN"/>
        </w:rPr>
        <w:t xml:space="preserve"> </w:t>
      </w:r>
      <w:r w:rsidR="00D46552" w:rsidRPr="00124E11">
        <w:rPr>
          <w:rFonts w:ascii="Book Antiqua" w:hAnsi="Book Antiqua" w:cs="Helvetica"/>
          <w:color w:val="000000" w:themeColor="text1"/>
          <w:lang w:val="en-US"/>
        </w:rPr>
        <w:t xml:space="preserve">LUS allowed </w:t>
      </w:r>
      <w:r w:rsidR="00701493" w:rsidRPr="00124E11">
        <w:rPr>
          <w:rFonts w:ascii="Book Antiqua" w:hAnsi="Book Antiqua" w:cs="Helvetica"/>
          <w:color w:val="000000" w:themeColor="text1"/>
          <w:lang w:val="en-US"/>
        </w:rPr>
        <w:t xml:space="preserve">the </w:t>
      </w:r>
      <w:r w:rsidR="00D46552" w:rsidRPr="00124E11">
        <w:rPr>
          <w:rFonts w:ascii="Book Antiqua" w:hAnsi="Book Antiqua" w:cs="Helvetica"/>
          <w:color w:val="000000" w:themeColor="text1"/>
          <w:lang w:val="en-US"/>
        </w:rPr>
        <w:t>diagnosis</w:t>
      </w:r>
      <w:r w:rsidR="00701493"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treatment of incidental findings of adjacent organs</w:t>
      </w:r>
      <w:r w:rsidR="002B42CE" w:rsidRPr="00124E11">
        <w:rPr>
          <w:rFonts w:ascii="Book Antiqua" w:hAnsi="Book Antiqua" w:cs="Helvetica"/>
          <w:color w:val="000000" w:themeColor="text1"/>
          <w:lang w:val="en-US"/>
        </w:rPr>
        <w:t>. N</w:t>
      </w:r>
      <w:r w:rsidR="00D46552" w:rsidRPr="00124E11">
        <w:rPr>
          <w:rFonts w:ascii="Book Antiqua" w:hAnsi="Book Antiqua" w:cs="Helvetica"/>
          <w:color w:val="000000" w:themeColor="text1"/>
          <w:lang w:val="en-US"/>
        </w:rPr>
        <w:t xml:space="preserve">o valuable data </w:t>
      </w:r>
      <w:r w:rsidR="0007616C" w:rsidRPr="00124E11">
        <w:rPr>
          <w:rFonts w:ascii="Book Antiqua" w:hAnsi="Book Antiqua" w:cs="Helvetica"/>
          <w:color w:val="000000" w:themeColor="text1"/>
          <w:lang w:val="en-US"/>
        </w:rPr>
        <w:t xml:space="preserve">for </w:t>
      </w:r>
      <w:r w:rsidR="00ED3BE8" w:rsidRPr="00124E11">
        <w:rPr>
          <w:rFonts w:ascii="Book Antiqua" w:hAnsi="Book Antiqua" w:cs="Helvetica"/>
          <w:color w:val="000000" w:themeColor="text1"/>
          <w:lang w:val="en-US"/>
        </w:rPr>
        <w:t xml:space="preserve">BDI prevention or </w:t>
      </w:r>
      <w:r w:rsidR="0007616C" w:rsidRPr="00124E11">
        <w:rPr>
          <w:rFonts w:ascii="Book Antiqua" w:hAnsi="Book Antiqua" w:cs="Helvetica"/>
          <w:color w:val="000000" w:themeColor="text1"/>
          <w:lang w:val="en-US"/>
        </w:rPr>
        <w:t>detection</w:t>
      </w:r>
      <w:r w:rsidR="00ED3BE8" w:rsidRPr="00124E11">
        <w:rPr>
          <w:rFonts w:ascii="Book Antiqua" w:hAnsi="Book Antiqua" w:cs="Helvetica"/>
          <w:color w:val="000000" w:themeColor="text1"/>
          <w:lang w:val="en-US"/>
        </w:rPr>
        <w:t xml:space="preserve"> could be</w:t>
      </w:r>
      <w:r w:rsidR="0007616C" w:rsidRPr="00124E11">
        <w:rPr>
          <w:rFonts w:ascii="Book Antiqua" w:hAnsi="Book Antiqua" w:cs="Helvetica"/>
          <w:color w:val="000000" w:themeColor="text1"/>
          <w:lang w:val="en-US"/>
        </w:rPr>
        <w:t xml:space="preserve"> retrieved</w:t>
      </w:r>
      <w:r w:rsidR="00D46552" w:rsidRPr="00124E11">
        <w:rPr>
          <w:rFonts w:ascii="Book Antiqua" w:hAnsi="Book Antiqua" w:cs="Helvetica"/>
          <w:color w:val="000000" w:themeColor="text1"/>
          <w:lang w:val="en-US"/>
        </w:rPr>
        <w:t xml:space="preserve">, even if no BDI was documented in </w:t>
      </w:r>
      <w:r w:rsidR="00D46552" w:rsidRPr="00124E11">
        <w:rPr>
          <w:rFonts w:ascii="Book Antiqua" w:hAnsi="Book Antiqua" w:cs="Helvetica"/>
          <w:color w:val="000000" w:themeColor="text1"/>
          <w:lang w:val="en-US"/>
        </w:rPr>
        <w:lastRenderedPageBreak/>
        <w:t>the reports analy</w:t>
      </w:r>
      <w:r w:rsidR="00B06F15" w:rsidRPr="00124E11">
        <w:rPr>
          <w:rFonts w:ascii="Book Antiqua" w:hAnsi="Book Antiqua" w:cs="Helvetica"/>
          <w:color w:val="000000" w:themeColor="text1"/>
          <w:lang w:val="en-US"/>
        </w:rPr>
        <w:t xml:space="preserve">zed. </w:t>
      </w:r>
      <w:r w:rsidR="003920C8" w:rsidRPr="00124E11">
        <w:rPr>
          <w:rFonts w:ascii="Book Antiqua" w:hAnsi="Book Antiqua" w:cs="Helvetica"/>
          <w:color w:val="000000" w:themeColor="text1"/>
          <w:lang w:val="en-US"/>
        </w:rPr>
        <w:t>Literature analysis prove</w:t>
      </w:r>
      <w:r w:rsidR="00D21396" w:rsidRPr="00124E11">
        <w:rPr>
          <w:rFonts w:ascii="Book Antiqua" w:hAnsi="Book Antiqua" w:cs="Helvetica"/>
          <w:color w:val="000000" w:themeColor="text1"/>
          <w:lang w:val="en-US"/>
        </w:rPr>
        <w:t>d</w:t>
      </w:r>
      <w:r w:rsidR="003920C8" w:rsidRPr="00124E11">
        <w:rPr>
          <w:rFonts w:ascii="Book Antiqua" w:hAnsi="Book Antiqua" w:cs="Helvetica"/>
          <w:color w:val="000000" w:themeColor="text1"/>
          <w:lang w:val="en-US"/>
        </w:rPr>
        <w:t xml:space="preserve"> </w:t>
      </w:r>
      <w:r w:rsidR="00D46552" w:rsidRPr="00124E11">
        <w:rPr>
          <w:rFonts w:ascii="Book Antiqua" w:hAnsi="Book Antiqua" w:cs="Helvetica"/>
          <w:color w:val="000000" w:themeColor="text1"/>
          <w:lang w:val="en-US"/>
        </w:rPr>
        <w:t xml:space="preserve">LUS </w:t>
      </w:r>
      <w:r w:rsidR="003920C8" w:rsidRPr="00124E11">
        <w:rPr>
          <w:rFonts w:ascii="Book Antiqua" w:hAnsi="Book Antiqua" w:cs="Helvetica"/>
          <w:color w:val="000000" w:themeColor="text1"/>
          <w:lang w:val="en-US"/>
        </w:rPr>
        <w:t>as</w:t>
      </w:r>
      <w:r w:rsidR="00D46552" w:rsidRPr="00124E11">
        <w:rPr>
          <w:rFonts w:ascii="Book Antiqua" w:hAnsi="Book Antiqua" w:cs="Helvetica"/>
          <w:color w:val="000000" w:themeColor="text1"/>
          <w:lang w:val="en-US"/>
        </w:rPr>
        <w:t xml:space="preserve"> a safe, quick, non</w:t>
      </w:r>
      <w:r w:rsidR="00FB1C95" w:rsidRPr="00124E11">
        <w:rPr>
          <w:rFonts w:ascii="Book Antiqua" w:hAnsi="Book Antiqua" w:cs="Helvetica"/>
          <w:color w:val="000000" w:themeColor="text1"/>
          <w:lang w:val="en-US"/>
        </w:rPr>
        <w:t>-</w:t>
      </w:r>
      <w:r w:rsidR="00D46552" w:rsidRPr="00124E11">
        <w:rPr>
          <w:rFonts w:ascii="Book Antiqua" w:hAnsi="Book Antiqua" w:cs="Helvetica"/>
          <w:color w:val="000000" w:themeColor="text1"/>
          <w:lang w:val="en-US"/>
        </w:rPr>
        <w:t xml:space="preserve">irradiating, </w:t>
      </w:r>
      <w:r w:rsidR="009B4B1D" w:rsidRPr="00124E11">
        <w:rPr>
          <w:rFonts w:ascii="Book Antiqua" w:hAnsi="Book Antiqua" w:cs="Helvetica"/>
          <w:color w:val="000000" w:themeColor="text1"/>
          <w:lang w:val="en-US"/>
        </w:rPr>
        <w:t>cost-effective technique,</w:t>
      </w:r>
      <w:r w:rsidR="00822039">
        <w:rPr>
          <w:rFonts w:ascii="Book Antiqua" w:hAnsi="Book Antiqua" w:cs="Helvetica" w:hint="eastAsia"/>
          <w:color w:val="000000" w:themeColor="text1"/>
          <w:lang w:val="en-US" w:eastAsia="zh-CN"/>
        </w:rPr>
        <w:t xml:space="preserve"> which </w:t>
      </w:r>
      <w:r w:rsidR="009B4B1D" w:rsidRPr="00124E11">
        <w:rPr>
          <w:rFonts w:ascii="Book Antiqua" w:hAnsi="Book Antiqua" w:cs="Helvetica"/>
          <w:color w:val="000000" w:themeColor="text1"/>
          <w:lang w:val="en-US"/>
        </w:rPr>
        <w:t xml:space="preserve">is </w:t>
      </w:r>
      <w:r w:rsidR="00920D3E" w:rsidRPr="00124E11">
        <w:rPr>
          <w:rFonts w:ascii="Book Antiqua" w:hAnsi="Book Antiqua" w:cs="Helvetica"/>
          <w:color w:val="000000" w:themeColor="text1"/>
          <w:lang w:val="en-US"/>
        </w:rPr>
        <w:t>co</w:t>
      </w:r>
      <w:r w:rsidR="009B4B1D" w:rsidRPr="00124E11">
        <w:rPr>
          <w:rFonts w:ascii="Book Antiqua" w:hAnsi="Book Antiqua" w:cs="Helvetica"/>
          <w:color w:val="000000" w:themeColor="text1"/>
          <w:lang w:val="en-US"/>
        </w:rPr>
        <w:t>mp</w:t>
      </w:r>
      <w:r w:rsidR="00920D3E" w:rsidRPr="00124E11">
        <w:rPr>
          <w:rFonts w:ascii="Book Antiqua" w:hAnsi="Book Antiqua" w:cs="Helvetica"/>
          <w:color w:val="000000" w:themeColor="text1"/>
          <w:lang w:val="en-US"/>
        </w:rPr>
        <w:t>a</w:t>
      </w:r>
      <w:r w:rsidR="009B4B1D" w:rsidRPr="00124E11">
        <w:rPr>
          <w:rFonts w:ascii="Book Antiqua" w:hAnsi="Book Antiqua" w:cs="Helvetica"/>
          <w:color w:val="000000" w:themeColor="text1"/>
          <w:lang w:val="en-US"/>
        </w:rPr>
        <w:t xml:space="preserve">ratively well known although </w:t>
      </w:r>
      <w:r w:rsidR="007227DD" w:rsidRPr="00124E11">
        <w:rPr>
          <w:rFonts w:ascii="Book Antiqua" w:hAnsi="Book Antiqua" w:cs="Helvetica"/>
          <w:color w:val="000000" w:themeColor="text1"/>
          <w:lang w:val="en-US"/>
        </w:rPr>
        <w:t xml:space="preserve">largely </w:t>
      </w:r>
      <w:r w:rsidR="00FB1C95" w:rsidRPr="00124E11">
        <w:rPr>
          <w:rFonts w:ascii="Book Antiqua" w:hAnsi="Book Antiqua" w:cs="Helvetica"/>
          <w:color w:val="000000" w:themeColor="text1"/>
          <w:lang w:val="en-US"/>
        </w:rPr>
        <w:t>under-utilized</w:t>
      </w:r>
      <w:r w:rsidR="001C7816" w:rsidRPr="00124E11">
        <w:rPr>
          <w:rFonts w:ascii="Book Antiqua" w:hAnsi="Book Antiqua" w:cs="Helvetica"/>
          <w:color w:val="000000" w:themeColor="text1"/>
          <w:lang w:val="en-US"/>
        </w:rPr>
        <w:t>,</w:t>
      </w:r>
      <w:r w:rsidR="00FB1C95" w:rsidRPr="00124E11">
        <w:rPr>
          <w:rFonts w:ascii="Book Antiqua" w:hAnsi="Book Antiqua" w:cs="Helvetica"/>
          <w:color w:val="000000" w:themeColor="text1"/>
          <w:lang w:val="en-US"/>
        </w:rPr>
        <w:t xml:space="preserve"> </w:t>
      </w:r>
      <w:r w:rsidR="007227DD" w:rsidRPr="00124E11">
        <w:rPr>
          <w:rFonts w:ascii="Book Antiqua" w:hAnsi="Book Antiqua" w:cs="Helvetica"/>
          <w:color w:val="000000" w:themeColor="text1"/>
          <w:lang w:val="en-US"/>
        </w:rPr>
        <w:t xml:space="preserve">probably </w:t>
      </w:r>
      <w:r w:rsidR="0007616C" w:rsidRPr="00124E11">
        <w:rPr>
          <w:rFonts w:ascii="Book Antiqua" w:hAnsi="Book Antiqua" w:cs="Helvetica"/>
          <w:color w:val="000000" w:themeColor="text1"/>
          <w:lang w:val="en-US"/>
        </w:rPr>
        <w:t>due to</w:t>
      </w:r>
      <w:r w:rsidR="00701493" w:rsidRPr="00124E11">
        <w:rPr>
          <w:rFonts w:ascii="Book Antiqua" w:hAnsi="Book Antiqua" w:cs="Helvetica"/>
          <w:color w:val="000000" w:themeColor="text1"/>
          <w:lang w:val="en-US"/>
        </w:rPr>
        <w:t xml:space="preserve"> the perception</w:t>
      </w:r>
      <w:r w:rsidR="001C7816" w:rsidRPr="00124E11">
        <w:rPr>
          <w:rFonts w:ascii="Book Antiqua" w:hAnsi="Book Antiqua" w:cs="Helvetica"/>
          <w:color w:val="000000" w:themeColor="text1"/>
          <w:lang w:val="en-US"/>
        </w:rPr>
        <w:t xml:space="preserve"> of a difficult learning curve</w:t>
      </w:r>
      <w:r w:rsidR="00701493" w:rsidRPr="00124E11">
        <w:rPr>
          <w:rFonts w:ascii="Book Antiqua" w:hAnsi="Book Antiqua" w:cs="Helvetica"/>
          <w:color w:val="000000" w:themeColor="text1"/>
          <w:lang w:val="en-US"/>
        </w:rPr>
        <w:t xml:space="preserve">. </w:t>
      </w:r>
    </w:p>
    <w:p w14:paraId="70F07EA6" w14:textId="77777777" w:rsidR="00A81957" w:rsidRPr="00822039" w:rsidRDefault="00A81957" w:rsidP="00A94613">
      <w:pPr>
        <w:snapToGrid w:val="0"/>
        <w:spacing w:line="360" w:lineRule="auto"/>
        <w:jc w:val="both"/>
        <w:rPr>
          <w:rFonts w:ascii="Book Antiqua" w:hAnsi="Book Antiqua" w:cs="Helvetica"/>
          <w:b/>
          <w:color w:val="000000" w:themeColor="text1"/>
          <w:lang w:val="en-US" w:eastAsia="zh-CN"/>
        </w:rPr>
      </w:pPr>
    </w:p>
    <w:p w14:paraId="53B392B2" w14:textId="77777777" w:rsidR="00A81957" w:rsidRPr="00124E11" w:rsidRDefault="00D46552" w:rsidP="00A94613">
      <w:pPr>
        <w:snapToGrid w:val="0"/>
        <w:spacing w:line="360" w:lineRule="auto"/>
        <w:jc w:val="both"/>
        <w:rPr>
          <w:rFonts w:ascii="Book Antiqua" w:hAnsi="Book Antiqua" w:cs="Helvetica"/>
          <w:b/>
          <w:i/>
          <w:caps/>
          <w:color w:val="000000" w:themeColor="text1"/>
          <w:lang w:val="en-US" w:eastAsia="zh-CN"/>
        </w:rPr>
      </w:pPr>
      <w:r w:rsidRPr="00124E11">
        <w:rPr>
          <w:rFonts w:ascii="Book Antiqua" w:hAnsi="Book Antiqua" w:cs="Helvetica"/>
          <w:b/>
          <w:i/>
          <w:caps/>
          <w:color w:val="000000" w:themeColor="text1"/>
          <w:lang w:val="en-US"/>
        </w:rPr>
        <w:t>Conclusion</w:t>
      </w:r>
    </w:p>
    <w:p w14:paraId="1980B29F" w14:textId="2B0F9BD2" w:rsidR="00D46552" w:rsidRPr="00124E11" w:rsidRDefault="00EF07B9"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color w:val="000000" w:themeColor="text1"/>
          <w:lang w:val="en-US"/>
        </w:rPr>
        <w:t>We</w:t>
      </w:r>
      <w:r w:rsidR="00BD1662" w:rsidRPr="00124E11">
        <w:rPr>
          <w:rFonts w:ascii="Book Antiqua" w:hAnsi="Book Antiqua" w:cs="Helvetica"/>
          <w:color w:val="000000" w:themeColor="text1"/>
          <w:lang w:val="en-US"/>
        </w:rPr>
        <w:t xml:space="preserve"> highlight the advantages and </w:t>
      </w:r>
      <w:r w:rsidR="00D46552" w:rsidRPr="00124E11">
        <w:rPr>
          <w:rFonts w:ascii="Book Antiqua" w:hAnsi="Book Antiqua" w:cs="Helvetica"/>
          <w:color w:val="000000" w:themeColor="text1"/>
          <w:lang w:val="en-US"/>
        </w:rPr>
        <w:t>limitations of laparoscopic ultrasound during cholecystectomy, and underline its valu</w:t>
      </w:r>
      <w:r w:rsidR="00FB1C95" w:rsidRPr="00124E11">
        <w:rPr>
          <w:rFonts w:ascii="Book Antiqua" w:hAnsi="Book Antiqua" w:cs="Helvetica"/>
          <w:color w:val="000000" w:themeColor="text1"/>
          <w:lang w:val="en-US"/>
        </w:rPr>
        <w:t>e</w:t>
      </w:r>
      <w:r w:rsidR="00D46552" w:rsidRPr="00124E11">
        <w:rPr>
          <w:rFonts w:ascii="Book Antiqua" w:hAnsi="Book Antiqua" w:cs="Helvetica"/>
          <w:color w:val="000000" w:themeColor="text1"/>
          <w:lang w:val="en-US"/>
        </w:rPr>
        <w:t xml:space="preserve"> in difficult </w:t>
      </w:r>
      <w:r w:rsidR="00ED3BE8" w:rsidRPr="00124E11">
        <w:rPr>
          <w:rFonts w:ascii="Book Antiqua" w:hAnsi="Book Antiqua" w:cs="Helvetica"/>
          <w:color w:val="000000" w:themeColor="text1"/>
          <w:lang w:val="en-US"/>
        </w:rPr>
        <w:t xml:space="preserve">scenarios </w:t>
      </w:r>
      <w:r w:rsidR="00D46552" w:rsidRPr="00124E11">
        <w:rPr>
          <w:rFonts w:ascii="Book Antiqua" w:hAnsi="Book Antiqua" w:cs="Helvetica"/>
          <w:color w:val="000000" w:themeColor="text1"/>
          <w:lang w:val="en-US"/>
        </w:rPr>
        <w:t xml:space="preserve">when </w:t>
      </w:r>
      <w:r w:rsidR="009B4B1D" w:rsidRPr="00124E11">
        <w:rPr>
          <w:rFonts w:ascii="Book Antiqua" w:hAnsi="Book Antiqua" w:cs="Helvetica"/>
          <w:color w:val="000000" w:themeColor="text1"/>
          <w:lang w:val="en-US"/>
        </w:rPr>
        <w:t xml:space="preserve">the </w:t>
      </w:r>
      <w:r w:rsidR="00D46552" w:rsidRPr="00124E11">
        <w:rPr>
          <w:rFonts w:ascii="Book Antiqua" w:hAnsi="Book Antiqua" w:cs="Helvetica"/>
          <w:color w:val="000000" w:themeColor="text1"/>
          <w:lang w:val="en-US"/>
        </w:rPr>
        <w:t>anatomy is obscured.</w:t>
      </w:r>
    </w:p>
    <w:p w14:paraId="1468074B" w14:textId="77777777" w:rsidR="009F697B" w:rsidRPr="00124E11" w:rsidRDefault="009F697B" w:rsidP="00A94613">
      <w:pPr>
        <w:snapToGrid w:val="0"/>
        <w:spacing w:line="360" w:lineRule="auto"/>
        <w:jc w:val="both"/>
        <w:rPr>
          <w:rFonts w:ascii="Book Antiqua" w:hAnsi="Book Antiqua"/>
          <w:b/>
          <w:color w:val="000000" w:themeColor="text1"/>
          <w:lang w:val="en-US"/>
        </w:rPr>
      </w:pPr>
    </w:p>
    <w:p w14:paraId="75EC896E" w14:textId="0A790F46" w:rsidR="009F697B" w:rsidRPr="00124E11" w:rsidRDefault="009F697B" w:rsidP="00A94613">
      <w:pPr>
        <w:snapToGrid w:val="0"/>
        <w:spacing w:line="360" w:lineRule="auto"/>
        <w:jc w:val="both"/>
        <w:rPr>
          <w:rFonts w:ascii="Book Antiqua" w:hAnsi="Book Antiqua" w:cs="Helvetica"/>
          <w:color w:val="000000" w:themeColor="text1"/>
          <w:lang w:val="en-US"/>
        </w:rPr>
      </w:pPr>
      <w:r w:rsidRPr="00124E11">
        <w:rPr>
          <w:rFonts w:ascii="Book Antiqua" w:hAnsi="Book Antiqua" w:cs="Helvetica"/>
          <w:b/>
          <w:color w:val="000000" w:themeColor="text1"/>
          <w:lang w:val="en-US"/>
        </w:rPr>
        <w:t>Key words:</w:t>
      </w:r>
      <w:r w:rsidRPr="00124E11">
        <w:rPr>
          <w:rFonts w:ascii="Book Antiqua" w:hAnsi="Book Antiqua" w:cs="Helvetica"/>
          <w:color w:val="000000" w:themeColor="text1"/>
          <w:lang w:val="en-US"/>
        </w:rPr>
        <w:t xml:space="preserve"> </w:t>
      </w:r>
      <w:r w:rsidRPr="00124E11">
        <w:rPr>
          <w:rFonts w:ascii="Book Antiqua" w:hAnsi="Book Antiqua" w:cs="Helvetica"/>
          <w:caps/>
          <w:color w:val="000000" w:themeColor="text1"/>
          <w:lang w:val="en-US"/>
        </w:rPr>
        <w:t>i</w:t>
      </w:r>
      <w:r w:rsidRPr="00124E11">
        <w:rPr>
          <w:rFonts w:ascii="Book Antiqua" w:hAnsi="Book Antiqua" w:cs="Helvetica"/>
          <w:color w:val="000000" w:themeColor="text1"/>
          <w:lang w:val="en-US"/>
        </w:rPr>
        <w:t>ntraoperative ultrasound</w:t>
      </w:r>
      <w:r w:rsidR="00ED06FE" w:rsidRPr="00124E11">
        <w:rPr>
          <w:rFonts w:ascii="Book Antiqua" w:hAnsi="Book Antiqua" w:cs="Helvetica"/>
          <w:color w:val="000000" w:themeColor="text1"/>
          <w:lang w:val="en-US"/>
        </w:rPr>
        <w:t>;</w:t>
      </w:r>
      <w:r w:rsidRPr="00124E11">
        <w:rPr>
          <w:rFonts w:ascii="Book Antiqua" w:hAnsi="Book Antiqua" w:cs="Helvetica"/>
          <w:color w:val="000000" w:themeColor="text1"/>
          <w:lang w:val="en-US"/>
        </w:rPr>
        <w:t xml:space="preserve"> </w:t>
      </w:r>
      <w:r w:rsidRPr="00124E11">
        <w:rPr>
          <w:rFonts w:ascii="Book Antiqua" w:hAnsi="Book Antiqua" w:cs="Helvetica"/>
          <w:caps/>
          <w:color w:val="000000" w:themeColor="text1"/>
          <w:lang w:val="en-US"/>
        </w:rPr>
        <w:t>l</w:t>
      </w:r>
      <w:r w:rsidRPr="00124E11">
        <w:rPr>
          <w:rFonts w:ascii="Book Antiqua" w:hAnsi="Book Antiqua" w:cs="Helvetica"/>
          <w:color w:val="000000" w:themeColor="text1"/>
          <w:lang w:val="en-US"/>
        </w:rPr>
        <w:t>aparoscopic cholecystectomy</w:t>
      </w:r>
      <w:r w:rsidR="00ED06FE" w:rsidRPr="00124E11">
        <w:rPr>
          <w:rFonts w:ascii="Book Antiqua" w:hAnsi="Book Antiqua" w:cs="Helvetica"/>
          <w:color w:val="000000" w:themeColor="text1"/>
          <w:lang w:val="en-US"/>
        </w:rPr>
        <w:t xml:space="preserve">; </w:t>
      </w:r>
      <w:r w:rsidRPr="00124E11">
        <w:rPr>
          <w:rFonts w:ascii="Book Antiqua" w:hAnsi="Book Antiqua" w:cs="Helvetica"/>
          <w:caps/>
          <w:color w:val="000000" w:themeColor="text1"/>
          <w:lang w:val="en-US"/>
        </w:rPr>
        <w:t>b</w:t>
      </w:r>
      <w:r w:rsidRPr="00124E11">
        <w:rPr>
          <w:rFonts w:ascii="Book Antiqua" w:hAnsi="Book Antiqua" w:cs="Helvetica"/>
          <w:color w:val="000000" w:themeColor="text1"/>
          <w:lang w:val="en-US"/>
        </w:rPr>
        <w:t>ile duct injury</w:t>
      </w:r>
      <w:r w:rsidR="00ED06FE" w:rsidRPr="00124E11">
        <w:rPr>
          <w:rFonts w:ascii="Book Antiqua" w:hAnsi="Book Antiqua" w:cs="Helvetica"/>
          <w:color w:val="000000" w:themeColor="text1"/>
          <w:lang w:val="en-US"/>
        </w:rPr>
        <w:t>;</w:t>
      </w:r>
      <w:r w:rsidRPr="00124E11">
        <w:rPr>
          <w:rFonts w:ascii="Book Antiqua" w:hAnsi="Book Antiqua" w:cs="Helvetica"/>
          <w:color w:val="000000" w:themeColor="text1"/>
          <w:lang w:val="en-US"/>
        </w:rPr>
        <w:t xml:space="preserve"> </w:t>
      </w:r>
      <w:r w:rsidRPr="00124E11">
        <w:rPr>
          <w:rFonts w:ascii="Book Antiqua" w:hAnsi="Book Antiqua" w:cs="Helvetica"/>
          <w:caps/>
          <w:color w:val="000000" w:themeColor="text1"/>
          <w:lang w:val="en-US"/>
        </w:rPr>
        <w:t>c</w:t>
      </w:r>
      <w:r w:rsidRPr="00124E11">
        <w:rPr>
          <w:rFonts w:ascii="Book Antiqua" w:hAnsi="Book Antiqua" w:cs="Helvetica"/>
          <w:color w:val="000000" w:themeColor="text1"/>
          <w:lang w:val="en-US"/>
        </w:rPr>
        <w:t>holedocolithiasis</w:t>
      </w:r>
      <w:r w:rsidR="00ED06FE" w:rsidRPr="00124E11">
        <w:rPr>
          <w:rFonts w:ascii="Book Antiqua" w:hAnsi="Book Antiqua" w:cs="Helvetica"/>
          <w:color w:val="000000" w:themeColor="text1"/>
          <w:lang w:val="en-US"/>
        </w:rPr>
        <w:t>;</w:t>
      </w:r>
      <w:r w:rsidRPr="00124E11">
        <w:rPr>
          <w:rFonts w:ascii="Book Antiqua" w:hAnsi="Book Antiqua" w:cs="Helvetica"/>
          <w:color w:val="000000" w:themeColor="text1"/>
          <w:lang w:val="en-US"/>
        </w:rPr>
        <w:t xml:space="preserve"> </w:t>
      </w:r>
      <w:r w:rsidRPr="00124E11">
        <w:rPr>
          <w:rFonts w:ascii="Book Antiqua" w:hAnsi="Book Antiqua" w:cs="Helvetica"/>
          <w:caps/>
          <w:color w:val="000000" w:themeColor="text1"/>
          <w:lang w:val="en-US"/>
        </w:rPr>
        <w:t>b</w:t>
      </w:r>
      <w:r w:rsidRPr="00124E11">
        <w:rPr>
          <w:rFonts w:ascii="Book Antiqua" w:hAnsi="Book Antiqua" w:cs="Helvetica"/>
          <w:color w:val="000000" w:themeColor="text1"/>
          <w:lang w:val="en-US"/>
        </w:rPr>
        <w:t>iliary anomalies</w:t>
      </w:r>
    </w:p>
    <w:p w14:paraId="614B9884" w14:textId="77777777" w:rsidR="00ED06FE" w:rsidRDefault="00ED06FE" w:rsidP="00A94613">
      <w:pPr>
        <w:snapToGrid w:val="0"/>
        <w:spacing w:line="360" w:lineRule="auto"/>
        <w:jc w:val="both"/>
        <w:rPr>
          <w:rFonts w:ascii="Book Antiqua" w:hAnsi="Book Antiqua" w:cs="Helvetica"/>
          <w:color w:val="000000" w:themeColor="text1"/>
          <w:lang w:val="en-US" w:eastAsia="zh-CN"/>
        </w:rPr>
      </w:pPr>
    </w:p>
    <w:p w14:paraId="72909CB1" w14:textId="77777777" w:rsidR="00822039" w:rsidRPr="00EC68EF" w:rsidRDefault="00822039" w:rsidP="00A94613">
      <w:pPr>
        <w:adjustRightInd w:val="0"/>
        <w:snapToGrid w:val="0"/>
        <w:spacing w:line="360" w:lineRule="auto"/>
        <w:jc w:val="both"/>
        <w:rPr>
          <w:rFonts w:ascii="Book Antiqua" w:hAnsi="Book Antiqua"/>
        </w:rPr>
      </w:pPr>
      <w:bookmarkStart w:id="23" w:name="OLE_LINK363"/>
      <w:bookmarkStart w:id="24" w:name="OLE_LINK364"/>
      <w:bookmarkStart w:id="25" w:name="OLE_LINK359"/>
      <w:bookmarkStart w:id="26" w:name="OLE_LINK1037"/>
      <w:bookmarkStart w:id="27" w:name="OLE_LINK1195"/>
      <w:bookmarkStart w:id="28" w:name="OLE_LINK1140"/>
      <w:bookmarkStart w:id="29" w:name="OLE_LINK1062"/>
      <w:bookmarkStart w:id="30" w:name="OLE_LINK500"/>
      <w:bookmarkStart w:id="31" w:name="OLE_LINK916"/>
      <w:bookmarkStart w:id="32" w:name="OLE_LINK956"/>
      <w:bookmarkStart w:id="33" w:name="OLE_LINK994"/>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7</w:t>
      </w:r>
      <w:r w:rsidRPr="00EC68EF">
        <w:rPr>
          <w:rFonts w:ascii="Book Antiqua" w:hAnsi="Book Antiqua"/>
          <w:b/>
        </w:rPr>
        <w:t>.</w:t>
      </w:r>
      <w:r w:rsidRPr="00EC68EF">
        <w:rPr>
          <w:rFonts w:ascii="Book Antiqua" w:hAnsi="Book Antiqua"/>
        </w:rPr>
        <w:t xml:space="preserve"> Published by Baishideng Publishing Group Inc. All rights reserved.</w:t>
      </w:r>
    </w:p>
    <w:bookmarkEnd w:id="23"/>
    <w:bookmarkEnd w:id="24"/>
    <w:bookmarkEnd w:id="25"/>
    <w:bookmarkEnd w:id="26"/>
    <w:bookmarkEnd w:id="27"/>
    <w:bookmarkEnd w:id="28"/>
    <w:bookmarkEnd w:id="29"/>
    <w:bookmarkEnd w:id="30"/>
    <w:bookmarkEnd w:id="31"/>
    <w:bookmarkEnd w:id="32"/>
    <w:bookmarkEnd w:id="33"/>
    <w:p w14:paraId="602FAC86" w14:textId="77777777" w:rsidR="00822039" w:rsidRPr="00124E11" w:rsidRDefault="00822039" w:rsidP="00A94613">
      <w:pPr>
        <w:snapToGrid w:val="0"/>
        <w:spacing w:line="360" w:lineRule="auto"/>
        <w:jc w:val="both"/>
        <w:rPr>
          <w:rFonts w:ascii="Book Antiqua" w:hAnsi="Book Antiqua" w:cs="Helvetica"/>
          <w:color w:val="000000" w:themeColor="text1"/>
          <w:lang w:val="en-US" w:eastAsia="zh-CN"/>
        </w:rPr>
      </w:pPr>
    </w:p>
    <w:p w14:paraId="45BA1FEF" w14:textId="487CCE46" w:rsidR="00326036" w:rsidRPr="00124E11" w:rsidRDefault="00ED06FE" w:rsidP="00A94613">
      <w:pPr>
        <w:snapToGrid w:val="0"/>
        <w:spacing w:line="360" w:lineRule="auto"/>
        <w:jc w:val="both"/>
        <w:rPr>
          <w:rFonts w:ascii="Book Antiqua" w:hAnsi="Book Antiqua"/>
          <w:color w:val="000000" w:themeColor="text1"/>
          <w:lang w:val="en-US"/>
        </w:rPr>
      </w:pPr>
      <w:r w:rsidRPr="00124E11">
        <w:rPr>
          <w:rFonts w:ascii="Book Antiqua" w:hAnsi="Book Antiqua" w:cs="Helvetica"/>
          <w:b/>
          <w:color w:val="000000" w:themeColor="text1"/>
          <w:lang w:val="en-US"/>
        </w:rPr>
        <w:t>Core tips:</w:t>
      </w:r>
      <w:r w:rsidR="00686FD4" w:rsidRPr="00124E11">
        <w:rPr>
          <w:rFonts w:ascii="Book Antiqua" w:hAnsi="Book Antiqua" w:cs="Helvetica"/>
          <w:b/>
          <w:color w:val="000000" w:themeColor="text1"/>
          <w:lang w:val="en-US"/>
        </w:rPr>
        <w:t xml:space="preserve"> </w:t>
      </w:r>
      <w:r w:rsidR="00BD1662" w:rsidRPr="00124E11">
        <w:rPr>
          <w:rFonts w:ascii="Book Antiqua" w:hAnsi="Book Antiqua"/>
          <w:color w:val="000000" w:themeColor="text1"/>
          <w:lang w:val="en-US"/>
        </w:rPr>
        <w:t xml:space="preserve">Laparoscopic ultrasound (LUS) during cholecystectomy allows a non-invasive study of the biliary tract, with </w:t>
      </w:r>
      <w:r w:rsidR="00FB1C95" w:rsidRPr="00124E11">
        <w:rPr>
          <w:rFonts w:ascii="Book Antiqua" w:hAnsi="Book Antiqua"/>
          <w:color w:val="000000" w:themeColor="text1"/>
          <w:lang w:val="en-US"/>
        </w:rPr>
        <w:t xml:space="preserve">an </w:t>
      </w:r>
      <w:r w:rsidR="00BD1662" w:rsidRPr="00124E11">
        <w:rPr>
          <w:rFonts w:ascii="Book Antiqua" w:hAnsi="Book Antiqua"/>
          <w:color w:val="000000" w:themeColor="text1"/>
          <w:lang w:val="en-US"/>
        </w:rPr>
        <w:t xml:space="preserve">excellent ability to detect common bile duct stones and identify anatomy. Unlike intraoperative cholangiography, </w:t>
      </w:r>
      <w:r w:rsidR="00A2629D" w:rsidRPr="00124E11">
        <w:rPr>
          <w:rFonts w:ascii="Book Antiqua" w:hAnsi="Book Antiqua"/>
          <w:color w:val="000000" w:themeColor="text1"/>
          <w:lang w:val="en-US"/>
        </w:rPr>
        <w:t>LUS can</w:t>
      </w:r>
      <w:r w:rsidR="00BD1662" w:rsidRPr="00124E11">
        <w:rPr>
          <w:rFonts w:ascii="Book Antiqua" w:hAnsi="Book Antiqua"/>
          <w:color w:val="000000" w:themeColor="text1"/>
          <w:lang w:val="en-US"/>
        </w:rPr>
        <w:t xml:space="preserve"> be performed before Calot’s triangle dissection, </w:t>
      </w:r>
      <w:r w:rsidR="00EF07B9" w:rsidRPr="00124E11">
        <w:rPr>
          <w:rFonts w:ascii="Book Antiqua" w:hAnsi="Book Antiqua"/>
          <w:color w:val="000000" w:themeColor="text1"/>
          <w:lang w:val="en-US"/>
        </w:rPr>
        <w:t>which facilitates</w:t>
      </w:r>
      <w:r w:rsidR="00FB1C95" w:rsidRPr="00124E11">
        <w:rPr>
          <w:rFonts w:ascii="Book Antiqua" w:hAnsi="Book Antiqua"/>
          <w:color w:val="000000" w:themeColor="text1"/>
          <w:lang w:val="en-US"/>
        </w:rPr>
        <w:t xml:space="preserve"> the</w:t>
      </w:r>
      <w:r w:rsidR="00BD1662" w:rsidRPr="00124E11">
        <w:rPr>
          <w:rFonts w:ascii="Book Antiqua" w:hAnsi="Book Antiqua"/>
          <w:color w:val="000000" w:themeColor="text1"/>
          <w:lang w:val="en-US"/>
        </w:rPr>
        <w:t xml:space="preserve"> mapping </w:t>
      </w:r>
      <w:r w:rsidR="00FB1C95" w:rsidRPr="00124E11">
        <w:rPr>
          <w:rFonts w:ascii="Book Antiqua" w:hAnsi="Book Antiqua"/>
          <w:color w:val="000000" w:themeColor="text1"/>
          <w:lang w:val="en-US"/>
        </w:rPr>
        <w:t xml:space="preserve">of </w:t>
      </w:r>
      <w:r w:rsidR="00BD1662" w:rsidRPr="00124E11">
        <w:rPr>
          <w:rFonts w:ascii="Book Antiqua" w:hAnsi="Book Antiqua"/>
          <w:color w:val="000000" w:themeColor="text1"/>
          <w:lang w:val="en-US"/>
        </w:rPr>
        <w:t>biliary and hilar structures during difficult s</w:t>
      </w:r>
      <w:r w:rsidR="00FB1C95" w:rsidRPr="00124E11">
        <w:rPr>
          <w:rFonts w:ascii="Book Antiqua" w:hAnsi="Book Antiqua"/>
          <w:color w:val="000000" w:themeColor="text1"/>
          <w:lang w:val="en-US"/>
        </w:rPr>
        <w:t>cenarios</w:t>
      </w:r>
      <w:r w:rsidR="00BD1662" w:rsidRPr="00124E11">
        <w:rPr>
          <w:rFonts w:ascii="Book Antiqua" w:hAnsi="Book Antiqua"/>
          <w:color w:val="000000" w:themeColor="text1"/>
          <w:lang w:val="en-US"/>
        </w:rPr>
        <w:t xml:space="preserve"> such as severe inflammation and fibrosis. Cheap, quick</w:t>
      </w:r>
      <w:r w:rsidR="00FB1C95" w:rsidRPr="00124E11">
        <w:rPr>
          <w:rFonts w:ascii="Book Antiqua" w:hAnsi="Book Antiqua"/>
          <w:color w:val="000000" w:themeColor="text1"/>
          <w:lang w:val="en-US"/>
        </w:rPr>
        <w:t>,</w:t>
      </w:r>
      <w:r w:rsidR="00BD1662" w:rsidRPr="00124E11">
        <w:rPr>
          <w:rFonts w:ascii="Book Antiqua" w:hAnsi="Book Antiqua"/>
          <w:color w:val="000000" w:themeColor="text1"/>
          <w:lang w:val="en-US"/>
        </w:rPr>
        <w:t xml:space="preserve"> and non-irradiating </w:t>
      </w:r>
      <w:r w:rsidR="00920D3E" w:rsidRPr="00124E11">
        <w:rPr>
          <w:rFonts w:ascii="Book Antiqua" w:hAnsi="Book Antiqua"/>
          <w:color w:val="000000" w:themeColor="text1"/>
          <w:lang w:val="en-US"/>
        </w:rPr>
        <w:t>LUS</w:t>
      </w:r>
      <w:r w:rsidR="00BD1662" w:rsidRPr="00124E11">
        <w:rPr>
          <w:rFonts w:ascii="Book Antiqua" w:hAnsi="Book Antiqua"/>
          <w:color w:val="000000" w:themeColor="text1"/>
          <w:lang w:val="en-US"/>
        </w:rPr>
        <w:t xml:space="preserve"> can be repeated </w:t>
      </w:r>
      <w:r w:rsidR="00FB1C95" w:rsidRPr="00124E11">
        <w:rPr>
          <w:rFonts w:ascii="Book Antiqua" w:hAnsi="Book Antiqua"/>
          <w:color w:val="000000" w:themeColor="text1"/>
          <w:lang w:val="en-US"/>
        </w:rPr>
        <w:t xml:space="preserve">at will </w:t>
      </w:r>
      <w:r w:rsidR="00BD1662" w:rsidRPr="00124E11">
        <w:rPr>
          <w:rFonts w:ascii="Book Antiqua" w:hAnsi="Book Antiqua"/>
          <w:color w:val="000000" w:themeColor="text1"/>
          <w:lang w:val="en-US"/>
        </w:rPr>
        <w:t xml:space="preserve">during the operation. Adjacent organs can </w:t>
      </w:r>
      <w:r w:rsidR="00FB1C95" w:rsidRPr="00124E11">
        <w:rPr>
          <w:rFonts w:ascii="Book Antiqua" w:hAnsi="Book Antiqua"/>
          <w:color w:val="000000" w:themeColor="text1"/>
          <w:lang w:val="en-US"/>
        </w:rPr>
        <w:t xml:space="preserve">also </w:t>
      </w:r>
      <w:r w:rsidR="00BD1662" w:rsidRPr="00124E11">
        <w:rPr>
          <w:rFonts w:ascii="Book Antiqua" w:hAnsi="Book Antiqua"/>
          <w:color w:val="000000" w:themeColor="text1"/>
          <w:lang w:val="en-US"/>
        </w:rPr>
        <w:t>be examined</w:t>
      </w:r>
      <w:r w:rsidR="006B7B37" w:rsidRPr="00124E11">
        <w:rPr>
          <w:rFonts w:ascii="Book Antiqua" w:hAnsi="Book Antiqua"/>
          <w:color w:val="000000" w:themeColor="text1"/>
          <w:lang w:val="en-US"/>
        </w:rPr>
        <w:t>,</w:t>
      </w:r>
      <w:r w:rsidR="00BD1662" w:rsidRPr="00124E11">
        <w:rPr>
          <w:rFonts w:ascii="Book Antiqua" w:hAnsi="Book Antiqua"/>
          <w:color w:val="000000" w:themeColor="text1"/>
          <w:lang w:val="en-US"/>
        </w:rPr>
        <w:t xml:space="preserve"> allowing incidental findings. </w:t>
      </w:r>
      <w:r w:rsidR="00EF07B9" w:rsidRPr="00124E11">
        <w:rPr>
          <w:rFonts w:ascii="Book Antiqua" w:hAnsi="Book Antiqua"/>
          <w:color w:val="000000" w:themeColor="text1"/>
          <w:lang w:val="en-US"/>
        </w:rPr>
        <w:t>Our</w:t>
      </w:r>
      <w:r w:rsidR="00FB1C95" w:rsidRPr="00124E11">
        <w:rPr>
          <w:rFonts w:ascii="Book Antiqua" w:hAnsi="Book Antiqua"/>
          <w:color w:val="000000" w:themeColor="text1"/>
          <w:lang w:val="en-US"/>
        </w:rPr>
        <w:t xml:space="preserve"> r</w:t>
      </w:r>
      <w:r w:rsidR="00BD1662" w:rsidRPr="00124E11">
        <w:rPr>
          <w:rFonts w:ascii="Book Antiqua" w:hAnsi="Book Antiqua"/>
          <w:color w:val="000000" w:themeColor="text1"/>
          <w:lang w:val="en-US"/>
        </w:rPr>
        <w:t xml:space="preserve">eview of </w:t>
      </w:r>
      <w:r w:rsidR="00920D3E" w:rsidRPr="00124E11">
        <w:rPr>
          <w:rFonts w:ascii="Book Antiqua" w:hAnsi="Book Antiqua"/>
          <w:color w:val="000000" w:themeColor="text1"/>
          <w:lang w:val="en-US"/>
        </w:rPr>
        <w:t>t</w:t>
      </w:r>
      <w:r w:rsidR="00FB1C95" w:rsidRPr="00124E11">
        <w:rPr>
          <w:rFonts w:ascii="Book Antiqua" w:hAnsi="Book Antiqua"/>
          <w:color w:val="000000" w:themeColor="text1"/>
          <w:lang w:val="en-US"/>
        </w:rPr>
        <w:t>h</w:t>
      </w:r>
      <w:r w:rsidR="00920D3E" w:rsidRPr="00124E11">
        <w:rPr>
          <w:rFonts w:ascii="Book Antiqua" w:hAnsi="Book Antiqua"/>
          <w:color w:val="000000" w:themeColor="text1"/>
          <w:lang w:val="en-US"/>
        </w:rPr>
        <w:t>e</w:t>
      </w:r>
      <w:r w:rsidR="00FB1C95" w:rsidRPr="00124E11">
        <w:rPr>
          <w:rFonts w:ascii="Book Antiqua" w:hAnsi="Book Antiqua"/>
          <w:color w:val="000000" w:themeColor="text1"/>
          <w:lang w:val="en-US"/>
        </w:rPr>
        <w:t xml:space="preserve"> </w:t>
      </w:r>
      <w:r w:rsidR="00BD1662" w:rsidRPr="00124E11">
        <w:rPr>
          <w:rFonts w:ascii="Book Antiqua" w:hAnsi="Book Antiqua"/>
          <w:color w:val="000000" w:themeColor="text1"/>
          <w:lang w:val="en-US"/>
        </w:rPr>
        <w:t>recent literature highlights the advantages of LUS</w:t>
      </w:r>
      <w:r w:rsidR="00920D3E" w:rsidRPr="00124E11">
        <w:rPr>
          <w:rFonts w:ascii="Book Antiqua" w:hAnsi="Book Antiqua"/>
          <w:color w:val="000000" w:themeColor="text1"/>
          <w:lang w:val="en-US"/>
        </w:rPr>
        <w:t xml:space="preserve">, despite its underuse, </w:t>
      </w:r>
      <w:r w:rsidR="00FB1C95" w:rsidRPr="00124E11">
        <w:rPr>
          <w:rFonts w:ascii="Book Antiqua" w:hAnsi="Book Antiqua"/>
          <w:color w:val="000000" w:themeColor="text1"/>
          <w:lang w:val="en-US"/>
        </w:rPr>
        <w:t xml:space="preserve">particularly </w:t>
      </w:r>
      <w:r w:rsidR="00BD1662" w:rsidRPr="00124E11">
        <w:rPr>
          <w:rFonts w:ascii="Book Antiqua" w:hAnsi="Book Antiqua"/>
          <w:color w:val="000000" w:themeColor="text1"/>
          <w:lang w:val="en-US"/>
        </w:rPr>
        <w:t xml:space="preserve">in difficult cholecystectomies when </w:t>
      </w:r>
      <w:r w:rsidR="00FB1C95" w:rsidRPr="00124E11">
        <w:rPr>
          <w:rFonts w:ascii="Book Antiqua" w:hAnsi="Book Antiqua"/>
          <w:color w:val="000000" w:themeColor="text1"/>
          <w:lang w:val="en-US"/>
        </w:rPr>
        <w:t xml:space="preserve">the </w:t>
      </w:r>
      <w:r w:rsidR="00BD1662" w:rsidRPr="00124E11">
        <w:rPr>
          <w:rFonts w:ascii="Book Antiqua" w:hAnsi="Book Antiqua"/>
          <w:color w:val="000000" w:themeColor="text1"/>
          <w:lang w:val="en-US"/>
        </w:rPr>
        <w:t>anatomy is obscured.</w:t>
      </w:r>
    </w:p>
    <w:p w14:paraId="69A76EEC" w14:textId="77777777" w:rsidR="00326036" w:rsidRPr="00124E11" w:rsidRDefault="00326036" w:rsidP="00A94613">
      <w:pPr>
        <w:snapToGrid w:val="0"/>
        <w:spacing w:line="360" w:lineRule="auto"/>
        <w:jc w:val="both"/>
        <w:rPr>
          <w:rFonts w:ascii="Book Antiqua" w:hAnsi="Book Antiqua"/>
          <w:color w:val="000000" w:themeColor="text1"/>
          <w:lang w:val="en-US"/>
        </w:rPr>
      </w:pPr>
    </w:p>
    <w:p w14:paraId="57573FC8" w14:textId="5DDA5127" w:rsidR="00326036" w:rsidRPr="00124E11" w:rsidRDefault="00326036" w:rsidP="00A94613">
      <w:pPr>
        <w:snapToGrid w:val="0"/>
        <w:spacing w:line="360" w:lineRule="auto"/>
        <w:jc w:val="both"/>
        <w:rPr>
          <w:rFonts w:ascii="Book Antiqua" w:hAnsi="Book Antiqua" w:cs="Helvetica"/>
          <w:b/>
          <w:color w:val="000000" w:themeColor="text1"/>
          <w:lang w:val="en-US" w:eastAsia="zh-CN"/>
        </w:rPr>
      </w:pPr>
      <w:r w:rsidRPr="00124E11">
        <w:rPr>
          <w:rFonts w:ascii="Book Antiqua" w:hAnsi="Book Antiqua"/>
          <w:color w:val="000000" w:themeColor="text1"/>
          <w:lang w:val="en-US"/>
        </w:rPr>
        <w:t>Dili A,</w:t>
      </w:r>
      <w:r w:rsidR="00822039">
        <w:rPr>
          <w:rFonts w:ascii="Book Antiqua" w:hAnsi="Book Antiqua" w:hint="eastAsia"/>
          <w:color w:val="000000" w:themeColor="text1"/>
          <w:lang w:val="en-US" w:eastAsia="zh-CN"/>
        </w:rPr>
        <w:t xml:space="preserve"> </w:t>
      </w:r>
      <w:r w:rsidRPr="00124E11">
        <w:rPr>
          <w:rFonts w:ascii="Book Antiqua" w:hAnsi="Book Antiqua"/>
          <w:color w:val="000000" w:themeColor="text1"/>
          <w:lang w:val="en-US"/>
        </w:rPr>
        <w:t xml:space="preserve">Bertrand C. </w:t>
      </w:r>
      <w:r w:rsidRPr="00124E11">
        <w:rPr>
          <w:rFonts w:ascii="Book Antiqua" w:hAnsi="Book Antiqua" w:cs="Helvetica"/>
          <w:color w:val="000000" w:themeColor="text1"/>
          <w:lang w:val="en-US"/>
        </w:rPr>
        <w:t xml:space="preserve">Laparoscopic </w:t>
      </w:r>
      <w:r w:rsidR="00A81957" w:rsidRPr="00124E11">
        <w:rPr>
          <w:rFonts w:ascii="Book Antiqua" w:hAnsi="Book Antiqua" w:cs="Helvetica"/>
          <w:color w:val="000000" w:themeColor="text1"/>
          <w:lang w:val="en-US"/>
        </w:rPr>
        <w:t>ultrasonography as an alternative to intraoperative cholangiography during laparoscopic cholecystectomy</w:t>
      </w:r>
      <w:r w:rsidR="00A81957" w:rsidRPr="00124E11">
        <w:rPr>
          <w:rFonts w:ascii="Book Antiqua" w:hAnsi="Book Antiqua" w:cs="Helvetica"/>
          <w:color w:val="000000" w:themeColor="text1"/>
          <w:lang w:val="en-US" w:eastAsia="zh-CN"/>
        </w:rPr>
        <w:t>.</w:t>
      </w:r>
      <w:r w:rsidR="00822039">
        <w:rPr>
          <w:rFonts w:ascii="Book Antiqua" w:hAnsi="Book Antiqua" w:cs="Helvetica" w:hint="eastAsia"/>
          <w:color w:val="000000" w:themeColor="text1"/>
          <w:lang w:val="en-US" w:eastAsia="zh-CN"/>
        </w:rPr>
        <w:t xml:space="preserve"> </w:t>
      </w:r>
      <w:bookmarkStart w:id="34" w:name="OLE_LINK1105"/>
      <w:bookmarkStart w:id="35" w:name="OLE_LINK1107"/>
      <w:r w:rsidR="00822039" w:rsidRPr="00822039">
        <w:rPr>
          <w:rFonts w:ascii="Book Antiqua" w:hAnsi="Book Antiqua" w:cs="Helvetica"/>
          <w:i/>
          <w:color w:val="000000" w:themeColor="text1"/>
          <w:lang w:val="en-US" w:eastAsia="zh-CN"/>
        </w:rPr>
        <w:t xml:space="preserve">World J Gastroenterol </w:t>
      </w:r>
      <w:r w:rsidR="00822039" w:rsidRPr="00822039">
        <w:rPr>
          <w:rFonts w:ascii="Book Antiqua" w:hAnsi="Book Antiqua" w:cs="Helvetica"/>
          <w:color w:val="000000" w:themeColor="text1"/>
          <w:lang w:val="en-US" w:eastAsia="zh-CN"/>
        </w:rPr>
        <w:t>201</w:t>
      </w:r>
      <w:r w:rsidR="00822039" w:rsidRPr="00822039">
        <w:rPr>
          <w:rFonts w:ascii="Book Antiqua" w:hAnsi="Book Antiqua" w:cs="Helvetica" w:hint="eastAsia"/>
          <w:color w:val="000000" w:themeColor="text1"/>
          <w:lang w:val="en-US" w:eastAsia="zh-CN"/>
        </w:rPr>
        <w:t>7</w:t>
      </w:r>
      <w:r w:rsidR="00822039" w:rsidRPr="00822039">
        <w:rPr>
          <w:rFonts w:ascii="Book Antiqua" w:hAnsi="Book Antiqua" w:cs="Helvetica"/>
          <w:color w:val="000000" w:themeColor="text1"/>
          <w:lang w:val="en-US" w:eastAsia="zh-CN"/>
        </w:rPr>
        <w:t>; In press</w:t>
      </w:r>
      <w:bookmarkEnd w:id="34"/>
      <w:bookmarkEnd w:id="35"/>
    </w:p>
    <w:p w14:paraId="1067FEFA" w14:textId="40F74BEC" w:rsidR="00326036" w:rsidRPr="00124E11" w:rsidRDefault="00326036" w:rsidP="00A94613">
      <w:pPr>
        <w:snapToGrid w:val="0"/>
        <w:spacing w:line="360" w:lineRule="auto"/>
        <w:jc w:val="both"/>
        <w:rPr>
          <w:rFonts w:ascii="Book Antiqua" w:hAnsi="Book Antiqua"/>
          <w:color w:val="000000" w:themeColor="text1"/>
          <w:lang w:val="en-US"/>
        </w:rPr>
      </w:pPr>
    </w:p>
    <w:p w14:paraId="6877F752" w14:textId="77777777" w:rsidR="00A81957" w:rsidRPr="00124E11" w:rsidRDefault="00A81957" w:rsidP="00A94613">
      <w:pPr>
        <w:spacing w:line="360" w:lineRule="auto"/>
        <w:rPr>
          <w:rFonts w:ascii="Book Antiqua" w:hAnsi="Book Antiqua"/>
          <w:color w:val="000000" w:themeColor="text1"/>
          <w:lang w:val="en-US"/>
        </w:rPr>
      </w:pPr>
      <w:r w:rsidRPr="00124E11">
        <w:rPr>
          <w:rFonts w:ascii="Book Antiqua" w:hAnsi="Book Antiqua"/>
          <w:color w:val="000000" w:themeColor="text1"/>
          <w:lang w:val="en-US"/>
        </w:rPr>
        <w:br w:type="page"/>
      </w:r>
    </w:p>
    <w:p w14:paraId="26AA660D" w14:textId="06C1EB97" w:rsidR="00E32F0F" w:rsidRPr="00124E11" w:rsidRDefault="00E32F0F" w:rsidP="00A94613">
      <w:pPr>
        <w:snapToGrid w:val="0"/>
        <w:spacing w:line="360" w:lineRule="auto"/>
        <w:jc w:val="both"/>
        <w:outlineLvl w:val="0"/>
        <w:rPr>
          <w:rFonts w:ascii="Book Antiqua" w:hAnsi="Book Antiqua"/>
          <w:b/>
          <w:color w:val="000000" w:themeColor="text1"/>
          <w:lang w:val="en-US"/>
        </w:rPr>
      </w:pPr>
      <w:r w:rsidRPr="00124E11">
        <w:rPr>
          <w:rFonts w:ascii="Book Antiqua" w:hAnsi="Book Antiqua"/>
          <w:b/>
          <w:color w:val="000000" w:themeColor="text1"/>
          <w:lang w:val="en-US"/>
        </w:rPr>
        <w:lastRenderedPageBreak/>
        <w:t>INTRODUCTION</w:t>
      </w:r>
    </w:p>
    <w:p w14:paraId="7219B82B" w14:textId="77777777"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The last few decades have seen the increased adoption of minimally invasive surgery in various abdominal procedures. A drawback of this laparoscopic approach is the inability of the surgeon to palpate abdominal organs. This loss of tactile feedback, combined with technical difficulties and an extensive learning curve, may collectively explain the slow uptake of laparoscopic surgery in the field of hepatic-biliary-pancreatic surgery (HPB)</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"10.1111/j.1477-2574.2012.00546.x", "ISBN" : "1365-182x", "ISSN" : "1365182X", "PMID" : "23134183", "abstract" : "Objectives Both laparoscopic techniques and multimodal enhanced recovery programmes have been shown to improve recovery and reduce length of hospital stay. Interestingly, evidence-based care programmes are not widely implemented, whereas new, minimally invasive surgical procedures are often adopted with very little evidence to support their effectiveness. The present survey aimed to shed light on experiences of the adoption of both methods of optimizing recovery. Methods An international, web-based, 18-question, electronic survey was composed in 2010. The survey was sent out to 673 hepatopancreatobiliary (HPB) centres worldwide in June 2010 to investigate international experiences with laparoscopic liver surgery, fast-track recovery programmes and surgery-related equipoise in open and laparoscopic techniques and to assess opinions on strategies for adopting laparoscopic liver surgery in HPB surgical practice. Results A total of 507 centres responded (response rate: 75.3%), 161 of which finished the survey completely. All units reported performing open liver resections, 24.2% performed open living donor resections, 39.1% carried out orthotopic liver transplantations, 87.6% had experience with laparoscopic resections and 2.5% performed laparoscopic living donor resections. A median of 50 (range: 2-560) open and 9.5 (range: 1-80) laparoscopic liver resections per surgical unit were performed in 2009. Patients stayed in hospital for a median of 7 days (range: 2-15 days) after uncomplicated open liver resection and a median of 4 days (range: 1-10 days) after uncomplicated laparoscopic liver resection. Only 28.0% of centres reported having experience with fast-track programmes in liver surgery. The majority considered the instigation of a randomized controlled trial or a prospective register comparing the outcomes of open and laparoscopic techniques to be necessary. Conclusions Worldwide dissemination of laparoscopic liver resection is substantial, although laparoscopic volumes are low in the majority of HPB centres. The adoption of enhanced recovery programmes in liver surgery is limited and should be given greater attention. \u00a9 2012 International Hepato-Pancreato-Biliary Association.", "author" : [ { "dropping-particle" : "", "family" : "Wong-Lun-Hing", "given" : "Edgar M.", "non-dropping-particle" : "", "parse-names" : false, "suffix" : "" }, { "dropping-particle" : "", "family" : "Lodewick", "given" : "Toine M.", "non-dropping-particle" : "", "parse-names" : false, "suffix" : "" }, { "dropping-particle" : "", "family" : "Stoot", "given" : "Jan H M B", "non-dropping-particle" : "", "parse-names" : false, "suffix" : "" }, { "dropping-particle" : "", "family" : "Bemelmans", "given" : "Marc H A", "non-dropping-particle" : "", "parse-names" : false, "suffix" : "" }, { "dropping-particle" : "", "family" : "Olde Damink", "given" : "Steven W M", "non-dropping-particle" : "", "parse-names" : false, "suffix" : "" }, { "dropping-particle" : "", "family" : "Dejong", "given" : "Cornelis H C", "non-dropping-particle" : "", "parse-names" : false, "suffix" : "" }, { "dropping-particle" : "", "family" : "Dam", "given" : "Ronald M.", "non-dropping-particle" : "Van", "parse-names" : false, "suffix" : "" } ], "container-title" : "Hpb", "id" : "ITEM-1", "issue" : "12", "issued" : { "date-parts" : [ [ "2012" ] ] }, "page" : "818-827", "title" : "A survey in the hepatopancreatobiliary community on ways to enhance patient recovery", "type" : "article-journal", "volume" : "14" }, "uris" : [ "http://www.mendeley.com/documents/?uuid=7057dc0c-b4b4-4fd9-8997-7cac2ac53cec" ] } ], "mendeley" : { "formattedCitation" : "&lt;sup&gt;1&lt;/sup&gt;", "plainTextFormattedCitation" : "1", "previouslyFormattedCitation" : "&lt;sup&gt;1&lt;/sup&gt;"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1</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p>
    <w:p w14:paraId="5FBB3358" w14:textId="111B401C"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Cholecystectomy (LC) is the most common HPB operation and possibly represents the first widely accepted "gold standard" laparoscopic approach</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"ISSN" : "0930-2794", "PMID" : "8503085", "container-title" : "Surgical endoscopy", "id" : "ITEM-1", "issue" : "3", "issued" : { "date-parts" : [ [ "1993" ] ] }, "page" : "271-9", "title" : "Gallstones and laparoscopic cholecystectomy. NIH Consensus Development Panel on Gallstones and Laparoscopic Cholecystectomy.", "type" : "article-journal", "volume" : "7" }, "uris" : [ "http://www.mendeley.com/documents/?uuid=13896c9e-511e-43a6-a4b1-d7a31b355b4e" ] } ], "mendeley" : { "formattedCitation" : "&lt;sup&gt;2&lt;/sup&gt;", "plainTextFormattedCitation" : "2", "previouslyFormattedCitation" : "&lt;sup&gt;2&lt;/sup&gt;"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2</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LC is a relatively easy and safe operation, as long as the biliary duct is adequately mapped. Indeed, delineation and meticulous evaluation of the biliary tract is critical for the detection of common bile duct stones (CBDS), and for the prevention of bile duct injury (BDI). </w:t>
      </w:r>
    </w:p>
    <w:p w14:paraId="2BAD9C33" w14:textId="3A5D1680"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Over the past few decades the advantages of LC </w:t>
      </w:r>
      <w:r w:rsidRPr="00D95472">
        <w:rPr>
          <w:rFonts w:ascii="Book Antiqua" w:hAnsi="Book Antiqua"/>
          <w:i/>
          <w:color w:val="000000" w:themeColor="text1"/>
          <w:lang w:val="en-US"/>
        </w:rPr>
        <w:t>vs</w:t>
      </w:r>
      <w:r w:rsidR="00D95472">
        <w:rPr>
          <w:rFonts w:ascii="Book Antiqua" w:hAnsi="Book Antiqua" w:hint="eastAsia"/>
          <w:color w:val="000000" w:themeColor="text1"/>
          <w:lang w:val="en-US" w:eastAsia="zh-CN"/>
        </w:rPr>
        <w:t xml:space="preserve"> </w:t>
      </w:r>
      <w:r w:rsidRPr="00124E11">
        <w:rPr>
          <w:rFonts w:ascii="Book Antiqua" w:hAnsi="Book Antiqua"/>
          <w:color w:val="000000" w:themeColor="text1"/>
          <w:lang w:val="en-US"/>
        </w:rPr>
        <w:t>the open procedure have been widely acknowledged, but with one glaring blemish, the higher rate of bile duct injury (BDI)</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"10.1016/j.ijsu.2016.08.004", "ISSN" : "17439191", "author" : [ { "dropping-particle" : "", "family" : "Hogan", "given" : "N.M.", "non-dropping-particle" : "", "parse-names" : false, "suffix" : "" }, { "dropping-particle" : "", "family" : "Dorcaratto", "given" : "D.", "non-dropping-particle" : "", "parse-names" : false, "suffix" : "" }, { "dropping-particle" : "", "family" : "Hogan", "given" : "A.M.", "non-dropping-particle" : "", "parse-names" : false, "suffix" : "" }, { "dropping-particle" : "", "family" : "Nasirawan", "given" : "F.", "non-dropping-particle" : "", "parse-names" : false, "suffix" : "" }, { "dropping-particle" : "", "family" : "McEntee", "given" : "P.", "non-dropping-particle" : "", "parse-names" : false, "suffix" : "" }, { "dropping-particle" : "", "family" : "Maguire", "given" : "D.", "non-dropping-particle" : "", "parse-names" : false, "suffix" : "" }, { "dropping-particle" : "", "family" : "Geoghegan", "given" : "J.", "non-dropping-particle" : "", "parse-names" : false, "suffix" : "" }, { "dropping-particle" : "", "family" : "Traynor", "given" : "O.", "non-dropping-particle" : "", "parse-names" : false, "suffix" : "" }, { "dropping-particle" : "", "family" : "Winter", "given" : "D.C.", "non-dropping-particle" : "", "parse-names" : false, "suffix" : "" }, { "dropping-particle" : "", "family" : "Hoti", "given" : "E.", "non-dropping-particle" : "", "parse-names" : false, "suffix" : "" } ], "container-title" : "International Journal of Surgery", "id" : "ITEM-1", "issued" : { "date-parts" : [ [ "2016" ] ] }, "page" : "151-156", "title" : "Iatrogenic common bile duct injuries: Increasing complexity in the laparoscopic era: A prospective cohort study", "type" : "article-journal", "volume" : "33" }, "uris" : [ "http://www.mendeley.com/documents/?uuid=b8989e2f-a1a8-4b2d-a92a-b3f6c4b8fde6" ] } ], "mendeley" : { "formattedCitation" : "&lt;sup&gt;3&lt;/sup&gt;", "plainTextFormattedCitation" : "3", "previouslyFormattedCitation" : "&lt;sup&gt;3&lt;/sup&gt;"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despite a recent report describing a rate of BDI of 0.08%</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"10.1007/s00464-015-4485-2", "ISBN" : "0930-2794", "ISSN" : "14322218", "PMID" : "26335071", "abstract" : "BACKGROUND: Early reports of higher complication rates, specifically bile duct injuries, raised concerns over the safety of laparoscopy over open cholecystectomy. This study aims to ascertain the rate, management, and perioperative outcomes of bile duct injury in an era beyond the laparoscopic learning curve. METHODS: The New York State (NYS) Planning and Research Cooperative System longitudinal administrative database was used to identify patients. From 2005 to 2010, 156,315 patients were identified who had undergone laparoscopic cholecystectomy for symptomatic cholelithiasis or acute or chronic cholecystitis. Patients were then tracked with unique identifiers for common bile duct injury. Common bile duct injury was identified by ICD-9 and CPT diagnosis and procedure codes for patients who subsequently underwent hepatectomy, hepaticojejunostomy, or other bile duct surgery. RESULTS: From 2005 to 2010, 156,958 patients were identified who had undergone laparoscopic cholecystectomy for symptomatic cholelithiasis or acute or chronic cholecystitis. Of the total patients, 149 patients underwent a biliary duct procedure within a year. Twenty-four of them were diagnosed with gallbladder cancer and excluded, leaving 125 for further analysis. The biliary injuries were identified at a rate of 0.080 %. Thirty-one of those patients (24.8 %) underwent hepatectomy, 40 patients (32.0 %) underwent hepaticoenterostomy, and 54 patients (43.2 %) underwent primary repair of the bile duct. Thirty-two (26 %) patients were repaired on the same day of their initial procedure. Of the remaining 93 patients, 38 (30 %) were repaired within 10 days, seven (6 %) repaired between 11 and 20 days, and 48 (38 %) patients over 21 days from injury. CONCLUSION: In NYS, the rate of bile duct injury has now decreased to 0.08 % and mirrors the historical figures quoted for open cholecystectomy. This improvement likely reflects increased experience, improved instrumentation, and movement beyond the \"learning curve.\"", "author" : [ { "dropping-particle" : "", "family" : "Halbert", "given" : "Caitlin", "non-dropping-particle" : "", "parse-names" : false, "suffix" : "" }, { "dropping-particle" : "", "family" : "Pagkratis", "given" : "Spyridon", "non-dropping-particle" : "", "parse-names" : false, "suffix" : "" }, { "dropping-particle" : "", "family" : "Yang", "given" : "Jie", "non-dropping-particle" : "", "parse-names" : false, "suffix" : "" }, { "dropping-particle" : "", "family" : "Meng", "given" : "Ziqi", "non-dropping-particle" : "", "parse-names" : false, "suffix" : "" }, { "dropping-particle" : "", "family" : "Altieri", "given" : "Maria S.", "non-dropping-particle" : "", "parse-names" : false, "suffix" : "" }, { "dropping-particle" : "", "family" : "Parikh", "given" : "Purvi", "non-dropping-particle" : "", "parse-names" : false, "suffix" : "" }, { "dropping-particle" : "", "family" : "Pryor", "given" : "Aurora", "non-dropping-particle" : "", "parse-names" : false, "suffix" : "" }, { "dropping-particle" : "", "family" : "Talamini", "given" : "Mark", "non-dropping-particle" : "", "parse-names" : false, "suffix" : "" }, { "dropping-particle" : "", "family" : "Telem", "given" : "Dana A.", "non-dropping-particle" : "", "parse-names" : false, "suffix" : "" } ], "container-title" : "Surgical Endoscopy and Other Interventional Techniques", "id" : "ITEM-1", "issue" : "6", "issued" : { "date-parts" : [ [ "2016" ] ] }, "page" : "2239-2243", "title" : "Beyond the learning curve: incidence of bile duct injuries following laparoscopic cholecystectomy normalize to open in the modern era", "type" : "article-journal", "volume" : "30" }, "uris" : [ "http://www.mendeley.com/documents/?uuid=9f84c180-3e22-42b0-9ffe-11eeec102395" ] } ], "mendeley" : { "formattedCitation" : "&lt;sup&gt;4&lt;/sup&gt;", "plainTextFormattedCitation" : "4", "previouslyFormattedCitation" : "&lt;sup&gt;4&lt;/sup&gt;"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During LC the main cause of BDI is poor visibility of the biliary tract (71</w:t>
      </w:r>
      <w:r w:rsidR="00D95472" w:rsidRPr="00124E11">
        <w:rPr>
          <w:rFonts w:ascii="Book Antiqua" w:hAnsi="Book Antiqua"/>
          <w:color w:val="000000" w:themeColor="text1"/>
          <w:lang w:val="en-US"/>
        </w:rPr>
        <w:t>%</w:t>
      </w:r>
      <w:r w:rsidRPr="00124E11">
        <w:rPr>
          <w:rFonts w:ascii="Book Antiqua" w:hAnsi="Book Antiqua"/>
          <w:color w:val="000000" w:themeColor="text1"/>
          <w:lang w:val="en-US"/>
        </w:rPr>
        <w:t>-97% of patients) and inadequate surgical skills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"10.1177/154193120705101103", "ISBN" : "0003-4932 (Print)\\r0003-4932 (Linking)", "ISSN" : "1071-1813", "PMID" : "12677139", "abstract" : "OBJECTIVE: To apply human performance concepts in an attempt to understand the causes of and prevent laparoscopic bile duct injury. SUMMARY BACKGROUND DATA: Powerful conceptual advances have been made in understanding the nature and limits of human performance. Applying these findings in high-risk activities, such as commercial aviation, has allowed the work environment to be restructured to substantially reduce human error. METHODS: The authors analyzed 252 laparoscopic bile duct injuries according to the principles of the cognitive science of visual perception, judgment, and human error. The injury distribution was class I, 7%; class II, 22%; class III, 61%; and class IV, 10%. The data included operative radiographs, clinical records, and 22 videotapes of original operations. RESULTS: The primary cause of error in 97% of cases was a visual perceptual illusion. Faults in technical skill were present in only 3% of injuries. Knowledge and judgment errors were contributory but not primary. Sixty-four injuries (25%) were recognized at the index operation; the surgeon identified the problem early enough to limit the injury in only 15 (6%). In class III injuries the common duct, erroneously believed to be the cystic duct, was deliberately cut. This stemmed from an illusion of object form due to a specific uncommon configuration of the structures and the heuristic nature (unconscious assumptions) of human visual perception. The videotapes showed the persuasiveness of the illusion, and many operative reports described the operation as routine. Class II injuries resulted from a dissection too close to the common hepatic duct. Fundamentally an illusion, it was contributed to in some instances by working too deep in the triangle of Calot. CONCLUSIONS: These data show that errors leading to laparoscopic bile duct injuries stem principally from misperception, not errors of skill, knowledge, or judgment. The misperception was so compelling that in most cases the surgeon did not recognize a problem. Even when irregularities were identified, corrective feedback did not occur, which is characteristic of human thinking under firmly held assumptions. These findings illustrate the complexity of human error in surgery while simultaneously providing insights. They demonstrate that automatically attributing technical complications to behavioral factors that rely on the assumption of control is likely to be wrong. Finally, this study shows that there are only a few points wit\u2026", "author" : [ { "dropping-particle" : "", "family" : "Way", "given" : "Lawrence W", "non-dropping-particle" : "", "parse-names" : false, "suffix" : "" }, { "dropping-particle" : "", "family" : "Stewart", "given" : "Lygia", "non-dropping-particle" : "", "parse-names" : false, "suffix" : "" }, { "dropping-particle" : "", "family" : "Gantert", "given" : "Walter", "non-dropping-particle" : "", "parse-names" : false, "suffix" : "" }, { "dropping-particle" : "", "family" : "Liu", "given" : "Kingsway", "non-dropping-particle" : "", "parse-names" : false, "suffix" : "" }, { "dropping-particle" : "", "family" : "Lee", "given" : "Crystine M", "non-dropping-particle" : "", "parse-names" : false, "suffix" : "" }, { "dropping-particle" : "", "family" : "Whang", "given" : "Karen", "non-dropping-particle" : "", "parse-names" : false, "suffix" : "" }, { "dropping-particle" : "", "family" : "Hunter", "given" : "John G", "non-dropping-particle" : "", "parse-names" : false, "suffix" : "" } ], "container-title" : "Annals of surgery", "id" : "ITEM-1", "issue" : "4", "issued" : { "date-parts" : [ [ "2003" ] ] }, "page" : "460-469", "title" : "Causes and prevention of laparoscopic bile duct injuries: analysis of 252 cases from a human factors and cognitive psychology perspective", "type" : "article-journal", "volume" : "237" }, "uris" : [ "http://www.mendeley.com/documents/?uuid=e41e4424-059a-4339-938e-d5c3b14828f6" ] } ], "mendeley" : { "formattedCitation" : "&lt;sup&gt;5&lt;/sup&gt;", "plainTextFormattedCitation" : "5", "previouslyFormattedCitation" : "&lt;sup&gt;5&lt;/sup&gt;"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"10.1002/bjs.5266", "ISBN" : "1365-2168", "ISSN" : "00071323", "PMID" : "16432812", "abstract" : "Background: Laparoscopic cholecystectomy is the standard of care for symptomatic cholelithiasis, but it is associated with a higher incidence of bile duct injury than the open approach. Methods: A review was performed of the English language literature on the management of bile duct injury listed on Medline databases. Results and conclusion: There is consensus that careful dissection and correct interpretation of the anatomy avoids the complication of bile duct injury during cholecystectomy. Routine intraoperative cholangiography is associated with a lower incidence and early recognition of bile duct injury. Early detection and repair is associated with an improved outcome, and the minimum standard of care after the recognition of a bile duct injury is immediate referral to a surgeon experienced in bile duct injury repair. Surgery provides the mainstay of treatment, with proximal hepaticojejunostomy Roux en Y being the operation of choice; a selective role for endoscopic or radiological treatment exists. The outcome after bile duct injury remains poor, especially in relation to the initial expectation of the cholecystectomy. Patients are often committed to a decade of follow-up. Copyright (copyright) 2006 British Journal of Surgery Society Ltd.", "author" : [ { "dropping-particle" : "", "family" : "Connor", "given" : "S.", "non-dropping-particle" : "", "parse-names" : false, "suffix" : "" }, { "dropping-particle" : "", "family" : "Garden", "given" : "O. J.", "non-dropping-particle" : "", "parse-names" : false, "suffix" : "" } ], "container-title" : "British Journal of Surgery", "id" : "ITEM-1", "issue" : "2", "issued" : { "date-parts" : [ [ "2006" ] ] }, "page" : "158-168", "title" : "Bile duct injury in the era of laparoscopic cholecystectomy", "type" : "article-journal", "volume" : "93" }, "uris" : [ "http://www.mendeley.com/documents/?uuid=8052afcf-1e48-40b5-8257-03dc2b48266c" ] } ], "mendeley" : { "formattedCitation" : "&lt;sup&gt;6&lt;/sup&gt;", "plainTextFormattedCitation" : "6", "previouslyFormattedCitation" : "&lt;sup&gt;6&lt;/sup&gt;"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3E4E1337" w14:textId="2B8EFCCF" w:rsidR="00E32F0F" w:rsidRPr="00124E11" w:rsidRDefault="00822039" w:rsidP="00A94613">
      <w:pPr>
        <w:snapToGrid w:val="0"/>
        <w:spacing w:line="360" w:lineRule="auto"/>
        <w:jc w:val="both"/>
        <w:rPr>
          <w:rFonts w:ascii="Book Antiqua" w:hAnsi="Book Antiqua"/>
          <w:color w:val="000000" w:themeColor="text1"/>
          <w:lang w:val="en-US"/>
        </w:rPr>
      </w:pPr>
      <w:r>
        <w:rPr>
          <w:rFonts w:ascii="Book Antiqua" w:hAnsi="Book Antiqua"/>
          <w:color w:val="000000" w:themeColor="text1"/>
          <w:lang w:val="en-US"/>
        </w:rPr>
        <w:t xml:space="preserve"> </w:t>
      </w:r>
      <w:r w:rsidR="00E32F0F" w:rsidRPr="00124E11">
        <w:rPr>
          <w:rFonts w:ascii="Book Antiqua" w:hAnsi="Book Antiqua"/>
          <w:color w:val="000000" w:themeColor="text1"/>
          <w:lang w:val="en-US"/>
        </w:rPr>
        <w:t>In order to clarify biliary anatomy during LC, different techniques have been proposed. These include intraoperative cholangiography (IOC), cholecystocholangiography, dye cholangiography, light cholangiography, passive infrared cholangiography, near-infrared fluorescence cholangiography (NIRF-C), hyperspectral cholangiography, and laparoscopic ultrasound (LUS)</w:t>
      </w:r>
      <w:r w:rsidR="00E32F0F" w:rsidRPr="00124E11">
        <w:rPr>
          <w:rFonts w:ascii="Book Antiqua" w:hAnsi="Book Antiqua"/>
          <w:color w:val="000000" w:themeColor="text1"/>
          <w:vertAlign w:val="superscript"/>
          <w:lang w:val="en-US"/>
        </w:rPr>
        <w:t>[</w:t>
      </w:r>
      <w:r w:rsidR="00E32F0F" w:rsidRPr="00124E11">
        <w:rPr>
          <w:rFonts w:ascii="Book Antiqua" w:hAnsi="Book Antiqua"/>
          <w:color w:val="000000" w:themeColor="text1"/>
          <w:lang w:val="en-US"/>
        </w:rPr>
        <w:fldChar w:fldCharType="begin" w:fldLock="1"/>
      </w:r>
      <w:r w:rsidR="00E32F0F" w:rsidRPr="00124E11">
        <w:rPr>
          <w:rFonts w:ascii="Book Antiqua" w:hAnsi="Book Antiqua"/>
          <w:color w:val="000000" w:themeColor="text1"/>
          <w:lang w:val="en-US"/>
        </w:rPr>
        <w:instrText>ADDIN CSL_CITATION { "citationItems" : [ { "id" : "ITEM-1", "itemData" : { "DOI" : "10.1007/s00464-011-1639-8", "ISBN" : "1432-2218 (Electronic)\\r0930-2794 (Linking)", "ISSN" : "09302794", "PMID" : "21487883", "abstract" : "BACKGROUND: Bile duct injury (BDI) is a dreaded complication of cholecystectomy, often caused by misinterpretation of biliary anatomy. To prevent BDI, techniques have been developed for intraoperative assessment of bile duct anatomy. This article reviews the evidence for the different techniques and discusses their strengths and weaknesses in terms of efficacy, ease, and cost-effectiveness.\\n\\nMETHOD: PubMed was searched from January 1980 through December 2009 for articles concerning bile duct visualization techniques for prevention of BDI during laparoscopic cholecystectomy.\\n\\nRESULTS: Nine techniques were identified. The critical-view-of-safety approach, indirectly establishing biliary anatomy, is accepted by most guidelines and commentaries as the surgical technique of choice to minimize BDI risk. Intraoperative cholangiography is associated with lower BDI risk (OR 0.67, CI 0.61-0.75). However, it incurs extra costs, prolongs the operative procedure, and may be experienced as cumbersome. An established reliable alternative is laparoscopic ultrasound, but its longer learning curve limits widespread implementation. Easier to perform are cholecystocholangiography and dye cholangiography, but these yield poor-quality images. Light cholangiography, requiring retrograde insertion of an optical fiber into the common bile duct, is too unwieldy for routine use. Experimental techniques are passive infrared cholangiography, hyperspectral cholangiography, and near-infrared fluorescence cholangiography. The latter two are performed noninvasively and provide real-time images. Quantitative data in patients are necessary to further evaluate these techniques.\\n\\nCONCLUSIONS: The critical-view-of-safety approach should be used during laparoscopic cholecystectomy. Intraoperative cholangiography or laparoscopic ultrasound is recommended to be performed routinely. Hyperspectral cholangiography and near-infrared fluorescence cholangiography are promising novel techniques to prevent BDI and thus increase patient safety.", "author" : [ { "dropping-particle" : "", "family" : "Buddingh", "given" : "K. Tim", "non-dropping-particle" : "", "parse-names" : false, "suffix" : "" }, { "dropping-particle" : "", "family" : "Nieuwenhuijs", "given" : "Vincent B.", "non-dropping-particle" : "", "parse-names" : false, "suffix" : "" }, { "dropping-particle" : "", "family" : "Buuren", "given" : "Lianne", "non-dropping-particle" : "Van", "parse-names" : false, "suffix" : "" }, { "dropping-particle" : "", "family" : "Hulscher", "given" : "Jan B F", "non-dropping-particle" : "", "parse-names" : false, "suffix" : "" }, { "dropping-particle" : "", "family" : "Jong", "given" : "Johannes S.", "non-dropping-particle" : "De", "parse-names" : false, "suffix" : "" }, { "dropping-particle" : "", "family" : "Dam", "given" : "Gooitzen M.", "non-dropping-particle" : "Van", "parse-names" : false, "suffix" : "" } ], "container-title" : "Surgical Endoscopy and Other Interventional Techniques", "id" : "ITEM-1", "issue" : "8", "issued" : { "date-parts" : [ [ "2011" ] ] }, "page" : "2449-2461", "title" : "Intraoperative assessment of biliary anatomy for prevention of bile duct injury: A review of current and future patient safety interventions", "type" : "article-journal", "volume" : "25" }, "uris" : [ "http://www.mendeley.com/documents/?uuid=75d2ab1a-9f93-4e8f-9667-614ecde2b7e5" ] } ], "mendeley" : { "formattedCitation" : "&lt;sup&gt;7&lt;/sup&gt;", "plainTextFormattedCitation" : "7", "previouslyFormattedCitation" : "&lt;sup&gt;7&lt;/sup&gt;" }, "properties" : { "noteIndex" : 0 }, "schema" : "https://github.com/citation-style-language/schema/raw/master/csl-citation.json" }</w:instrText>
      </w:r>
      <w:r w:rsidR="00E32F0F" w:rsidRPr="00124E11">
        <w:rPr>
          <w:rFonts w:ascii="Book Antiqua" w:hAnsi="Book Antiqua"/>
          <w:color w:val="000000" w:themeColor="text1"/>
          <w:lang w:val="en-US"/>
        </w:rPr>
        <w:fldChar w:fldCharType="separate"/>
      </w:r>
      <w:r w:rsidR="00E32F0F" w:rsidRPr="00124E11">
        <w:rPr>
          <w:rFonts w:ascii="Book Antiqua" w:hAnsi="Book Antiqua"/>
          <w:color w:val="000000" w:themeColor="text1"/>
          <w:vertAlign w:val="superscript"/>
          <w:lang w:val="en-US"/>
        </w:rPr>
        <w:t>7</w:t>
      </w:r>
      <w:r w:rsidR="00E32F0F" w:rsidRPr="00124E11">
        <w:rPr>
          <w:rFonts w:ascii="Book Antiqua" w:hAnsi="Book Antiqua"/>
          <w:color w:val="000000" w:themeColor="text1"/>
          <w:lang w:val="en-US"/>
        </w:rPr>
        <w:fldChar w:fldCharType="end"/>
      </w:r>
      <w:r w:rsidR="00E32F0F" w:rsidRPr="00124E11">
        <w:rPr>
          <w:rFonts w:ascii="Book Antiqua" w:hAnsi="Book Antiqua"/>
          <w:color w:val="000000" w:themeColor="text1"/>
          <w:vertAlign w:val="superscript"/>
          <w:lang w:val="en-US"/>
        </w:rPr>
        <w:t>]</w:t>
      </w:r>
      <w:r w:rsidR="00E32F0F" w:rsidRPr="00124E11">
        <w:rPr>
          <w:rFonts w:ascii="Book Antiqua" w:hAnsi="Book Antiqua"/>
          <w:color w:val="000000" w:themeColor="text1"/>
          <w:lang w:val="en-US"/>
        </w:rPr>
        <w:t>. Of these techniques, IOC is the most commonly used to determine bile duct anatomy and to diagnose CBDS. There has been much debate as to whether this examination helps to prevent, or improve the early detection of BDI. This controversy is of considerable importance to the patient, and their treatment</w:t>
      </w:r>
      <w:r w:rsidR="00E32F0F" w:rsidRPr="00124E11">
        <w:rPr>
          <w:rFonts w:ascii="Book Antiqua" w:hAnsi="Book Antiqua"/>
          <w:color w:val="000000" w:themeColor="text1"/>
          <w:vertAlign w:val="superscript"/>
          <w:lang w:val="en-US"/>
        </w:rPr>
        <w:t>[</w:t>
      </w:r>
      <w:r w:rsidR="00E32F0F" w:rsidRPr="00124E11">
        <w:rPr>
          <w:rFonts w:ascii="Book Antiqua" w:hAnsi="Book Antiqua"/>
          <w:color w:val="000000" w:themeColor="text1"/>
          <w:lang w:val="en-US"/>
        </w:rPr>
        <w:fldChar w:fldCharType="begin" w:fldLock="1"/>
      </w:r>
      <w:r w:rsidR="00E32F0F" w:rsidRPr="00124E11">
        <w:rPr>
          <w:rFonts w:ascii="Book Antiqua" w:hAnsi="Book Antiqua"/>
          <w:color w:val="000000" w:themeColor="text1"/>
          <w:lang w:val="en-US"/>
        </w:rPr>
        <w:instrText>ADDIN CSL_CITATION { "citationItems" : [ { "id" : "ITEM-1", "itemData" : { "DOI" : "10.1002/bjs.5266", "ISBN" : "1365-2168", "ISSN" : "00071323", "PMID" : "16432812", "abstract" : "Background: Laparoscopic cholecystectomy is the standard of care for symptomatic cholelithiasis, but it is associated with a higher incidence of bile duct injury than the open approach. Methods: A review was performed of the English language literature on the management of bile duct injury listed on Medline databases. Results and conclusion: There is consensus that careful dissection and correct interpretation of the anatomy avoids the complication of bile duct injury during cholecystectomy. Routine intraoperative cholangiography is associated with a lower incidence and early recognition of bile duct injury. Early detection and repair is associated with an improved outcome, and the minimum standard of care after the recognition of a bile duct injury is immediate referral to a surgeon experienced in bile duct injury repair. Surgery provides the mainstay of treatment, with proximal hepaticojejunostomy Roux en Y being the operation of choice; a selective role for endoscopic or radiological treatment exists. The outcome after bile duct injury remains poor, especially in relation to the initial expectation of the cholecystectomy. Patients are often committed to a decade of follow-up. Copyright (copyright) 2006 British Journal of Surgery Society Ltd.", "author" : [ { "dropping-particle" : "", "family" : "Connor", "given" : "S.", "non-dropping-particle" : "", "parse-names" : false, "suffix" : "" }, { "dropping-particle" : "", "family" : "Garden", "given" : "O. J.", "non-dropping-particle" : "", "parse-names" : false, "suffix" : "" } ], "container-title" : "British Journal of Surgery", "id" : "ITEM-1", "issue" : "2", "issued" : { "date-parts" : [ [ "2006" ] ] }, "page" : "158-168", "title" : "Bile duct injury in the era of laparoscopic cholecystectomy", "type" : "article-journal", "volume" : "93" }, "uris" : [ "http://www.mendeley.com/documents/?uuid=8052afcf-1e48-40b5-8257-03dc2b48266c" ] } ], "mendeley" : { "formattedCitation" : "&lt;sup&gt;6&lt;/sup&gt;", "plainTextFormattedCitation" : "6", "previouslyFormattedCitation" : "&lt;sup&gt;6&lt;/sup&gt;" }, "properties" : { "noteIndex" : 0 }, "schema" : "https://github.com/citation-style-language/schema/raw/master/csl-citation.json" }</w:instrText>
      </w:r>
      <w:r w:rsidR="00E32F0F" w:rsidRPr="00124E11">
        <w:rPr>
          <w:rFonts w:ascii="Book Antiqua" w:hAnsi="Book Antiqua"/>
          <w:color w:val="000000" w:themeColor="text1"/>
          <w:lang w:val="en-US"/>
        </w:rPr>
        <w:fldChar w:fldCharType="separate"/>
      </w:r>
      <w:r w:rsidR="00E32F0F" w:rsidRPr="00124E11">
        <w:rPr>
          <w:rFonts w:ascii="Book Antiqua" w:hAnsi="Book Antiqua"/>
          <w:color w:val="000000" w:themeColor="text1"/>
          <w:vertAlign w:val="superscript"/>
          <w:lang w:val="en-US"/>
        </w:rPr>
        <w:t>6</w:t>
      </w:r>
      <w:r w:rsidR="00E32F0F" w:rsidRPr="00124E11">
        <w:rPr>
          <w:rFonts w:ascii="Book Antiqua" w:hAnsi="Book Antiqua"/>
          <w:color w:val="000000" w:themeColor="text1"/>
          <w:lang w:val="en-US"/>
        </w:rPr>
        <w:fldChar w:fldCharType="end"/>
      </w:r>
      <w:r w:rsidR="00E32F0F" w:rsidRPr="00124E11">
        <w:rPr>
          <w:rFonts w:ascii="Book Antiqua" w:hAnsi="Book Antiqua"/>
          <w:color w:val="000000" w:themeColor="text1"/>
          <w:vertAlign w:val="superscript"/>
          <w:lang w:val="en-US"/>
        </w:rPr>
        <w:t>]</w:t>
      </w:r>
      <w:r w:rsidR="00E32F0F" w:rsidRPr="00124E11">
        <w:rPr>
          <w:rFonts w:ascii="Book Antiqua" w:hAnsi="Book Antiqua"/>
          <w:color w:val="000000" w:themeColor="text1"/>
          <w:lang w:val="en-US"/>
        </w:rPr>
        <w:t>, with uncertainty as to whether IOC should be routinely or more sparingly used</w:t>
      </w:r>
      <w:r w:rsidR="00E32F0F" w:rsidRPr="00124E11">
        <w:rPr>
          <w:rFonts w:ascii="Book Antiqua" w:hAnsi="Book Antiqua"/>
          <w:color w:val="000000" w:themeColor="text1"/>
          <w:vertAlign w:val="superscript"/>
          <w:lang w:val="en-US"/>
        </w:rPr>
        <w:t>[</w:t>
      </w:r>
      <w:r w:rsidR="00E32F0F" w:rsidRPr="00124E11">
        <w:rPr>
          <w:rFonts w:ascii="Book Antiqua" w:hAnsi="Book Antiqua"/>
          <w:color w:val="000000" w:themeColor="text1"/>
          <w:vertAlign w:val="superscript"/>
          <w:lang w:val="en-US"/>
        </w:rPr>
        <w:fldChar w:fldCharType="begin" w:fldLock="1"/>
      </w:r>
      <w:r w:rsidR="00E32F0F" w:rsidRPr="00124E11">
        <w:rPr>
          <w:rFonts w:ascii="Book Antiqua" w:hAnsi="Book Antiqua"/>
          <w:color w:val="000000" w:themeColor="text1"/>
          <w:vertAlign w:val="superscript"/>
          <w:lang w:val="en-US"/>
        </w:rPr>
        <w:instrText>ADDIN CSL_CITATION { "citationItems" : [ { "id" : "ITEM-1", "itemData" : { "DOI" : "10.1308/003588412X13373405385331", "ISSN" : "00358843", "PMID" : "22943325", "abstract" : "INTRODUCTION: The aim of this review was to systemically analyse trials evaluating the efficacy of routine on-table cholangiography (R-OTC) versus no on-table cholangiography (N-OTC) in patients undergoing cholecystectomy.\\n\\nMETHODS: Randomised trials evaluating R-OTC versus N-OTC in patients undergoing cholecystectomy were selected and analysed.\\n\\nRESULTS: Four trials (1 randomised controlled trial on open cholecystectomy and 3 on laparoscopic cholecystectomy) encompassing 860 patients undergoing cholecystectomy with and without R-OTC were retrieved. There were 427 patients in the R-OTC group and 433 patients in the N-OTC group. There was no significant heterogeneity among trials. Therefore, in the fixed effects model, N-OTC did not increase the risk (p=0.53) of common bile duct (CBD) injury, and it was associated with shorter operative time (p&lt;0.00001) and fewer peri-operative complications (p&lt;0.04). R-OTC was superior in terms of peri-operative CBD stone detection (p&lt;0.006) and it reduced readmission (p&lt;0.03) for retained CBD stones.\\n\\nCONCLUSIONS: N-OTC is associated with shorter operative time and fewer peri-operative complications, and it is comparable to R-OTC in terms of CBD injury risk during cholecystectomy. R-OTC is helpful for peri-operative CBD stone detection and there is therefore reduced readmission for retained CBD stones. The N-OTC approach may be adopted routinely for patients undergoing laparoscopic cholecystectomy providing there are no clinical, biochemical or radiological features suggestive of CBD stones. However, a major multicentre randomised controlled trial is required to validate this conclusion.", "author" : [ { "dropping-particle" : "", "family" : "Sajid", "given" : "Muhammad S.", "non-dropping-particle" : "", "parse-names" : false, "suffix" : "" }, { "dropping-particle" : "", "family" : "Leaver", "given" : "C.", "non-dropping-particle" : "", "parse-names" : false, "suffix" : "" }, { "dropping-particle" : "", "family" : "Haider", "given" : "Z.", "non-dropping-particle" : "", "parse-names" : false, "suffix" : "" }, { "dropping-particle" : "", "family" : "Worthington", "given" : "T.", "non-dropping-particle" : "", "parse-names" : false, "suffix" : "" }, { "dropping-particle" : "", "family" : "Karanjia", "given" : "N.", "non-dropping-particle" : "", "parse-names" : false, "suffix" : "" }, { "dropping-particle" : "", "family" : "Singh", "given" : "K. K.", "non-dropping-particle" : "", "parse-names" : false, "suffix" : "" } ], "container-title" : "Annals of the Royal College of Surgeons of England", "id" : "ITEM-1", "issue" : "6", "issued" : { "date-parts" : [ [ "2012" ] ] }, "page" : "375-380", "title" : "Routine on-table cholangiography during cholecystectomy: A systematic review", "type" : "article-journal", "volume" : "94" }, "uris" : [ "http://www.mendeley.com/documents/?uuid=60868620-92d6-40b1-af94-9fe2501d0bba" ] } ], "mendeley" : { "formattedCitation" : "&lt;sup&gt;8&lt;/sup&gt;", "plainTextFormattedCitation" : "8", "previouslyFormattedCitation" : "&lt;sup&gt;8&lt;/sup&gt;" }, "properties" : { "noteIndex" : 0 }, "schema" : "https://github.com/citation-style-language/schema/raw/master/csl-citation.json" }</w:instrText>
      </w:r>
      <w:r w:rsidR="00E32F0F" w:rsidRPr="00124E11">
        <w:rPr>
          <w:rFonts w:ascii="Book Antiqua" w:hAnsi="Book Antiqua"/>
          <w:color w:val="000000" w:themeColor="text1"/>
          <w:vertAlign w:val="superscript"/>
          <w:lang w:val="en-US"/>
        </w:rPr>
        <w:fldChar w:fldCharType="separate"/>
      </w:r>
      <w:r w:rsidR="00E32F0F" w:rsidRPr="00124E11">
        <w:rPr>
          <w:rFonts w:ascii="Book Antiqua" w:hAnsi="Book Antiqua"/>
          <w:color w:val="000000" w:themeColor="text1"/>
          <w:vertAlign w:val="superscript"/>
          <w:lang w:val="en-US"/>
        </w:rPr>
        <w:t>8</w:t>
      </w:r>
      <w:r w:rsidR="00E32F0F" w:rsidRPr="00124E11">
        <w:rPr>
          <w:rFonts w:ascii="Book Antiqua" w:hAnsi="Book Antiqua"/>
          <w:color w:val="000000" w:themeColor="text1"/>
          <w:vertAlign w:val="superscript"/>
          <w:lang w:val="en-US"/>
        </w:rPr>
        <w:fldChar w:fldCharType="end"/>
      </w:r>
      <w:r w:rsidR="00D95472">
        <w:rPr>
          <w:rFonts w:ascii="Book Antiqua" w:hAnsi="Book Antiqua" w:hint="eastAsia"/>
          <w:color w:val="000000" w:themeColor="text1"/>
          <w:vertAlign w:val="superscript"/>
          <w:lang w:val="en-US" w:eastAsia="zh-CN"/>
        </w:rPr>
        <w:t>-</w:t>
      </w:r>
      <w:r w:rsidR="00E32F0F" w:rsidRPr="00124E11">
        <w:rPr>
          <w:rFonts w:ascii="Book Antiqua" w:hAnsi="Book Antiqua"/>
          <w:color w:val="000000" w:themeColor="text1"/>
          <w:vertAlign w:val="superscript"/>
          <w:lang w:val="en-US"/>
        </w:rPr>
        <w:fldChar w:fldCharType="begin" w:fldLock="1"/>
      </w:r>
      <w:r w:rsidR="00E32F0F" w:rsidRPr="00124E11">
        <w:rPr>
          <w:rFonts w:ascii="Book Antiqua" w:hAnsi="Book Antiqua"/>
          <w:color w:val="000000" w:themeColor="text1"/>
          <w:vertAlign w:val="superscript"/>
          <w:lang w:val="en-US"/>
        </w:rPr>
        <w:instrText>ADDIN CSL_CITATION { "citationItems" : [ { "id" : "ITEM-1", "itemData" : { "DOI" : "10.1016/j.jamcollsurg.2011.12.033", "ISBN" : "1072-7515}}, ResearcherID-Numbers = {{Riall, Taylor/A-7117-2013}}, ORCID-Numbers = {{Riall, Taylor/0000-0002-6963-4664}}, Unique-ID = {{ISI:000302485300057", "ISSN" : "10727515", "PMID" : "22366491", "abstract" : "Background: The role of intraoperative cholangiography (IOC) in prevention of common bile duct (CBD) injuries and the management of CBD stones is controversial, and current variation in use of IOC has not been well described. Study Design: Multilevel hierarchical models using data from the Texas Hospital Inpatient Discharge Public Use data files (2001 to 2008) were used to evaluate the percentage of variance in the use of IOC that was attributable to patient, surgeon, and hospital factors. Results: A total of 176,981 cholecystectomies were performed in 212 hospitals in Texas. There was wide variation in IOC use, ranging from 2.4% to 98.4% of cases among surgeons and 3.7% to 94.8% of cases among hospitals, even after adjusting for case mix differences. The percentage of variance in IOC use attributable to the surgeon was 20.7% and an additional 25.7% was attributable to the hospital. IOC use was associated with increased age, gallstone pancreatitis or CBD stones, Hispanic race, decreased illness severity, insurance, and later year of cholecystectomy. ERCP (24.0% vs 14.9%, p &lt; 0.0001) and CBD exploration (1.63% vs 0.42%, p &lt; 0.0001) were more commonly performed in patients undergoing IOC. Conclusions: Uncertainty regarding the benefit of IOC leads to wide variation in use across surgeons and hospitals. The surgeon and hospital are more important determinants of IOC use than measured patient characteristics. Our study highlights the need for further evaluation of comparative effectiveness of IOC in the prevention of CBD injuries and retained stones, taking into account patient risk factors, surgeon skill, cost, and availability of local expertise. ?? 2012 by the American College of Surgeons.", "author" : [ { "dropping-particle" : "", "family" : "Sheffield", "given" : "Kristin M.", "non-dropping-particle" : "", "parse-names" : false, "suffix" : "" }, { "dropping-particle" : "", "family" : "Han", "given" : "Yimei", "non-dropping-particle" : "", "parse-names" : false, "suffix" : "" }, { "dropping-particle" : "", "family" : "Kuo", "given" : "Yong Fang", "non-dropping-particle" : "", "parse-names" : false, "suffix" : "" }, { "dropping-particle" : "", "family" : "Townsend", "given" : "Courtney M.", "non-dropping-particle" : "", "parse-names" : false, "suffix" : "" }, { "dropping-particle" : "", "family" : "Goodwin", "given" : "James S.", "non-dropping-particle" : "", "parse-names" : false, "suffix" : "" }, { "dropping-particle" : "", "family" : "Riall", "given" : "Taylor S.", "non-dropping-particle" : "", "parse-names" : false, "suffix" : "" } ], "container-title" : "Journal of the American College of Surgeons", "id" : "ITEM-1", "issue" : "4", "issued" : { "date-parts" : [ [ "2012" ] ] }, "page" : "668-679", "publisher" : "Elsevier Inc.", "title" : "Variation in the use of intraoperative cholangiography during cholecystectomy", "type" : "article-journal", "volume" : "214" }, "uris" : [ "http://www.mendeley.com/documents/?uuid=26765932-8932-4f06-959b-ac15020530b2" ] } ], "mendeley" : { "formattedCitation" : "&lt;sup&gt;11&lt;/sup&gt;", "plainTextFormattedCitation" : "11", "previouslyFormattedCitation" : "&lt;sup&gt;11&lt;/sup&gt;" }, "properties" : { "noteIndex" : 0 }, "schema" : "https://github.com/citation-style-language/schema/raw/master/csl-citation.json" }</w:instrText>
      </w:r>
      <w:r w:rsidR="00E32F0F" w:rsidRPr="00124E11">
        <w:rPr>
          <w:rFonts w:ascii="Book Antiqua" w:hAnsi="Book Antiqua"/>
          <w:color w:val="000000" w:themeColor="text1"/>
          <w:vertAlign w:val="superscript"/>
          <w:lang w:val="en-US"/>
        </w:rPr>
        <w:fldChar w:fldCharType="separate"/>
      </w:r>
      <w:r w:rsidR="00E32F0F" w:rsidRPr="00124E11">
        <w:rPr>
          <w:rFonts w:ascii="Book Antiqua" w:hAnsi="Book Antiqua"/>
          <w:color w:val="000000" w:themeColor="text1"/>
          <w:vertAlign w:val="superscript"/>
          <w:lang w:val="en-US"/>
        </w:rPr>
        <w:t>11</w:t>
      </w:r>
      <w:r w:rsidR="00E32F0F" w:rsidRPr="00124E11">
        <w:rPr>
          <w:rFonts w:ascii="Book Antiqua" w:hAnsi="Book Antiqua"/>
          <w:color w:val="000000" w:themeColor="text1"/>
          <w:vertAlign w:val="superscript"/>
          <w:lang w:val="en-US"/>
        </w:rPr>
        <w:fldChar w:fldCharType="end"/>
      </w:r>
      <w:r w:rsidR="00E32F0F" w:rsidRPr="00124E11">
        <w:rPr>
          <w:rFonts w:ascii="Book Antiqua" w:hAnsi="Book Antiqua"/>
          <w:color w:val="000000" w:themeColor="text1"/>
          <w:vertAlign w:val="superscript"/>
          <w:lang w:val="en-US"/>
        </w:rPr>
        <w:t>]</w:t>
      </w:r>
      <w:r w:rsidR="00E32F0F" w:rsidRPr="00124E11">
        <w:rPr>
          <w:rFonts w:ascii="Book Antiqua" w:hAnsi="Book Antiqua"/>
          <w:color w:val="000000" w:themeColor="text1"/>
          <w:lang w:val="en-US"/>
        </w:rPr>
        <w:t>.</w:t>
      </w:r>
    </w:p>
    <w:p w14:paraId="5443F1C8" w14:textId="110332B3"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The routine implementation of IOC poses several challenges. Practically, these include the need for dissection before IOC, which may be technically difficult (in acute or chronic inflammatory disease), together with cannulation of a short, thin, or tortuous cystic duct</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"00015458", "PMID" : "19943585", "abstract" : "Intraoperative cholangiography (IOC), used routinely or selectively, is the standard method for bile duct imaging during cholecystectomy. Laparoscopic ultrasonography (LUS) has emerged as a possible, safe and quick alternative. This study examined the evolving use and the performance of these two methods as primary technique for routine bile duct imaging, so as to detect common bile duct stones (CBDS) and to prevent common bile duct injury (CBDI). A prospective database permitted to evaluate the results of the two methods in 968 consecutive cholecystectomies. Nine hundered and twenty five were performed by laparoscopy, 18 (1.9%) by laparotomy and 25 (2.6) necessitated a conversion. The systematic use of the IOC was gradually replaced by a systematic use of the LUS. The success to delineate and evaluate the CBD, the detection of a CBDS, any type of bile duct complication, especially of CBDI, were registered. All the CBDS suspected by LUS were controlled by IOC. The patients were followed during 1 and 6 months. Six hundred and eighty five IOC and 269 LUS were performed. The procedure was technically unsuccessful in 35 IOC (5.1%) (mainly due to difficulty in catheterising the cystic duct) and in 2 LUS (1%) (due to steatosis). Concerning the detection of CBDS, 31 were detected by IOC (4.5%) and 16 by LUS (6%). Five IOC were considered as false positive, 1 as false negative (sensitivity and specificity of 96,9 and 99,2%) and 1 LUS as false positive (sensitivity and specificity of 100 and 99,6%). Five CBDI were detected in the complete seria: 2 during the dissection before the IOC, 1 thermic injury, 1 late stenosis, 1 lateral stenosis by the cystic clip detected by LUS. However none of these CBDI could have been prevented by IOC. In our experience, in this prospective study, LUS has been certainly as effective as IOC as a primary imaging technique for bile duct. It permitted to detect CBDS with a high specificity and sensitivity, and CBDS and was not followed by an increase in CBDI.", "author" : [ { "dropping-particle" : "", "family" : "Hublet", "given" : "A.", "non-dropping-particle" : "", "parse-names" : false, "suffix" : "" }, { "dropping-particle" : "", "family" : "Dili", "given" : "A.", "non-dropping-particle" : "", "parse-names" : false, "suffix" : "" }, { "dropping-particle" : "", "family" : "Lemaire", "given" : "J.", "non-dropping-particle" : "", "parse-names" : false, "suffix" : "" }, { "dropping-particle" : "", "family" : "Mansvelt", "given" : "B.", "non-dropping-particle" : "", "parse-names" : false, "suffix" : "" }, { "dropping-particle" : "", "family" : "Molle", "given" : "G.", "non-dropping-particle" : "", "parse-names" : false, "suffix" : "" }, { "dropping-particle" : "", "family" : "Bertrand", "given" : "C.", "non-dropping-particle" : "", "parse-names" : false, "suffix" : "" } ], "container-title" : "Acta chirurgica Belgica", "id" : "ITEM-1", "issue" : "3", "issued" : { "date-parts" : [ [ "2009" ] ] }, "page" : "312-316", "title" : "Laparoscopic ultrasonography as a good alternative to intraoperative cholangiography (IOC) during laparoscopic cholecystectomy: results of prospective study.", "type" : "article-journal", "volume" : "109" }, "uris" : [ "http://www.mendeley.com/documents/?uuid=61326b02-aab8-4bf4-9505-ae81801639de" ] } ], "mendeley" : { "formattedCitation" : "&lt;sup&gt;12&lt;/sup&gt;", "plainTextFormattedCitation" : "12", "previouslyFormattedCitation" : "&lt;sup&gt;12&lt;/sup&gt;"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and the risk of avulsion during cannulation of an inflamed </w:t>
      </w:r>
      <w:r w:rsidRPr="00124E11">
        <w:rPr>
          <w:rFonts w:ascii="Book Antiqua" w:hAnsi="Book Antiqua"/>
          <w:color w:val="000000" w:themeColor="text1"/>
          <w:lang w:val="en-US"/>
        </w:rPr>
        <w:lastRenderedPageBreak/>
        <w:t>cystic duct</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Additionally, IOC lengthens the procedure time</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"10.1007/s00464-004-2242-z", "ISSN" : "0930-2794", "author" : [ { "dropping-particle" : "El", "family" : "Shallaly", "given" : "G.", "non-dropping-particle" : "", "parse-names" : false, "suffix" : "" }, { "dropping-particle" : "", "family" : "Seow", "given" : "C.", "non-dropping-particle" : "", "parse-names" : false, "suffix" : "" }, { "dropping-particle" : "", "family" : "Sharp", "given" : "C.", "non-dropping-particle" : "", "parse-names" : false, "suffix" : "" }, { "dropping-particle" : "", "family" : "Mughrabi", "given" : "A.", "non-dropping-particle" : "", "parse-names" : false, "suffix" : "" }, { "dropping-particle" : "", "family" : "Nassar", "given" : "A. H. M.", "non-dropping-particle" : "", "parse-names" : false, "suffix" : "" } ], "container-title" : "Surgical Endoscopy", "id" : "ITEM-1", "issue" : "10", "issued" : { "date-parts" : [ [ "2005", "10", "28" ] ] }, "page" : "1370-1372", "title" : "Intraoperative cholangiography time in laparoscopic cholecystectomy", "type" : "article-journal", "volume" : "19" }, "uris" : [ "http://www.mendeley.com/documents/?uuid=721e85bf-373d-439f-a5e9-f35fcbf2e0bd" ] } ], "mendeley" : { "formattedCitation" : "&lt;sup&gt;14&lt;/sup&gt;", "plainTextFormattedCitation" : "14", "previouslyFormattedCitation" : "&lt;sup&gt;14&lt;/sup&gt;"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14</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and increases costs, imposes a learning curve in terms of correctly interpreting images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"10.1177/154193120705101103", "ISBN" : "0003-4932 (Print)\\r0003-4932 (Linking)", "ISSN" : "1071-1813", "PMID" : "12677139", "abstract" : "OBJECTIVE: To apply human performance concepts in an attempt to understand the causes of and prevent laparoscopic bile duct injury. SUMMARY BACKGROUND DATA: Powerful conceptual advances have been made in understanding the nature and limits of human performance. Applying these findings in high-risk activities, such as commercial aviation, has allowed the work environment to be restructured to substantially reduce human error. METHODS: The authors analyzed 252 laparoscopic bile duct injuries according to the principles of the cognitive science of visual perception, judgment, and human error. The injury distribution was class I, 7%; class II, 22%; class III, 61%; and class IV, 10%. The data included operative radiographs, clinical records, and 22 videotapes of original operations. RESULTS: The primary cause of error in 97% of cases was a visual perceptual illusion. Faults in technical skill were present in only 3% of injuries. Knowledge and judgment errors were contributory but not primary. Sixty-four injuries (25%) were recognized at the index operation; the surgeon identified the problem early enough to limit the injury in only 15 (6%). In class III injuries the common duct, erroneously believed to be the cystic duct, was deliberately cut. This stemmed from an illusion of object form due to a specific uncommon configuration of the structures and the heuristic nature (unconscious assumptions) of human visual perception. The videotapes showed the persuasiveness of the illusion, and many operative reports described the operation as routine. Class II injuries resulted from a dissection too close to the common hepatic duct. Fundamentally an illusion, it was contributed to in some instances by working too deep in the triangle of Calot. CONCLUSIONS: These data show that errors leading to laparoscopic bile duct injuries stem principally from misperception, not errors of skill, knowledge, or judgment. The misperception was so compelling that in most cases the surgeon did not recognize a problem. Even when irregularities were identified, corrective feedback did not occur, which is characteristic of human thinking under firmly held assumptions. These findings illustrate the complexity of human error in surgery while simultaneously providing insights. They demonstrate that automatically attributing technical complications to behavioral factors that rely on the assumption of control is likely to be wrong. Finally, this study shows that there are only a few points wit\u2026", "author" : [ { "dropping-particle" : "", "family" : "Way", "given" : "Lawrence W", "non-dropping-particle" : "", "parse-names" : false, "suffix" : "" }, { "dropping-particle" : "", "family" : "Stewart", "given" : "Lygia", "non-dropping-particle" : "", "parse-names" : false, "suffix" : "" }, { "dropping-particle" : "", "family" : "Gantert", "given" : "Walter", "non-dropping-particle" : "", "parse-names" : false, "suffix" : "" }, { "dropping-particle" : "", "family" : "Liu", "given" : "Kingsway", "non-dropping-particle" : "", "parse-names" : false, "suffix" : "" }, { "dropping-particle" : "", "family" : "Lee", "given" : "Crystine M", "non-dropping-particle" : "", "parse-names" : false, "suffix" : "" }, { "dropping-particle" : "", "family" : "Whang", "given" : "Karen", "non-dropping-particle" : "", "parse-names" : false, "suffix" : "" }, { "dropping-particle" : "", "family" : "Hunter", "given" : "John G", "non-dropping-particle" : "", "parse-names" : false, "suffix" : "" } ], "container-title" : "Annals of surgery", "id" : "ITEM-1", "issue" : "4", "issued" : { "date-parts" : [ [ "2003" ] ] }, "page" : "460-469", "title" : "Causes and prevention of laparoscopic bile duct injuries: analysis of 252 cases from a human factors and cognitive psychology perspective", "type" : "article-journal", "volume" : "237" }, "uris" : [ "http://www.mendeley.com/documents/?uuid=e41e4424-059a-4339-938e-d5c3b14828f6" ] } ], "mendeley" : { "formattedCitation" : "&lt;sup&gt;5&lt;/sup&gt;", "plainTextFormattedCitation" : "5", "previouslyFormattedCitation" : "&lt;sup&gt;5&lt;/sup&gt;"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and exposes the medical team and patient to ionizing radiation, even if this seems to be negligible concern for the adult population</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"10.1007/s00464-008-0279-0", "ISBN" : "0046400802790", "ISSN" : "09302794", "PMID" : "19118424", "abstract" : "BACKGROUND: For many years, intraoperative cholangiography during cholecystectomy to aid definition of the biliary anatomy and to detect choledocholithiasis has been advocated. Although radiation exposure in fluoroscopic procedures is a concern, few available data exist regarding the radiation exposure incurred during intraoperative cholangiography. This study aimed to determine the average radiation exposure sustained during this procedure. METHODS: Radiation dose data were recorded between 5 September 2007 and 21 July 2008 for 108 consecutive patients undergoing laparoscopic cholecystectomy with intraoperative cholangiography. Dose area product values were used to calculate the entrance skin dose, an indicator of potential skin damage, and the effective dose, an indicator of long-term cancer risk, for each patient. RESULTS: The median age of the 108 patients (67% females) included in the data analysis was 51 years (range, 17-87 years). The mean entrance skin dose during intraoperative cholangiography was 0.0069 +/- 0.0066 Gy, and the mean effective dose was 0.18 +/- 0.17 mSv. No results exceeded the threshold of 2 Gy for skin damage, and the lifetime risk for the development of new cancer due to intraoperative cholangiography was less than 0.001%. CONCLUSION: Radiation doses administered during intraoperative cholangiography are safe and do not represent a contraindication to this procedure.", "author" : [ { "dropping-particle" : "", "family" : "Karthikesalingam", "given" : "A.", "non-dropping-particle" : "", "parse-names" : false, "suffix" : "" }, { "dropping-particle" : "", "family" : "Markar", "given" : "Sheraz R.", "non-dropping-particle" : "", "parse-names" : false, "suffix" : "" }, { "dropping-particle" : "", "family" : "Weerakkody", "given" : "Ruwan", "non-dropping-particle" : "", "parse-names" : false, "suffix" : "" }, { "dropping-particle" : "", "family" : "Walsh", "given" : "Stewart R.", "non-dropping-particle" : "", "parse-names" : false, "suffix" : "" }, { "dropping-particle" : "", "family" : "Carroll", "given" : "Nicholas", "non-dropping-particle" : "", "parse-names" : false, "suffix" : "" }, { "dropping-particle" : "", "family" : "Praseedom", "given" : "Raaj K.", "non-dropping-particle" : "", "parse-names" : false, "suffix" : "" } ], "container-title" : "Surgical Endoscopy and Other Interventional Techniques", "id" : "ITEM-1", "issue" : "8", "issued" : { "date-parts" : [ [ "2009" ] ] }, "page" : "1845-1848", "title" : "Radiation exposure during laparoscopic cholecystectomy with routine intraoperative cholangiography", "type" : "article-journal", "volume" : "23" }, "uris" : [ "http://www.mendeley.com/documents/?uuid=928aa097-c792-4051-a32f-9c559dbdc6c6" ] } ], "mendeley" : { "formattedCitation" : "&lt;sup&gt;15&lt;/sup&gt;", "plainTextFormattedCitation" : "15", "previouslyFormattedCitation" : "&lt;sup&gt;15&lt;/sup&gt;"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15</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4D9F6677" w14:textId="42BCC34F"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Soon after the outset of LC use, authors proposed that LUS be used to substitute for the lack of tactile palpation during laparoscopy, such that the surgeon could identify subsurface structures. Prior to 2000, multiple reports emphasized the benefits of LUS, and its efficacy in assessing CBDS and anatomy during LC</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"10.1007/s004649901099", "ISSN" : "0930-2794", "author" : [ { "dropping-particle" : "", "family" : "Falcone,", "given" : "R. A.", "non-dropping-particle" : "", "parse-names" : false, "suffix" : "" }, { "dropping-particle" : "", "family" : "Fegelman", "given" : "E. J.", "non-dropping-particle" : "", "parse-names" : false, "suffix" : "" }, { "dropping-particle" : "", "family" : "Nussbaum", "given" : "M. S.", "non-dropping-particle" : "", "parse-names" : false, "suffix" : "" }, { "dropping-particle" : "", "family" : "Brown", "given" : "D. L.", "non-dropping-particle" : "", "parse-names" : false, "suffix" : "" }, { "dropping-particle" : "", "family" : "Bebbe", "given" : "T. M.", "non-dropping-particle" : "", "parse-names" : false, "suffix" : "" }, { "dropping-particle" : "", "family" : "Merhar", "given" : "G. L.", "non-dropping-particle" : "", "parse-names" : false, "suffix" : "" }, { "dropping-particle" : "", "family" : "Johannigman", "given" : "J. A.", "non-dropping-particle" : "", "parse-names" : false, "suffix" : "" }, { "dropping-particle" : "", "family" : "Luchette", "given" : "F. A.", "non-dropping-particle" : "", "parse-names" : false, "suffix" : "" }, { "dropping-particle" : "", "family" : "Davis,", "given" : "K.", "non-dropping-particle" : "", "parse-names" : false, "suffix" : "" }, { "dropping-particle" : "", "family" : "Hurst", "given" : "J. M.", "non-dropping-particle" : "", "parse-names" : false, "suffix" : "" } ], "container-title" : "Surgical Endoscopy", "id" : "ITEM-1", "issue" : "8", "issued" : { "date-parts" : [ [ "1999", "8", "16" ] ] }, "page" : "784-788", "title" : "A prospective comparison of laparoscopic ultrasound vs intraoperative cholangiogram during laparoscopic cholecystectomy", "type" : "article-journal", "volume" : "13" }, "uris" : [ "http://www.mendeley.com/documents/?uuid=44607f55-2b25-4f6b-a27d-6887f5382d44" ] } ], "mendeley" : { "formattedCitation" : "&lt;sup&gt;16&lt;/sup&gt;", "plainTextFormattedCitation" : "16", "previouslyFormattedCitation" : "&lt;sup&gt;16&lt;/sup&gt;"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16</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"ISSN" : "0930-2794", "PMID" : "8662399", "abstract" : "BACKGROUND The purpose of this study was to evaluate the usefulness of intraoperative ultrasonography (IOUS), a new method of imaging the biliary tree and related structures, during laparoscopic cholecystectomy. METHOD An IOUS probe (Aloka, Tokyo, Japan) with a 7.5-MHz linear-array transducer was used during cholecystectomy in 124 patients with symptomatic cholelithiasis (45 men, 79 women; mean age, 48 +/- 14 years). RESULTS The examination of the common bile duct (CBD) was excellent in 117 patients but unsatisfactory in 7 cases (5.6%) at the level of the head of the pancreas. In 5 patients, IOUS showed unsuspected choledocholithiasis: a subsequent intraoperational cholangiogram confirmed this. In five cases IOUS was able to help the surgeon to localize a Calot area obscured by inflammation. Postoperatively, one patient had an injury of the cystic duct stump: a nasobiliary tube resolved the bile leakage after 7 days. Another patient was submitted to postoperative endoscopic retrograde cholangiopancreatography (ERCP) for a choledocholithiasis recognized by a trans-cystic-tube cholangiography: the stone was suspected but not demonstrated either by laparoscopic IOUS or by intraoperative cholangiography. During the follow-up period, one patient had an episode of acute pancreatitis. ERCP showed a small stone wedged in the sphincter of Oddi. CONCLUSIONS IOUS may be a real alternative to cholangiography during laparoscopic cholecystectomy since it is safer and offers a complete examination of the biliary tree. It has some disadvantages which can solved by additional experience.", "author" : [ { "dropping-particle" : "", "family" : "Santambrogio", "given" : "R", "non-dropping-particle" : "", "parse-names" : false, "suffix" : "" }, { "dropping-particle" : "", "family" : "Bianchi", "given" : "P", "non-dropping-particle" : "", "parse-names" : false, "suffix" : "" }, { "dropping-particle" : "", "family" : "Opocher", "given" : "E", "non-dropping-particle" : "", "parse-names" : false, "suffix" : "" }, { "dropping-particle" : "", "family" : "Mantovani", "given" : "A", "non-dropping-particle" : "", "parse-names" : false, "suffix" : "" }, { "dropping-particle" : "", "family" : "Schubert", "given" : "L", "non-dropping-particle" : "", "parse-names" : false, "suffix" : "" }, { "dropping-particle" : "", "family" : "Ghelma", "given" : "F", "non-dropping-particle" : "", "parse-names" : false, "suffix" : "" }, { "dropping-particle" : "", "family" : "Panzera", "given" : "M", "non-dropping-particle" : "", "parse-names" : false, "suffix" : "" }, { "dropping-particle" : "", "family" : "Verga", "given" : "M", "non-dropping-particle" : "", "parse-names" : false, "suffix" : "" }, { "dropping-particle" : "", "family" : "Spina", "given" : "G P", "non-dropping-particle" : "", "parse-names" : false, "suffix" : "" } ], "container-title" : "Surgical endoscopy", "id" : "ITEM-1", "issue" : "6", "issued" : { "date-parts" : [ [ "1996", "6" ] ] }, "page" : "622-7", "title" : "Intraoperative ultrasonography (IOUS) during laparoscopic cholecystectomy.", "type" : "article-journal", "volume" : "10" }, "uris" : [ "http://www.mendeley.com/documents/?uuid=1b5a914f-9e24-457b-a12a-8492ae6f8b28" ] } ], "mendeley" : { "formattedCitation" : "&lt;sup&gt;35&lt;/sup&gt;", "plainTextFormattedCitation" : "35", "previouslyFormattedCitation" : "&lt;sup&gt;35&lt;/sup&gt;"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35</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772AB0C7" w14:textId="5E9D9613"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Compared to IOC, LUS is described as less invasive, faster, cheaper, with no adverse events, and can be repeatedly used during the operation with no risk of irradiation, which is clearly preferable for pregnant or young patients. Nevertheless, despite these positives, the routine use of LUS during LC is virtually non-existent compared to IOC, with only 1% of surgeons using this technique</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"10.1007/s00464-015-4609-8", "ISSN" : "14322218", "PMID" : "26541721", "abstract" : "INTRODUCTION: Since the widespread adoption of laparoscopic techniques in biliary surgery, the incidence of bile duct injures (BDI) has not significantly declined despite increased operative experience and recognition of the critical view of safety (CVS) method for anatomic identification. We hypothesized that operative approaches in clinical practice may vary from well-described technical recommendations. The objective of this study was to access how practicing surgeons commonly identify anatomy during laparoscopic cholecystectomy (LC). METHODS: We performed a cohort study assessing practices in biliary surgery among current practicing surgeons. Surgeons belonging to the Midwest Surgical Association and the Society of American Gastrointestinal and Endoscopic Surgeons were surveyed. Items surveyed include preferred methods for cystic duct identification, recognition of the CVS, and use of intraoperative imaging. RESULTS: In total, 374 of 849 surgeons responded. The CVS was not correctly identified by 75 % of surgeons descriptively and by 21 % of surgeons visually. 56 % of surgeons practiced the infundibular method for identification of the cystic duct; 27 % practiced the CVS method. Intraoperative cholangiography was used by 16 % and laparoscopic ultrasound by &lt;1 %. CONCLUSION: A majority of surgeons preferably do not use the CVS method of identification during LC. A large percentage of practicing surgeons are unable to describe or visually identify the CVS. These results suggest an urgent need to reexamine the tenets of how LC is being taught and disseminated and present a clear target for improvement to reduce BDI.", "author" : [ { "dropping-particle" : "", "family" : "Daly", "given" : "Shaun C.", "non-dropping-particle" : "", "parse-names" : false, "suffix" : "" }, { "dropping-particle" : "", "family" : "Deziel", "given" : "Daniel J.", "non-dropping-particle" : "", "parse-names" : false, "suffix" : "" }, { "dropping-particle" : "", "family" : "Li", "given" : "Xuan", "non-dropping-particle" : "", "parse-names" : false, "suffix" : "" }, { "dropping-particle" : "", "family" : "Thaqi", "given" : "Milot", "non-dropping-particle" : "", "parse-names" : false, "suffix" : "" }, { "dropping-particle" : "", "family" : "Millikan", "given" : "Keith W.", "non-dropping-particle" : "", "parse-names" : false, "suffix" : "" }, { "dropping-particle" : "", "family" : "Myers", "given" : "Jonathan A.", "non-dropping-particle" : "", "parse-names" : false, "suffix" : "" }, { "dropping-particle" : "", "family" : "Bonomo", "given" : "Steven", "non-dropping-particle" : "", "parse-names" : false, "suffix" : "" }, { "dropping-particle" : "", "family" : "Luu", "given" : "Minh B.", "non-dropping-particle" : "", "parse-names" : false, "suffix" : "" } ], "container-title" : "Surgical Endoscopy and Other Interventional Techniques", "id" : "ITEM-1", "issue" : "8", "issued" : { "date-parts" : [ [ "2016" ] ] }, "page" : "3345-3350", "publisher" : "Springer US", "title" : "Current practices in biliary surgery: Do we practice what we teach?", "type" : "article-journal", "volume" : "30" }, "uris" : [ "http://www.mendeley.com/documents/?uuid=74bcf5e8-dfc1-45e1-942d-2e0ce157759e" ] } ], "mendeley" : { "formattedCitation" : "&lt;sup&gt;36&lt;/sup&gt;", "plainTextFormattedCitation" : "36", "previouslyFormattedCitation" : "&lt;sup&gt;36&lt;/sup&gt;"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3BCCC26C" w14:textId="5E9331B7"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This report aims to review the role of LUS as a substitute for IOC for the anatomical delineation of the biliary tract, anatomical evaluation during acute cholecystitis, CBDS detection, the prevention or early detection of BDI, and incidental findings during LC.</w:t>
      </w:r>
    </w:p>
    <w:p w14:paraId="394B7417" w14:textId="77777777" w:rsidR="00E32F0F" w:rsidRPr="00124E11" w:rsidRDefault="00E32F0F" w:rsidP="00A94613">
      <w:pPr>
        <w:snapToGrid w:val="0"/>
        <w:spacing w:line="360" w:lineRule="auto"/>
        <w:jc w:val="both"/>
        <w:rPr>
          <w:rFonts w:ascii="Book Antiqua" w:hAnsi="Book Antiqua"/>
          <w:color w:val="000000" w:themeColor="text1"/>
          <w:lang w:val="en-US"/>
        </w:rPr>
      </w:pPr>
    </w:p>
    <w:p w14:paraId="7372A099" w14:textId="77777777" w:rsidR="00A81957" w:rsidRPr="00124E11" w:rsidRDefault="00A81957" w:rsidP="00A94613">
      <w:pPr>
        <w:snapToGrid w:val="0"/>
        <w:spacing w:line="360" w:lineRule="auto"/>
        <w:ind w:left="120" w:hangingChars="50" w:hanging="120"/>
        <w:jc w:val="both"/>
        <w:rPr>
          <w:rFonts w:ascii="Book Antiqua" w:hAnsi="Book Antiqua" w:cs="Times New Roman"/>
          <w:b/>
          <w:caps/>
        </w:rPr>
      </w:pPr>
      <w:bookmarkStart w:id="36" w:name="OLE_LINK478"/>
      <w:bookmarkStart w:id="37" w:name="OLE_LINK481"/>
      <w:bookmarkStart w:id="38" w:name="OLE_LINK483"/>
      <w:bookmarkStart w:id="39" w:name="OLE_LINK674"/>
      <w:r w:rsidRPr="00124E11">
        <w:rPr>
          <w:rFonts w:ascii="Book Antiqua" w:hAnsi="Book Antiqua" w:cs="Times New Roman"/>
          <w:b/>
          <w:caps/>
        </w:rPr>
        <w:t>Materials and methods</w:t>
      </w:r>
    </w:p>
    <w:bookmarkEnd w:id="36"/>
    <w:bookmarkEnd w:id="37"/>
    <w:bookmarkEnd w:id="38"/>
    <w:bookmarkEnd w:id="39"/>
    <w:p w14:paraId="150DC3AA" w14:textId="77777777" w:rsidR="00E32F0F" w:rsidRPr="00124E11" w:rsidRDefault="00E32F0F" w:rsidP="00A94613">
      <w:pPr>
        <w:widowControl w:val="0"/>
        <w:autoSpaceDE w:val="0"/>
        <w:autoSpaceDN w:val="0"/>
        <w:adjustRightInd w:val="0"/>
        <w:snapToGrid w:val="0"/>
        <w:spacing w:line="360" w:lineRule="auto"/>
        <w:jc w:val="both"/>
        <w:rPr>
          <w:rFonts w:ascii="Book Antiqua" w:hAnsi="Book Antiqua" w:cs="Times"/>
          <w:color w:val="000000" w:themeColor="text1"/>
          <w:lang w:val="en-US"/>
        </w:rPr>
      </w:pPr>
      <w:r w:rsidRPr="00124E11">
        <w:rPr>
          <w:rFonts w:ascii="Book Antiqua" w:hAnsi="Book Antiqua" w:cs="Times"/>
          <w:color w:val="000000" w:themeColor="text1"/>
          <w:lang w:val="en-US"/>
        </w:rPr>
        <w:t xml:space="preserve">A literature search of the PubMed and MEDLINE database was performed using the following keywords: "intraoperative laparoscopic ultrasound" and "laparoscopic cholecystectomy". Overall, only English-language publications published between January 2000 and December 2016 were considered. All studies that contained material relevant to the topic were reviewed. </w:t>
      </w:r>
    </w:p>
    <w:p w14:paraId="4C17FA6B" w14:textId="77777777" w:rsidR="00E32F0F" w:rsidRPr="00124E11" w:rsidRDefault="00E32F0F" w:rsidP="00A94613">
      <w:pPr>
        <w:widowControl w:val="0"/>
        <w:autoSpaceDE w:val="0"/>
        <w:autoSpaceDN w:val="0"/>
        <w:adjustRightInd w:val="0"/>
        <w:snapToGrid w:val="0"/>
        <w:spacing w:line="360" w:lineRule="auto"/>
        <w:jc w:val="both"/>
        <w:rPr>
          <w:rFonts w:ascii="Book Antiqua" w:hAnsi="Book Antiqua" w:cs="Times"/>
          <w:color w:val="000000" w:themeColor="text1"/>
          <w:lang w:val="en-US"/>
        </w:rPr>
      </w:pPr>
    </w:p>
    <w:p w14:paraId="4EEEB469" w14:textId="77777777" w:rsidR="00E32F0F" w:rsidRPr="00124E11" w:rsidRDefault="00E32F0F" w:rsidP="00A94613">
      <w:pPr>
        <w:widowControl w:val="0"/>
        <w:autoSpaceDE w:val="0"/>
        <w:autoSpaceDN w:val="0"/>
        <w:adjustRightInd w:val="0"/>
        <w:snapToGrid w:val="0"/>
        <w:spacing w:line="360" w:lineRule="auto"/>
        <w:jc w:val="both"/>
        <w:outlineLvl w:val="0"/>
        <w:rPr>
          <w:rFonts w:ascii="Book Antiqua" w:hAnsi="Book Antiqua" w:cs="Times"/>
          <w:b/>
          <w:color w:val="000000" w:themeColor="text1"/>
          <w:lang w:val="en-US"/>
        </w:rPr>
      </w:pPr>
      <w:r w:rsidRPr="00124E11">
        <w:rPr>
          <w:rFonts w:ascii="Book Antiqua" w:hAnsi="Book Antiqua" w:cs="Times"/>
          <w:b/>
          <w:color w:val="000000" w:themeColor="text1"/>
          <w:lang w:val="en-US"/>
        </w:rPr>
        <w:t>RESULTS</w:t>
      </w:r>
    </w:p>
    <w:p w14:paraId="368BFC4F" w14:textId="6FB778A1" w:rsidR="00E32F0F" w:rsidRPr="00124E11" w:rsidRDefault="00E32F0F" w:rsidP="00A94613">
      <w:pPr>
        <w:widowControl w:val="0"/>
        <w:autoSpaceDE w:val="0"/>
        <w:autoSpaceDN w:val="0"/>
        <w:adjustRightInd w:val="0"/>
        <w:snapToGrid w:val="0"/>
        <w:spacing w:line="360" w:lineRule="auto"/>
        <w:jc w:val="both"/>
        <w:rPr>
          <w:rFonts w:ascii="Book Antiqua" w:hAnsi="Book Antiqua" w:cs="Times"/>
          <w:color w:val="000000" w:themeColor="text1"/>
          <w:lang w:val="en-US"/>
        </w:rPr>
      </w:pPr>
      <w:r w:rsidRPr="00124E11">
        <w:rPr>
          <w:rFonts w:ascii="Book Antiqua" w:hAnsi="Book Antiqua" w:cs="Times"/>
          <w:color w:val="000000" w:themeColor="text1"/>
          <w:lang w:val="en-US"/>
        </w:rPr>
        <w:t xml:space="preserve">From 2000 to 2016, no randomized controlled trials were conducted. 18 reports were identified, 13 were prospective non-randomized trials, and 5 were retrospective trials. Two meta-analyses were found, one assessing the diagnostic accuracy of LUS in detecting CBDS </w:t>
      </w:r>
      <w:r w:rsidRPr="00124E11">
        <w:rPr>
          <w:rFonts w:ascii="Book Antiqua" w:hAnsi="Book Antiqua" w:cs="Times"/>
          <w:i/>
          <w:color w:val="000000" w:themeColor="text1"/>
          <w:lang w:val="en-US"/>
        </w:rPr>
        <w:t>vs</w:t>
      </w:r>
      <w:r w:rsidR="00A81957" w:rsidRPr="00124E11">
        <w:rPr>
          <w:rFonts w:ascii="Book Antiqua" w:hAnsi="Book Antiqua" w:cs="Times"/>
          <w:color w:val="000000" w:themeColor="text1"/>
          <w:lang w:val="en-US" w:eastAsia="zh-CN"/>
        </w:rPr>
        <w:t xml:space="preserve"> </w:t>
      </w:r>
      <w:r w:rsidRPr="00124E11">
        <w:rPr>
          <w:rFonts w:ascii="Book Antiqua" w:hAnsi="Book Antiqua" w:cs="Times"/>
          <w:color w:val="000000" w:themeColor="text1"/>
          <w:lang w:val="en-US"/>
        </w:rPr>
        <w:t>IOC</w:t>
      </w:r>
      <w:r w:rsidRPr="00124E11">
        <w:rPr>
          <w:rFonts w:ascii="Book Antiqua" w:hAnsi="Book Antiqua" w:cs="Times"/>
          <w:color w:val="000000" w:themeColor="text1"/>
          <w:vertAlign w:val="superscript"/>
          <w:lang w:val="en-US"/>
        </w:rPr>
        <w:t>[</w:t>
      </w:r>
      <w:r w:rsidRPr="00124E11">
        <w:rPr>
          <w:rFonts w:ascii="Book Antiqua" w:hAnsi="Book Antiqua" w:cs="Times"/>
          <w:color w:val="000000" w:themeColor="text1"/>
          <w:lang w:val="en-US"/>
        </w:rPr>
        <w:fldChar w:fldCharType="begin" w:fldLock="1"/>
      </w:r>
      <w:r w:rsidRPr="00124E11">
        <w:rPr>
          <w:rFonts w:ascii="Book Antiqua" w:hAnsi="Book Antiqua" w:cs="Times"/>
          <w:color w:val="000000" w:themeColor="text1"/>
          <w:lang w:val="en-US"/>
        </w:rPr>
        <w:instrText>ADDIN CSL_CITATION { "citationItems" : [ { "id" : "ITEM-1", "itemData" : { "DOI" : "10.1016/j.ijsu.2014.05.038", "ISBN" : "1743-9159 (Electronic)\\r1743-9159 (Linking)", "ISSN" : "17439159", "PMID" : "24861544", "abstract" : "Background: Routine intra-operative cholangiography (IOC) during laparoscopic cholecystectomy is often not performed because of increased operative time, radiation, and failure rate. Laparoscopic ultrasound (LUS) is a less invasive alternative but studies comparing it to IOC have been of small sample size. This study aims to assess the diagnostic accuracy of LUS in detecting common bile duct (CBD) stones compared to IOC. Methods: This meta-analysis was executed and reported in accordance with the Preferred Reporting Items for Systematic Reviews and Meta- Analyses (PRISMA) statement. 11 comparative studies (1994-2013) reporting on 12 patient groups were included. A bivariate model for diagnostic meta-analysis was used to attain overall pooled sensitivity and specificity for IOC and LUS, and their relationship assessed using a hierarchical summary receiver operating characteristic model with meta-regression. Results: IOC had a pooled sensitivity of 0.87 (95% CI 0.77-0.93) and a pooled specificity of 0.99 (95% CI 0.98-0.99) with no significant heterogeneity. The diagnostic Odds Ratio (OR) was 442 (95% CI 196-997) and pooled weighted Area Under the Curve (AUC) was 0.99 (95% CI: 0.98-1.0). LUS had a pooled sensitivity of 0.87 (95% CI 0.80-0.92) and a specificity of 1.00 (95% CI 0.99-1.00). Heterogeneity was significant for specificity results. The diagnostic Odds Ratio (OR) was 1171 (95% CI 372-3689) and the pooled, weighted AUC was 1 (95% CI: 0.99-1). Meta-regression did not identify factors that significantly predict diagnostic accuracy. Conclusions: LUS is a potentially useful imaging modality to confirm the absence of CBD stones without needing to cannulate the biliary system. ?? 2014 Surgical Associates Ltd.", "author" : [ { "dropping-particle" : "", "family" : "Aziz", "given" : "Omer", "non-dropping-particle" : "", "parse-names" : false, "suffix" : "" }, { "dropping-particle" : "", "family" : "Ashrafian", "given" : "Hutan", "non-dropping-particle" : "", "parse-names" : false, "suffix" : "" }, { "dropping-particle" : "", "family" : "Jones", "given" : "Catherine", "non-dropping-particle" : "", "parse-names" : false, "suffix" : "" }, { "dropping-particle" : "", "family" : "Harling", "given" : "Leanne", "non-dropping-particle" : "", "parse-names" : false, "suffix" : "" }, { "dropping-particle" : "", "family" : "Kumar", "given" : "Sacheen", "non-dropping-particle" : "", "parse-names" : false, "suffix" : "" }, { "dropping-particle" : "", "family" : "Garas", "given" : "George", "non-dropping-particle" : "", "parse-names" : false, "suffix" : "" }, { "dropping-particle" : "", "family" : "Holme", "given" : "Thomas", "non-dropping-particle" : "", "parse-names" : false, "suffix" : "" }, { "dropping-particle" : "", "family" : "Darzi", "given" : "Ara", "non-dropping-particle" : "", "parse-names" : false, "suffix" : "" }, { "dropping-particle" : "", "family" : "Zacharakis", "given" : "Emmanouil", "non-dropping-particle" : "", "parse-names" : false, "suffix" : "" }, { "dropping-particle" : "", "family" : "Athanasiou", "given" : "Thanos", "non-dropping-particle" : "", "parse-names" : false, "suffix" : "" } ], "container-title" : "International Journal of Surgery", "id" : "ITEM-1", "issue" : "7", "issued" : { "date-parts" : [ [ "2014" ] ] }, "page" : "712-719", "title" : "Laparoscopic ultrasonography versus intra-operative cholangiogram for the detection of common bile duct stones during laparoscopic cholecystectomy: A meta-analysis of diagnostic accuracy", "type" : "article-journal", "volume" : "12" }, "uris" : [ "http://www.mendeley.com/documents/?uuid=31ad4676-ff1d-473b-a7cf-795a750c31d6" ] } ], "mendeley" : { "formattedCitation" : "&lt;sup&gt;37&lt;/sup&gt;", "plainTextFormattedCitation" : "37", "previouslyFormattedCitation" : "&lt;sup&gt;37&lt;/sup&gt;" }, "properties" : { "noteIndex" : 0 }, "schema" : "https://github.com/citation-style-language/schema/raw/master/csl-citation.json" }</w:instrText>
      </w:r>
      <w:r w:rsidRPr="00124E11">
        <w:rPr>
          <w:rFonts w:ascii="Book Antiqua" w:hAnsi="Book Antiqua" w:cs="Times"/>
          <w:color w:val="000000" w:themeColor="text1"/>
          <w:lang w:val="en-US"/>
        </w:rPr>
        <w:fldChar w:fldCharType="separate"/>
      </w:r>
      <w:r w:rsidRPr="00124E11">
        <w:rPr>
          <w:rFonts w:ascii="Book Antiqua" w:hAnsi="Book Antiqua" w:cs="Times"/>
          <w:color w:val="000000" w:themeColor="text1"/>
          <w:vertAlign w:val="superscript"/>
          <w:lang w:val="en-US"/>
        </w:rPr>
        <w:t>37</w:t>
      </w:r>
      <w:r w:rsidRPr="00124E11">
        <w:rPr>
          <w:rFonts w:ascii="Book Antiqua" w:hAnsi="Book Antiqua" w:cs="Times"/>
          <w:color w:val="000000" w:themeColor="text1"/>
          <w:lang w:val="en-US"/>
        </w:rPr>
        <w:fldChar w:fldCharType="end"/>
      </w:r>
      <w:r w:rsidRPr="00124E11">
        <w:rPr>
          <w:rFonts w:ascii="Book Antiqua" w:hAnsi="Book Antiqua" w:cs="Times"/>
          <w:color w:val="000000" w:themeColor="text1"/>
          <w:vertAlign w:val="superscript"/>
          <w:lang w:val="en-US"/>
        </w:rPr>
        <w:t>]</w:t>
      </w:r>
      <w:r w:rsidRPr="00124E11">
        <w:rPr>
          <w:rFonts w:ascii="Book Antiqua" w:hAnsi="Book Antiqua" w:cs="Times"/>
          <w:color w:val="000000" w:themeColor="text1"/>
          <w:lang w:val="en-US"/>
        </w:rPr>
        <w:t xml:space="preserve">, and a second, analyzing CBDS detection, together with costs, time taken for the examination, and ability to identify </w:t>
      </w:r>
      <w:r w:rsidRPr="00124E11">
        <w:rPr>
          <w:rFonts w:ascii="Book Antiqua" w:hAnsi="Book Antiqua" w:cs="Times"/>
          <w:color w:val="000000" w:themeColor="text1"/>
          <w:lang w:val="en-US"/>
        </w:rPr>
        <w:lastRenderedPageBreak/>
        <w:t>anatomical landmarks</w:t>
      </w:r>
      <w:r w:rsidRPr="00124E11">
        <w:rPr>
          <w:rFonts w:ascii="Book Antiqua" w:hAnsi="Book Antiqua" w:cs="Times"/>
          <w:color w:val="000000" w:themeColor="text1"/>
          <w:vertAlign w:val="superscript"/>
          <w:lang w:val="en-US"/>
        </w:rPr>
        <w:t>[</w:t>
      </w:r>
      <w:r w:rsidRPr="00124E11">
        <w:rPr>
          <w:rFonts w:ascii="Book Antiqua" w:hAnsi="Book Antiqua" w:cs="Times"/>
          <w:color w:val="000000" w:themeColor="text1"/>
          <w:lang w:val="en-US"/>
        </w:rPr>
        <w:fldChar w:fldCharType="begin" w:fldLock="1"/>
      </w:r>
      <w:r w:rsidRPr="00124E11">
        <w:rPr>
          <w:rFonts w:ascii="Book Antiqua" w:hAnsi="Book Antiqua" w:cs="Times"/>
          <w:color w:val="000000" w:themeColor="text1"/>
          <w:lang w:val="en-US"/>
        </w:rPr>
        <w:instrText>ADDIN CSL_CITATION { "citationItems" : [ { "id" : "ITEM-1", "itemData" : { "DOI" : "10.1308/rcsann.2016.0068", "ISSN" : "00358843", "PMID" : "26985813", "abstract" : "Introduction During laparoscopic cholecystectomy, intraoperative cholangiography (IOC) is currently regarded as the gold standard in the detection of choledocholithiasis. Laparoscopic ultrasonography (LUS) is an attractive alternative with several potential advantages. Methods A systematic review was undertaken of the published literature comparing LUS with IOC in the assessment of common bile duct (CBD) stones. Results Twenty-one comparative studies were analysed. There were 4,566 patients in the IOC group and 5,044 in the LUS group. The combined sensitivity and specificity of IOC in the detection of CBD stones were 0.87 (95% confidence interval [CI]: 0.83-0.89) and 0.98 (95% CI: 0.98-0.98) respectively with a pooled area under the curve (AUC) of 0.985 and a diagnostic odds ratio (OR) of 260.65 (95% CI: 160.44-423.45). This compares with a sensitivity and specificity for LUS of 0.90 (95% CI: 0.87-0.92) and 0.99 (95% CI: 0.99-0.99) respectively with a pooled AUC of 0.982 and a diagnostic OR of 765.15 (95% CI: 450.78-1,298.76). LUS appeared to be more successful in terms of coming to a clinical decision regarding CBD stones than IOC (random effects, risk ratio: 0.95, 95% CI: 0.93-0.98, df=20, z=-3.7, p&lt;0.005). Furthermore, LUS took less time (random effects, standardised mean difference: 0.95, 95% CI: 0.93-0.98, df=20, z=-3.7, p&lt;0.005). Conclusions LUS is comparable with IOC in the detection of CBD stones. The main advantages of LUS are that it does not involve ionising radiation, is quicker to perform, has a lower failure rate and can be repeated during the procedure as required.", "author" : [ { "dropping-particle" : "", "family" : "Jamal", "given" : "K. N.", "non-dropping-particle" : "", "parse-names" : false, "suffix" : "" }, { "dropping-particle" : "", "family" : "Smith", "given" : "H.", "non-dropping-particle" : "", "parse-names" : false, "suffix" : "" }, { "dropping-particle" : "", "family" : "Ratnasingham", "given" : "K.", "non-dropping-particle" : "", "parse-names" : false, "suffix" : "" }, { "dropping-particle" : "", "family" : "Siddiqui", "given" : "M. R.", "non-dropping-particle" : "", "parse-names" : false, "suffix" : "" }, { "dropping-particle" : "", "family" : "McLachlan", "given" : "G.", "non-dropping-particle" : "", "parse-names" : false, "suffix" : "" }, { "dropping-particle" : "", "family" : "Belgaumkar", "given" : "A. P.", "non-dropping-particle" : "", "parse-names" : false, "suffix" : "" } ], "container-title" : "Annals of the Royal College of Surgeons of England", "id" : "ITEM-1", "issue" : "4", "issued" : { "date-parts" : [ [ "2016" ] ] }, "page" : "244-249", "title" : "Meta-analysis of the diagnostic accuracy of laparoscopic ultrasonography and intraoperative cholangiography in detection of common bile duct stones", "type" : "article-journal", "volume" : "98" }, "uris" : [ "http://www.mendeley.com/documents/?uuid=eb67e9bc-0c2b-44e7-8d18-221f51f14e9a" ] } ], "mendeley" : { "formattedCitation" : "&lt;sup&gt;38&lt;/sup&gt;", "plainTextFormattedCitation" : "38", "previouslyFormattedCitation" : "&lt;sup&gt;38&lt;/sup&gt;" }, "properties" : { "noteIndex" : 0 }, "schema" : "https://github.com/citation-style-language/schema/raw/master/csl-citation.json" }</w:instrText>
      </w:r>
      <w:r w:rsidRPr="00124E11">
        <w:rPr>
          <w:rFonts w:ascii="Book Antiqua" w:hAnsi="Book Antiqua" w:cs="Times"/>
          <w:color w:val="000000" w:themeColor="text1"/>
          <w:lang w:val="en-US"/>
        </w:rPr>
        <w:fldChar w:fldCharType="separate"/>
      </w:r>
      <w:r w:rsidRPr="00124E11">
        <w:rPr>
          <w:rFonts w:ascii="Book Antiqua" w:hAnsi="Book Antiqua" w:cs="Times"/>
          <w:color w:val="000000" w:themeColor="text1"/>
          <w:vertAlign w:val="superscript"/>
          <w:lang w:val="en-US"/>
        </w:rPr>
        <w:t>38</w:t>
      </w:r>
      <w:r w:rsidRPr="00124E11">
        <w:rPr>
          <w:rFonts w:ascii="Book Antiqua" w:hAnsi="Book Antiqua" w:cs="Times"/>
          <w:color w:val="000000" w:themeColor="text1"/>
          <w:lang w:val="en-US"/>
        </w:rPr>
        <w:fldChar w:fldCharType="end"/>
      </w:r>
      <w:r w:rsidRPr="00124E11">
        <w:rPr>
          <w:rFonts w:ascii="Book Antiqua" w:hAnsi="Book Antiqua" w:cs="Times"/>
          <w:color w:val="000000" w:themeColor="text1"/>
          <w:vertAlign w:val="superscript"/>
          <w:lang w:val="en-US"/>
        </w:rPr>
        <w:t>]</w:t>
      </w:r>
      <w:r w:rsidRPr="00124E11">
        <w:rPr>
          <w:rFonts w:ascii="Book Antiqua" w:hAnsi="Book Antiqua" w:cs="Times"/>
          <w:color w:val="000000" w:themeColor="text1"/>
          <w:lang w:val="en-US"/>
        </w:rPr>
        <w:t>. Table 1 shows the published studies, together with their respective methodologies and principal evaluated variables.</w:t>
      </w:r>
    </w:p>
    <w:p w14:paraId="335B2636" w14:textId="77777777"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s="Times"/>
          <w:color w:val="000000" w:themeColor="text1"/>
          <w:lang w:val="en-US"/>
        </w:rPr>
        <w:t> </w:t>
      </w:r>
    </w:p>
    <w:p w14:paraId="4AD5B258" w14:textId="0FC3E2A3"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 xml:space="preserve">LUS </w:t>
      </w:r>
      <w:r w:rsidR="00A81957" w:rsidRPr="00124E11">
        <w:rPr>
          <w:rFonts w:ascii="Book Antiqua" w:hAnsi="Book Antiqua"/>
          <w:b/>
          <w:i/>
          <w:color w:val="000000" w:themeColor="text1"/>
          <w:lang w:val="en-US"/>
        </w:rPr>
        <w:t>and anatomy</w:t>
      </w:r>
    </w:p>
    <w:p w14:paraId="0327B3D0" w14:textId="77777777"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During LC, an appreciation of bile duct and vascular anatomy is mandatory in order to perform fine dissection and prevent bile duct and vascular injuries. Indeed, errors whereby surgeons fix anatomical structures incorrectly, especially when the anatomy is obscured or where there is an anatomical variation, is the most common cause of injury</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"10.1155/2009/153269", "ISBN" : "1607-8462 (Electronic)\\r0894-8569 (Linking)", "ISSN" : "08948569", "PMID" : "19753137", "abstract" : "Although laparoscopic cholecystectomy (LC) has been widely accepted as the standard of care, it continues to have a higher complication rate than open cholecystectomy. Bile duct injury with LC has often been attributed to surgical inexperience, but it is also clear that aberrant bile ducts are present in a significant number of patients who sustain biliary injuries during these procedures. We present three cases of right sectoral hepatic duct injuries which occurred during LC and provide a discussion of the conditions which are likely to lead to these injuries, as part of a strategy to prevent them.", "author" : [ { "dropping-particle" : "", "family" : "Chamberlain", "given" : "Ronald S.", "non-dropping-particle" : "", "parse-names" : false, "suffix" : "" }, { "dropping-particle" : "", "family" : "Babel", "given" : "Nitin", "non-dropping-particle" : "", "parse-names" : false, "suffix" : "" }, { "dropping-particle" : "V.", "family" : "Sakpal", "given" : "Sujit", "non-dropping-particle" : "", "parse-names" : false, "suffix" : "" }, { "dropping-particle" : "", "family" : "Paragi", "given" : "Prakash", "non-dropping-particle" : "", "parse-names" : false, "suffix" : "" }, { "dropping-particle" : "", "family" : "Wellen", "given" : "Jason", "non-dropping-particle" : "", "parse-names" : false, "suffix" : "" }, { "dropping-particle" : "", "family" : "Feldman", "given" : "Stephen", "non-dropping-particle" : "", "parse-names" : false, "suffix" : "" } ], "container-title" : "HPB Surgery", "id" : "ITEM-1", "issued" : { "date-parts" : [ [ "2009" ] ] }, "page" : "1-4", "title" : "Iatrogenic bile duct injury associated with anomalies of the right hepatic sectoral ducts: A misunderstood and underappreciated problem", "type" : "article-journal", "volume" : "2009" }, "uris" : [ "http://www.mendeley.com/documents/?uuid=0b0dc0eb-32e1-4ce4-a43b-6e37b7dfb479" ] } ], "mendeley" : { "formattedCitation" : "&lt;sup&gt;39&lt;/sup&gt;", "plainTextFormattedCitation" : "39", "previouslyFormattedCitation" : "&lt;sup&gt;39&lt;/sup&gt;"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39</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The two structures that are most commonly misidentified as the cystic duct (neither of which are particularly rare) are the common bile duct, and an aberrant right hepatic duct that drains the posterolateral sector of the liver. </w:t>
      </w:r>
    </w:p>
    <w:p w14:paraId="2529DDDF" w14:textId="1581FEE0"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Izuishi </w:t>
      </w:r>
      <w:r w:rsidRPr="00D95472">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"10.1016/j.amjsurg.2004.06.039", "ISSN" : "00029610", "abstract" : "Background: This study aimed to determine the frequency of anatomic variations of bile ducts (aberrant bile ducts) using multislice helical computed tomography (MCT) cholangiography. Methods: MCT scanning was performed after slow infusion of 100 mL meglumine iotroxate. Overlapping axial images, taken at 0.5-mm intervals, were reconstructed to create a multiplanar reconstruction with volume rendering. We analyzed anatomical variations of the biliary tree by MCT cholangiography. Results: In a total of 113 patients, MCT cholangiography provided clear images of aberrant bile ducts in 18 patients. Major type (draining a particular segment of the liver) was found in 9 cases (8%) and minor type (draining a particular subsegment of the liver) in 9 cases (8%). Conclusions: Preoperative MCT cholangiography provides important information about the precise biliary anatomy and can reveal unexpected aberrant bile ducts prior to biliary surgery, especially laparoscopic cholecystectomy. \u00a9 2005 Excerpta Medica Inc. All rights reserved.", "author" : [ { "dropping-particle" : "", "family" : "Izuishi", "given" : "Kunihiko", "non-dropping-particle" : "", "parse-names" : false, "suffix" : "" }, { "dropping-particle" : "", "family" : "Toyama", "given" : "Yoshihiro", "non-dropping-particle" : "", "parse-names" : false, "suffix" : "" }, { "dropping-particle" : "", "family" : "Nakano", "given" : "Satoru", "non-dropping-particle" : "", "parse-names" : false, "suffix" : "" }, { "dropping-particle" : "", "family" : "Goda", "given" : "Fuminori", "non-dropping-particle" : "", "parse-names" : false, "suffix" : "" }, { "dropping-particle" : "", "family" : "Usuki", "given" : "Hisashi", "non-dropping-particle" : "", "parse-names" : false, "suffix" : "" }, { "dropping-particle" : "", "family" : "Masaki", "given" : "Tsutomu", "non-dropping-particle" : "", "parse-names" : false, "suffix" : "" }, { "dropping-particle" : "", "family" : "Maeta", "given" : "Hajime", "non-dropping-particle" : "", "parse-names" : false, "suffix" : "" } ], "container-title" : "American Journal of Surgery", "id" : "ITEM-1", "issue" : "1", "issued" : { "date-parts" : [ [ "2005" ] ] }, "page" : "53-55", "title" : "Preoperative assessment of the aberrant bile duct using multislice computed tomography cholangiography", "type" : "article-journal", "volume" : "189" }, "uris" : [ "http://www.mendeley.com/documents/?uuid=5abfc1bc-41d5-4e6f-ae36-c8d809a3e45a" ] } ], "mendeley" : { "formattedCitation" : "&lt;sup&gt;40&lt;/sup&gt;", "plainTextFormattedCitation" : "40", "previouslyFormattedCitation" : "&lt;sup&gt;40&lt;/sup&gt;"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40</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reported multi-slice-computed cholangiography of 113 patients and documented that a posterior inferior duct joined the common hepatic duct directly (parallel to the cystic duct) in 6% of patients, whereas a posterior segmental duct directly joined either the common bile duct in 7% of patients, or cystic duct in 1% of cases. An overall rate of anatomical variation of 16% was documented, which underlines the importance of accurately identifying all structures during LC. In a larger cohort study, anatomical variations of the bile duct were analyzed in 1094 direct cholangiograms by Yoshida 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"10727515", "PMID" : "8542087", "abstract" : "BACKGROUND: The structure of the biliary tree has been classified according to the relationship between the hepatic segmental ducts and the cystic duct. Because laparoscopic cholecystectomy demands precise knowledge of biliary anatomy, we propose a simplified classification of the bile ducts. STUDY DESIGN: A consecutive series of 1,094 direct cholangiograms were analyzed and the letters A, P, R, L, and C were designated for the right anterior, right posterior, right, left, and cystic ducts, respectively. The arborizing patterns of the hepatic bile ducts were classified into either the bifurcation of the right and left ducts (RL); triple confluence of the right anterior, right posterior, and left ducts (APL); separate branching of A and P in the duodenohepatic direction; or discrete branching of P and A (P-AL) where branches A and P were in reverse of A-PL. Cystic duct anomaly was added in parentheses. RESULTS: The classified ducts had the following distribution: RL, 67.7 percent; APL, 17.7 percent; A-PL, 8.0 percent; and P-AL, 6.0 percent. Cystic duct anomalies occurred in 1.6 percent of all the cases and were in frequent association with the P-AL pattern. The most common type was P-AL (P-C) seen in 0.5 percent of cases, where the cystic duct merged into the lower branching P. CONCLUSIONS: Our practical classification of the biliary tree anatomy may contribute to the practice of biliary surgery.", "author" : [ { "dropping-particle" : "", "family" : "Yoshida", "given" : "Junichi", "non-dropping-particle" : "", "parse-names" : false, "suffix" : "" }, { "dropping-particle" : "", "family" : "Chijiiwa", "given" : "Kazuo", "non-dropping-particle" : "", "parse-names" : false, "suffix" : "" }, { "dropping-particle" : "", "family" : "Yamaguchi", "given" : "Koji", "non-dropping-particle" : "", "parse-names" : false, "suffix" : "" }, { "dropping-particle" : "", "family" : "Yokohata", "given" : "Kazunori", "non-dropping-particle" : "", "parse-names" : false, "suffix" : "" }, { "dropping-particle" : "", "family" : "Tanaka", "given" : "Masao", "non-dropping-particle" : "", "parse-names" : false, "suffix" : "" } ], "container-title" : "Journal of the American College of Surgeons", "id" : "ITEM-1", "issue" : "1", "issued" : { "date-parts" : [ [ "1996" ] ] }, "page" : "37-40", "title" : "Practical classification of the branching types of the biliary tree: An analysis of 1,094 consecutive direct cholangiograms", "type" : "article-journal", "volume" : "182" }, "uris" : [ "http://www.mendeley.com/documents/?uuid=f6c4edb8-5b4c-468e-9a9b-84a7f0262e5d" ] } ], "mendeley" : { "formattedCitation" : "&lt;sup&gt;41&lt;/sup&gt;", "plainTextFormattedCitation" : "41", "previouslyFormattedCitation" : "&lt;sup&gt;41&lt;/sup&gt;"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The relative position of the right anterior (A), right posterior (P), right (R), left</w:t>
      </w:r>
      <w:r w:rsidR="00124E11"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(L), and cystic ducts were documented. Arborizing patterns revealed that 67.7% were normal (i.e. RL, a normal bile duct convergence), whereas 17.7%, 8%, and 6%, demonstrated APL (</w:t>
      </w:r>
      <w:r w:rsidRPr="00124E11">
        <w:rPr>
          <w:rFonts w:ascii="Book Antiqua" w:hAnsi="Book Antiqua"/>
          <w:i/>
          <w:color w:val="000000" w:themeColor="text1"/>
          <w:lang w:val="en-US"/>
        </w:rPr>
        <w:t>i.e.</w:t>
      </w:r>
      <w:r w:rsidRPr="00124E11">
        <w:rPr>
          <w:rFonts w:ascii="Book Antiqua" w:hAnsi="Book Antiqua"/>
          <w:color w:val="000000" w:themeColor="text1"/>
          <w:lang w:val="en-US"/>
        </w:rPr>
        <w:t xml:space="preserve"> trifurcation), A-PL</w:t>
      </w:r>
      <w:r w:rsidR="007D2971" w:rsidRPr="00124E11">
        <w:rPr>
          <w:rFonts w:ascii="Book Antiqua" w:hAnsi="Book Antiqua"/>
          <w:color w:val="000000" w:themeColor="text1"/>
          <w:lang w:val="en-US"/>
        </w:rPr>
        <w:t xml:space="preserve"> (</w:t>
      </w:r>
      <w:r w:rsidR="00E20436" w:rsidRPr="00124E11">
        <w:rPr>
          <w:rFonts w:ascii="Book Antiqua" w:hAnsi="Book Antiqua"/>
          <w:color w:val="000000" w:themeColor="text1"/>
          <w:lang w:val="en-US"/>
        </w:rPr>
        <w:t xml:space="preserve">i.e. </w:t>
      </w:r>
      <w:r w:rsidR="007D2971" w:rsidRPr="00124E11">
        <w:rPr>
          <w:rFonts w:ascii="Book Antiqua" w:hAnsi="Book Antiqua"/>
          <w:color w:val="000000" w:themeColor="text1"/>
          <w:lang w:val="en-US"/>
        </w:rPr>
        <w:t>low implantation of the right anterior duct)</w:t>
      </w:r>
      <w:r w:rsidRPr="00124E11">
        <w:rPr>
          <w:rFonts w:ascii="Book Antiqua" w:hAnsi="Book Antiqua"/>
          <w:color w:val="000000" w:themeColor="text1"/>
          <w:lang w:val="en-US"/>
        </w:rPr>
        <w:t>, and P-AL</w:t>
      </w:r>
      <w:r w:rsidR="007D2971" w:rsidRPr="00124E11">
        <w:rPr>
          <w:rFonts w:ascii="Book Antiqua" w:hAnsi="Book Antiqua"/>
          <w:color w:val="000000" w:themeColor="text1"/>
          <w:lang w:val="en-US"/>
        </w:rPr>
        <w:t xml:space="preserve"> (</w:t>
      </w:r>
      <w:r w:rsidR="00E20436" w:rsidRPr="00124E11">
        <w:rPr>
          <w:rFonts w:ascii="Book Antiqua" w:hAnsi="Book Antiqua"/>
          <w:i/>
          <w:color w:val="000000" w:themeColor="text1"/>
          <w:lang w:val="en-US"/>
        </w:rPr>
        <w:t>i.e.</w:t>
      </w:r>
      <w:r w:rsidR="00E20436" w:rsidRPr="00124E11">
        <w:rPr>
          <w:rFonts w:ascii="Book Antiqua" w:hAnsi="Book Antiqua"/>
          <w:color w:val="000000" w:themeColor="text1"/>
          <w:lang w:val="en-US"/>
        </w:rPr>
        <w:t xml:space="preserve"> </w:t>
      </w:r>
      <w:r w:rsidR="007D2971" w:rsidRPr="00124E11">
        <w:rPr>
          <w:rFonts w:ascii="Book Antiqua" w:hAnsi="Book Antiqua"/>
          <w:color w:val="000000" w:themeColor="text1"/>
          <w:lang w:val="en-US"/>
        </w:rPr>
        <w:t>low implan</w:t>
      </w:r>
      <w:r w:rsidR="00E20436" w:rsidRPr="00124E11">
        <w:rPr>
          <w:rFonts w:ascii="Book Antiqua" w:hAnsi="Book Antiqua"/>
          <w:color w:val="000000" w:themeColor="text1"/>
          <w:lang w:val="en-US"/>
        </w:rPr>
        <w:t>ta</w:t>
      </w:r>
      <w:r w:rsidR="007D2971" w:rsidRPr="00124E11">
        <w:rPr>
          <w:rFonts w:ascii="Book Antiqua" w:hAnsi="Book Antiqua"/>
          <w:color w:val="000000" w:themeColor="text1"/>
          <w:lang w:val="en-US"/>
        </w:rPr>
        <w:t>tion of the</w:t>
      </w:r>
      <w:r w:rsidR="00E20436" w:rsidRPr="00124E11">
        <w:rPr>
          <w:rFonts w:ascii="Book Antiqua" w:hAnsi="Book Antiqua"/>
          <w:color w:val="000000" w:themeColor="text1"/>
          <w:lang w:val="en-US"/>
        </w:rPr>
        <w:t xml:space="preserve"> right posterior duct)</w:t>
      </w:r>
      <w:r w:rsidRPr="00124E11">
        <w:rPr>
          <w:rFonts w:ascii="Book Antiqua" w:hAnsi="Book Antiqua"/>
          <w:color w:val="000000" w:themeColor="text1"/>
          <w:lang w:val="en-US"/>
        </w:rPr>
        <w:t>, respectively. Cystic duct anomalies occurred in 1.6% of patients, the most frequent being the pattern (0.5%) in which the cystic duct merges with lower branch of the posterolateral segmental duct. This pattern has to be recognized correctly by the surgeon during LC in order to avoid misidentification and subsequent injury of the right posterior segmental duct.</w:t>
      </w:r>
    </w:p>
    <w:p w14:paraId="52318D67" w14:textId="365272A2" w:rsidR="00E32F0F" w:rsidRPr="00124E11" w:rsidRDefault="00E32F0F" w:rsidP="00A94613">
      <w:pPr>
        <w:snapToGrid w:val="0"/>
        <w:spacing w:line="360" w:lineRule="auto"/>
        <w:ind w:firstLineChars="100" w:firstLine="240"/>
        <w:jc w:val="both"/>
        <w:rPr>
          <w:rFonts w:ascii="Book Antiqua" w:hAnsi="Book Antiqua"/>
          <w:b/>
          <w:color w:val="000000" w:themeColor="text1"/>
          <w:lang w:val="en-US"/>
        </w:rPr>
      </w:pPr>
      <w:r w:rsidRPr="00124E11">
        <w:rPr>
          <w:rFonts w:ascii="Book Antiqua" w:hAnsi="Book Antiqua"/>
          <w:color w:val="000000" w:themeColor="text1"/>
          <w:lang w:val="en-US"/>
        </w:rPr>
        <w:t>LUS with the color Doppler application and transverse scanning generates the characteristic "Mickey Mouse" appearance of the CBD, portal vein, and common hepatic artery</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"10.1016/S0929-8266(99)00018-X", "ISSN" : "09298266", "PMID" : "10413748", "abstract" : "Objective: The introduction of laparoscopic cholecystectomy (Lap-chol) has induced routine cholangiography to map the biliary tree and identify common bile duct (CBD) stones. However, the use of more selective criteria for performing intraoperative cholangiography (IOC), drawbacks of IOC and experience with laparoscopic ultrasonography (LU) re-introduced intraoperative ultrasonography for the CBD. The purpose of this study was to compare the accuracy of LU and IOC to identify the anatomy of the CBD and the presence of stones. Methods: A total of 50 unselected patients undergoing elective laparoscopic cholecystectomy were evaluated by LU and IOC. Stones were found in three patients by IOC and could be confirmed by ultrasonography and CBD exploration in two. Results: Anatomic definition of the biliary tract and success of the procedure was better for LU (90 and 98%) than IOC (86 and 72%). Conclusion: For Surgical groups with experience in LU this technique appears to become the standard technique to identify the anatomy of the CBD and assessment of CBD stones.", "author" : [ { "dropping-particle" : "", "family" : "Rijna", "given" : "H.", "non-dropping-particle" : "", "parse-names" : false, "suffix" : "" }, { "dropping-particle" : "", "family" : "Eijsbouts", "given" : "Q. A J", "non-dropping-particle" : "", "parse-names" : false, "suffix" : "" }, { "dropping-particle" : "", "family" : "Barkhof", "given" : "F.", "non-dropping-particle" : "", "parse-names" : false, "suffix" : "" }, { "dropping-particle" : "", "family" : "Brauw", "given" : "L. M.", "non-dropping-particle" : "De", "parse-names" : false, "suffix" : "" }, { "dropping-particle" : "", "family" : "Cuesta", "given" : "M. A.", "non-dropping-particle" : "", "parse-names" : false, "suffix" : "" } ], "container-title" : "European Journal of Ultrasound", "id" : "ITEM-1", "issue" : "2", "issued" : { "date-parts" : [ [ "1999" ] ] }, "page" : "127-133", "title" : "Assessment of the biliary tract by ultrasonography and cholangiography during laparoscopic cholecystectomy: A prospective study", "type" : "article-journal", "volume" : "9" }, "uris" : [ "http://www.mendeley.com/documents/?uuid=e1043c3c-b28d-4af5-ac5e-484ffb640bf4" ] } ], "mendeley" : { "formattedCitation" : "&lt;sup&gt;22&lt;/sup&gt;", "plainTextFormattedCitation" : "22", "previouslyFormattedCitation" : "&lt;sup&gt;22&lt;/sup&gt;"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22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Occasionally, a prominent cystic duct that is parallel to the CBD can </w:t>
      </w:r>
      <w:r w:rsidRPr="00124E11">
        <w:rPr>
          <w:rFonts w:ascii="Book Antiqua" w:hAnsi="Book Antiqua"/>
          <w:color w:val="000000" w:themeColor="text1"/>
          <w:lang w:val="en-US"/>
        </w:rPr>
        <w:lastRenderedPageBreak/>
        <w:t>be identified in a "four tube sign"</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"10.1007/s004649900917", "ISSN" : "0930-2794", "author" : [ { "dropping-particle" : "", "family" : "Siperstein", "given" : "A.", "non-dropping-particle" : "", "parse-names" : false, "suffix" : "" }, { "dropping-particle" : "", "family" : "Pearl", "given" : "J.", "non-dropping-particle" : "", "parse-names" : false, "suffix" : "" }, { "dropping-particle" : "", "family" : "Macho", "given" : "J.", "non-dropping-particle" : "", "parse-names" : false, "suffix" : "" }, { "dropping-particle" : "", "family" : "Hansen", "given" : "P.", "non-dropping-particle" : "", "parse-names" : false, "suffix" : "" }, { "dropping-particle" : "", "family" : "Gitomirsky", "given" : "A.", "non-dropping-particle" : "", "parse-names" : false, "suffix" : "" }, { "dropping-particle" : "", "family" : "Rogers", "given" : "S.", "non-dropping-particle" : "", "parse-names" : false, "suffix" : "" } ], "container-title" : "Surgical Endoscopy", "id" : "ITEM-1", "issue" : "2", "issued" : { "date-parts" : [ [ "1999", "2", "20" ] ] }, "page" : "113-117", "title" : "Comparison of laparoscopic ultrasonography and fluorocholangiography in 300 patients undergoing laparoscopic cholecystectomy", "type" : "article-journal", "volume" : "13" }, "uris" : [ "http://www.mendeley.com/documents/?uuid=00c20f8f-e780-4647-9deb-abcfe912746b" ] } ], "mendeley" : { "formattedCitation" : "&lt;sup&gt;23&lt;/sup&gt;", "plainTextFormattedCitation" : "23", "previouslyFormattedCitation" : "&lt;sup&gt;23&lt;/sup&gt;"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23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Hashimoto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"0172-6390", "PMID" : "21033214", "abstract" : "BACKGROUND/AIMS Laparoscopic cholecystectomy has become a standard procedure for gallstone disease. Bile duct injury during laparoscopic cholecystectomy is one of the most serious complications. The cause of such injury is usually the erroneous interpretation of bile duct anatomy, especially mistaking common bile duct for the cystic duct. A method for the prevention of this injury has not been established. The objective of this study was to test the usefulness of intraoperative ultrasonography for preventing bile duct injury. METHODOLOGY We performed intraoperative ultrasonography to visualize the junction of the cystic duct and common bile duct before cannulation for intraoperative cholangiography. A total of 200 patients were enrolled in this study from May 2004 to November 2005. RESULTS In 188 out of 200 cases (94%), the junction was identified by intraoperative ultrasonography before the cholangiography. CONCLUSION Identification of the junction of the cystic duct and common bile duct before intraoperative cholangiography may reduce bile duct injury in laparoscopic cholecystectomy.", "author" : [ { "dropping-particle" : "", "family" : "Hashimoto", "given" : "Masaji", "non-dropping-particle" : "", "parse-names" : false, "suffix" : "" }, { "dropping-particle" : "", "family" : "Matsuda", "given" : "Masamichi", "non-dropping-particle" : "", "parse-names" : false, "suffix" : "" }, { "dropping-particle" : "", "family" : "Watanabe", "given" : "Goro", "non-dropping-particle" : "", "parse-names" : false, "suffix" : "" } ], "container-title" : "Hepato-gastroenterology", "id" : "ITEM-1", "issue" : "101", "issued" : { "date-parts" : [ [ "0" ] ] }, "page" : "706-9", "title" : "Intraoperative ultrasonography for reducing bile duct injury during laparoscopic cholecystectomy.", "type" : "article-journal", "volume" : "57" }, "uris" : [ "http://www.mendeley.com/documents/?uuid=c1ed36a6-15c6-4c01-8ecf-f7ccb10c065d" ] } ], "mendeley" : { "formattedCitation" : "&lt;sup&gt;42&lt;/sup&gt;", "plainTextFormattedCitation" : "42", "previouslyFormattedCitation" : "&lt;sup&gt;42&lt;/sup&gt;"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studied the efficacy of LUS in identifying the cystic-common bile duct junction and found that LUS was inaccurate in 6% of patients, predominantly when the diameter of the CBD was less than 5</w:t>
      </w:r>
      <w:r w:rsidR="00124E11"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mm. In longitudinal scanning, LUS provides excellent anatomical information (Figure 1).</w:t>
      </w:r>
      <w:r w:rsidRPr="00124E11">
        <w:rPr>
          <w:rFonts w:ascii="Book Antiqua" w:hAnsi="Book Antiqua"/>
          <w:b/>
          <w:color w:val="000000" w:themeColor="text1"/>
          <w:lang w:val="en-US"/>
        </w:rPr>
        <w:t xml:space="preserve"> </w:t>
      </w:r>
    </w:p>
    <w:p w14:paraId="520A8DA5" w14:textId="2A84F2D6"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In order to complete a thorough examination of the biliary tract, the surgeon has to identify the biliary convergence with the left and right sectorial branches through the liver. Sequentially, the branch of the anterior right sector (direct extension of the CBD) is identified, followed by the posterior right sector duct. Then the gallbladder bed is visualized, followed by the walls of the gallbladder, then the trangential hepatic vein. This is a branch of the middle hepatic vein, tangential to the gallbladder bed, which is present in 15.38% of patients. When injured, this vein can provoke serious bleeding, mostly in cirrhotic patients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"1499-3872", "PMID" : "14607664", "abstract" : "OBJECTIVE To investigate the causes of hemorrhage from the gallbladder bed during laparoscopic cholecystectomy. METHODS 617 patients who had received laparoscopic cholecystectomy from September, 2000 to March, 2001 at this hospital were reviewed retrospectively. Ninety-one of these patients were selected randomly for prospective observation. Color Doppler ultrasound was used to examine the cause of venous hemorrhage from the gallbladder bed during laparoscopic cholecystectomy and to examine the anatomic relationship between the gallbladder bed and the branches of the middle hepatic vein in 91 patients preoperatively. RESULTS A large branch of the middle hepatic vein extended closely behind the gallbladder bed in all 91 patients. The mean distance between the closest point (C point) of this branch to the gallbladder bed was 5.0+/-4.6 mm. The branch of the middle hepatic vein was completely adherent to the gallbladder bed in 14 (15.38%) of the 91 patients. The distance between this branch and the gallbladder bed was within 1 mm in 10 (10.99%) of the 91 patients. The inside diameter at C point of this branch was 3.2+/-1.1 mm. The C point was found on the left side of the longitudinal axis of the gallbladder in 31 (34.66%) of the 91 patients, on the right side in 39 patients (42.86%), just on the axis in 21 patients (23.08%). The venous blood flow rate at the C point was 9.9+/-3.3 cm/s. CONCLUSIONS A large branch of the middle hepatic vein passes behind the gallbladder. The inside diameter of this branch is relatively larger. The bleeding of this branch during operation can only be stopped by transfixion. The closest point of this vein to the gallbladder is mostly situated on the right side of the longitudinal axis of the gallbladder. Patients with large branches of the middle hepatic vein close to the gallbladder bed are at risk of hemorrhage during laparoscopic cholecystectomy and should be identified preoperatively with ultrasound.", "author" : [ { "dropping-particle" : "", "family" : "Shen", "given" : "Bai-Yong", "non-dropping-particle" : "", "parse-names" : false, "suffix" : "" }, { "dropping-particle" : "", "family" : "Li", "given" : "Hong-Wei", "non-dropping-particle" : "", "parse-names" : false, "suffix" : "" }, { "dropping-particle" : "", "family" : "Chen", "given" : "Man", "non-dropping-particle" : "", "parse-names" : false, "suffix" : "" }, { "dropping-particle" : "", "family" : "Zheng", "given" : "Min-Hua", "non-dropping-particle" : "", "parse-names" : false, "suffix" : "" }, { "dropping-particle" : "", "family" : "Zang", "given" : "Lu", "non-dropping-particle" : "", "parse-names" : false, "suffix" : "" }, { "dropping-particle" : "", "family" : "Jiang", "given" : "Shao-Min", "non-dropping-particle" : "", "parse-names" : false, "suffix" : "" }, { "dropping-particle" : "", "family" : "Li", "given" : "Jian-Wen", "non-dropping-particle" : "", "parse-names" : false, "suffix" : "" }, { "dropping-particle" : "", "family" : "Jiang", "given" : "Yu", "non-dropping-particle" : "", "parse-names" : false, "suffix" : "" } ], "container-title" : "Hepatobiliary &amp; pancreatic diseases international : HBPD INT", "id" : "ITEM-1", "issue" : "1", "issued" : { "date-parts" : [ [ "2003", "2" ] ] }, "page" : "126-30", "title" : "Color Doppler ultrasonographic assessment of the risk of injury to major branch of the middle hepatic vein during laparoscopic cholecystectomy.", "type" : "article-journal", "volume" : "2" }, "uris" : [ "http://www.mendeley.com/documents/?uuid=56ae1d0d-6ca5-42b3-9283-24970bb6945b" ] } ], "mendeley" : { "formattedCitation" : "&lt;sup&gt;43&lt;/sup&gt;", "plainTextFormattedCitation" : "43", "previouslyFormattedCitation" : "&lt;sup&gt;43&lt;/sup&gt;"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43</w:t>
      </w:r>
      <w:r w:rsidRPr="00124E11">
        <w:rPr>
          <w:rFonts w:ascii="Book Antiqua" w:hAnsi="Book Antiqua"/>
          <w:color w:val="000000" w:themeColor="text1"/>
          <w:lang w:val="en-US"/>
        </w:rPr>
        <w:fldChar w:fldCharType="end"/>
      </w:r>
      <w:r w:rsidR="00655722">
        <w:rPr>
          <w:rFonts w:ascii="Book Antiqua" w:hAnsi="Book Antiqua" w:hint="eastAsia"/>
          <w:color w:val="000000" w:themeColor="text1"/>
          <w:vertAlign w:val="superscript"/>
          <w:lang w:val="en-US" w:eastAsia="zh-CN"/>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"0002-9610", "PMID" : "10612541", "abstract" : "Although hemorrhage from the gallbladder bed during laparoscopic cholecystectomy is one of main reasons for conversion to open cholecystectomy, the cause of this life-threatening complication is unclear.", "author" : [ { "dropping-particle" : "", "family" : "Misawa", "given" : "T", "non-dropping-particle" : "", "parse-names" : false, "suffix" : "" }, { "dropping-particle" : "", "family" : "Koike", "given" : "M", "non-dropping-particle" : "", "parse-names" : false, "suffix" : "" }, { "dropping-particle" : "", "family" : "Suzuki", "given" : "K", "non-dropping-particle" : "", "parse-names" : false, "suffix" : "" }, { "dropping-particle" : "", "family" : "Unemura", "given" : "Y", "non-dropping-particle" : "", "parse-names" : false, "suffix" : "" }, { "dropping-particle" : "", "family" : "Murai", "given" : "R", "non-dropping-particle" : "", "parse-names" : false, "suffix" : "" }, { "dropping-particle" : "", "family" : "Yoshida", "given" : "K", "non-dropping-particle" : "", "parse-names" : false, "suffix" : "" }, { "dropping-particle" : "", "family" : "Kobayashi", "given" : "S", "non-dropping-particle" : "", "parse-names" : false, "suffix" : "" }, { "dropping-particle" : "", "family" : "Yamazaki", "given" : "Y", "non-dropping-particle" : "", "parse-names" : false, "suffix" : "" } ], "container-title" : "American journal of surgery", "id" : "ITEM-1", "issue" : "5", "issued" : { "date-parts" : [ [ "1999" ] ] }, "page" : "418-21", "title" : "Ultrasonographic assessment of the risk of injury to branches of the middle hepatic vein during laparoscopic cholecystectomy.", "type" : "article-journal", "volume" : "178" }, "uris" : [ "http://www.mendeley.com/documents/?uuid=611cce29-579f-48e0-8103-b2abfeaeb696" ] } ], "mendeley" : { "formattedCitation" : "&lt;sup&gt;45&lt;/sup&gt;", "plainTextFormattedCitation" : "45", "previouslyFormattedCitation" : "&lt;sup&gt;45&lt;/sup&gt;"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45</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A Doppler LUS is performed to identify the vascular anatomy and hepatic blood flux. The hepatoduodenal ligament is irrigated with an isotonic solution that improves acoustic coupling between the screened surface and probe. This permits analyses of the CBD (its integrity and diameter), the cystic duct, the junction between the cystic duct and the CBD, and the common hepatic duct and its intra-pancreatic portion</w:t>
      </w:r>
      <w:r w:rsidR="002C3C7B" w:rsidRPr="00124E11">
        <w:rPr>
          <w:rFonts w:ascii="Book Antiqua" w:hAnsi="Book Antiqua"/>
          <w:color w:val="000000" w:themeColor="text1"/>
          <w:lang w:val="en-US"/>
        </w:rPr>
        <w:t xml:space="preserve"> (Figure 2).</w:t>
      </w:r>
      <w:r w:rsidRPr="00124E11">
        <w:rPr>
          <w:rFonts w:ascii="Book Antiqua" w:hAnsi="Book Antiqua"/>
          <w:color w:val="000000" w:themeColor="text1"/>
          <w:lang w:val="en-US"/>
        </w:rPr>
        <w:t xml:space="preserve"> Other interesting anatomical findings include vascular variation or injuries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"1432-2218", "PMID" : "10741442", "abstract" : "BACKGROUND Lesions of vascular structures are rare but serious complications of laparoscopic cholecystectomy. The purpose of this blind randomized animal study was to investigate the possibility of detecting different vascular lesions within the hepatoduodenal ligament using laparoscopic color Doppler ultrasound (LCDU). METHODS Twenty-four lesions of the hepatic artery and portal vein were created laparoscopically in six farmer pigs using titanium clips. The following injuries were studied: (a) partial occlusion of the hepatic artery (eight cases), (b) complete occlusion of the hepatic artery (eight cases), (c) partial occlusion of the portal vein (eight cases). There were also eight cases without lesions of the vascular vessels. The order in which the injuries were created was randomly assigned. The study was performed in a blind fashion. Recognition of the injuries was attempted with LCDU. RESULTS All injuries were recognized correctly by LCDU. There were no false positive results. The clips were reliably located. Using color Doppler imaging, partial occlusions of the hepatic artery and portal vein were visualized by changes of the blood flow from laminar to turbulent behind the clip. Complete occlusion of the hepatic artery was recognized as a complete cessation of the colored blood flow. CONCLUSION LCDU is a very efficient tool for visualizing vascular structures and evaluating the bloodstream. Partial or complete vascular occlusion by clips that may occur as a result of difficult dissection during laparoscopic cholecystectomy can be visualized reliably using this technique.", "author" : [ { "dropping-particle" : "", "family" : "Birth", "given" : "M", "non-dropping-particle" : "", "parse-names" : false, "suffix" : "" }, { "dropping-particle" : "", "family" : "Lossin", "given" : "P", "non-dropping-particle" : "", "parse-names" : false, "suffix" : "" }, { "dropping-particle" : "", "family" : "Brugmans", "given" : "F", "non-dropping-particle" : "", "parse-names" : false, "suffix" : "" }, { "dropping-particle" : "", "family" : "Weiser", "given" : "H F", "non-dropping-particle" : "", "parse-names" : false, "suffix" : "" } ], "container-title" : "Surgical endoscopy", "id" : "ITEM-1", "issue" : "3", "issued" : { "date-parts" : [ [ "2000", "3" ] ] }, "page" : "246-9", "title" : "Vascular injuries within the hepatoduodenal ligament: recognition by laparoscopic color Doppler ultrasound.", "type" : "article-journal", "volume" : "14" }, "uris" : [ "http://www.mendeley.com/documents/?uuid=2bd7097b-0179-4099-8665-85bf40e99f18" ] } ], "mendeley" : { "formattedCitation" : "&lt;sup&gt;46&lt;/sup&gt;", "plainTextFormattedCitation" : "46", "previouslyFormattedCitation" : "&lt;sup&gt;46&lt;/sup&gt;"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or even lymph nodes.</w:t>
      </w:r>
    </w:p>
    <w:p w14:paraId="79E8DBFD" w14:textId="0DAE1573"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An advantage of LUS is that it can be used before or after dissection of the Calot’s triangle, and, since it is not time consuming, can be repeated as needed. In the literature, 7 authors used LUS prior to dissection,</w:t>
      </w:r>
      <w:r w:rsidR="00124E11"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and 7 after</w:t>
      </w:r>
      <w:r w:rsidR="00EE4BD9" w:rsidRPr="00124E11">
        <w:rPr>
          <w:rFonts w:ascii="Book Antiqua" w:hAnsi="Book Antiqua"/>
          <w:color w:val="000000" w:themeColor="text1"/>
          <w:lang w:val="en-US"/>
        </w:rPr>
        <w:t xml:space="preserve"> (</w:t>
      </w:r>
      <w:r w:rsidR="00EE4BD9" w:rsidRPr="00124E11">
        <w:rPr>
          <w:rFonts w:ascii="Book Antiqua" w:hAnsi="Book Antiqua"/>
          <w:caps/>
          <w:color w:val="000000" w:themeColor="text1"/>
          <w:lang w:val="en-US"/>
        </w:rPr>
        <w:t>t</w:t>
      </w:r>
      <w:r w:rsidR="00EE4BD9" w:rsidRPr="00124E11">
        <w:rPr>
          <w:rFonts w:ascii="Book Antiqua" w:hAnsi="Book Antiqua"/>
          <w:color w:val="000000" w:themeColor="text1"/>
          <w:lang w:val="en-US"/>
        </w:rPr>
        <w:t>able 2)</w:t>
      </w:r>
      <w:r w:rsidRPr="00124E11">
        <w:rPr>
          <w:rFonts w:ascii="Book Antiqua" w:hAnsi="Book Antiqua"/>
          <w:color w:val="000000" w:themeColor="text1"/>
          <w:lang w:val="en-US"/>
        </w:rPr>
        <w:t xml:space="preserve">. </w:t>
      </w:r>
      <w:r w:rsidR="00EE4BD9" w:rsidRPr="00124E11">
        <w:rPr>
          <w:rFonts w:ascii="Book Antiqua" w:hAnsi="Book Antiqua"/>
          <w:color w:val="000000" w:themeColor="text1"/>
          <w:lang w:val="en-US"/>
        </w:rPr>
        <w:t xml:space="preserve">As shown </w:t>
      </w:r>
      <w:r w:rsidR="008347DF" w:rsidRPr="00124E11">
        <w:rPr>
          <w:rFonts w:ascii="Book Antiqua" w:hAnsi="Book Antiqua"/>
          <w:color w:val="000000" w:themeColor="text1"/>
          <w:lang w:val="en-US"/>
        </w:rPr>
        <w:t>in</w:t>
      </w:r>
      <w:r w:rsidR="00EE4BD9" w:rsidRPr="00124E11">
        <w:rPr>
          <w:rFonts w:ascii="Book Antiqua" w:hAnsi="Book Antiqua"/>
          <w:color w:val="000000" w:themeColor="text1"/>
          <w:lang w:val="en-US"/>
        </w:rPr>
        <w:t xml:space="preserve"> </w:t>
      </w:r>
      <w:r w:rsidR="00EE4BD9" w:rsidRPr="005D40F2">
        <w:rPr>
          <w:rFonts w:ascii="Book Antiqua" w:hAnsi="Book Antiqua"/>
          <w:caps/>
          <w:color w:val="000000" w:themeColor="text1"/>
          <w:lang w:val="en-US"/>
        </w:rPr>
        <w:t>t</w:t>
      </w:r>
      <w:r w:rsidR="00EE4BD9" w:rsidRPr="00124E11">
        <w:rPr>
          <w:rFonts w:ascii="Book Antiqua" w:hAnsi="Book Antiqua"/>
          <w:color w:val="000000" w:themeColor="text1"/>
          <w:lang w:val="en-US"/>
        </w:rPr>
        <w:t xml:space="preserve">able 2, </w:t>
      </w:r>
      <w:r w:rsidR="002C3C7B" w:rsidRPr="00124E11">
        <w:rPr>
          <w:rFonts w:ascii="Book Antiqua" w:hAnsi="Book Antiqua"/>
          <w:color w:val="000000" w:themeColor="text1"/>
          <w:lang w:val="en-US"/>
        </w:rPr>
        <w:t xml:space="preserve">LUS can be </w:t>
      </w:r>
      <w:r w:rsidRPr="00124E11">
        <w:rPr>
          <w:rFonts w:ascii="Book Antiqua" w:hAnsi="Book Antiqua"/>
          <w:color w:val="000000" w:themeColor="text1"/>
          <w:lang w:val="en-US"/>
        </w:rPr>
        <w:t xml:space="preserve">performed before or after dissection, according to perioperative findings, </w:t>
      </w:r>
      <w:r w:rsidR="002C3C7B" w:rsidRPr="00124E11">
        <w:rPr>
          <w:rFonts w:ascii="Book Antiqua" w:hAnsi="Book Antiqua"/>
          <w:color w:val="000000" w:themeColor="text1"/>
          <w:lang w:val="en-US"/>
        </w:rPr>
        <w:t>or</w:t>
      </w:r>
      <w:r w:rsidR="004F347E" w:rsidRPr="00124E11">
        <w:rPr>
          <w:rFonts w:ascii="Book Antiqua" w:hAnsi="Book Antiqua"/>
          <w:color w:val="000000" w:themeColor="text1"/>
          <w:lang w:val="en-US"/>
        </w:rPr>
        <w:t xml:space="preserve"> before </w:t>
      </w:r>
      <w:r w:rsidR="002C3C7B" w:rsidRPr="00124E11">
        <w:rPr>
          <w:rFonts w:ascii="Book Antiqua" w:hAnsi="Book Antiqua"/>
          <w:color w:val="000000" w:themeColor="text1"/>
          <w:lang w:val="en-US"/>
        </w:rPr>
        <w:t xml:space="preserve">dissection to identify anatomy </w:t>
      </w:r>
      <w:r w:rsidR="004F347E" w:rsidRPr="00124E11">
        <w:rPr>
          <w:rFonts w:ascii="Book Antiqua" w:hAnsi="Book Antiqua"/>
          <w:color w:val="000000" w:themeColor="text1"/>
          <w:lang w:val="en-US"/>
        </w:rPr>
        <w:t xml:space="preserve">and systematically </w:t>
      </w:r>
      <w:r w:rsidR="00D46A20" w:rsidRPr="00124E11">
        <w:rPr>
          <w:rFonts w:ascii="Book Antiqua" w:hAnsi="Book Antiqua"/>
          <w:color w:val="000000" w:themeColor="text1"/>
          <w:lang w:val="en-US"/>
        </w:rPr>
        <w:t>afterwards</w:t>
      </w:r>
      <w:r w:rsidR="002C3C7B" w:rsidRPr="00124E11">
        <w:rPr>
          <w:rFonts w:ascii="Book Antiqua" w:hAnsi="Book Antiqua"/>
          <w:color w:val="000000" w:themeColor="text1"/>
          <w:lang w:val="en-US"/>
        </w:rPr>
        <w:t xml:space="preserve"> to </w:t>
      </w:r>
      <w:r w:rsidR="004F347E" w:rsidRPr="00124E11">
        <w:rPr>
          <w:rFonts w:ascii="Book Antiqua" w:hAnsi="Book Antiqua"/>
          <w:color w:val="000000" w:themeColor="text1"/>
          <w:lang w:val="en-US"/>
        </w:rPr>
        <w:t xml:space="preserve">confirm the correct dissection and absence of any injury. </w:t>
      </w:r>
      <w:r w:rsidRPr="00124E11">
        <w:rPr>
          <w:rFonts w:ascii="Book Antiqua" w:hAnsi="Book Antiqua"/>
          <w:color w:val="000000" w:themeColor="text1"/>
          <w:lang w:val="en-US"/>
        </w:rPr>
        <w:t xml:space="preserve">Considering the cystic duct-CBD junction, which is one of the most critical parts of the dissection, Hashimoto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"0172-6390", "PMID" : "21033214", "abstract" : "BACKGROUND/AIMS Laparoscopic cholecystectomy has become a standard procedure for gallstone disease. Bile duct injury during laparoscopic cholecystectomy is one of the most serious complications. The cause of such injury is usually the erroneous interpretation of bile duct anatomy, especially mistaking common bile duct for the cystic duct. A method for the prevention of this injury has not been established. The objective of this study was to test the usefulness of intraoperative ultrasonography for preventing bile duct injury. METHODOLOGY We performed intraoperative ultrasonography to visualize the junction of the cystic duct and common bile duct before cannulation for intraoperative cholangiography. A total of 200 patients were enrolled in this study from May 2004 to November 2005. RESULTS In 188 out of 200 cases (94%), the junction was identified by intraoperative ultrasonography before the cholangiography. CONCLUSION Identification of the junction of the cystic duct and common bile duct before intraoperative cholangiography may reduce bile duct injury in laparoscopic cholecystectomy.", "author" : [ { "dropping-particle" : "", "family" : "Hashimoto", "given" : "Masaji", "non-dropping-particle" : "", "parse-names" : false, "suffix" : "" }, { "dropping-particle" : "", "family" : "Matsuda", "given" : "Masamichi", "non-dropping-particle" : "", "parse-names" : false, "suffix" : "" }, { "dropping-particle" : "", "family" : "Watanabe", "given" : "Goro", "non-dropping-particle" : "", "parse-names" : false, "suffix" : "" } ], "container-title" : "Hepato-gastroenterology", "id" : "ITEM-1", "issue" : "101", "issued" : { "date-parts" : [ [ "0" ] ] }, "page" : "706-9", "title" : "Intraoperative ultrasonography for reducing bile duct injury during laparoscopic cholecystectomy.", "type" : "article-journal", "volume" : "57" }, "uris" : [ "http://www.mendeley.com/documents/?uuid=c1ed36a6-15c6-4c01-8ecf-f7ccb10c065d" ] } ], "mendeley" : { "formattedCitation" : "&lt;sup&gt;42&lt;/sup&gt;", "plainTextFormattedCitation" : "42", "previouslyFormattedCitation" : "&lt;sup&gt;42&lt;/sup&gt;"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EA2517" w:rsidRPr="00124E11">
        <w:rPr>
          <w:rFonts w:ascii="Book Antiqua" w:hAnsi="Book Antiqua"/>
          <w:color w:val="000000" w:themeColor="text1"/>
          <w:lang w:val="en-US"/>
        </w:rPr>
        <w:t xml:space="preserve">, in a retrospective multicenter trial, </w:t>
      </w:r>
      <w:r w:rsidRPr="00124E11">
        <w:rPr>
          <w:rFonts w:ascii="Book Antiqua" w:hAnsi="Book Antiqua"/>
          <w:color w:val="000000" w:themeColor="text1"/>
          <w:lang w:val="en-US"/>
        </w:rPr>
        <w:t xml:space="preserve">reports an improved identification rate (of 98%) after dissection of the Calot’s triangle compared to 84% when LUS is completed before dissection. It is interesting to note that use of LUS at the end of the operation could be used to confirm the integrity of the common bile duct after clipping and transection of the cystic duct. </w:t>
      </w:r>
    </w:p>
    <w:p w14:paraId="754C6C12" w14:textId="0CAF36E6" w:rsidR="00E32F0F" w:rsidRPr="00124E11" w:rsidRDefault="00E32F0F" w:rsidP="00A94613">
      <w:pPr>
        <w:snapToGrid w:val="0"/>
        <w:spacing w:line="360" w:lineRule="auto"/>
        <w:ind w:firstLineChars="100" w:firstLine="240"/>
        <w:jc w:val="both"/>
        <w:rPr>
          <w:rFonts w:ascii="Book Antiqua" w:hAnsi="Book Antiqua"/>
          <w:color w:val="000000" w:themeColor="text1"/>
          <w:lang w:val="en-US" w:eastAsia="zh-CN"/>
        </w:rPr>
      </w:pPr>
      <w:r w:rsidRPr="00124E11">
        <w:rPr>
          <w:rFonts w:ascii="Book Antiqua" w:hAnsi="Book Antiqua"/>
          <w:color w:val="000000" w:themeColor="text1"/>
          <w:lang w:val="en-US"/>
        </w:rPr>
        <w:lastRenderedPageBreak/>
        <w:t>A review of the literature shows that most authors describe how to analyze the biliary tract, but very few provide details of the success with which each portion of the CBD is identified, which is essential in performing a safe LC. Table 3 provides data for the rates of "complete observation" and the ability of LUS to identify duct segments. According to these data, the rate of "complete observation" of the biliary tract with LUS ranged from 92</w:t>
      </w:r>
      <w:r w:rsidR="00124E11" w:rsidRPr="00124E11">
        <w:rPr>
          <w:rFonts w:ascii="Book Antiqua" w:hAnsi="Book Antiqua"/>
          <w:color w:val="000000" w:themeColor="text1"/>
          <w:lang w:val="en-US"/>
        </w:rPr>
        <w:t>%</w:t>
      </w:r>
      <w:r w:rsidRPr="00124E11">
        <w:rPr>
          <w:rFonts w:ascii="Book Antiqua" w:hAnsi="Book Antiqua"/>
          <w:color w:val="000000" w:themeColor="text1"/>
          <w:lang w:val="en-US"/>
        </w:rPr>
        <w:t>-100%, with very few reports providing an accurate rate of identification of each biliary duct segment. Complete anatomic analyses are reported in only four manuscripts</w:t>
      </w:r>
      <w:r w:rsidRPr="00124E11">
        <w:rPr>
          <w:rFonts w:ascii="Book Antiqua" w:hAnsi="Book Antiqua"/>
          <w:color w:val="000000" w:themeColor="text1"/>
          <w:vertAlign w:val="superscript"/>
          <w:lang w:val="en-US"/>
        </w:rPr>
        <w:t>[</w:t>
      </w:r>
      <w:r w:rsidR="00124E11" w:rsidRPr="00124E11">
        <w:rPr>
          <w:rFonts w:ascii="Book Antiqua" w:hAnsi="Book Antiqua"/>
          <w:color w:val="000000" w:themeColor="text1"/>
          <w:vertAlign w:val="superscript"/>
          <w:lang w:val="en-US"/>
        </w:rPr>
        <w:fldChar w:fldCharType="begin" w:fldLock="1"/>
      </w:r>
      <w:r w:rsidR="00124E11" w:rsidRPr="00124E11">
        <w:rPr>
          <w:rFonts w:ascii="Book Antiqua" w:hAnsi="Book Antiqua"/>
          <w:color w:val="000000" w:themeColor="text1"/>
          <w:vertAlign w:val="superscript"/>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00124E11" w:rsidRPr="00124E11">
        <w:rPr>
          <w:rFonts w:ascii="Book Antiqua" w:hAnsi="Book Antiqua"/>
          <w:color w:val="000000" w:themeColor="text1"/>
          <w:vertAlign w:val="superscript"/>
          <w:lang w:val="en-US"/>
        </w:rPr>
        <w:fldChar w:fldCharType="separate"/>
      </w:r>
      <w:r w:rsidR="00124E11" w:rsidRPr="00124E11">
        <w:rPr>
          <w:rFonts w:ascii="Book Antiqua" w:hAnsi="Book Antiqua"/>
          <w:color w:val="000000" w:themeColor="text1"/>
          <w:vertAlign w:val="superscript"/>
          <w:lang w:val="en-US"/>
        </w:rPr>
        <w:t>13</w:t>
      </w:r>
      <w:r w:rsidR="00124E11" w:rsidRPr="00124E11">
        <w:rPr>
          <w:rFonts w:ascii="Book Antiqua" w:hAnsi="Book Antiqua"/>
          <w:color w:val="000000" w:themeColor="text1"/>
          <w:vertAlign w:val="superscript"/>
          <w:lang w:val="en-US"/>
        </w:rPr>
        <w:fldChar w:fldCharType="end"/>
      </w:r>
      <w:r w:rsidR="00124E11"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"http://www.mendeley.com/documents/?uuid=1cab37ae-5276-4972-82f0-ab47a632843a"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vertAlign w:val="superscript"/>
          <w:lang w:val="en-US"/>
        </w:rPr>
        <w:fldChar w:fldCharType="end"/>
      </w:r>
      <w:r w:rsidR="00124E11" w:rsidRPr="00124E11">
        <w:rPr>
          <w:rFonts w:ascii="Book Antiqua" w:hAnsi="Book Antiqua"/>
          <w:color w:val="000000" w:themeColor="text1"/>
          <w:vertAlign w:val="superscript"/>
          <w:lang w:val="en-US" w:eastAsia="zh-CN"/>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"878164 [pii]", "ISBN" : "1643-3750 (Electronic)\\r1234-1010 (Linking)", "ISSN" : "1643-3750 (Electronic)", "PMID" : "19721408", "abstract" : "BACKGROUND: There is still a debate about the utility of intraoperative cholangiography (IOC) or laparoscopic ultrasonography (LUS) for detection of occult choledocholithiasis during laparoscopic cholecystectomy (LC). The aim of this study was to assess the value of IOC combined with LUS for detection of occult common bile duct (CBD) stones at LC. MATERIAL/METHODS: From Dec 2002 to Aug 2006, 103 patients with moderate risk of CBD stones underwent IOC and LUS simultaneously during LC. The physician teams for the two different procedures were blinded by each other. The sensitivity, specificity, accuracy, positive predictive value, negative predictive value, positive likelihood ratio, and negative likelihood ratio were calculated by several contingency tables that cross-tabulated the results of each technique with those of the gold standard. RESULTS: The success rate of IOC and LUS were 91.3% and 100% respectively and the time required for LUS was significantly shorter (P&lt;0.01). The visualization of intrapancreatic part of CBD by IOC (97.3%) was significantly higher than LUS (73.8%). The sensitivities, specificities, accuracies, positive and negative predictive values, positive and negative likelihood rations identifying occult CBD stones were 75.0%, 98.7%, 92.2%, 95.5%, 91.4%, 57.7 and 0.253 by IOC, and 82.1%, 98.7%, 94.2%, 95.8%, 93.7%, 63.2 and 0.181 by IUS respectively. The McNemar test showed no significant difference between two methods. The sensitivity of IOC combined with LUS was 92.9%, which was greater than that of IOC and LUS taken separately. CONCLUSIONS: LUS is usually performed in case where IOC has failed or is contraindicated. The combination of both methods maximizes intraoperative detection of occult CBD stones and should at least be recommended as two complementary methods.", "author" : [ { "dropping-particle" : "", "family" : "Li", "given" : "Jian-Wen", "non-dropping-particle" : "", "parse-names" : false, "suffix" : "" }, { "dropping-particle" : "", "family" : "Feng", "given" : "Bo", "non-dropping-particle" : "", "parse-names" : false, "suffix" : "" }, { "dropping-particle" : "", "family" : "Wu", "given" : "Liang", "non-dropping-particle" : "", "parse-names" : false, "suffix" : "" }, { "dropping-particle" : "", "family" : "Wang", "given" : "Ming-Liang", "non-dropping-particle" : "", "parse-names" : false, "suffix" : "" }, { "dropping-particle" : "", "family" : "Lu", "given" : "Ai-Guo", "non-dropping-particle" : "", "parse-names" : false, "suffix" : "" }, { "dropping-particle" : "", "family" : "Zang", "given" : "Lu", "non-dropping-particle" : "", "parse-names" : false, "suffix" : "" }, { "dropping-particle" : "", "family" : "Mao", "given" : "Zhi-Hai", "non-dropping-particle" : "", "parse-names" : false, "suffix" : "" }, { "dropping-particle" : "", "family" : "Dong", "given" : "Feng", "non-dropping-particle" : "", "parse-names" : false, "suffix" : "" }, { "dropping-particle" : "", "family" : "Zheng", "given" : "Min-Hua", "non-dropping-particle" : "", "parse-names" : false, "suffix" : "" } ], "container-title" : "Medical science monitor : international medical journal of experimental and clinical research", "id" : "ITEM-1", "issue" : "9", "issued" : { "date-parts" : [ [ "2009" ] ] }, "page" : "MT126-30", "title" : "Intraoperative cholangiography in combination with laparoscopic ultrasonography for the detection of occult choledocholithiasis.", "type" : "article-journal", "volume" : "15" }, "uris" : [ "http://www.mendeley.com/documents/?uuid=c1461c1c-d73f-4504-8f6d-a9e7c98d5f7f" ] } ], "mendeley" : { "formattedCitation" : "&lt;sup&gt;49&lt;/sup&gt;", "plainTextFormattedCitation" : "49", "previouslyFormattedCitation" : "&lt;sup&gt;49&lt;/sup&gt;"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49</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with vascular identification and/or variation in three</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"http://www.mendeley.com/documents/?uuid=1cab37ae-5276-4972-82f0-ab47a632843a"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vertAlign w:val="superscript"/>
          <w:lang w:val="en-US"/>
        </w:rPr>
        <w:fldChar w:fldCharType="end"/>
      </w:r>
      <w:r w:rsidR="00124E11" w:rsidRPr="00124E11">
        <w:rPr>
          <w:rFonts w:ascii="Book Antiqua" w:hAnsi="Book Antiqua"/>
          <w:color w:val="000000" w:themeColor="text1"/>
          <w:vertAlign w:val="superscript"/>
          <w:lang w:val="en-US" w:eastAsia="zh-CN"/>
        </w:rPr>
        <w:t>,48,50</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Anatomic vascular and/or biliary variations have been described such as a foreshortened cystic duct in 14% of patients</w:t>
      </w:r>
      <w:r w:rsidR="00472738" w:rsidRPr="00124E11">
        <w:rPr>
          <w:rFonts w:ascii="Book Antiqua" w:hAnsi="Book Antiqua"/>
          <w:color w:val="000000" w:themeColor="text1"/>
          <w:lang w:val="en-US"/>
        </w:rPr>
        <w:t xml:space="preserve"> in </w:t>
      </w:r>
      <w:r w:rsidR="00B768F7" w:rsidRPr="00124E11">
        <w:rPr>
          <w:rFonts w:ascii="Book Antiqua" w:hAnsi="Book Antiqua"/>
          <w:color w:val="000000" w:themeColor="text1"/>
          <w:lang w:val="en-US"/>
        </w:rPr>
        <w:t>a retrospective sin</w:t>
      </w:r>
      <w:r w:rsidR="00FB1C95" w:rsidRPr="00124E11">
        <w:rPr>
          <w:rFonts w:ascii="Book Antiqua" w:hAnsi="Book Antiqua"/>
          <w:color w:val="000000" w:themeColor="text1"/>
          <w:lang w:val="en-US"/>
        </w:rPr>
        <w:t>g</w:t>
      </w:r>
      <w:r w:rsidR="00B768F7" w:rsidRPr="00124E11">
        <w:rPr>
          <w:rFonts w:ascii="Book Antiqua" w:hAnsi="Book Antiqua"/>
          <w:color w:val="000000" w:themeColor="text1"/>
          <w:lang w:val="en-US"/>
        </w:rPr>
        <w:t>le center trial</w:t>
      </w:r>
      <w:r w:rsidRPr="00124E11">
        <w:rPr>
          <w:rFonts w:ascii="Book Antiqua" w:hAnsi="Book Antiqua"/>
          <w:color w:val="000000" w:themeColor="text1"/>
          <w:lang w:val="en-US"/>
        </w:rPr>
        <w:t xml:space="preserve"> reported by Pfluke</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"http://www.mendeley.com/documents/?uuid=c8609f41-0149-4140-9fa2-bbb62293757e"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009A06B2" w:rsidRPr="00124E11">
        <w:rPr>
          <w:rFonts w:ascii="Book Antiqua" w:hAnsi="Book Antiqua"/>
          <w:color w:val="000000" w:themeColor="text1"/>
          <w:lang w:val="en-US"/>
        </w:rPr>
        <w:t>),</w:t>
      </w:r>
      <w:r w:rsidRPr="00124E11">
        <w:rPr>
          <w:rFonts w:ascii="Book Antiqua" w:hAnsi="Book Antiqua"/>
          <w:color w:val="000000" w:themeColor="text1"/>
          <w:lang w:val="en-US"/>
        </w:rPr>
        <w:t xml:space="preserve"> atypical cystic-bile duct junctions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"10.1007/s00464-005-0817-y", "ISBN" : "0046400508", "ISSN" : "09302794", "PMID" : "17122981", "abstract" : "BACKGROUND: The use of intraoperative cholangiography (IOC), routinely rather than selectively, during laparoscopic cholecystectomy (LC) is controversial. Recent findings have shown laparoscopic ultrasound (LUS) to be safe, quick, and effective not only for screening of the bile duct for stones, but also for evaluating the biliary anatomy. This study aimed to evaluate, on the basis of the LC outcome and the cost of LUS and IOC, whether and how much the routine use of LUS would be able to reduce the need for IOC. METHODS: During LC, LUS was used routinely to screen the bile duct for stones and to evaluate the biliary anatomy, whereas IOC was used selectively only when LUS was unsatisfactory or unsuccessful. RESULTS: For 193 (96.5%) of 200 patients, LUS was completed successfully, whereas IOC was needed for 7 patients (3.5%). Bile duct stones were identified in 20 patients (10%). For the detection of bile duct stones, LUS yielded 19 true-positive, 175 true-negative, 0 false-positive, and 1 false-negative results. It had a sensitivity of 95%, a specificity of 100%, a positive predictive value of 100%, and a negative predictive value of 99.4%. The postoperative complications included bile leaks from the liver bed in two patients and a retained bile duct stone in one patient. If IOC had been used selectively in a traditional manner on the basis of preoperative risk factors, IOC would have been needed for 77 patients (38.5%). The total cost of LUS plus IOC for the current 200 patients was 26,256 dollars. The total estimated cost of selective IOC, if it had been performed for the 77 patients, would have been 31,416 dollars. CONCLUSIONS: Routine LUS accurately diagnosed bile duct stones and significantly reduced the need for selective IOC from a potential 38.5% to an actual 3.5% without adversely affecting the outcome of the LC or increasing the overall cost. The routine use of LUS during LC is accurate and cost effective.", "author" : [ { "dropping-particle" : "", "family" : "Machi", "given" : "J.", "non-dropping-particle" : "", "parse-names" : false, "suffix" : "" }, { "dropping-particle" : "", "family" : "Oishi", "given" : "A. J.", "non-dropping-particle" : "", "parse-names" : false, "suffix" : "" }, { "dropping-particle" : "", "family" : "Tajiri", "given" : "T.", "non-dropping-particle" : "", "parse-names" : false, "suffix" : "" }, { "dropping-particle" : "", "family" : "Murayama", "given" : "K. M.", "non-dropping-particle" : "", "parse-names" : false, "suffix" : "" }, { "dropping-particle" : "", "family" : "Furumoto", "given" : "N. L.", "non-dropping-particle" : "", "parse-names" : false, "suffix" : "" }, { "dropping-particle" : "", "family" : "Oishi", "given" : "R. H.", "non-dropping-particle" : "", "parse-names" : false, "suffix" : "" } ], "container-title" : "Surgical Endoscopy and Other Interventional Techniques", "id" : "ITEM-1", "issue" : "2", "issued" : { "date-parts" : [ [ "2007" ] ] }, "page" : "270-274", "title" : "Routine laparoscopic ultrasound can significantly reduce the need for selective intraoperative cholangiography during cholecystectomy", "type" : "article-journal", "volume" : "21" }, "uris" : [ "http://www.mendeley.com/documents/?uuid=6c900167-8e7c-4198-9bb8-bddc71940063" ] } ], "mendeley" : { "formattedCitation" : "&lt;sup&gt;51&lt;/sup&gt;", "plainTextFormattedCitation" : "51", "previouslyFormattedCitation" : "&lt;sup&gt;51&lt;/sup&gt;"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aberrant hepatic ducts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"http://www.mendeley.com/documents/?uuid=1cab37ae-5276-4972-82f0-ab47a632843a"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"10.1007/s00464-005-0817-y", "ISBN" : "0046400508", "ISSN" : "09302794", "PMID" : "17122981", "abstract" : "BACKGROUND: The use of intraoperative cholangiography (IOC), routinely rather than selectively, during laparoscopic cholecystectomy (LC) is controversial. Recent findings have shown laparoscopic ultrasound (LUS) to be safe, quick, and effective not only for screening of the bile duct for stones, but also for evaluating the biliary anatomy. This study aimed to evaluate, on the basis of the LC outcome and the cost of LUS and IOC, whether and how much the routine use of LUS would be able to reduce the need for IOC. METHODS: During LC, LUS was used routinely to screen the bile duct for stones and to evaluate the biliary anatomy, whereas IOC was used selectively only when LUS was unsatisfactory or unsuccessful. RESULTS: For 193 (96.5%) of 200 patients, LUS was completed successfully, whereas IOC was needed for 7 patients (3.5%). Bile duct stones were identified in 20 patients (10%). For the detection of bile duct stones, LUS yielded 19 true-positive, 175 true-negative, 0 false-positive, and 1 false-negative results. It had a sensitivity of 95%, a specificity of 100%, a positive predictive value of 100%, and a negative predictive value of 99.4%. The postoperative complications included bile leaks from the liver bed in two patients and a retained bile duct stone in one patient. If IOC had been used selectively in a traditional manner on the basis of preoperative risk factors, IOC would have been needed for 77 patients (38.5%). The total cost of LUS plus IOC for the current 200 patients was 26,256 dollars. The total estimated cost of selective IOC, if it had been performed for the 77 patients, would have been 31,416 dollars. CONCLUSIONS: Routine LUS accurately diagnosed bile duct stones and significantly reduced the need for selective IOC from a potential 38.5% to an actual 3.5% without adversely affecting the outcome of the LC or increasing the overall cost. The routine use of LUS during LC is accurate and cost effective.", "author" : [ { "dropping-particle" : "", "family" : "Machi", "given" : "J.", "non-dropping-particle" : "", "parse-names" : false, "suffix" : "" }, { "dropping-particle" : "", "family" : "Oishi", "given" : "A. J.", "non-dropping-particle" : "", "parse-names" : false, "suffix" : "" }, { "dropping-particle" : "", "family" : "Tajiri", "given" : "T.", "non-dropping-particle" : "", "parse-names" : false, "suffix" : "" }, { "dropping-particle" : "", "family" : "Murayama", "given" : "K. M.", "non-dropping-particle" : "", "parse-names" : false, "suffix" : "" }, { "dropping-particle" : "", "family" : "Furumoto", "given" : "N. L.", "non-dropping-particle" : "", "parse-names" : false, "suffix" : "" }, { "dropping-particle" : "", "family" : "Oishi", "given" : "R. H.", "non-dropping-particle" : "", "parse-names" : false, "suffix" : "" } ], "container-title" : "Surgical Endoscopy and Other Interventional Techniques", "id" : "ITEM-1", "issue" : "2", "issued" : { "date-parts" : [ [ "2007" ] ] }, "page" : "270-274", "title" : "Routine laparoscopic ultrasound can significantly reduce the need for selective intraoperative cholangiography during cholecystectomy", "type" : "article-journal", "volume" : "21" }, "uris" : [ "http://www.mendeley.com/documents/?uuid=6c900167-8e7c-4198-9bb8-bddc71940063" ] } ], "mendeley" : { "formattedCitation" : "&lt;sup&gt;51&lt;/sup&gt;", "plainTextFormattedCitation" : "51", "previouslyFormattedCitation" : "&lt;sup&gt;51&lt;/sup&gt;"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or an accessory right hepatic artery</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"http://www.mendeley.com/documents/?uuid=1cab37ae-5276-4972-82f0-ab47a632843a"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00124E11" w:rsidRPr="00124E11">
        <w:rPr>
          <w:rFonts w:ascii="Book Antiqua" w:hAnsi="Book Antiqua"/>
          <w:color w:val="000000" w:themeColor="text1"/>
          <w:lang w:val="en-US"/>
        </w:rPr>
        <w:t>.</w:t>
      </w:r>
    </w:p>
    <w:p w14:paraId="0FDAF5CA" w14:textId="21929A47" w:rsidR="00E32F0F" w:rsidRPr="00124E11" w:rsidRDefault="00E32F0F" w:rsidP="00A94613">
      <w:pPr>
        <w:snapToGrid w:val="0"/>
        <w:spacing w:line="360" w:lineRule="auto"/>
        <w:ind w:firstLineChars="100" w:firstLine="240"/>
        <w:jc w:val="both"/>
        <w:rPr>
          <w:rFonts w:ascii="Book Antiqua" w:hAnsi="Book Antiqua"/>
          <w:color w:val="000000" w:themeColor="text1"/>
          <w:lang w:val="en-US" w:eastAsia="zh-CN"/>
        </w:rPr>
      </w:pPr>
      <w:r w:rsidRPr="00124E11">
        <w:rPr>
          <w:rFonts w:ascii="Book Antiqua" w:hAnsi="Book Antiqua"/>
          <w:color w:val="000000" w:themeColor="text1"/>
          <w:lang w:val="en-US"/>
        </w:rPr>
        <w:t>Even if LUS imaging of the CBD provides excellent accuracy (Table 3), visualization of the intra-pancreatic portion appears to be more challenging, with rates of complete delineation ranging from 73% to 100%</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"ISSN" : "00015458", "PMID" : "19943585", "abstract" : "Intraoperative cholangiography (IOC), used routinely or selectively, is the standard method for bile duct imaging during cholecystectomy. Laparoscopic ultrasonography (LUS) has emerged as a possible, safe and quick alternative. This study examined the evolving use and the performance of these two methods as primary technique for routine bile duct imaging, so as to detect common bile duct stones (CBDS) and to prevent common bile duct injury (CBDI). A prospective database permitted to evaluate the results of the two methods in 968 consecutive cholecystectomies. Nine hundered and twenty five were performed by laparoscopy, 18 (1.9%) by laparotomy and 25 (2.6) necessitated a conversion. The systematic use of the IOC was gradually replaced by a systematic use of the LUS. The success to delineate and evaluate the CBD, the detection of a CBDS, any type of bile duct complication, especially of CBDI, were registered. All the CBDS suspected by LUS were controlled by IOC. The patients were followed during 1 and 6 months. Six hundred and eighty five IOC and 269 LUS were performed. The procedure was technically unsuccessful in 35 IOC (5.1%) (mainly due to difficulty in catheterising the cystic duct) and in 2 LUS (1%) (due to steatosis). Concerning the detection of CBDS, 31 were detected by IOC (4.5%) and 16 by LUS (6%). Five IOC were considered as false positive, 1 as false negative (sensitivity and specificity of 96,9 and 99,2%) and 1 LUS as false positive (sensitivity and specificity of 100 and 99,6%). Five CBDI were detected in the complete seria: 2 during the dissection before the IOC, 1 thermic injury, 1 late stenosis, 1 lateral stenosis by the cystic clip detected by LUS. However none of these CBDI could have been prevented by IOC. In our experience, in this prospective study, LUS has been certainly as effective as IOC as a primary imaging technique for bile duct. It permitted to detect CBDS with a high specificity and sensitivity, and CBDS and was not followed by an increase in CBDI.", "author" : [ { "dropping-particle" : "", "family" : "Hublet", "given" : "A.", "non-dropping-particle" : "", "parse-names" : false, "suffix" : "" }, { "dropping-particle" : "", "family" : "Dili", "given" : "A.", "non-dropping-particle" : "", "parse-names" : false, "suffix" : "" }, { "dropping-particle" : "", "family" : "Lemaire", "given" : "J.", "non-dropping-particle" : "", "parse-names" : false, "suffix" : "" }, { "dropping-particle" : "", "family" : "Mansvelt", "given" : "B.", "non-dropping-particle" : "", "parse-names" : false, "suffix" : "" }, { "dropping-particle" : "", "family" : "Molle", "given" : "G.", "non-dropping-particle" : "", "parse-names" : false, "suffix" : "" }, { "dropping-particle" : "", "family" : "Bertrand", "given" : "C.", "non-dropping-particle" : "", "parse-names" : false, "suffix" : "" } ], "container-title" : "Acta chirurgica Belgica", "id" : "ITEM-1", "issue" : "3", "issued" : { "date-parts" : [ [ "2009" ] ] }, "page" : "312-316", "title" : "Laparoscopic ultrasonography as a good alternative to intraoperative cholangiography (IOC) during laparoscopic cholecystectomy: results of prospective study.", "type" : "article-journal", "volume" : "109" }, "uris" : [ "http://www.mendeley.com/documents/?uuid=61326b02-aab8-4bf4-9505-ae81801639de" ] } ], "mendeley" : { "formattedCitation" : "&lt;sup&gt;12&lt;/sup&gt;", "plainTextFormattedCitation" : "12", "previouslyFormattedCitation" : "&lt;sup&gt;12&lt;/sup&gt;"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12</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00124E11" w:rsidRPr="00124E11">
        <w:rPr>
          <w:rFonts w:ascii="Book Antiqua" w:hAnsi="Book Antiqua"/>
          <w:color w:val="000000" w:themeColor="text1"/>
          <w:vertAlign w:val="superscript"/>
          <w:lang w:val="en-US" w:eastAsia="zh-CN"/>
        </w:rPr>
        <w:t>13,</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"http://www.mendeley.com/documents/?uuid=c8609f41-0149-4140-9fa2-bbb62293757e"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vertAlign w:val="superscript"/>
          <w:lang w:val="en-US"/>
        </w:rPr>
        <w:fldChar w:fldCharType="end"/>
      </w:r>
      <w:r w:rsidR="00124E11" w:rsidRPr="00124E11">
        <w:rPr>
          <w:rFonts w:ascii="Book Antiqua" w:hAnsi="Book Antiqua"/>
          <w:color w:val="000000" w:themeColor="text1"/>
          <w:vertAlign w:val="superscript"/>
          <w:lang w:val="en-US" w:eastAsia="zh-CN"/>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"878164 [pii]", "ISBN" : "1643-3750 (Electronic)\\r1234-1010 (Linking)", "ISSN" : "1643-3750 (Electronic)", "PMID" : "19721408", "abstract" : "BACKGROUND: There is still a debate about the utility of intraoperative cholangiography (IOC) or laparoscopic ultrasonography (LUS) for detection of occult choledocholithiasis during laparoscopic cholecystectomy (LC). The aim of this study was to assess the value of IOC combined with LUS for detection of occult common bile duct (CBD) stones at LC. MATERIAL/METHODS: From Dec 2002 to Aug 2006, 103 patients with moderate risk of CBD stones underwent IOC and LUS simultaneously during LC. The physician teams for the two different procedures were blinded by each other. The sensitivity, specificity, accuracy, positive predictive value, negative predictive value, positive likelihood ratio, and negative likelihood ratio were calculated by several contingency tables that cross-tabulated the results of each technique with those of the gold standard. RESULTS: The success rate of IOC and LUS were 91.3% and 100% respectively and the time required for LUS was significantly shorter (P&lt;0.01). The visualization of intrapancreatic part of CBD by IOC (97.3%) was significantly higher than LUS (73.8%). The sensitivities, specificities, accuracies, positive and negative predictive values, positive and negative likelihood rations identifying occult CBD stones were 75.0%, 98.7%, 92.2%, 95.5%, 91.4%, 57.7 and 0.253 by IOC, and 82.1%, 98.7%, 94.2%, 95.8%, 93.7%, 63.2 and 0.181 by IUS respectively. The McNemar test showed no significant difference between two methods. The sensitivity of IOC combined with LUS was 92.9%, which was greater than that of IOC and LUS taken separately. CONCLUSIONS: LUS is usually performed in case where IOC has failed or is contraindicated. The combination of both methods maximizes intraoperative detection of occult CBD stones and should at least be recommended as two complementary methods.", "author" : [ { "dropping-particle" : "", "family" : "Li", "given" : "Jian-Wen", "non-dropping-particle" : "", "parse-names" : false, "suffix" : "" }, { "dropping-particle" : "", "family" : "Feng", "given" : "Bo", "non-dropping-particle" : "", "parse-names" : false, "suffix" : "" }, { "dropping-particle" : "", "family" : "Wu", "given" : "Liang", "non-dropping-particle" : "", "parse-names" : false, "suffix" : "" }, { "dropping-particle" : "", "family" : "Wang", "given" : "Ming-Liang", "non-dropping-particle" : "", "parse-names" : false, "suffix" : "" }, { "dropping-particle" : "", "family" : "Lu", "given" : "Ai-Guo", "non-dropping-particle" : "", "parse-names" : false, "suffix" : "" }, { "dropping-particle" : "", "family" : "Zang", "given" : "Lu", "non-dropping-particle" : "", "parse-names" : false, "suffix" : "" }, { "dropping-particle" : "", "family" : "Mao", "given" : "Zhi-Hai", "non-dropping-particle" : "", "parse-names" : false, "suffix" : "" }, { "dropping-particle" : "", "family" : "Dong", "given" : "Feng", "non-dropping-particle" : "", "parse-names" : false, "suffix" : "" }, { "dropping-particle" : "", "family" : "Zheng", "given" : "Min-Hua", "non-dropping-particle" : "", "parse-names" : false, "suffix" : "" } ], "container-title" : "Medical science monitor : international medical journal of experimental and clinical research", "id" : "ITEM-1", "issue" : "9", "issued" : { "date-parts" : [ [ "2009" ] ] }, "page" : "MT126-30", "title" : "Intraoperative cholangiography in combination with laparoscopic ultrasonography for the detection of occult choledocholithiasis.", "type" : "article-journal", "volume" : "15" }, "uris" : [ "http://www.mendeley.com/documents/?uuid=c1461c1c-d73f-4504-8f6d-a9e7c98d5f7f" ] } ], "mendeley" : { "formattedCitation" : "&lt;sup&gt;49&lt;/sup&gt;", "plainTextFormattedCitation" : "49", "previouslyFormattedCitation" : "&lt;sup&gt;49&lt;/sup&gt;"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49</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00124E11" w:rsidRPr="00124E11">
        <w:rPr>
          <w:rFonts w:ascii="Book Antiqua" w:hAnsi="Book Antiqua"/>
          <w:color w:val="000000" w:themeColor="text1"/>
          <w:lang w:val="en-US"/>
        </w:rPr>
        <w:t>.</w:t>
      </w:r>
    </w:p>
    <w:p w14:paraId="5E13F49D" w14:textId="4964B9EF"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In a meta</w:t>
      </w:r>
      <w:r w:rsidR="00124E11" w:rsidRPr="00124E11">
        <w:rPr>
          <w:rFonts w:ascii="Book Antiqua" w:hAnsi="Book Antiqua"/>
          <w:color w:val="000000" w:themeColor="text1"/>
          <w:lang w:val="en-US" w:eastAsia="zh-CN"/>
        </w:rPr>
        <w:t>-</w:t>
      </w:r>
      <w:r w:rsidRPr="00124E11">
        <w:rPr>
          <w:rFonts w:ascii="Book Antiqua" w:hAnsi="Book Antiqua"/>
          <w:color w:val="000000" w:themeColor="text1"/>
          <w:lang w:val="en-US"/>
        </w:rPr>
        <w:t>analysis</w:t>
      </w:r>
      <w:r w:rsidR="00B768F7" w:rsidRPr="00124E11">
        <w:rPr>
          <w:rFonts w:ascii="Book Antiqua" w:hAnsi="Book Antiqua"/>
          <w:color w:val="000000" w:themeColor="text1"/>
          <w:lang w:val="en-US"/>
        </w:rPr>
        <w:t xml:space="preserve"> performed by Jamal </w:t>
      </w:r>
      <w:r w:rsidR="00B768F7" w:rsidRPr="00655722">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"10.1308/rcsann.2016.0068", "ISSN" : "00358843", "PMID" : "26985813", "abstract" : "Introduction During laparoscopic cholecystectomy, intraoperative cholangiography (IOC) is currently regarded as the gold standard in the detection of choledocholithiasis. Laparoscopic ultrasonography (LUS) is an attractive alternative with several potential advantages. Methods A systematic review was undertaken of the published literature comparing LUS with IOC in the assessment of common bile duct (CBD) stones. Results Twenty-one comparative studies were analysed. There were 4,566 patients in the IOC group and 5,044 in the LUS group. The combined sensitivity and specificity of IOC in the detection of CBD stones were 0.87 (95% confidence interval [CI]: 0.83-0.89) and 0.98 (95% CI: 0.98-0.98) respectively with a pooled area under the curve (AUC) of 0.985 and a diagnostic odds ratio (OR) of 260.65 (95% CI: 160.44-423.45). This compares with a sensitivity and specificity for LUS of 0.90 (95% CI: 0.87-0.92) and 0.99 (95% CI: 0.99-0.99) respectively with a pooled AUC of 0.982 and a diagnostic OR of 765.15 (95% CI: 450.78-1,298.76). LUS appeared to be more successful in terms of coming to a clinical decision regarding CBD stones than IOC (random effects, risk ratio: 0.95, 95% CI: 0.93-0.98, df=20, z=-3.7, p&lt;0.005). Furthermore, LUS took less time (random effects, standardised mean difference: 0.95, 95% CI: 0.93-0.98, df=20, z=-3.7, p&lt;0.005). Conclusions LUS is comparable with IOC in the detection of CBD stones. The main advantages of LUS are that it does not involve ionising radiation, is quicker to perform, has a lower failure rate and can be repeated during the procedure as required.", "author" : [ { "dropping-particle" : "", "family" : "Jamal", "given" : "K. N.", "non-dropping-particle" : "", "parse-names" : false, "suffix" : "" }, { "dropping-particle" : "", "family" : "Smith", "given" : "H.", "non-dropping-particle" : "", "parse-names" : false, "suffix" : "" }, { "dropping-particle" : "", "family" : "Ratnasingham", "given" : "K.", "non-dropping-particle" : "", "parse-names" : false, "suffix" : "" }, { "dropping-particle" : "", "family" : "Siddiqui", "given" : "M. R.", "non-dropping-particle" : "", "parse-names" : false, "suffix" : "" }, { "dropping-particle" : "", "family" : "McLachlan", "given" : "G.", "non-dropping-particle" : "", "parse-names" : false, "suffix" : "" }, { "dropping-particle" : "", "family" : "Belgaumkar", "given" : "A. P.", "non-dropping-particle" : "", "parse-names" : false, "suffix" : "" } ], "container-title" : "Annals of the Royal College of Surgeons of England", "id" : "ITEM-1", "issue" : "4", "issued" : { "date-parts" : [ [ "2016" ] ] }, "page" : "244-249", "title" : "Meta-analysis of the diagnostic accuracy of laparoscopic ultrasonography and intraoperative cholangiography in detection of common bile duct stones", "type" : "article-journal", "volume" : "98" }, "uris" : [ "http://www.mendeley.com/documents/?uuid=eb67e9bc-0c2b-44e7-8d18-221f51f14e9a" ] } ], "mendeley" : { "formattedCitation" : "&lt;sup&gt;38&lt;/sup&gt;", "plainTextFormattedCitation" : "38", "previouslyFormattedCitation" : "&lt;sup&gt;38&lt;/sup&gt;"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38</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there was no significant difference between IOC and LUS in identifying the extra-pancreatic CBD, but IOC appeared to be more efficient in delineating the intra-pancreatic CBD. Other authors report discontinuous mapping of the biliary tract. </w:t>
      </w:r>
      <w:r w:rsidR="00B768F7" w:rsidRPr="00124E11">
        <w:rPr>
          <w:rFonts w:ascii="Book Antiqua" w:hAnsi="Book Antiqua"/>
          <w:color w:val="000000" w:themeColor="text1"/>
          <w:lang w:val="en-US"/>
        </w:rPr>
        <w:t xml:space="preserve">In a prospective non-randomized trial, </w:t>
      </w:r>
      <w:r w:rsidRPr="00124E11">
        <w:rPr>
          <w:rFonts w:ascii="Book Antiqua" w:hAnsi="Book Antiqua"/>
          <w:color w:val="000000" w:themeColor="text1"/>
          <w:lang w:val="en-US"/>
        </w:rPr>
        <w:t>Halpin</w:t>
      </w:r>
      <w:r w:rsidRPr="00655722">
        <w:rPr>
          <w:rFonts w:ascii="Book Antiqua" w:hAnsi="Book Antiqua"/>
          <w:i/>
          <w:color w:val="000000" w:themeColor="text1"/>
          <w:lang w:val="en-US"/>
        </w:rPr>
        <w:t xml:space="preserve"> et al</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13</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reports discontinuous screening of the middle and/or distal CBD in 10% of patients. This agrees with other studies reporting rates of discontinuous mapping of the CBD of 4-17%</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"10.1016/S0929-8266(99)00028-2", "ISSN" : "09298266", "PMID" : "10502634", "abstract" : "Objective: This study assessed the effectiveness of laparoscopic ultrasound in detecting main biliary duct stones. Methods: From November 1994 to August 1998, 600 patients treated by laparoscopic cholecystectomy were included in a prospective study, to compare intraoperative cholangiography and laparoscopic ultrasound. The biliary tree was successively explored by these two methods in the routine detection of common bile duct stones. Results: The feasibility of laparoscopic ultrasound was 100%. Cholangiography was performed only in 498 cases (83%). The time taken for laparoscopic ultrasound examination was significantly shorter (10.2 vs 17.9 min, P=0.0001). In this study, common bile duct stones were found in 54 cases (9%). For their detection, results were comparable to laparoscopic ultrasound and intraoperative cholangiography. For laparoscopic ultrasound, sensitivity was 80% and specificity 99%; and for cholangiography 75 and 98% respectively. Both examinations combined had a 100% sensitivity and specificity. Laparoscopic ultrasound failed to recognize the intrapancreatic part of the common bile duct in 78 cases (13%) and did not show anatomical anomalies detected by cholangiography. It did however detect other unsuspected intra-abdominal pathologies. Conclusions: Laparoscopic ultrasound is safe, repeatable, and non-invasive, but a considerable learning curve is necessary to optimize its efficacy. Comparison of relative cost must be undertaken. Copyright (C) 1999 Elsevier Science Ireland Ltd.", "author" : [ { "dropping-particle" : "", "family" : "Catheline", "given" : "Jean Marc", "non-dropping-particle" : "", "parse-names" : false, "suffix" : "" }, { "dropping-particle" : "", "family" : "Rizk", "given" : "Nabil", "non-dropping-particle" : "", "parse-names" : false, "suffix" : "" }, { "dropping-particle" : "", "family" : "Champault", "given" : "G\u00e9rard", "non-dropping-particle" : "", "parse-names" : false, "suffix" : "" } ], "container-title" : "European Journal of Ultrasound", "id" : "ITEM-1", "issue" : "1", "issued" : { "date-parts" : [ [ "1999" ] ] }, "page" : "1-9", "title" : "A comparison of laparoscopic ultrasound versus cholangiography in the evaluation of the biliary tree during laparoscopic cholecystectomy", "type" : "article-journal", "volume" : "10" }, "uris" : [ "http://www.mendeley.com/documents/?uuid=ec518087-8760-4c1a-83e0-0169224fbd8e" ] } ], "mendeley" : { "formattedCitation" : "&lt;sup&gt;20&lt;/sup&gt;", "plainTextFormattedCitation" : "20", "previouslyFormattedCitation" : "&lt;sup&gt;20&lt;/sup&gt;"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20</w:t>
      </w:r>
      <w:r w:rsidRPr="00124E11">
        <w:rPr>
          <w:rFonts w:ascii="Book Antiqua" w:hAnsi="Book Antiqua"/>
          <w:color w:val="000000" w:themeColor="text1"/>
          <w:vertAlign w:val="superscript"/>
          <w:lang w:val="en-US"/>
        </w:rPr>
        <w:fldChar w:fldCharType="end"/>
      </w:r>
      <w:r w:rsidR="00124E11" w:rsidRPr="00124E11">
        <w:rPr>
          <w:rFonts w:ascii="Book Antiqua" w:hAnsi="Book Antiqua"/>
          <w:color w:val="000000" w:themeColor="text1"/>
          <w:vertAlign w:val="superscript"/>
          <w:lang w:val="en-US" w:eastAsia="zh-CN"/>
        </w:rPr>
        <w:t>,52</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In Halpin’s experience, this did not translate into increased false negatives with LUS.</w:t>
      </w:r>
    </w:p>
    <w:p w14:paraId="3E9C07A6" w14:textId="77777777" w:rsidR="00E32F0F" w:rsidRPr="00124E11" w:rsidRDefault="00E32F0F" w:rsidP="00A94613">
      <w:pPr>
        <w:snapToGrid w:val="0"/>
        <w:spacing w:line="360" w:lineRule="auto"/>
        <w:jc w:val="both"/>
        <w:rPr>
          <w:rFonts w:ascii="Book Antiqua" w:hAnsi="Book Antiqua"/>
          <w:color w:val="000000" w:themeColor="text1"/>
          <w:lang w:val="en-US"/>
        </w:rPr>
      </w:pPr>
    </w:p>
    <w:p w14:paraId="02DE3244" w14:textId="32A826F5"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 xml:space="preserve">LUS </w:t>
      </w:r>
      <w:r w:rsidR="00A81957" w:rsidRPr="00124E11">
        <w:rPr>
          <w:rFonts w:ascii="Book Antiqua" w:hAnsi="Book Antiqua"/>
          <w:b/>
          <w:i/>
          <w:color w:val="000000" w:themeColor="text1"/>
          <w:lang w:val="en-US"/>
        </w:rPr>
        <w:t>and acute or chronic inflammatory disease</w:t>
      </w:r>
    </w:p>
    <w:p w14:paraId="213B0EB5" w14:textId="1A2D67D2"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 xml:space="preserve">A major impediment to the conclusion of LC is the inability to identify, with surety, the location of the extra-hepatic bile duct and to assess its relationship with the gallbladder when the hepatoduodenal anatomy is obscured. Cholangitis or previous pancreatitis may render access to the biliary tract difficult. In such cases the risk of major bile duct and/or vascular injury is substantial, even for the most adept HPB surgeon. IOC is not possible </w:t>
      </w:r>
      <w:r w:rsidR="00472738" w:rsidRPr="00124E11">
        <w:rPr>
          <w:rFonts w:ascii="Book Antiqua" w:hAnsi="Book Antiqua"/>
          <w:color w:val="000000" w:themeColor="text1"/>
          <w:lang w:val="en-US"/>
        </w:rPr>
        <w:t>without dissection</w:t>
      </w:r>
      <w:r w:rsidRPr="00124E11">
        <w:rPr>
          <w:rFonts w:ascii="Book Antiqua" w:hAnsi="Book Antiqua"/>
          <w:color w:val="000000" w:themeColor="text1"/>
          <w:lang w:val="en-US"/>
        </w:rPr>
        <w:t xml:space="preserve">. In such </w:t>
      </w:r>
      <w:r w:rsidR="00A74E36" w:rsidRPr="00124E11">
        <w:rPr>
          <w:rFonts w:ascii="Book Antiqua" w:hAnsi="Book Antiqua"/>
          <w:color w:val="000000" w:themeColor="text1"/>
          <w:lang w:val="en-US"/>
        </w:rPr>
        <w:t>hazardous situations</w:t>
      </w:r>
      <w:r w:rsidRPr="00124E11">
        <w:rPr>
          <w:rFonts w:ascii="Book Antiqua" w:hAnsi="Book Antiqua"/>
          <w:color w:val="000000" w:themeColor="text1"/>
          <w:lang w:val="en-US"/>
        </w:rPr>
        <w:t xml:space="preserve">, LUS </w:t>
      </w:r>
      <w:r w:rsidRPr="00124E11">
        <w:rPr>
          <w:rFonts w:ascii="Book Antiqua" w:hAnsi="Book Antiqua"/>
          <w:color w:val="000000" w:themeColor="text1"/>
          <w:lang w:val="en-US"/>
        </w:rPr>
        <w:lastRenderedPageBreak/>
        <w:t>can be a valuable adjunct and can be performed before dissection, and repeated as needed to guide the surgeon. Many authors report their experience of LUS in scenarios of inflammatory disease (Table 4).</w:t>
      </w:r>
    </w:p>
    <w:p w14:paraId="71AFEB7A" w14:textId="016EAB79" w:rsidR="00E32F0F" w:rsidRPr="00124E11" w:rsidRDefault="00E32F0F" w:rsidP="00A94613">
      <w:pPr>
        <w:snapToGrid w:val="0"/>
        <w:spacing w:line="360" w:lineRule="auto"/>
        <w:ind w:firstLineChars="100" w:firstLine="240"/>
        <w:jc w:val="both"/>
        <w:rPr>
          <w:rFonts w:ascii="Book Antiqua" w:hAnsi="Book Antiqua"/>
          <w:color w:val="000000" w:themeColor="text1"/>
          <w:lang w:val="en-US" w:eastAsia="zh-CN"/>
        </w:rPr>
      </w:pPr>
      <w:r w:rsidRPr="00124E11">
        <w:rPr>
          <w:rFonts w:ascii="Book Antiqua" w:hAnsi="Book Antiqua"/>
          <w:color w:val="000000" w:themeColor="text1"/>
          <w:lang w:val="en-US"/>
        </w:rPr>
        <w:t xml:space="preserve">Gwinn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"10.1016/j.surg.2013.04.041", "ISBN" : "1532-7361 (Electronic)\\r0039-6060 (Linking)", "ISSN" : "00396060", "PMID" : "24074430", "abstract" : "Background Laparoscopic ultrasound (LUS) is a method of intraoperative bile duct imaging that can be used prior to any potentially hazardous dissection. The purpose of this study was to determine whether LUS could permit safe laparoscopic completion of difficult cholecystectomy (LC) cases and to assess whether its use had any impact on clinical outcome. Methods We identified prospectively 44 patients with severe cholecystitis in whom LUS was considered critical for intraoperative identification of the bile ducts. LC patients were compared, on an intention to treat basis, with 41 contemporaneous patients with severe cholecystitis who had planned open cholecystectomy (OC). Results LUS identified the extrahepatic bile ducts in all cases. Of the cases, 40 (91%) were completed laparoscopically. OC patients had a higher rate of acute cholecystitis and preoperative percutaneous cholecystostomy tubes and a higher mean ASA classification. Intraoperatively, LC patients had significantly less estimated blood loss and fewer drains were placed. Postoperatively, LC patients had significantly fewer total complications, Clavien-Dindo grade 3 complications, biliary complications, biliary reinterventions, intra-abdominal abscesses, and bleeding complications. LC patients had significantly fewer ICU admissions and shorter LOS. Conclusion By allowing identification of the extrahepatic bile ducts during difficult cholecystectomy, LUS results in a high rate of successful laparoscopic completions. Laparoscopic cholecystectomy is associated with better clinical outcomes than OC for patients with severe cholecystitis. ?? 2013 Mosby, Inc. All rights reserved.", "author" : [ { "dropping-particle" : "", "family" : "Gwinn", "given" : "Elizabeth C.", "non-dropping-particle" : "", "parse-names" : false, "suffix" : "" }, { "dropping-particle" : "", "family" : "Daly", "given" : "Shaun", "non-dropping-particle" : "", "parse-names" : false, "suffix" : "" }, { "dropping-particle" : "", "family" : "Deziel", "given" : "Daniel J.", "non-dropping-particle" : "", "parse-names" : false, "suffix" : "" } ], "container-title" : "Surgery (United States)", "id" : "ITEM-1", "issue" : "4", "issued" : { "date-parts" : [ [ "2013" ] ] }, "page" : "909-917", "publisher" : "Mosby, Inc.", "title" : "The use of laparoscopic ultrasound in difficult cholecystectomy cases significantly decreases morbidity", "type" : "article-journal", "volume" : "154" }, "uris" : [ "http://www.mendeley.com/documents/?uuid=a4d24aa8-8942-4b4d-a0fb-0a079122dc90" ] } ], "mendeley" : { "formattedCitation" : "&lt;sup&gt;53&lt;/sup&gt;", "plainTextFormattedCitation" : "53", "previouslyFormattedCitation" : "&lt;sup&gt;53&lt;/sup&gt;"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00B768F7" w:rsidRPr="00124E11">
        <w:rPr>
          <w:rFonts w:ascii="Book Antiqua" w:hAnsi="Book Antiqua"/>
          <w:color w:val="000000" w:themeColor="text1"/>
          <w:lang w:val="en-US"/>
        </w:rPr>
        <w:t xml:space="preserve">, in a prospective non randomized trial, </w:t>
      </w:r>
      <w:r w:rsidRPr="00124E11">
        <w:rPr>
          <w:rFonts w:ascii="Book Antiqua" w:hAnsi="Book Antiqua"/>
          <w:color w:val="000000" w:themeColor="text1"/>
          <w:lang w:val="en-US"/>
        </w:rPr>
        <w:t>reports a rate of 100% complete biliary tract analysis even with acute inflammation. In that study, LUS was critical in performing LC during acute cholecystitis in all 44 patients whose anatomy was obscured by acute or chronic ch</w:t>
      </w:r>
      <w:r w:rsidR="00B768F7" w:rsidRPr="00124E11">
        <w:rPr>
          <w:rFonts w:ascii="Book Antiqua" w:hAnsi="Book Antiqua"/>
          <w:color w:val="000000" w:themeColor="text1"/>
          <w:lang w:val="en-US"/>
        </w:rPr>
        <w:t>olecystitis, with a rate of 34</w:t>
      </w:r>
      <w:r w:rsidR="008347DF" w:rsidRPr="00124E11">
        <w:rPr>
          <w:rFonts w:ascii="Book Antiqua" w:hAnsi="Book Antiqua"/>
          <w:color w:val="000000" w:themeColor="text1"/>
          <w:lang w:val="en-US"/>
        </w:rPr>
        <w:t>.</w:t>
      </w:r>
      <w:r w:rsidR="00B768F7" w:rsidRPr="00124E11">
        <w:rPr>
          <w:rFonts w:ascii="Book Antiqua" w:hAnsi="Book Antiqua"/>
          <w:color w:val="000000" w:themeColor="text1"/>
          <w:lang w:val="en-US"/>
        </w:rPr>
        <w:t>1% of gangrenous cholecystitis, but no mention o</w:t>
      </w:r>
      <w:r w:rsidR="008347DF" w:rsidRPr="00124E11">
        <w:rPr>
          <w:rFonts w:ascii="Book Antiqua" w:hAnsi="Book Antiqua"/>
          <w:color w:val="000000" w:themeColor="text1"/>
          <w:lang w:val="en-US"/>
        </w:rPr>
        <w:t>f</w:t>
      </w:r>
      <w:r w:rsidR="00B768F7" w:rsidRPr="00124E11">
        <w:rPr>
          <w:rFonts w:ascii="Book Antiqua" w:hAnsi="Book Antiqua"/>
          <w:color w:val="000000" w:themeColor="text1"/>
          <w:lang w:val="en-US"/>
        </w:rPr>
        <w:t xml:space="preserve"> the </w:t>
      </w:r>
      <w:r w:rsidR="009A06B2" w:rsidRPr="00124E11">
        <w:rPr>
          <w:rFonts w:ascii="Book Antiqua" w:hAnsi="Book Antiqua"/>
          <w:color w:val="000000" w:themeColor="text1"/>
          <w:lang w:val="en-US"/>
        </w:rPr>
        <w:t xml:space="preserve">fibrotic </w:t>
      </w:r>
      <w:r w:rsidR="00472738" w:rsidRPr="00124E11">
        <w:rPr>
          <w:rFonts w:ascii="Book Antiqua" w:hAnsi="Book Antiqua"/>
          <w:color w:val="000000" w:themeColor="text1"/>
          <w:lang w:val="en-US"/>
        </w:rPr>
        <w:t>percentage</w:t>
      </w:r>
      <w:r w:rsidR="00B768F7" w:rsidRPr="00124E11">
        <w:rPr>
          <w:rFonts w:ascii="Book Antiqua" w:hAnsi="Book Antiqua"/>
          <w:color w:val="000000" w:themeColor="text1"/>
          <w:lang w:val="en-US"/>
        </w:rPr>
        <w:t xml:space="preserve">. </w:t>
      </w:r>
      <w:r w:rsidRPr="00124E11">
        <w:rPr>
          <w:rFonts w:ascii="Book Antiqua" w:hAnsi="Book Antiqua"/>
          <w:color w:val="000000" w:themeColor="text1"/>
          <w:lang w:val="en-US"/>
        </w:rPr>
        <w:t>During the operation, for all cases, LUS was used to identify with precision the anatomy of the cystic duct, CBD, and the cystic duct-CBD junction. Indeed LUS was considered to be a crucial tool in avoiding conversion in 91% of patients</w:t>
      </w:r>
      <w:r w:rsidR="00CD6CED" w:rsidRPr="00124E11">
        <w:rPr>
          <w:rFonts w:ascii="Book Antiqua" w:hAnsi="Book Antiqua"/>
          <w:color w:val="000000" w:themeColor="text1"/>
          <w:vertAlign w:val="superscript"/>
          <w:lang w:val="en-US"/>
        </w:rPr>
        <w:t>[</w:t>
      </w:r>
      <w:r w:rsidR="00CD6CED" w:rsidRPr="00124E11">
        <w:rPr>
          <w:rFonts w:ascii="Book Antiqua" w:hAnsi="Book Antiqua"/>
          <w:color w:val="000000" w:themeColor="text1"/>
          <w:lang w:val="en-US"/>
        </w:rPr>
        <w:fldChar w:fldCharType="begin" w:fldLock="1"/>
      </w:r>
      <w:r w:rsidR="00CD6CED" w:rsidRPr="00124E11">
        <w:rPr>
          <w:rFonts w:ascii="Book Antiqua" w:hAnsi="Book Antiqua"/>
          <w:color w:val="000000" w:themeColor="text1"/>
          <w:lang w:val="en-US"/>
        </w:rPr>
        <w:instrText>ADDIN CSL_CITATION { "citationItems" : [ { "id" : "ITEM-1", "itemData" : { "DOI" : "10.1016/j.surg.2013.04.041", "ISBN" : "1532-7361 (Electronic)\\r0039-6060 (Linking)", "ISSN" : "00396060", "PMID" : "24074430", "abstract" : "Background Laparoscopic ultrasound (LUS) is a method of intraoperative bile duct imaging that can be used prior to any potentially hazardous dissection. The purpose of this study was to determine whether LUS could permit safe laparoscopic completion of difficult cholecystectomy (LC) cases and to assess whether its use had any impact on clinical outcome. Methods We identified prospectively 44 patients with severe cholecystitis in whom LUS was considered critical for intraoperative identification of the bile ducts. LC patients were compared, on an intention to treat basis, with 41 contemporaneous patients with severe cholecystitis who had planned open cholecystectomy (OC). Results LUS identified the extrahepatic bile ducts in all cases. Of the cases, 40 (91%) were completed laparoscopically. OC patients had a higher rate of acute cholecystitis and preoperative percutaneous cholecystostomy tubes and a higher mean ASA classification. Intraoperatively, LC patients had significantly less estimated blood loss and fewer drains were placed. Postoperatively, LC patients had significantly fewer total complications, Clavien-Dindo grade 3 complications, biliary complications, biliary reinterventions, intra-abdominal abscesses, and bleeding complications. LC patients had significantly fewer ICU admissions and shorter LOS. Conclusion By allowing identification of the extrahepatic bile ducts during difficult cholecystectomy, LUS results in a high rate of successful laparoscopic completions. Laparoscopic cholecystectomy is associated with better clinical outcomes than OC for patients with severe cholecystitis. ?? 2013 Mosby, Inc. All rights reserved.", "author" : [ { "dropping-particle" : "", "family" : "Gwinn", "given" : "Elizabeth C.", "non-dropping-particle" : "", "parse-names" : false, "suffix" : "" }, { "dropping-particle" : "", "family" : "Daly", "given" : "Shaun", "non-dropping-particle" : "", "parse-names" : false, "suffix" : "" }, { "dropping-particle" : "", "family" : "Deziel", "given" : "Daniel J.", "non-dropping-particle" : "", "parse-names" : false, "suffix" : "" } ], "container-title" : "Surgery (United States)", "id" : "ITEM-1", "issue" : "4", "issued" : { "date-parts" : [ [ "2013" ] ] }, "page" : "909-917", "publisher" : "Mosby, Inc.", "title" : "The use of laparoscopic ultrasound in difficult cholecystectomy cases significantly decreases morbidity", "type" : "article-journal", "volume" : "154" }, "uris" : [ "http://www.mendeley.com/documents/?uuid=a4d24aa8-8942-4b4d-a0fb-0a079122dc90" ] } ], "mendeley" : { "formattedCitation" : "&lt;sup&gt;53&lt;/sup&gt;", "plainTextFormattedCitation" : "53", "previouslyFormattedCitation" : "&lt;sup&gt;53&lt;/sup&gt;" }, "properties" : { "noteIndex" : 0 }, "schema" : "https://github.com/citation-style-language/schema/raw/master/csl-citation.json" }</w:instrText>
      </w:r>
      <w:r w:rsidR="00CD6CED" w:rsidRPr="00124E11">
        <w:rPr>
          <w:rFonts w:ascii="Book Antiqua" w:hAnsi="Book Antiqua"/>
          <w:color w:val="000000" w:themeColor="text1"/>
          <w:lang w:val="en-US"/>
        </w:rPr>
        <w:fldChar w:fldCharType="separate"/>
      </w:r>
      <w:r w:rsidR="00CD6CED" w:rsidRPr="00124E11">
        <w:rPr>
          <w:rFonts w:ascii="Book Antiqua" w:hAnsi="Book Antiqua"/>
          <w:color w:val="000000" w:themeColor="text1"/>
          <w:vertAlign w:val="superscript"/>
          <w:lang w:val="en-US"/>
        </w:rPr>
        <w:t>53</w:t>
      </w:r>
      <w:r w:rsidR="00CD6CED" w:rsidRPr="00124E11">
        <w:rPr>
          <w:rFonts w:ascii="Book Antiqua" w:hAnsi="Book Antiqua"/>
          <w:color w:val="000000" w:themeColor="text1"/>
          <w:lang w:val="en-US"/>
        </w:rPr>
        <w:fldChar w:fldCharType="end"/>
      </w:r>
      <w:r w:rsidR="00CD6CED" w:rsidRPr="00124E11">
        <w:rPr>
          <w:rFonts w:ascii="Book Antiqua" w:hAnsi="Book Antiqua"/>
          <w:color w:val="000000" w:themeColor="text1"/>
          <w:vertAlign w:val="superscript"/>
          <w:lang w:val="en-US"/>
        </w:rPr>
        <w:t xml:space="preserve">] </w:t>
      </w:r>
      <w:r w:rsidRPr="00124E11">
        <w:rPr>
          <w:rFonts w:ascii="Book Antiqua" w:hAnsi="Book Antiqua"/>
          <w:color w:val="000000" w:themeColor="text1"/>
          <w:lang w:val="en-US"/>
        </w:rPr>
        <w:t>, with no BDIs observed. It seems that even when complete visualization of the biliary tract is difficult to achieve because of inflammatory disease</w:t>
      </w:r>
      <w:r w:rsidR="00B768F7" w:rsidRPr="00124E11">
        <w:rPr>
          <w:rFonts w:ascii="Book Antiqua" w:hAnsi="Book Antiqua"/>
          <w:color w:val="000000" w:themeColor="text1"/>
          <w:lang w:val="en-US"/>
        </w:rPr>
        <w:t xml:space="preserve"> or fibrosis</w:t>
      </w:r>
      <w:r w:rsidRPr="00124E11">
        <w:rPr>
          <w:rFonts w:ascii="Book Antiqua" w:hAnsi="Book Antiqua"/>
          <w:color w:val="000000" w:themeColor="text1"/>
          <w:lang w:val="en-US"/>
        </w:rPr>
        <w:t>, the most important dissection targets (cystic duct, CBD, and the cystic duct-CBD junction) c</w:t>
      </w:r>
      <w:r w:rsidR="00655722">
        <w:rPr>
          <w:rFonts w:ascii="Book Antiqua" w:hAnsi="Book Antiqua"/>
          <w:color w:val="000000" w:themeColor="text1"/>
          <w:lang w:val="en-US"/>
        </w:rPr>
        <w:t>an still be finely identified.</w:t>
      </w:r>
    </w:p>
    <w:p w14:paraId="04E9A13C" w14:textId="172D297C"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Machi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"10.1007/s00464-008-9985-x", "ISSN" : "09302794", "PMID" : "18528611", "abstract" : "OBJECTIVE: Laparoscopic ultrasound (LUS) has been used for over 15 years to screen the bile duct (BD) for stones and to delineate anatomy during laparoscopic cholecystectomy (LC). LUS as a modality to prevent BD injury has not been investigated in a large series. This study evaluated the routine use of LUS to determine its effect on preventing BD injury. METHODS: A multicenter retrospective study was performed by reviewing clinical outcome of LC in which LUS was used routinely. RESULTS: In five centers, 1,381 patients underwent LC with LUS. LUS was successful to delineate and evaluate the BD in 1,352 patients (98.0%), although it was unsuccessful or incomplete in 29 patients (2.0%). LUS was considered remarkably valuable to safely complete LC, avoiding conversion to open, in 81 patients (5.9%). The use of intraoperative cholangiography (IOC) varied depending on centers; IOC was performed in 504 patients (36.5%). For screening of BD stones (which was positive in 151 patients, 10.9%), LUS had a false-positive result in two patients (0.1%) and a false-negative result in five patients (0.4%). There were retained BD stones in three patients (0.2%). There were minor bile leaks from the liver bed in three patients (0.2%). However, there were no other BD injuries including BD transection (0%). Retrospectively, IOC was deemed necessary in 25 patients (1.8%) to complete LC in spite of routine LUS. CONCLUSION: LUS can be performed successfully to delineate BD anatomy in the majority of patients. The routine use of LUS during LC has obviated major BD injury, compared to the reported rate (1 out of 200-400 LCs). LUS improves the safety of LC by clarifying anatomy and decreasing BD injury.", "author" : [ { "dropping-particle" : "", "family" : "MacHi", "given" : "Junji", "non-dropping-particle" : "", "parse-names" : false, "suffix" : "" }, { "dropping-particle" : "", "family" : "Johnson", "given" : "James O.", "non-dropping-particle" : "", "parse-names" : false, "suffix" : "" }, { "dropping-particle" : "", "family" : "Deziel", "given" : "Daniel J.", "non-dropping-particle" : "", "parse-names" : false, "suffix" : "" }, { "dropping-particle" : "", "family" : "Soper", "given" : "Nathaniel J.", "non-dropping-particle" : "", "parse-names" : false, "suffix" : "" }, { "dropping-particle" : "", "family" : "Berber", "given" : "Eren", "non-dropping-particle" : "", "parse-names" : false, "suffix" : "" }, { "dropping-particle" : "", "family" : "Siperstein", "given" : "Allan", "non-dropping-particle" : "", "parse-names" : false, "suffix" : "" }, { "dropping-particle" : "", "family" : "Hata", "given" : "Masaki", "non-dropping-particle" : "", "parse-names" : false, "suffix" : "" }, { "dropping-particle" : "", "family" : "Patel", "given" : "Anand", "non-dropping-particle" : "", "parse-names" : false, "suffix" : "" }, { "dropping-particle" : "", "family" : "Singh", "given" : "Kirpal", "non-dropping-particle" : "", "parse-names" : false, "suffix" : "" }, { "dropping-particle" : "", "family" : "Arregui", "given" : "Maurice E.", "non-dropping-particle" : "", "parse-names" : false, "suffix" : "" } ], "container-title" : "Surgical Endoscopy and Other Interventional Techniques", "id" : "ITEM-1", "issue" : "2", "issued" : { "date-parts" : [ [ "2009" ] ] }, "page" : "384-388", "title" : "The routine use of laparoscopic ultrasound decreases bile duct injury: A multicenter study", "type" : "article-journal", "volume" : "23" }, "uris" : [ "http://www.mendeley.com/documents/?uuid=b9869114-bd07-4c46-95c4-24ed9c5401c6" ] } ], "mendeley" : { "formattedCitation" : "&lt;sup&gt;54&lt;/sup&gt;", "plainTextFormattedCitation" : "54", "previouslyFormattedCitation" : "&lt;sup&gt;54&lt;/sup&gt;"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in a multicenter study that included 1352 patients, reported a feasibility rate for LUS of 98%, even with 20.90% of cases presenting with inflammatory disease. In their report, LUS proved to be remarkably valuable, given that mapping of the biliary tract avoided conversion in 5.9% of patients with anatomy obsc</w:t>
      </w:r>
      <w:r w:rsidR="00413354" w:rsidRPr="00124E11">
        <w:rPr>
          <w:rFonts w:ascii="Book Antiqua" w:hAnsi="Book Antiqua"/>
          <w:color w:val="000000" w:themeColor="text1"/>
          <w:lang w:val="en-US"/>
        </w:rPr>
        <w:t>ured due to Mirizzi’s syndrome,</w:t>
      </w:r>
      <w:r w:rsidR="00B768F7" w:rsidRPr="00124E11">
        <w:rPr>
          <w:rFonts w:ascii="Book Antiqua" w:hAnsi="Book Antiqua"/>
          <w:color w:val="000000" w:themeColor="text1"/>
          <w:lang w:val="en-US"/>
        </w:rPr>
        <w:t xml:space="preserve"> acute or chronic </w:t>
      </w:r>
      <w:r w:rsidRPr="00124E11">
        <w:rPr>
          <w:rFonts w:ascii="Book Antiqua" w:hAnsi="Book Antiqua"/>
          <w:color w:val="000000" w:themeColor="text1"/>
          <w:lang w:val="en-US"/>
        </w:rPr>
        <w:t xml:space="preserve">cholecystitis, or pancreatitis. </w:t>
      </w:r>
      <w:r w:rsidR="00B768F7" w:rsidRPr="00124E11">
        <w:rPr>
          <w:rFonts w:ascii="Book Antiqua" w:hAnsi="Book Antiqua"/>
          <w:color w:val="000000" w:themeColor="text1"/>
          <w:lang w:val="en-US"/>
        </w:rPr>
        <w:t>Even though no comment was made in this report considering the particularly difficult situation of fibrosis, 79</w:t>
      </w:r>
      <w:r w:rsidR="00FB1C95" w:rsidRPr="00124E11">
        <w:rPr>
          <w:rFonts w:ascii="Book Antiqua" w:hAnsi="Book Antiqua"/>
          <w:color w:val="000000" w:themeColor="text1"/>
          <w:lang w:val="en-US"/>
        </w:rPr>
        <w:t>.</w:t>
      </w:r>
      <w:r w:rsidR="00B768F7" w:rsidRPr="00124E11">
        <w:rPr>
          <w:rFonts w:ascii="Book Antiqua" w:hAnsi="Book Antiqua"/>
          <w:color w:val="000000" w:themeColor="text1"/>
          <w:lang w:val="en-US"/>
        </w:rPr>
        <w:t xml:space="preserve">1% of patients were considered </w:t>
      </w:r>
      <w:r w:rsidR="008347DF" w:rsidRPr="00124E11">
        <w:rPr>
          <w:rFonts w:ascii="Book Antiqua" w:hAnsi="Book Antiqua"/>
          <w:color w:val="000000" w:themeColor="text1"/>
          <w:lang w:val="en-US"/>
        </w:rPr>
        <w:t xml:space="preserve">to be </w:t>
      </w:r>
      <w:r w:rsidR="00B768F7" w:rsidRPr="00124E11">
        <w:rPr>
          <w:rFonts w:ascii="Book Antiqua" w:hAnsi="Book Antiqua"/>
          <w:color w:val="000000" w:themeColor="text1"/>
          <w:lang w:val="en-US"/>
        </w:rPr>
        <w:t xml:space="preserve">in </w:t>
      </w:r>
      <w:r w:rsidR="008347DF" w:rsidRPr="00124E11">
        <w:rPr>
          <w:rFonts w:ascii="Book Antiqua" w:hAnsi="Book Antiqua"/>
          <w:color w:val="000000" w:themeColor="text1"/>
          <w:lang w:val="en-US"/>
        </w:rPr>
        <w:t xml:space="preserve">a state of </w:t>
      </w:r>
      <w:r w:rsidR="00B768F7" w:rsidRPr="00124E11">
        <w:rPr>
          <w:rFonts w:ascii="Book Antiqua" w:hAnsi="Book Antiqua"/>
          <w:color w:val="000000" w:themeColor="text1"/>
          <w:lang w:val="en-US"/>
        </w:rPr>
        <w:t xml:space="preserve">chronic cholecystitis. </w:t>
      </w:r>
      <w:r w:rsidRPr="00124E11">
        <w:rPr>
          <w:rFonts w:ascii="Book Antiqua" w:hAnsi="Book Antiqua"/>
          <w:color w:val="000000" w:themeColor="text1"/>
          <w:lang w:val="en-US"/>
        </w:rPr>
        <w:t xml:space="preserve">Biffl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"10.1016/S1072-7515(01)00991-7", "ISSN" : "10727515", "PMID" : "11548797", "abstract" : "BACKGROUND: Laparoscopic cholecystectomy (LC) is the preferred treatment for gallstone disease, even in many complicated cases. Perhaps the only downside to LC is a two- to threefold increase in common bile duct (CBD) injuries compared with open cholecystectomy (OC). Intraoperative cholangiography may prevent injuries, but its routine use remains controversial. Our institution adopted a policy of selective intraoperative cholangiography in 1993. When intraoperative laparoscopic ultrasonography (IOUS) emerged as a viable diagnostic adjunct, it was hypothesized that the routine use of IOUS would facilitate dissection, detect occult choledocholithiasis, and prevent bile duct injuries during LC. STUDY DESIGN: The experience with LC at our university-affiliated teaching hospital was reviewed. Over a 4 1/2-year period (June 1, 1995, to January 31, 2000), two surgeons used IOUS routinely during LC (ultrasonography [US] group, n = 248); three other surgeons did not (non-US group, n = 594). We compared patient data and outcomes between the two groups. Continuous data are expressed as mean ?? SEM. RESULTS: During the study period, 842 LCs were attempted. Patient age (37 ?? 1 years) and gender (85% female) did not differ between the groups. In the US group, more patients had acute cholecystitis (p &lt; 0.05). More LCs were performed per year by non-US surgeons than US surgeons (45 versus 37). Despite this, all bile duct complications occurred in non-US cases (2.5% overall): five CBD injuries (0.8%), six bile leaks (1%), and four retained CBD stones (0.7%). In the subgroup of patients with acute cholecystitis, there were fewer conversions to OC in US compared with non-US cases (24% versus 36%, p = 0.09). CONCLUSIONS: IOUS is noninvasive, fast, repeatable, and can corroborate real-time visualization of the operative field. We have found that LC with IOUS is associated with fewer bile duct complications (CBD injuries, bile leaks, and retained CBD stones) than LC without adjunctive imaging. The success rate of LC in cases of acute cholecystitis is slightly higher when IOUS is used as an aid to dissection. In the absence of definitive prospective data, we recommend routine use of IOUS when performing LC, particularly in patients with acute cholecystitis. ?? 2001 American College of Surgeons.", "author" : [ { "dropping-particle" : "", "family" : "Biffl", "given" : "Walter L.", "non-dropping-particle" : "", "parse-names" : false, "suffix" : "" }, { "dropping-particle" : "", "family" : "Moore", "given" : "Ernest E.", "non-dropping-particle" : "", "parse-names" : false, "suffix" : "" }, { "dropping-particle" : "", "family" : "Offner", "given" : "Patrick J.", "non-dropping-particle" : "", "parse-names" : false, "suffix" : "" }, { "dropping-particle" : "", "family" : "Franciose", "given" : "Reginald J.", "non-dropping-particle" : "", "parse-names" : false, "suffix" : "" }, { "dropping-particle" : "", "family" : "Burch", "given" : "Jon M.", "non-dropping-particle" : "", "parse-names" : false, "suffix" : "" } ], "container-title" : "Journal of the American College of Surgeons", "id" : "ITEM-1", "issue" : "3", "issued" : { "date-parts" : [ [ "2001" ] ] }, "page" : "272-280", "title" : "Routine intraoperative laparoscopic ultrasonography with selective cholangiography reduces bile duct complications during laparoscopic cholecystectomy", "type" : "article-journal", "volume" : "193" }, "uris" : [ "http://www.mendeley.com/documents/?uuid=3cdea439-d484-4ee9-a5c9-b016dccdaa89" ] } ], "mendeley" : { "formattedCitation" : "&lt;sup&gt;55&lt;/sup&gt;", "plainTextFormattedCitation" : "55", "previouslyFormattedCitation" : "&lt;sup&gt;55&lt;/sup&gt;"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55</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00413354" w:rsidRPr="00124E11">
        <w:rPr>
          <w:rFonts w:ascii="Book Antiqua" w:hAnsi="Book Antiqua"/>
          <w:color w:val="000000" w:themeColor="text1"/>
          <w:lang w:val="en-US"/>
        </w:rPr>
        <w:t xml:space="preserve"> in a prospective non-randomized</w:t>
      </w:r>
      <w:r w:rsidRPr="00124E11">
        <w:rPr>
          <w:rFonts w:ascii="Book Antiqua" w:hAnsi="Book Antiqua"/>
          <w:color w:val="000000" w:themeColor="text1"/>
          <w:lang w:val="en-US"/>
        </w:rPr>
        <w:t xml:space="preserve"> study showed that LUS provided an excellent guide for dissection as its routine use during acute </w:t>
      </w:r>
      <w:r w:rsidR="00413354" w:rsidRPr="00124E11">
        <w:rPr>
          <w:rFonts w:ascii="Book Antiqua" w:hAnsi="Book Antiqua"/>
          <w:color w:val="000000" w:themeColor="text1"/>
          <w:lang w:val="en-US"/>
        </w:rPr>
        <w:t>cholecystitis</w:t>
      </w:r>
      <w:r w:rsidRPr="00124E11">
        <w:rPr>
          <w:rFonts w:ascii="Book Antiqua" w:hAnsi="Book Antiqua"/>
          <w:color w:val="000000" w:themeColor="text1"/>
          <w:lang w:val="en-US"/>
        </w:rPr>
        <w:t xml:space="preserve"> allowed operations to be completed with lower conversion rates than seen with patients operated on without LUS (</w:t>
      </w:r>
      <w:r w:rsidRPr="00124E11">
        <w:rPr>
          <w:rFonts w:ascii="Book Antiqua" w:hAnsi="Book Antiqua"/>
          <w:i/>
          <w:color w:val="000000" w:themeColor="text1"/>
          <w:lang w:val="en-US"/>
        </w:rPr>
        <w:t xml:space="preserve">P </w:t>
      </w:r>
      <w:r w:rsidRPr="00124E11">
        <w:rPr>
          <w:rFonts w:ascii="Book Antiqua" w:hAnsi="Book Antiqua"/>
          <w:color w:val="000000" w:themeColor="text1"/>
          <w:lang w:val="en-US"/>
        </w:rPr>
        <w:t xml:space="preserve">= 0.09). </w:t>
      </w:r>
      <w:r w:rsidR="00B768F7" w:rsidRPr="00124E11">
        <w:rPr>
          <w:rFonts w:ascii="Book Antiqua" w:hAnsi="Book Antiqua"/>
          <w:color w:val="000000" w:themeColor="text1"/>
          <w:lang w:val="en-US"/>
        </w:rPr>
        <w:t>According to these data, LUS seems to play an essential role in mapping the biliary and hilar tru</w:t>
      </w:r>
      <w:r w:rsidR="008347DF" w:rsidRPr="00124E11">
        <w:rPr>
          <w:rFonts w:ascii="Book Antiqua" w:hAnsi="Book Antiqua"/>
          <w:color w:val="000000" w:themeColor="text1"/>
          <w:lang w:val="en-US"/>
        </w:rPr>
        <w:t>n</w:t>
      </w:r>
      <w:r w:rsidR="00B768F7" w:rsidRPr="00124E11">
        <w:rPr>
          <w:rFonts w:ascii="Book Antiqua" w:hAnsi="Book Antiqua"/>
          <w:color w:val="000000" w:themeColor="text1"/>
          <w:lang w:val="en-US"/>
        </w:rPr>
        <w:t xml:space="preserve">k when </w:t>
      </w:r>
      <w:r w:rsidR="00662276" w:rsidRPr="00124E11">
        <w:rPr>
          <w:rFonts w:ascii="Book Antiqua" w:hAnsi="Book Antiqua"/>
          <w:color w:val="000000" w:themeColor="text1"/>
          <w:lang w:val="en-US"/>
        </w:rPr>
        <w:t xml:space="preserve">the </w:t>
      </w:r>
      <w:r w:rsidR="00B768F7" w:rsidRPr="00124E11">
        <w:rPr>
          <w:rFonts w:ascii="Book Antiqua" w:hAnsi="Book Antiqua"/>
          <w:color w:val="000000" w:themeColor="text1"/>
          <w:lang w:val="en-US"/>
        </w:rPr>
        <w:t xml:space="preserve">anatomy is obscured such as in </w:t>
      </w:r>
      <w:r w:rsidR="00FB1C95" w:rsidRPr="00124E11">
        <w:rPr>
          <w:rFonts w:ascii="Book Antiqua" w:hAnsi="Book Antiqua"/>
          <w:color w:val="000000" w:themeColor="text1"/>
          <w:lang w:val="en-US"/>
        </w:rPr>
        <w:t xml:space="preserve">the </w:t>
      </w:r>
      <w:r w:rsidR="00B768F7" w:rsidRPr="00124E11">
        <w:rPr>
          <w:rFonts w:ascii="Book Antiqua" w:hAnsi="Book Antiqua"/>
          <w:color w:val="000000" w:themeColor="text1"/>
          <w:lang w:val="en-US"/>
        </w:rPr>
        <w:t xml:space="preserve">fibrotic or inflammatory state. The possibility </w:t>
      </w:r>
      <w:r w:rsidR="008347DF" w:rsidRPr="00124E11">
        <w:rPr>
          <w:rFonts w:ascii="Book Antiqua" w:hAnsi="Book Antiqua"/>
          <w:color w:val="000000" w:themeColor="text1"/>
          <w:lang w:val="en-US"/>
        </w:rPr>
        <w:t>of</w:t>
      </w:r>
      <w:r w:rsidR="00B768F7" w:rsidRPr="00124E11">
        <w:rPr>
          <w:rFonts w:ascii="Book Antiqua" w:hAnsi="Book Antiqua"/>
          <w:color w:val="000000" w:themeColor="text1"/>
          <w:lang w:val="en-US"/>
        </w:rPr>
        <w:t xml:space="preserve"> identify</w:t>
      </w:r>
      <w:r w:rsidR="008347DF" w:rsidRPr="00124E11">
        <w:rPr>
          <w:rFonts w:ascii="Book Antiqua" w:hAnsi="Book Antiqua"/>
          <w:color w:val="000000" w:themeColor="text1"/>
          <w:lang w:val="en-US"/>
        </w:rPr>
        <w:t>ing</w:t>
      </w:r>
      <w:r w:rsidR="00B768F7" w:rsidRPr="00124E11">
        <w:rPr>
          <w:rFonts w:ascii="Book Antiqua" w:hAnsi="Book Antiqua"/>
          <w:color w:val="000000" w:themeColor="text1"/>
          <w:lang w:val="en-US"/>
        </w:rPr>
        <w:t xml:space="preserve"> </w:t>
      </w:r>
      <w:r w:rsidR="008347DF" w:rsidRPr="00124E11">
        <w:rPr>
          <w:rFonts w:ascii="Book Antiqua" w:hAnsi="Book Antiqua"/>
          <w:color w:val="000000" w:themeColor="text1"/>
          <w:lang w:val="en-US"/>
        </w:rPr>
        <w:t xml:space="preserve">the </w:t>
      </w:r>
      <w:r w:rsidR="00B768F7" w:rsidRPr="00124E11">
        <w:rPr>
          <w:rFonts w:ascii="Book Antiqua" w:hAnsi="Book Antiqua"/>
          <w:color w:val="000000" w:themeColor="text1"/>
          <w:lang w:val="en-US"/>
        </w:rPr>
        <w:t xml:space="preserve">anatomy before </w:t>
      </w:r>
      <w:r w:rsidR="00413354" w:rsidRPr="00124E11">
        <w:rPr>
          <w:rFonts w:ascii="Book Antiqua" w:hAnsi="Book Antiqua"/>
          <w:color w:val="000000" w:themeColor="text1"/>
          <w:lang w:val="en-US"/>
        </w:rPr>
        <w:t>and/</w:t>
      </w:r>
      <w:r w:rsidR="00B768F7" w:rsidRPr="00124E11">
        <w:rPr>
          <w:rFonts w:ascii="Book Antiqua" w:hAnsi="Book Antiqua"/>
          <w:color w:val="000000" w:themeColor="text1"/>
          <w:lang w:val="en-US"/>
        </w:rPr>
        <w:t>or during dissection could be one of th</w:t>
      </w:r>
      <w:r w:rsidR="008347DF" w:rsidRPr="00124E11">
        <w:rPr>
          <w:rFonts w:ascii="Book Antiqua" w:hAnsi="Book Antiqua"/>
          <w:color w:val="000000" w:themeColor="text1"/>
          <w:lang w:val="en-US"/>
        </w:rPr>
        <w:t>is</w:t>
      </w:r>
      <w:r w:rsidR="00B768F7" w:rsidRPr="00124E11">
        <w:rPr>
          <w:rFonts w:ascii="Book Antiqua" w:hAnsi="Book Antiqua"/>
          <w:color w:val="000000" w:themeColor="text1"/>
          <w:lang w:val="en-US"/>
        </w:rPr>
        <w:t xml:space="preserve"> technique’s most valuable </w:t>
      </w:r>
      <w:r w:rsidR="008347DF" w:rsidRPr="00124E11">
        <w:rPr>
          <w:rFonts w:ascii="Book Antiqua" w:hAnsi="Book Antiqua"/>
          <w:color w:val="000000" w:themeColor="text1"/>
          <w:lang w:val="en-US"/>
        </w:rPr>
        <w:t>aspects</w:t>
      </w:r>
      <w:r w:rsidR="00413354" w:rsidRPr="00124E11">
        <w:rPr>
          <w:rFonts w:ascii="Book Antiqua" w:hAnsi="Book Antiqua"/>
          <w:color w:val="000000" w:themeColor="text1"/>
          <w:lang w:val="en-US"/>
        </w:rPr>
        <w:t>.</w:t>
      </w:r>
    </w:p>
    <w:p w14:paraId="10CC5C11" w14:textId="08E2A327" w:rsidR="00B768F7"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Conversely, other authors have suggested that inflammation may hinder LUS analysis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"10.1007/s00464-005-0817-y", "ISBN" : "0046400508", "ISSN" : "09302794", "PMID" : "17122981", "abstract" : "BACKGROUND: The use of intraoperative cholangiography (IOC), routinely rather than selectively, during laparoscopic cholecystectomy (LC) is controversial. Recent findings have shown laparoscopic ultrasound (LUS) to be safe, quick, and effective not only for screening of the bile duct for stones, but also for evaluating the biliary anatomy. This study aimed to evaluate, on the basis of the LC outcome and the cost of LUS and IOC, whether and how much the routine use of LUS would be able to reduce the need for IOC. METHODS: During LC, LUS was used routinely to screen the bile duct for stones and to evaluate the biliary anatomy, whereas IOC was used selectively only when LUS was unsatisfactory or unsuccessful. RESULTS: For 193 (96.5%) of 200 patients, LUS was completed successfully, whereas IOC was needed for 7 patients (3.5%). Bile duct stones were identified in 20 patients (10%). For the detection of bile duct stones, LUS yielded 19 true-positive, 175 true-negative, 0 false-positive, and 1 false-negative results. It had a sensitivity of 95%, a specificity of 100%, a positive predictive value of 100%, and a negative predictive value of 99.4%. The postoperative complications included bile leaks from the liver bed in two patients and a retained bile duct stone in one patient. If IOC had been used selectively in a traditional manner on the basis of preoperative risk factors, IOC would have been needed for 77 patients (38.5%). The total cost of LUS plus IOC for the current 200 patients was 26,256 dollars. The total estimated cost of selective IOC, if it had been performed for the 77 patients, would have been 31,416 dollars. CONCLUSIONS: Routine LUS accurately diagnosed bile duct stones and significantly reduced the need for selective IOC from a potential 38.5% to an actual 3.5% without adversely affecting the outcome of the LC or increasing the overall cost. The routine use of LUS during LC is accurate and cost effective.", "author" : [ { "dropping-particle" : "", "family" : "Machi", "given" : "J.", "non-dropping-particle" : "", "parse-names" : false, "suffix" : "" }, { "dropping-particle" : "", "family" : "Oishi", "given" : "A. J.", "non-dropping-particle" : "", "parse-names" : false, "suffix" : "" }, { "dropping-particle" : "", "family" : "Tajiri", "given" : "T.", "non-dropping-particle" : "", "parse-names" : false, "suffix" : "" }, { "dropping-particle" : "", "family" : "Murayama", "given" : "K. M.", "non-dropping-particle" : "", "parse-names" : false, "suffix" : "" }, { "dropping-particle" : "", "family" : "Furumoto", "given" : "N. L.", "non-dropping-particle" : "", "parse-names" : false, "suffix" : "" }, { "dropping-particle" : "", "family" : "Oishi", "given" : "R. H.", "non-dropping-particle" : "", "parse-names" : false, "suffix" : "" } ], "container-title" : "Surgical Endoscopy and Other Interventional Techniques", "id" : "ITEM-1", "issue" : "2", "issued" : { "date-parts" : [ [ "2007" ] ] }, "page" : "270-274", "title" : "Routine laparoscopic ultrasound can significantly reduce the need for selective intraoperative cholangiography during cholecystectomy", "type" : "article-journal", "volume" : "21" }, "uris" : [ "http://www.mendeley.com/documents/?uuid=6c900167-8e7c-4198-9bb8-bddc71940063" ] } ], "mendeley" : { "formattedCitation" : "&lt;sup&gt;51&lt;/sup&gt;", "plainTextFormattedCitation" : "51", "previouslyFormattedCitation" : "&lt;sup&gt;51&lt;/sup&gt;"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r w:rsidR="00822039">
        <w:rPr>
          <w:rFonts w:ascii="Book Antiqua" w:hAnsi="Book Antiqua"/>
          <w:color w:val="000000" w:themeColor="text1"/>
          <w:lang w:val="en-US"/>
        </w:rPr>
        <w:t xml:space="preserve"> </w:t>
      </w:r>
      <w:r w:rsidRPr="00124E11">
        <w:rPr>
          <w:rFonts w:ascii="Book Antiqua" w:hAnsi="Book Antiqua"/>
          <w:color w:val="000000" w:themeColor="text1"/>
          <w:lang w:val="en-US"/>
        </w:rPr>
        <w:t xml:space="preserve">For example, Hakamada </w:t>
      </w:r>
      <w:r w:rsidR="00A81957"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"10.3748/wjg.14.2370", "ISBN" : "8117239507", "ISSN" : "10079327", "PMID" : "18416464", "abstract" : "To analyze the efficacy of routine intraoperative ultrasound (IOUS) as a guide for understanding biliary tract anatomy, to avoid bile duct injury (BDI) after laparoscopic cholecystectomy (LC), as well as any burden during the learning period.", "author" : [ { "dropping-particle" : "", "family" : "Hakamada", "given" : "Kenichi", "non-dropping-particle" : "", "parse-names" : false, "suffix" : "" }, { "dropping-particle" : "", "family" : "Narumi", "given" : "Shunji", "non-dropping-particle" : "", "parse-names" : false, "suffix" : "" }, { "dropping-particle" : "", "family" : "Toyoki", "given" : "Yoshikazu", "non-dropping-particle" : "", "parse-names" : false, "suffix" : "" }, { "dropping-particle" : "", "family" : "Nara", "given" : "Masaki", "non-dropping-particle" : "", "parse-names" : false, "suffix" : "" }, { "dropping-particle" : "", "family" : "Oohashi", "given" : "Motonari", "non-dropping-particle" : "", "parse-names" : false, "suffix" : "" }, { "dropping-particle" : "", "family" : "Miura", "given" : "Takuya", "non-dropping-particle" : "", "parse-names" : false, "suffix" : "" }, { "dropping-particle" : "", "family" : "Jin", "given" : "Hiroyuki", "non-dropping-particle" : "", "parse-names" : false, "suffix" : "" }, { "dropping-particle" : "", "family" : "Yoshihara", "given" : "Syuichi", "non-dropping-particle" : "", "parse-names" : false, "suffix" : "" }, { "dropping-particle" : "", "family" : "Sugai", "given" : "Michihiro", "non-dropping-particle" : "", "parse-names" : false, "suffix" : "" }, { "dropping-particle" : "", "family" : "Sasaki", "given" : "Mutsuo", "non-dropping-particle" : "", "parse-names" : false, "suffix" : "" } ], "container-title" : "World Journal of Gastroenterology", "id" : "ITEM-1", "issue" : "15", "issued" : { "date-parts" : [ [ "2008" ] ] }, "page" : "2370-2376", "title" : "Intraoperative ultrasound as an educational guide for laparoscopic biliary surgery", "type" : "article-journal", "volume" : "14" }, "uris" : [ "http://www.mendeley.com/documents/?uuid=f891370d-7522-40a6-ab32-ebe926759b1e" ] } ], "mendeley" : { "formattedCitation" : "&lt;sup&gt;48&lt;/sup&gt;", "plainTextFormattedCitation" : "48", "previouslyFormattedCitation" : "&lt;sup&gt;48&lt;/sup&gt;"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48</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B768F7" w:rsidRPr="00124E11">
        <w:rPr>
          <w:rFonts w:ascii="Book Antiqua" w:hAnsi="Book Antiqua"/>
          <w:color w:val="000000" w:themeColor="text1"/>
          <w:lang w:val="en-US"/>
        </w:rPr>
        <w:t xml:space="preserve">, in a retrospective single center study, </w:t>
      </w:r>
      <w:r w:rsidRPr="00124E11">
        <w:rPr>
          <w:rFonts w:ascii="Book Antiqua" w:hAnsi="Book Antiqua"/>
          <w:color w:val="000000" w:themeColor="text1"/>
          <w:lang w:val="en-US"/>
        </w:rPr>
        <w:lastRenderedPageBreak/>
        <w:t>reported a high analysis rate for the complete biliary tract in LC for cholecystolithiasis, which then fell according to the sever</w:t>
      </w:r>
      <w:r w:rsidR="00B768F7" w:rsidRPr="00124E11">
        <w:rPr>
          <w:rFonts w:ascii="Book Antiqua" w:hAnsi="Book Antiqua"/>
          <w:color w:val="000000" w:themeColor="text1"/>
          <w:lang w:val="en-US"/>
        </w:rPr>
        <w:t>ity of inflammation, while preserving an excellent f</w:t>
      </w:r>
      <w:r w:rsidR="008347DF" w:rsidRPr="00124E11">
        <w:rPr>
          <w:rFonts w:ascii="Book Antiqua" w:hAnsi="Book Antiqua"/>
          <w:color w:val="000000" w:themeColor="text1"/>
          <w:lang w:val="en-US"/>
        </w:rPr>
        <w:t>ea</w:t>
      </w:r>
      <w:r w:rsidR="00B768F7" w:rsidRPr="00124E11">
        <w:rPr>
          <w:rFonts w:ascii="Book Antiqua" w:hAnsi="Book Antiqua"/>
          <w:color w:val="000000" w:themeColor="text1"/>
          <w:lang w:val="en-US"/>
        </w:rPr>
        <w:t xml:space="preserve">sibility rate of 100%. </w:t>
      </w:r>
    </w:p>
    <w:p w14:paraId="04D81451" w14:textId="77777777" w:rsidR="00D203BB" w:rsidRPr="00124E11" w:rsidRDefault="00D203BB" w:rsidP="00A94613">
      <w:pPr>
        <w:snapToGrid w:val="0"/>
        <w:spacing w:line="360" w:lineRule="auto"/>
        <w:jc w:val="both"/>
        <w:rPr>
          <w:rFonts w:ascii="Book Antiqua" w:hAnsi="Book Antiqua"/>
          <w:color w:val="000000" w:themeColor="text1"/>
          <w:lang w:val="en-US"/>
        </w:rPr>
      </w:pPr>
    </w:p>
    <w:p w14:paraId="2E4C4A14" w14:textId="7D3017C9" w:rsidR="00E32F0F" w:rsidRPr="00124E11" w:rsidRDefault="00E32F0F" w:rsidP="00A94613">
      <w:pPr>
        <w:snapToGrid w:val="0"/>
        <w:spacing w:line="360" w:lineRule="auto"/>
        <w:jc w:val="both"/>
        <w:rPr>
          <w:rFonts w:ascii="Book Antiqua" w:hAnsi="Book Antiqua"/>
          <w:b/>
          <w:i/>
          <w:color w:val="000000" w:themeColor="text1"/>
          <w:lang w:val="en-US"/>
        </w:rPr>
      </w:pPr>
      <w:r w:rsidRPr="00124E11">
        <w:rPr>
          <w:rFonts w:ascii="Book Antiqua" w:hAnsi="Book Antiqua"/>
          <w:b/>
          <w:i/>
          <w:color w:val="000000" w:themeColor="text1"/>
          <w:lang w:val="en-US"/>
        </w:rPr>
        <w:t xml:space="preserve">LUS </w:t>
      </w:r>
      <w:r w:rsidR="00A81957" w:rsidRPr="00124E11">
        <w:rPr>
          <w:rFonts w:ascii="Book Antiqua" w:hAnsi="Book Antiqua"/>
          <w:b/>
          <w:i/>
          <w:color w:val="000000" w:themeColor="text1"/>
          <w:lang w:val="en-US"/>
        </w:rPr>
        <w:t>and biliary duct injury</w:t>
      </w:r>
    </w:p>
    <w:p w14:paraId="3FC2A24E" w14:textId="214E833A"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Bile duct injury (BDI) is a dreaded complication during cholecystectomy. The incidence of BDI during LC remains at 0.3</w:t>
      </w:r>
      <w:r w:rsidR="00A81957" w:rsidRPr="00124E11">
        <w:rPr>
          <w:rFonts w:ascii="Book Antiqua" w:hAnsi="Book Antiqua"/>
          <w:color w:val="000000" w:themeColor="text1"/>
          <w:lang w:val="en-US"/>
        </w:rPr>
        <w:t>%</w:t>
      </w:r>
      <w:r w:rsidRPr="00124E11">
        <w:rPr>
          <w:rFonts w:ascii="Book Antiqua" w:hAnsi="Book Antiqua"/>
          <w:color w:val="000000" w:themeColor="text1"/>
          <w:lang w:val="en-US"/>
        </w:rPr>
        <w:t>-0.6%</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"10.1016/j.ijsu.2016.08.004", "ISSN" : "17439191", "author" : [ { "dropping-particle" : "", "family" : "Hogan", "given" : "N.M.", "non-dropping-particle" : "", "parse-names" : false, "suffix" : "" }, { "dropping-particle" : "", "family" : "Dorcaratto", "given" : "D.", "non-dropping-particle" : "", "parse-names" : false, "suffix" : "" }, { "dropping-particle" : "", "family" : "Hogan", "given" : "A.M.", "non-dropping-particle" : "", "parse-names" : false, "suffix" : "" }, { "dropping-particle" : "", "family" : "Nasirawan", "given" : "F.", "non-dropping-particle" : "", "parse-names" : false, "suffix" : "" }, { "dropping-particle" : "", "family" : "McEntee", "given" : "P.", "non-dropping-particle" : "", "parse-names" : false, "suffix" : "" }, { "dropping-particle" : "", "family" : "Maguire", "given" : "D.", "non-dropping-particle" : "", "parse-names" : false, "suffix" : "" }, { "dropping-particle" : "", "family" : "Geoghegan", "given" : "J.", "non-dropping-particle" : "", "parse-names" : false, "suffix" : "" }, { "dropping-particle" : "", "family" : "Traynor", "given" : "O.", "non-dropping-particle" : "", "parse-names" : false, "suffix" : "" }, { "dropping-particle" : "", "family" : "Winter", "given" : "D.C.", "non-dropping-particle" : "", "parse-names" : false, "suffix" : "" }, { "dropping-particle" : "", "family" : "Hoti", "given" : "E.", "non-dropping-particle" : "", "parse-names" : false, "suffix" : "" } ], "container-title" : "International Journal of Surgery", "id" : "ITEM-1", "issued" : { "date-parts" : [ [ "2016" ] ] }, "page" : "151-156", "title" : "Iatrogenic common bile duct injuries: Increasing complexity in the laparoscopic era: A prospective cohort study", "type" : "article-journal", "volume" : "33" }, "uris" : [ "http://www.mendeley.com/documents/?uuid=b8989e2f-a1a8-4b2d-a92a-b3f6c4b8fde6" ] } ], "mendeley" : { "formattedCitation" : "&lt;sup&gt;3&lt;/sup&gt;", "plainTextFormattedCitation" : "3", "previouslyFormattedCitation" : "&lt;sup&gt;3&lt;/sup&gt;"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with a trend suggesting its diminution as surgical experience and expertise is acquired</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"10.1007/s00464-015-4485-2", "ISBN" : "0930-2794", "ISSN" : "14322218", "PMID" : "26335071", "abstract" : "BACKGROUND: Early reports of higher complication rates, specifically bile duct injuries, raised concerns over the safety of laparoscopy over open cholecystectomy. This study aims to ascertain the rate, management, and perioperative outcomes of bile duct injury in an era beyond the laparoscopic learning curve. METHODS: The New York State (NYS) Planning and Research Cooperative System longitudinal administrative database was used to identify patients. From 2005 to 2010, 156,315 patients were identified who had undergone laparoscopic cholecystectomy for symptomatic cholelithiasis or acute or chronic cholecystitis. Patients were then tracked with unique identifiers for common bile duct injury. Common bile duct injury was identified by ICD-9 and CPT diagnosis and procedure codes for patients who subsequently underwent hepatectomy, hepaticojejunostomy, or other bile duct surgery. RESULTS: From 2005 to 2010, 156,958 patients were identified who had undergone laparoscopic cholecystectomy for symptomatic cholelithiasis or acute or chronic cholecystitis. Of the total patients, 149 patients underwent a biliary duct procedure within a year. Twenty-four of them were diagnosed with gallbladder cancer and excluded, leaving 125 for further analysis. The biliary injuries were identified at a rate of 0.080 %. Thirty-one of those patients (24.8 %) underwent hepatectomy, 40 patients (32.0 %) underwent hepaticoenterostomy, and 54 patients (43.2 %) underwent primary repair of the bile duct. Thirty-two (26 %) patients were repaired on the same day of their initial procedure. Of the remaining 93 patients, 38 (30 %) were repaired within 10 days, seven (6 %) repaired between 11 and 20 days, and 48 (38 %) patients over 21 days from injury. CONCLUSION: In NYS, the rate of bile duct injury has now decreased to 0.08 % and mirrors the historical figures quoted for open cholecystectomy. This improvement likely reflects increased experience, improved instrumentation, and movement beyond the \"learning curve.\"", "author" : [ { "dropping-particle" : "", "family" : "Halbert", "given" : "Caitlin", "non-dropping-particle" : "", "parse-names" : false, "suffix" : "" }, { "dropping-particle" : "", "family" : "Pagkratis", "given" : "Spyridon", "non-dropping-particle" : "", "parse-names" : false, "suffix" : "" }, { "dropping-particle" : "", "family" : "Yang", "given" : "Jie", "non-dropping-particle" : "", "parse-names" : false, "suffix" : "" }, { "dropping-particle" : "", "family" : "Meng", "given" : "Ziqi", "non-dropping-particle" : "", "parse-names" : false, "suffix" : "" }, { "dropping-particle" : "", "family" : "Altieri", "given" : "Maria S.", "non-dropping-particle" : "", "parse-names" : false, "suffix" : "" }, { "dropping-particle" : "", "family" : "Parikh", "given" : "Purvi", "non-dropping-particle" : "", "parse-names" : false, "suffix" : "" }, { "dropping-particle" : "", "family" : "Pryor", "given" : "Aurora", "non-dropping-particle" : "", "parse-names" : false, "suffix" : "" }, { "dropping-particle" : "", "family" : "Talamini", "given" : "Mark", "non-dropping-particle" : "", "parse-names" : false, "suffix" : "" }, { "dropping-particle" : "", "family" : "Telem", "given" : "Dana A.", "non-dropping-particle" : "", "parse-names" : false, "suffix" : "" } ], "container-title" : "Surgical Endoscopy and Other Interventional Techniques", "id" : "ITEM-1", "issue" : "6", "issued" : { "date-parts" : [ [ "2016" ] ] }, "page" : "2239-2243", "title" : "Beyond the learning curve: incidence of bile duct injuries following laparoscopic cholecystectomy normalize to open in the modern era", "type" : "article-journal", "volume" : "30" }, "uris" : [ "http://www.mendeley.com/documents/?uuid=9f84c180-3e22-42b0-9ffe-11eeec102395" ] } ], "mendeley" : { "formattedCitation" : "&lt;sup&gt;4&lt;/sup&gt;", "plainTextFormattedCitation" : "4", "previouslyFormattedCitation" : "&lt;sup&gt;4&lt;/sup&gt;"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BDI combined with vascular injury is observed in 12% of patients, which may negatively impact treatment and recovery</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"0039-6109", "PMID" : "8047943", "abstract" : "Both open cholecystectomy and laparoscopic cholecystectomy are highly safe and effective procedures for the treatment of patients with symptomatic cholelithiasis. Today, adverse outcomes after open cholecystectomy are largely limited to elderly patients with co-morbid conditions and complicated biliary tract disease. Although infrequent, major biliary complications still occur and have been slightly more common in the initial experience with laparoscopic cholecystectomy. Diagnosis of these potentially serious problems is founded on recognition of their early clinical manifestations and accurate cholangiographic definition on which definitive therapy is predicated.", "author" : [ { "dropping-particle" : "", "family" : "Deziel", "given" : "D J", "non-dropping-particle" : "", "parse-names" : false, "suffix" : "" } ], "container-title" : "The Surgical clinics of North America", "id" : "ITEM-1", "issue" : "4", "issued" : { "date-parts" : [ [ "1994" ] ] }, "page" : "809-23", "title" : "Complications of cholecystectomy. Incidence, clinical manifestations, and diagnosis.", "type" : "article-journal", "volume" : "74" }, "uris" : [ "http://www.mendeley.com/documents/?uuid=ab844c7f-42f1-43e1-a932-9aeee060d5ef" ] } ], "mendeley" : { "formattedCitation" : "&lt;sup&gt;56&lt;/sup&gt;", "plainTextFormattedCitation" : "56", "previouslyFormattedCitation" : "&lt;sup&gt;56&lt;/sup&gt;"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p>
    <w:p w14:paraId="28D9574A" w14:textId="73066D00"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BDIs are best prevented by fine dissection using different techniques as recommended for simple vs. more complex LC cases</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"10.1097/SLE.0b013e3182008efb", "ISSN" : "1534-4908", "PMID" : "21150413", "abstract" : "Major bile duct injury (MBDI) is one of the most serious complications associated with laparoscopic cholecystectomy (LC). This study reports our experience in preventing MBDI during LC. Between September 1991 and August 2004, 13,000 cases of LC were performed at Kunming General Hospital. Systemic strategies, including selection of proper patients for LC based on the surgeons' experience, dissection techniques in Calot's triangle, selective use of laparoscopic ultrasonography, and indication of conversion to an open approach were developed and introduced to avoid MBDI. In our series, the overall incidence of MBDI was 0.085%, 0.60% (3 of 500) over the first period from September 1991 to September 1992, 0.17% (5 of 3000) over the second period from October 1992 to September 1996, and 0.03% (3 of 9500) over the third period from October 1996 to August 2004. The MBDI included transection of the common bile duct (CBD) due to mistaking CBD for cystic duct (n=6), cautery injury (n=3), laceration of the CBD at the junction of cystic duct and CBD (n=1), and clip partially of common hepatic duct due to blind hemostasis (n=1). The incidence of MBDI in our institution is acceptable. We believe the system strategies are effective to avoid MBDI in LC. LC is a safe procedure with an incidence of biliary injury comparable with that for open cholecystectomy.", "author" : [ { "dropping-particle" : "", "family" : "Zha", "given" : "Yong", "non-dropping-particle" : "", "parse-names" : false, "suffix" : "" }, { "dropping-particle" : "", "family" : "Chen", "given" : "Xun-Ru", "non-dropping-particle" : "", "parse-names" : false, "suffix" : "" }, { "dropping-particle" : "", "family" : "Luo", "given" : "Ding", "non-dropping-particle" : "", "parse-names" : false, "suffix" : "" }, { "dropping-particle" : "", "family" : "Jin", "given" : "Yun", "non-dropping-particle" : "", "parse-names" : false, "suffix" : "" } ], "container-title" : "Surgical laparoscopy, endoscopy &amp; percutaneous techniques", "id" : "ITEM-1", "issue" : "6", "issued" : { "date-parts" : [ [ "2010", "12" ] ] }, "note" : "on l", "page" : "378-83", "title" : "The prevention of major bile duct injures in laparoscopic cholecystectomy: the experience with 13,000 patients in a single center.", "type" : "article-journal", "volume" : "20" }, "uris" : [ "http://www.mendeley.com/documents/?uuid=ffaba072-d3fe-4405-bf81-316e7fbee2f9" ] } ], "mendeley" : { "formattedCitation" : "&lt;sup&gt;57&lt;/sup&gt;", "plainTextFormattedCitation" : "57", "previouslyFormattedCitation" : "&lt;sup&gt;57&lt;/sup&gt;"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57</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"10.3748/wjg.v22.i47.10287", "ISSN" : "2219-2840", "PMID" : "28058010", "abstract" : "Laparoscopic cholecystectomy (LC) does not require advanced techniques, and its performance has therefore rapidly spread worldwide. However, the rate of biliary injuries has not decreased. The concept of the critical view of safety (CVS) was first documented two decades ago. Unexpected injuries are principally due to misidentification of human factors. The surgeon's assumption is a major cause of misidentification, and a high level of experience alone is not sufficient for successful LC. We herein describe tips and pitfalls of LC in detail and discuss various technical considerations. Finally, based on a review of important papers and our own experience, we summarize the following mandatory protocol for safe LC: (1) consideration that a high level of experience alone is not enough; (2) recognition of the plateau involving the common hepatic duct and hepatic hilum; (3) blunt dissection until CVS exposure; (4) Calot's triangle clearance in the overhead view; (5) Calot's triangle clearance in the view from underneath; (6) dissection of the posterior right side of Calot's triangle; (7) removal of the gallbladder body; and (8) positive CVS exposure. We believe that adherence to this protocol will ensure successful and beneficial LC worldwide, even in patients with inflammatory changes and rare anatomies.", "author" : [ { "dropping-particle" : "", "family" : "Hori", "given" : "Tomohide", "non-dropping-particle" : "", "parse-names" : false, "suffix" : "" }, { "dropping-particle" : "", "family" : "Oike", "given" : "Fumitaka", "non-dropping-particle" : "", "parse-names" : false, "suffix" : "" }, { "dropping-particle" : "", "family" : "Furuyama", "given" : "Hiroaki", "non-dropping-particle" : "", "parse-names" : false, "suffix" : "" }, { "dropping-particle" : "", "family" : "Machimoto", "given" : "Takafumi", "non-dropping-particle" : "", "parse-names" : false, "suffix" : "" }, { "dropping-particle" : "", "family" : "Kadokawa", "given" : "Yoshio", "non-dropping-particle" : "", "parse-names" : false, "suffix" : "" }, { "dropping-particle" : "", "family" : "Hata", "given" : "Toshiyuki", "non-dropping-particle" : "", "parse-names" : false, "suffix" : "" }, { "dropping-particle" : "", "family" : "Kato", "given" : "Shigeru", "non-dropping-particle" : "", "parse-names" : false, "suffix" : "" }, { "dropping-particle" : "", "family" : "Yasukawa", "given" : "Daiki", "non-dropping-particle" : "", "parse-names" : false, "suffix" : "" }, { "dropping-particle" : "", "family" : "Aisu", "given" : "Yuki", "non-dropping-particle" : "", "parse-names" : false, "suffix" : "" }, { "dropping-particle" : "", "family" : "Sasaki", "given" : "Maho", "non-dropping-particle" : "", "parse-names" : false, "suffix" : "" }, { "dropping-particle" : "", "family" : "Kimura", "given" : "Yusuke", "non-dropping-particle" : "", "parse-names" : false, "suffix" : "" }, { "dropping-particle" : "", "family" : "Takamatsu", "given" : "Yuichiro", "non-dropping-particle" : "", "parse-names" : false, "suffix" : "" }, { "dropping-particle" : "", "family" : "Naito", "given" : "Masato", "non-dropping-particle" : "", "parse-names" : false, "suffix" : "" }, { "dropping-particle" : "", "family" : "Nakauchi", "given" : "Masaya", "non-dropping-particle" : "", "parse-names" : false, "suffix" : "" }, { "dropping-particle" : "", "family" : "Tanaka", "given" : "Takahiro", "non-dropping-particle" : "", "parse-names" : false, "suffix" : "" }, { "dropping-particle" : "", "family" : "Gunji", "given" : "Daigo", "non-dropping-particle" : "", "parse-names" : false, "suffix" : "" }, { "dropping-particle" : "", "family" : "Nakamura", "given" : "Kiyokuni", "non-dropping-particle" : "", "parse-names" : false, "suffix" : "" }, { "dropping-particle" : "", "family" : "Sato", "given" : "Kiyoko", "non-dropping-particle" : "", "parse-names" : false, "suffix" : "" }, { "dropping-particle" : "", "family" : "Mizuno", "given" : "Masahiro", "non-dropping-particle" : "", "parse-names" : false, "suffix" : "" }, { "dropping-particle" : "", "family" : "Iida", "given" : "Taku", "non-dropping-particle" : "", "parse-names" : false, "suffix" : "" }, { "dropping-particle" : "", "family" : "Yagi", "given" : "Shintaro", "non-dropping-particle" : "", "parse-names" : false, "suffix" : "" }, { "dropping-particle" : "", "family" : "Uemoto", "given" : "Shinji", "non-dropping-particle" : "", "parse-names" : false, "suffix" : "" }, { "dropping-particle" : "", "family" : "Yoshimura", "given" : "Tsunehiro", "non-dropping-particle" : "", "parse-names" : false, "suffix" : "" } ], "container-title" : "World journal of gastroenterology", "id" : "ITEM-1", "issue" : "47", "issued" : { "date-parts" : [ [ "2016" ] ] }, "page" : "10287-10303", "title" : "Protocol for laparoscopic cholecystectomy: Is it rocket science?", "type" : "article-journal", "volume" : "22" }, "uris" : [ "http://www.mendeley.com/documents/?uuid=9c1b7bce-c2a8-4920-9ae7-cdd91e010881" ] } ], "mendeley" : { "formattedCitation" : "&lt;sup&gt;58&lt;/sup&gt;", "plainTextFormattedCitation" : "58", "previouslyFormattedCitation" : "&lt;sup&gt;58&lt;/sup&gt;"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58</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Described by Strasberg et al in 1995, the critical view of safety (CVS), a systematic dissection that skelet</w:t>
      </w:r>
      <w:r w:rsidR="00C94AF2" w:rsidRPr="00124E11">
        <w:rPr>
          <w:rFonts w:ascii="Book Antiqua" w:hAnsi="Book Antiqua"/>
          <w:color w:val="000000" w:themeColor="text1"/>
          <w:lang w:val="en-US"/>
        </w:rPr>
        <w:t>on</w:t>
      </w:r>
      <w:r w:rsidRPr="00124E11">
        <w:rPr>
          <w:rFonts w:ascii="Book Antiqua" w:hAnsi="Book Antiqua"/>
          <w:color w:val="000000" w:themeColor="text1"/>
          <w:lang w:val="en-US"/>
        </w:rPr>
        <w:t>izes the Calot’s triangle and delineates the relationship of anatomic structures, has been suggested to play a protective role against BD1</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"10.1007/s11605-008-0748-8", "ISBN" : "1091-255X", "ISSN" : "1091255X", "PMID" : "19009323", "abstract" : "INTRODUCTION: Bile duct injuries have been substantially increased after the introduction of laparoscopic cholecystectomy (LC). They are accompanied by major morbidity, occasional mortality, lengthening of hospital stay, additional health costs, and deterioration of patients' quality of life and life expectancy. The aim of this study was to present the method of \"critical view of safety\" (CVS) as safe and feasible for the prevention of bile duct injuries during laparoscopic cholecystectomy.\\n\\nPATIENTS AND METHODS: During a 6-year period from January 2002 till December 2007, 1,046 LCs (369 men and 677 women) were performed mainly for symptomatic gallstone disease. The CVS technique recommends clearing the triangle of Calot of fat and fibrous tissue and taking the gallbladder off the lowest part of its attachment to the gallbladder bed. The \"infundibular\" technique (identification of cystic duct and gallbladder junction) was used whenever CVS was not possible to perform.\\n\\nRESULTS: The CVS was performed in 998 patients (95.4%). Overall, 27 patients needed conversion to the open approach (2.6%). This rate was higher in patients with acute inflammation undergoing early operation (nine of 128, 7%) compared with patients operated later or electively (18 of 914, 1.9%). There was no bile duct injury in the 1,046 cholecystectomies. Postoperatively, five patients had bile leaks which were transient and stopped spontaneously after 2-14 days. Two reoperations were performed because of severe bleeding.\\n\\nCONCLUSION: CVS clarifies the relations of the anatomic structures that should be divided, and therefore, it should be ideally and routinely applied in all LCs because of its highly protective role against bile duct injuries.", "author" : [ { "dropping-particle" : "", "family" : "Avgerinos", "given" : "C.", "non-dropping-particle" : "", "parse-names" : false, "suffix" : "" }, { "dropping-particle" : "", "family" : "Kelgiorgi", "given" : "D.", "non-dropping-particle" : "", "parse-names" : false, "suffix" : "" }, { "dropping-particle" : "", "family" : "Touloumis", "given" : "Z.", "non-dropping-particle" : "", "parse-names" : false, "suffix" : "" }, { "dropping-particle" : "", "family" : "Baltatzi", "given" : "L.", "non-dropping-particle" : "", "parse-names" : false, "suffix" : "" }, { "dropping-particle" : "", "family" : "Dervenis", "given" : "C.", "non-dropping-particle" : "", "parse-names" : false, "suffix" : "" } ], "container-title" : "Journal of Gastrointestinal Surgery", "id" : "ITEM-1", "issue" : "3", "issued" : { "date-parts" : [ [ "2009" ] ] }, "page" : "498-503", "title" : "One thousand laparoscopic cholecystectomies in a single surgical unit using the \"critical view of safety\" technique", "type" : "article-journal", "volume" : "13" }, "uris" : [ "http://www.mendeley.com/documents/?uuid=c8608933-7715-4fd6-b86a-2633a292ff9d" ] } ], "mendeley" : { "formattedCitation" : "&lt;sup&gt;59&lt;/sup&gt;", "plainTextFormattedCitation" : "59", "previouslyFormattedCitation" : "&lt;sup&gt;59&lt;/sup&gt;"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59</w:t>
      </w:r>
      <w:r w:rsidRPr="00124E11">
        <w:rPr>
          <w:rFonts w:ascii="Book Antiqua" w:hAnsi="Book Antiqua"/>
          <w:color w:val="000000" w:themeColor="text1"/>
          <w:lang w:val="en-US"/>
        </w:rPr>
        <w:fldChar w:fldCharType="end"/>
      </w:r>
      <w:r w:rsidR="00655722">
        <w:rPr>
          <w:rFonts w:ascii="Book Antiqua" w:hAnsi="Book Antiqua" w:hint="eastAsia"/>
          <w:color w:val="000000" w:themeColor="text1"/>
          <w:vertAlign w:val="superscript"/>
          <w:lang w:val="en-US" w:eastAsia="zh-CN"/>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"10.1016/j.jamcollsurg.2010.02.053", "ISBN" : "1879-1190 (Electronic)\\r1072-7515 (Linking)", "ISSN" : "10727515", "PMID" : "20610259", "abstract" : "Bereavement is a common life event for older adults and is associated with increased risk of morbidity and mortality, though the underlying reasons for this link are poorly understood. Although physical and emotional stressors and ageing are known to suppress immunity, few studies have explored the impact of bereavement upon immunity in the older population. We therefore hypothesised that the emotional stress of bereavement would suppress immune function, specifically neutrophil bactericidal activity, in older adults. A between-subjects design was used to examine the effect of recent bereavement (&lt;2months) on neutrophil function in elders. Participants were 24 bereaved and 24 age- and sex-matched non-bereaved controls all aged 65+years. Neutrophil phagocytosis of Escherichia coli (E. coli) and stimulated superoxide production were assessed. Cortisol and dehydroepiandrosterone-sulphate (DHEAS) levels were determined in serum to assess potential mechanisms. Depressive and anxiety symptoms were measured by questionnaire. Neutrophil superoxide production was significantly reduced among the bereaved when challenged with E. coli (p=0.05), or phorbol 12-myristate 13-acetate (p=0.009). Further, the bereaved group had a significantly higher cortisol:DHEAS ratio compared to controls (p=0.03). There was no difference in neutrophil phagocytosis between the two groups. The psychological questionnaire results showed that the bereaved had significantly greater depressive and anxiety symptoms than the non-bereaved. The emotional stress of bereavement is associated with suppressed neutrophil superoxide production and with a raised cortisol:DHEAS ratio. The stress of bereavement exaggerates the age-related decline in HPA axis and combines with immune ageing to further suppress immune function, which may help to the explain increased risk of infection in bereaved older adults.", "author" : [ { "dropping-particle" : "", "family" : "Strasberg", "given" : "Steven M.", "non-dropping-particle" : "", "parse-names" : false, "suffix" : "" }, { "dropping-particle" : "", "family" : "Brunt", "given" : "L. Michael", "non-dropping-particle" : "", "parse-names" : false, "suffix" : "" } ], "container-title" : "Journal of the American College of Surgeons", "id" : "ITEM-1", "issue" : "1", "issued" : { "date-parts" : [ [ "2010" ] ] }, "page" : "132-138", "title" : "Rationale and Use of the Critical View of Safety in Laparoscopic Cholecystectomy", "type" : "article-journal", "volume" : "211" }, "uris" : [ "http://www.mendeley.com/documents/?uuid=b0db5e85-023d-4c1f-9427-9b46bd854b6f" ] } ], "mendeley" : { "formattedCitation" : "&lt;sup&gt;61&lt;/sup&gt;", "plainTextFormattedCitation" : "61", "previouslyFormattedCitation" : "&lt;sup&gt;61&lt;/sup&gt;"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61</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A drop in BDIs following the implementation of CVS as a dissection principle during LC was documented </w:t>
      </w:r>
      <w:r w:rsidR="00CC02BE" w:rsidRPr="00124E11">
        <w:rPr>
          <w:rFonts w:ascii="Book Antiqua" w:hAnsi="Book Antiqua"/>
          <w:color w:val="000000" w:themeColor="text1"/>
          <w:lang w:val="en-US"/>
        </w:rPr>
        <w:t xml:space="preserve">by Yamashita et al </w:t>
      </w:r>
      <w:r w:rsidRPr="00124E11">
        <w:rPr>
          <w:rFonts w:ascii="Book Antiqua" w:hAnsi="Book Antiqua"/>
          <w:color w:val="000000" w:themeColor="text1"/>
          <w:lang w:val="en-US"/>
        </w:rPr>
        <w:t>in a Japanese report</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"10.1007/s00595-009-4218-z", "ISSN" : "09411291", "PMID" : "20496131", "abstract" : "Bile duct injuries (BDI) during a laparoscopic cholecystectomy (LC) occur more frequently than during an open cholecystectomy. Many expert surgeons learn to perform procedures safely based on their experience. Above all, the critical view of safety (CVS) introduced by Strasberg in 1995 is the standard practice to prevent BDI during an LC. The CVS is achieved by clearing all fat and fibrous tissue in Calot's triangle, after which the cystic structures can be clearly identified, occluded, and divided. Failure to successfully create this view may be an indication for conversion to an open cholecystectomy. The Japan Society for Endoscopic Surgery (JSES) introduced an accreditation examination in 2004. The critical view is an important factor used to judge a safe dissection. The annual ratios of successful applicants were 63% in 2004, 45% in 2005, 36% in 2006, 39% in 2007, and 44% in 2008. Biennial questionnaire surveys by JSES show that the laparoscopic BDI rates were 0.66% in 1990-2001, 0.79% in 2002, 0.77% in 2003, 0.66% in 2004, 0.77% in 2005, 0.65% in 2006, and 0.58% in 2007. Therefore, 2007 was the first year in which the rate was below 0.6%. A decreasing BDI rate is therefore expected because successful candidates will introduce technical improvements to colleagues in their hospitals and local regions.", "author" : [ { "dropping-particle" : "", "family" : "Yamashita", "given" : "Yuichi", "non-dropping-particle" : "", "parse-names" : false, "suffix" : "" }, { "dropping-particle" : "", "family" : "Kimura", "given" : "Taizo", "non-dropping-particle" : "", "parse-names" : false, "suffix" : "" }, { "dropping-particle" : "", "family" : "Matsumoto", "given" : "Sumio", "non-dropping-particle" : "", "parse-names" : false, "suffix" : "" } ], "container-title" : "Surgery Today", "id" : "ITEM-1", "issue" : "6", "issued" : { "date-parts" : [ [ "2010" ] ] }, "page" : "507-513", "title" : "A safe laparoscopic cholecystectomy depends upon the establishment of a critical view of safety", "type" : "article-journal", "volume" : "40" }, "uris" : [ "http://www.mendeley.com/documents/?uuid=766d2919-f6cc-4b7c-b170-7dd0d93525c9" ] } ], "mendeley" : { "formattedCitation" : "&lt;sup&gt;62&lt;/sup&gt;", "plainTextFormattedCitation" : "62", "previouslyFormattedCitation" : "&lt;sup&gt;62&lt;/sup&gt;"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Despite this evidence, CVS still appears to be underutilized by surgeons in current practice</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"10.1007/s00464-015-4609-8", "ISSN" : "14322218", "PMID" : "26541721", "abstract" : "INTRODUCTION: Since the widespread adoption of laparoscopic techniques in biliary surgery, the incidence of bile duct injures (BDI) has not significantly declined despite increased operative experience and recognition of the critical view of safety (CVS) method for anatomic identification. We hypothesized that operative approaches in clinical practice may vary from well-described technical recommendations. The objective of this study was to access how practicing surgeons commonly identify anatomy during laparoscopic cholecystectomy (LC). METHODS: We performed a cohort study assessing practices in biliary surgery among current practicing surgeons. Surgeons belonging to the Midwest Surgical Association and the Society of American Gastrointestinal and Endoscopic Surgeons were surveyed. Items surveyed include preferred methods for cystic duct identification, recognition of the CVS, and use of intraoperative imaging. RESULTS: In total, 374 of 849 surgeons responded. The CVS was not correctly identified by 75 % of surgeons descriptively and by 21 % of surgeons visually. 56 % of surgeons practiced the infundibular method for identification of the cystic duct; 27 % practiced the CVS method. Intraoperative cholangiography was used by 16 % and laparoscopic ultrasound by &lt;1 %. CONCLUSION: A majority of surgeons preferably do not use the CVS method of identification during LC. A large percentage of practicing surgeons are unable to describe or visually identify the CVS. These results suggest an urgent need to reexamine the tenets of how LC is being taught and disseminated and present a clear target for improvement to reduce BDI.", "author" : [ { "dropping-particle" : "", "family" : "Daly", "given" : "Shaun C.", "non-dropping-particle" : "", "parse-names" : false, "suffix" : "" }, { "dropping-particle" : "", "family" : "Deziel", "given" : "Daniel J.", "non-dropping-particle" : "", "parse-names" : false, "suffix" : "" }, { "dropping-particle" : "", "family" : "Li", "given" : "Xuan", "non-dropping-particle" : "", "parse-names" : false, "suffix" : "" }, { "dropping-particle" : "", "family" : "Thaqi", "given" : "Milot", "non-dropping-particle" : "", "parse-names" : false, "suffix" : "" }, { "dropping-particle" : "", "family" : "Millikan", "given" : "Keith W.", "non-dropping-particle" : "", "parse-names" : false, "suffix" : "" }, { "dropping-particle" : "", "family" : "Myers", "given" : "Jonathan A.", "non-dropping-particle" : "", "parse-names" : false, "suffix" : "" }, { "dropping-particle" : "", "family" : "Bonomo", "given" : "Steven", "non-dropping-particle" : "", "parse-names" : false, "suffix" : "" }, { "dropping-particle" : "", "family" : "Luu", "given" : "Minh B.", "non-dropping-particle" : "", "parse-names" : false, "suffix" : "" } ], "container-title" : "Surgical Endoscopy and Other Interventional Techniques", "id" : "ITEM-1", "issue" : "8", "issued" : { "date-parts" : [ [ "2016" ] ] }, "page" : "3345-3350", "publisher" : "Springer US", "title" : "Current practices in biliary surgery: Do we practice what we teach?", "type" : "article-journal", "volume" : "30" }, "uris" : [ "http://www.mendeley.com/documents/?uuid=74bcf5e8-dfc1-45e1-942d-2e0ce157759e" ] } ], "mendeley" : { "formattedCitation" : "&lt;sup&gt;36&lt;/sup&gt;", "plainTextFormattedCitation" : "36", "previouslyFormattedCitation" : "&lt;sup&gt;36&lt;/sup&gt;"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and may even be insuffi</w:t>
      </w:r>
      <w:r w:rsidR="00662276" w:rsidRPr="00124E11">
        <w:rPr>
          <w:rFonts w:ascii="Book Antiqua" w:hAnsi="Book Antiqua"/>
          <w:color w:val="000000" w:themeColor="text1"/>
          <w:lang w:val="en-US"/>
        </w:rPr>
        <w:t>ci</w:t>
      </w:r>
      <w:r w:rsidRPr="00124E11">
        <w:rPr>
          <w:rFonts w:ascii="Book Antiqua" w:hAnsi="Book Antiqua"/>
          <w:color w:val="000000" w:themeColor="text1"/>
          <w:lang w:val="en-US"/>
        </w:rPr>
        <w:t>ent in terms of minimizing CBDI. Further, major CBDIs continue to occur, even for surgical teams that have adopted CVS as a standard dissection technique</w:t>
      </w:r>
      <w:r w:rsidR="00CC02BE" w:rsidRPr="00124E11">
        <w:rPr>
          <w:rFonts w:ascii="Book Antiqua" w:hAnsi="Book Antiqua"/>
          <w:color w:val="000000" w:themeColor="text1"/>
          <w:lang w:val="en-US"/>
        </w:rPr>
        <w:t xml:space="preserve"> as reported by de Reuver </w:t>
      </w:r>
      <w:r w:rsidR="00CC02BE"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"10.1016/j.surg.2007.03.004", "ISBN" : "0039-6060 (Print)\\n0039-6060 (Linking)", "ISSN" : "00396060", "PMID" : "17629994", "abstract" : "Background: Bile duct injury (BDI) after laparoscopic cholecystectomy (LC) has an enormous socioeconomic impact on patients. BDI has been associated with severe morbidity, impaired survival, and poor long-term quality of life. This study was performed to analyze the impact of a multidisciplinary approach in BDI patients on survival. Methods: A prospective cohort study was performed in a tertiary referral center to determine the effect of a multidisciplinary treatment on survival in 500 bile duct injury patients. Referral pattern and patient survival after bile duct injury are analyzed, and a survey was performed on the prevalence of medical litigation in bile duct injury patients. Results: The number of patients referred to the Amsterdam Medical Center increased to 0.3% of the total number of patients, yearly undergoing laparoscopic cholecystectomy in the Netherlands. The referral rate to the departments of gastroenterology (n = 329), surgery (n = 146), and radiology (n = 25) was, respectively, 66%, 29%, and 5%. After referral to the tertiary center, 150 patients (30%) were internally referred to a different department to optimize treatment. The 10-year survival rate in bile duct injury patients is not significantly worse compared with the age-matched general Dutch population (89% vs 88%, P = .7). Overall, 19% of the patients submitted a medical litigation claim against the initial surgeon or hospital. In total, 40% of these claims were resolved in the favor of the patients through settlement or verdict. Conclusions: BDI is a severe complication in modern surgical practice. BDI is associated with major morbidity and high rates of litigation claims. The detrimental effect of BDI on survival can be prevented if gastroenterologists, radiologists, and surgeons work together in a multidisciplinary team. \u00a9 2007 Mosby, Inc. All rights reserved.", "author" : [ { "dropping-particle" : "", "family" : "Reuver", "given" : "Philip R.", "non-dropping-particle" : "de", "parse-names" : false, "suffix" : "" }, { "dropping-particle" : "", "family" : "Rauws", "given" : "Erik A.", "non-dropping-particle" : "", "parse-names" : false, "suffix" : "" }, { "dropping-particle" : "", "family" : "Bruno", "given" : "Marco J.", "non-dropping-particle" : "", "parse-names" : false, "suffix" : "" }, { "dropping-particle" : "", "family" : "Lameris", "given" : "Johan S.", "non-dropping-particle" : "", "parse-names" : false, "suffix" : "" }, { "dropping-particle" : "", "family" : "Busch", "given" : "Olivier R.", "non-dropping-particle" : "", "parse-names" : false, "suffix" : "" }, { "dropping-particle" : "", "family" : "Gulik", "given" : "Thomas M.", "non-dropping-particle" : "van", "parse-names" : false, "suffix" : "" }, { "dropping-particle" : "", "family" : "Gouma", "given" : "Dirk J.", "non-dropping-particle" : "", "parse-names" : false, "suffix" : "" } ], "container-title" : "Surgery", "id" : "ITEM-1", "issue" : "1", "issued" : { "date-parts" : [ [ "2007" ] ] }, "page" : "1-9", "title" : "Survival in bile duct injury patients after laparoscopic cholecystectomy: a multidisciplinary approach of gastroenterologists, radiologists, and surgeons", "type" : "article-journal", "volume" : "142" }, "uris" : [ "http://www.mendeley.com/documents/?uuid=303c5b14-e39b-424f-911f-5bf136e45929" ] } ], "mendeley" : { "formattedCitation" : "&lt;sup&gt;63&lt;/sup&gt;", "plainTextFormattedCitation" : "63", "previouslyFormattedCitation" : "&lt;sup&gt;63&lt;/sup&gt;"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p>
    <w:p w14:paraId="34F67A44" w14:textId="7DD52515"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In 1996, Birth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"ISSN" : "0930-2794", "PMID" : "8694939", "abstract" : "BACKGROUND The purpose of this study was to investigate the possibility of detecting bile duct injuries using laparoscopic intraoperative ultrasound (LIOU). METHODS Fifty bile duct injuries were created using laparoscopic techniques in ten farmer pigs. The lesions created were: (1) partial occlusion, (2) complete occlusion (1 clip), (3) complete occlusion (2 clips), (4) transection between clips, (5) excision between clips. RESULTS All injuries were easily visualized using LIOU. The relation of clips impinging upon or occluding the bile duct was readily visualized on LIOU in all cases. In some cases it was difficult to distinguish between partial and complete occlusion. It was also difficult to distinguish between transection and excision due to retraction of the severed bile duct. CONCLUSIONS In cases of iatrogenic occlusion of the bile duct involving hemoclips (including transection or excision between clips), LIOU is a potentially useful modality that may allow earlier recognition and repair. Further studies are needed to evaluate the efficacy of LIOU in detection of bile duct injuries that do not involve hemoclips.", "author" : [ { "dropping-particle" : "", "family" : "Birth", "given" : "M", "non-dropping-particle" : "", "parse-names" : false, "suffix" : "" }, { "dropping-particle" : "", "family" : "Carroll", "given" : "B J", "non-dropping-particle" : "", "parse-names" : false, "suffix" : "" }, { "dropping-particle" : "", "family" : "Delinikolas", "given" : "K", "non-dropping-particle" : "", "parse-names" : false, "suffix" : "" }, { "dropping-particle" : "", "family" : "Eichler", "given" : "M", "non-dropping-particle" : "", "parse-names" : false, "suffix" : "" }, { "dropping-particle" : "", "family" : "Weiser", "given" : "H", "non-dropping-particle" : "", "parse-names" : false, "suffix" : "" } ], "container-title" : "Surgical endoscopy", "id" : "ITEM-1", "issue" : "8", "issued" : { "date-parts" : [ [ "1996", "8" ] ] }, "page" : "794-7", "title" : "Recognition of laparoscopic bile duct injuries by intraoperative ultrasonography.", "type" : "article-journal", "volume" : "10" }, "uris" : [ "http://www.mendeley.com/documents/?uuid=81a19d53-00bd-4aa8-9159-cb5380ed3255" ] } ], "mendeley" : { "formattedCitation" : "&lt;sup&gt;18&lt;/sup&gt;", "plainTextFormattedCitation" : "18", "previouslyFormattedCitation" : "&lt;sup&gt;18&lt;/sup&gt;"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18</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reported a </w:t>
      </w:r>
      <w:r w:rsidR="00662276" w:rsidRPr="00124E11">
        <w:rPr>
          <w:rFonts w:ascii="Book Antiqua" w:hAnsi="Book Antiqua"/>
          <w:color w:val="000000" w:themeColor="text1"/>
          <w:lang w:val="en-US"/>
        </w:rPr>
        <w:t xml:space="preserve">100% </w:t>
      </w:r>
      <w:r w:rsidRPr="00124E11">
        <w:rPr>
          <w:rFonts w:ascii="Book Antiqua" w:hAnsi="Book Antiqua"/>
          <w:color w:val="000000" w:themeColor="text1"/>
          <w:lang w:val="en-US"/>
        </w:rPr>
        <w:t>recognition rate of BDIs using LUS in an experimental animal study without blinding (</w:t>
      </w:r>
      <w:r w:rsidRPr="00655722">
        <w:rPr>
          <w:rFonts w:ascii="Book Antiqua" w:hAnsi="Book Antiqua"/>
          <w:i/>
          <w:color w:val="000000" w:themeColor="text1"/>
          <w:lang w:val="en-US"/>
        </w:rPr>
        <w:t>i.e.</w:t>
      </w:r>
      <w:r w:rsidRPr="00124E11">
        <w:rPr>
          <w:rFonts w:ascii="Book Antiqua" w:hAnsi="Book Antiqua"/>
          <w:color w:val="000000" w:themeColor="text1"/>
          <w:lang w:val="en-US"/>
        </w:rPr>
        <w:t xml:space="preserve"> surgeons knew that BDIs were present). These data may therefore be biased and should be interpreted with caution.</w:t>
      </w:r>
    </w:p>
    <w:p w14:paraId="6EBD4802" w14:textId="3F3A0B7B"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Data for LUS and the prevention or detection of BDIs are sparse. Across the studies reviewed (Table 1),</w:t>
      </w:r>
      <w:r w:rsidRPr="00124E11">
        <w:rPr>
          <w:rFonts w:ascii="Book Antiqua" w:hAnsi="Book Antiqua"/>
          <w:b/>
          <w:color w:val="000000" w:themeColor="text1"/>
          <w:lang w:val="en-US"/>
        </w:rPr>
        <w:t xml:space="preserve"> </w:t>
      </w:r>
      <w:r w:rsidRPr="00124E11">
        <w:rPr>
          <w:rFonts w:ascii="Book Antiqua" w:hAnsi="Book Antiqua"/>
          <w:color w:val="000000" w:themeColor="text1"/>
          <w:lang w:val="en-US"/>
        </w:rPr>
        <w:t>no BDIs were reported with only 2 studies emphasizing the importance of combining CVS and LUS</w:t>
      </w:r>
      <w:r w:rsidRPr="00124E11">
        <w:rPr>
          <w:rFonts w:ascii="Book Antiqua" w:hAnsi="Book Antiqua"/>
          <w:color w:val="000000" w:themeColor="text1"/>
          <w:vertAlign w:val="superscript"/>
          <w:lang w:val="en-US"/>
        </w:rPr>
        <w:t>[</w:t>
      </w:r>
      <w:r w:rsidR="00A81957" w:rsidRPr="00124E11">
        <w:rPr>
          <w:rFonts w:ascii="Book Antiqua" w:hAnsi="Book Antiqua"/>
          <w:color w:val="000000" w:themeColor="text1"/>
          <w:lang w:val="en-US"/>
        </w:rPr>
        <w:fldChar w:fldCharType="begin" w:fldLock="1"/>
      </w:r>
      <w:r w:rsidR="00A81957" w:rsidRPr="00124E11">
        <w:rPr>
          <w:rFonts w:ascii="Book Antiqua" w:hAnsi="Book Antiqua"/>
          <w:color w:val="000000" w:themeColor="text1"/>
          <w:lang w:val="en-US"/>
        </w:rPr>
        <w:instrText>ADDIN CSL_CITATION { "citationItems" : [ { "id" : "ITEM-1", "itemData" : { "ISSN" : "00015458", "PMID" : "19943585", "abstract" : "Intraoperative cholangiography (IOC), used routinely or selectively, is the standard method for bile duct imaging during cholecystectomy. Laparoscopic ultrasonography (LUS) has emerged as a possible, safe and quick alternative. This study examined the evolving use and the performance of these two methods as primary technique for routine bile duct imaging, so as to detect common bile duct stones (CBDS) and to prevent common bile duct injury (CBDI). A prospective database permitted to evaluate the results of the two methods in 968 consecutive cholecystectomies. Nine hundered and twenty five were performed by laparoscopy, 18 (1.9%) by laparotomy and 25 (2.6) necessitated a conversion. The systematic use of the IOC was gradually replaced by a systematic use of the LUS. The success to delineate and evaluate the CBD, the detection of a CBDS, any type of bile duct complication, especially of CBDI, were registered. All the CBDS suspected by LUS were controlled by IOC. The patients were followed during 1 and 6 months. Six hundred and eighty five IOC and 269 LUS were performed. The procedure was technically unsuccessful in 35 IOC (5.1%) (mainly due to difficulty in catheterising the cystic duct) and in 2 LUS (1%) (due to steatosis). Concerning the detection of CBDS, 31 were detected by IOC (4.5%) and 16 by LUS (6%). Five IOC were considered as false positive, 1 as false negative (sensitivity and specificity of 96,9 and 99,2%) and 1 LUS as false positive (sensitivity and specificity of 100 and 99,6%). Five CBDI were detected in the complete seria: 2 during the dissection before the IOC, 1 thermic injury, 1 late stenosis, 1 lateral stenosis by the cystic clip detected by LUS. However none of these CBDI could have been prevented by IOC. In our experience, in this prospective study, LUS has been certainly as effective as IOC as a primary imaging technique for bile duct. It permitted to detect CBDS with a high specificity and sensitivity, and CBDS and was not followed by an increase in CBDI.", "author" : [ { "dropping-particle" : "", "family" : "Hublet", "given" : "A.", "non-dropping-particle" : "", "parse-names" : false, "suffix" : "" }, { "dropping-particle" : "", "family" : "Dili", "given" : "A.", "non-dropping-particle" : "", "parse-names" : false, "suffix" : "" }, { "dropping-particle" : "", "family" : "Lemaire", "given" : "J.", "non-dropping-particle" : "", "parse-names" : false, "suffix" : "" }, { "dropping-particle" : "", "family" : "Mansvelt", "given" : "B.", "non-dropping-particle" : "", "parse-names" : false, "suffix" : "" }, { "dropping-particle" : "", "family" : "Molle", "given" : "G.", "non-dropping-particle" : "", "parse-names" : false, "suffix" : "" }, { "dropping-particle" : "", "family" : "Bertrand", "given" : "C.", "non-dropping-particle" : "", "parse-names" : false, "suffix" : "" } ], "container-title" : "Acta chirurgica Belgica", "id" : "ITEM-1", "issue" : "3", "issued" : { "date-parts" : [ [ "2009" ] ] }, "page" : "312-316", "title" : "Laparoscopic ultrasonography as a good alternative to intraoperative cholangiography (IOC) during laparoscopic cholecystectomy: results of prospective study.", "type" : "article-journal", "volume" : "109" }, "uris" : [ "http://www.mendeley.com/documents/?uuid=61326b02-aab8-4bf4-9505-ae81801639de" ] } ], "mendeley" : { "formattedCitation" : "&lt;sup&gt;12&lt;/sup&gt;", "plainTextFormattedCitation" : "12", "previouslyFormattedCitation" : "&lt;sup&gt;12&lt;/sup&gt;" }, "properties" : { "noteIndex" : 0 }, "schema" : "https://github.com/citation-style-language/schema/raw/master/csl-citation.json" }</w:instrText>
      </w:r>
      <w:r w:rsidR="00A81957" w:rsidRPr="00124E11">
        <w:rPr>
          <w:rFonts w:ascii="Book Antiqua" w:hAnsi="Book Antiqua"/>
          <w:color w:val="000000" w:themeColor="text1"/>
          <w:lang w:val="en-US"/>
        </w:rPr>
        <w:fldChar w:fldCharType="separate"/>
      </w:r>
      <w:r w:rsidR="00A81957" w:rsidRPr="00124E11">
        <w:rPr>
          <w:rFonts w:ascii="Book Antiqua" w:hAnsi="Book Antiqua"/>
          <w:color w:val="000000" w:themeColor="text1"/>
          <w:vertAlign w:val="superscript"/>
          <w:lang w:val="en-US"/>
        </w:rPr>
        <w:t>12</w:t>
      </w:r>
      <w:r w:rsidR="00A81957" w:rsidRPr="00124E11">
        <w:rPr>
          <w:rFonts w:ascii="Book Antiqua" w:hAnsi="Book Antiqua"/>
          <w:color w:val="000000" w:themeColor="text1"/>
          <w:lang w:val="en-US"/>
        </w:rPr>
        <w:fldChar w:fldCharType="end"/>
      </w:r>
      <w:r w:rsidR="00A81957" w:rsidRPr="00124E11">
        <w:rPr>
          <w:rFonts w:ascii="Book Antiqua" w:hAnsi="Book Antiqua"/>
          <w:color w:val="000000" w:themeColor="text1"/>
          <w:vertAlign w:val="superscript"/>
          <w:lang w:val="en-US" w:eastAsia="zh-CN"/>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"http://www.mendeley.com/documents/?uuid=1cab37ae-5276-4972-82f0-ab47a632843a"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However, delineation of the CBD, the possibility to repeat LUS during the procedure either before or after dissection, and the ability of LUS to detect aberrant vascular anatomy</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"10.1089/lap.2010.0280", "ISSN" : "1557-9034", "PMID" : "21675861", "abstract" : "Laparoscopic cholecystectomy (LC) is one of the most commonly performed operations, yet the frequency of bile duct injury remains unacceptably high, and up to 25% of urgent LCs are converted to the open approach. Intraoperative laparoscopic biliary ultrasonography (IOUS) allows identification of portal structures before division of any structure, but the impact of IOUS on LC for acute biliary disease has not been clearly reported. A retrospective review was conducted of all patients who underwent cholecystectomy over a 29-month period. IOUS was performed after release of the medial and lateral peritoneal attachments of the gallbladder. Of the 65 patients, 43 (66%) had an urgent operation. Mean operative time was 89.6 minutes (range 45 to 196 minutes). IOUS was used routinely, when available, in 50 patients (77%). The biliary anatomy was completely observed in 48 patients (96%). IOUS identified significant biliary abnormalities in 20 patients (40%) including presence of a foreshortened cystic duct (CD) (&lt;1 cm) in 7 patients (14%), common bile duct stones in 4 patients (8%), abnormal CD anatomy in 4 patients (8%), and abnormal vascular anatomy in 8 patients (16%). No patient was converted to open operation, no bile duct injury occurred, and no patient required subsequent biliary intervention. IOUS is effective at observing biliary anatomy in the setting of acute disease, and may be a useful tool during these difficult cases.", "author" : [ { "dropping-particle" : "", "family" : "Pfluke", "given" : "Jason M", "non-dropping-particle" : "", "parse-names" : false, "suffix" : "" }, { "dropping-particle" : "", "family" : "Bowers", "given" : "Steven P", "non-dropping-particle" : "", "parse-names" : false, "suffix" : "" } ], "container-title" : "Journal of laparoendoscopic &amp; advanced surgical techniques. Part A", "id" : "ITEM-1", "issue" : "6", "issued" : { "date-parts" : [ [ "0" ] ] }, "page" : "505-9", "title" : "Laparoscopic intraoperative biliary ultrasonography: findings during laparoscopic cholecystectomy for acute disease.", "type" : "article-journal", "volume" : "21" }, "uris" : [ "http://www.mendeley.com/documents/?uuid=1cab37ae-5276-4972-82f0-ab47a632843a" ] } ], "mendeley" : { "formattedCitation" : "&lt;sup&gt;47&lt;/sup&gt;", "plainTextFormattedCitation" : "47", "previouslyFormattedCitation" : "&lt;sup&gt;47&lt;/sup&gt;"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47</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may collectively play a role in preventing bile duct and vascular injuries. As an example, using LUS, Hublet</w:t>
      </w:r>
      <w:r w:rsidRPr="00E64547">
        <w:rPr>
          <w:rFonts w:ascii="Book Antiqua" w:hAnsi="Book Antiqua"/>
          <w:i/>
          <w:color w:val="000000" w:themeColor="text1"/>
          <w:lang w:val="en-US"/>
        </w:rPr>
        <w:t xml:space="preserve"> 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"00015458", "PMID" : "19943585", "abstract" : "Intraoperative cholangiography (IOC), used routinely or selectively, is the standard method for bile duct imaging during cholecystectomy. Laparoscopic ultrasonography (LUS) has emerged as a possible, safe and quick alternative. This study examined the evolving use and the performance of these two methods as primary technique for routine bile duct imaging, so as to detect common bile duct stones (CBDS) and to prevent common bile duct injury (CBDI). A prospective database permitted to evaluate the results of the two methods in 968 consecutive cholecystectomies. Nine hundered and twenty five were performed by laparoscopy, 18 (1.9%) by laparotomy and 25 (2.6) necessitated a conversion. The systematic use of the IOC was gradually replaced by a systematic use of the LUS. The success to delineate and evaluate the CBD, the detection of a CBDS, any type of bile duct complication, especially of CBDI, were registered. All the CBDS suspected by LUS were controlled by IOC. The patients were followed during 1 and 6 months. Six hundred and eighty five IOC and 269 LUS were performed. The procedure was technically unsuccessful in 35 IOC (5.1%) (mainly due to difficulty in catheterising the cystic duct) and in 2 LUS (1%) (due to steatosis). Concerning the detection of CBDS, 31 were detected by IOC (4.5%) and 16 by LUS (6%). Five IOC were considered as false positive, 1 as false negative (sensitivity and specificity of 96,9 and 99,2%) and 1 LUS as false positive (sensitivity and specificity of 100 and 99,6%). Five CBDI were detected in the complete seria: 2 during the dissection before the IOC, 1 thermic injury, 1 late stenosis, 1 lateral stenosis by the cystic clip detected by LUS. However none of these CBDI could have been prevented by IOC. In our experience, in this prospective study, LUS has been certainly as effective as IOC as a primary imaging technique for bile duct. It permitted to detect CBDS with a high specificity and sensitivity, and CBDS and was not followed by an increase in CBDI.", "author" : [ { "dropping-particle" : "", "family" : "Hublet", "given" : "A.", "non-dropping-particle" : "", "parse-names" : false, "suffix" : "" }, { "dropping-particle" : "", "family" : "Dili", "given" : "A.", "non-dropping-particle" : "", "parse-names" : false, "suffix" : "" }, { "dropping-particle" : "", "family" : "Lemaire", "given" : "J.", "non-dropping-particle" : "", "parse-names" : false, "suffix" : "" }, { "dropping-particle" : "", "family" : "Mansvelt", "given" : "B.", "non-dropping-particle" : "", "parse-names" : false, "suffix" : "" }, { "dropping-particle" : "", "family" : "Molle", "given" : "G.", "non-dropping-particle" : "", "parse-names" : false, "suffix" : "" }, { "dropping-particle" : "", "family" : "Bertrand", "given" : "C.", "non-dropping-particle" : "", "parse-names" : false, "suffix" : "" } ], "container-title" : "Acta chirurgica Belgica", "id" : "ITEM-1", "issue" : "3", "issued" : { "date-parts" : [ [ "2009" ] ] }, "page" : "312-316", "title" : "Laparoscopic ultrasonography as a good alternative to intraoperative cholangiography (IOC) during laparoscopic cholecystectomy: results of prospective study.", "type" : "article-journal", "volume" : "109" }, "uris" : [ "http://www.mendeley.com/documents/?uuid=61326b02-aab8-4bf4-9505-ae81801639de" ] } ], "mendeley" : { "formattedCitation" : "&lt;sup&gt;12&lt;/sup&gt;", "plainTextFormattedCitation" : "12", "previouslyFormattedCitation" : "&lt;sup&gt;12&lt;/sup&gt;"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identified a stenosing clip placed too close to the junction between the CBD and </w:t>
      </w:r>
      <w:r w:rsidRPr="00124E11">
        <w:rPr>
          <w:rFonts w:ascii="Book Antiqua" w:hAnsi="Book Antiqua"/>
          <w:color w:val="000000" w:themeColor="text1"/>
          <w:lang w:val="en-US"/>
        </w:rPr>
        <w:lastRenderedPageBreak/>
        <w:t xml:space="preserve">CD, </w:t>
      </w:r>
      <w:r w:rsidR="00CC02BE" w:rsidRPr="00124E11">
        <w:rPr>
          <w:rFonts w:ascii="Book Antiqua" w:hAnsi="Book Antiqua"/>
          <w:color w:val="000000" w:themeColor="text1"/>
          <w:lang w:val="en-US"/>
        </w:rPr>
        <w:t xml:space="preserve">in a patient </w:t>
      </w:r>
      <w:r w:rsidR="008347DF" w:rsidRPr="00124E11">
        <w:rPr>
          <w:rFonts w:ascii="Book Antiqua" w:hAnsi="Book Antiqua"/>
          <w:color w:val="000000" w:themeColor="text1"/>
          <w:lang w:val="en-US"/>
        </w:rPr>
        <w:t>with</w:t>
      </w:r>
      <w:r w:rsidR="00CC02BE" w:rsidRPr="00124E11">
        <w:rPr>
          <w:rFonts w:ascii="Book Antiqua" w:hAnsi="Book Antiqua"/>
          <w:color w:val="000000" w:themeColor="text1"/>
          <w:lang w:val="en-US"/>
        </w:rPr>
        <w:t xml:space="preserve"> a normal IOC. This underline</w:t>
      </w:r>
      <w:r w:rsidR="008347DF" w:rsidRPr="00124E11">
        <w:rPr>
          <w:rFonts w:ascii="Book Antiqua" w:hAnsi="Book Antiqua"/>
          <w:color w:val="000000" w:themeColor="text1"/>
          <w:lang w:val="en-US"/>
        </w:rPr>
        <w:t>s</w:t>
      </w:r>
      <w:r w:rsidR="00CC02BE" w:rsidRPr="00124E11">
        <w:rPr>
          <w:rFonts w:ascii="Book Antiqua" w:hAnsi="Book Antiqua"/>
          <w:color w:val="000000" w:themeColor="text1"/>
          <w:lang w:val="en-US"/>
        </w:rPr>
        <w:t xml:space="preserve"> the fact that CBDI can still occur after IOC. Thanks to LUS performed at the very end of the </w:t>
      </w:r>
      <w:r w:rsidR="00D31F91" w:rsidRPr="00124E11">
        <w:rPr>
          <w:rFonts w:ascii="Book Antiqua" w:hAnsi="Book Antiqua"/>
          <w:color w:val="000000" w:themeColor="text1"/>
          <w:lang w:val="en-US"/>
        </w:rPr>
        <w:t>operation</w:t>
      </w:r>
      <w:r w:rsidR="00CC02BE" w:rsidRPr="00124E11">
        <w:rPr>
          <w:rFonts w:ascii="Book Antiqua" w:hAnsi="Book Antiqua"/>
          <w:color w:val="000000" w:themeColor="text1"/>
          <w:lang w:val="en-US"/>
        </w:rPr>
        <w:t xml:space="preserve">, </w:t>
      </w:r>
      <w:r w:rsidR="008347DF" w:rsidRPr="00124E11">
        <w:rPr>
          <w:rFonts w:ascii="Book Antiqua" w:hAnsi="Book Antiqua"/>
          <w:color w:val="000000" w:themeColor="text1"/>
          <w:lang w:val="en-US"/>
        </w:rPr>
        <w:t xml:space="preserve">a </w:t>
      </w:r>
      <w:r w:rsidR="00CC02BE" w:rsidRPr="00124E11">
        <w:rPr>
          <w:rFonts w:ascii="Book Antiqua" w:hAnsi="Book Antiqua"/>
          <w:color w:val="000000" w:themeColor="text1"/>
          <w:lang w:val="en-US"/>
        </w:rPr>
        <w:t xml:space="preserve">diagnosis of CBD stenosis was </w:t>
      </w:r>
      <w:r w:rsidR="008347DF" w:rsidRPr="00124E11">
        <w:rPr>
          <w:rFonts w:ascii="Book Antiqua" w:hAnsi="Book Antiqua"/>
          <w:color w:val="000000" w:themeColor="text1"/>
          <w:lang w:val="en-US"/>
        </w:rPr>
        <w:t>made</w:t>
      </w:r>
      <w:r w:rsidR="00CC02BE" w:rsidRPr="00124E11">
        <w:rPr>
          <w:rFonts w:ascii="Book Antiqua" w:hAnsi="Book Antiqua"/>
          <w:color w:val="000000" w:themeColor="text1"/>
          <w:lang w:val="en-US"/>
        </w:rPr>
        <w:t xml:space="preserve"> with subsequent repair, avoiding potential major postoperative complications. </w:t>
      </w:r>
    </w:p>
    <w:p w14:paraId="6E80759A" w14:textId="77777777" w:rsidR="00E32F0F" w:rsidRPr="00124E11" w:rsidRDefault="00E32F0F" w:rsidP="00A94613">
      <w:pPr>
        <w:snapToGrid w:val="0"/>
        <w:spacing w:line="360" w:lineRule="auto"/>
        <w:jc w:val="both"/>
        <w:rPr>
          <w:rFonts w:ascii="Book Antiqua" w:hAnsi="Book Antiqua"/>
          <w:color w:val="000000" w:themeColor="text1"/>
          <w:lang w:val="en-US"/>
        </w:rPr>
      </w:pPr>
    </w:p>
    <w:p w14:paraId="512C7EF8" w14:textId="4B5EAE31"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 xml:space="preserve">LUS </w:t>
      </w:r>
      <w:r w:rsidR="00A81957" w:rsidRPr="00124E11">
        <w:rPr>
          <w:rFonts w:ascii="Book Antiqua" w:hAnsi="Book Antiqua"/>
          <w:b/>
          <w:i/>
          <w:color w:val="000000" w:themeColor="text1"/>
          <w:lang w:val="en-US"/>
        </w:rPr>
        <w:t>and common bile duct stones</w:t>
      </w:r>
    </w:p>
    <w:p w14:paraId="330FCAD5" w14:textId="3F2F4BEC"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The presence or absence of CBDS can be predicted to some extent using preoperative criteria, but these fail to reach 100% accuracy</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"10.1016/j.surg.2015.01.005", "ISSN" : "00396060", "author" : [ { "dropping-particle" : "", "family" : "Sherman", "given" : "Jingjing L.", "non-dropping-particle" : "", "parse-names" : false, "suffix" : "" }, { "dropping-particle" : "", "family" : "Shi", "given" : "Emily W.", "non-dropping-particle" : "", "parse-names" : false, "suffix" : "" }, { "dropping-particle" : "", "family" : "Ranasinghe", "given" : "Nalin E.", "non-dropping-particle" : "", "parse-names" : false, "suffix" : "" }, { "dropping-particle" : "", "family" : "Sivasankaran", "given" : "Muthu T.", "non-dropping-particle" : "", "parse-names" : false, "suffix" : "" }, { "dropping-particle" : "", "family" : "Prigoff", "given" : "Jake G.", "non-dropping-particle" : "", "parse-names" : false, "suffix" : "" }, { "dropping-particle" : "", "family" : "Divino", "given" : "Celia M.", "non-dropping-particle" : "", "parse-names" : false, "suffix" : "" } ], "container-title" : "Surgery", "id" : "ITEM-1", "issue" : "6", "issued" : { "date-parts" : [ [ "2015" ] ] }, "page" : "1073-1079", "publisher" : "Elsevier Inc.", "title" : "Validation and improvement of a proposed scoring system to detect retained common bile duct stones in\u00a0gallstone pancreatitis", "type" : "article-journal", "volume" : "157" }, "uris" : [ "http://www.mendeley.com/documents/?uuid=d1255dda-1201-4448-9ac1-0e12a66e624b" ] } ], "mendeley" : { "formattedCitation" : "&lt;sup&gt;64&lt;/sup&gt;", "plainTextFormattedCitation" : "64", "previouslyFormattedCitation" : "&lt;sup&gt;64&lt;/sup&gt;"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"10.1007/s00464-007-9665-2", "ISBN" : "0046400796", "ISSN" : "1432-2218; 0930-2794", "PMID" : "18000708", "abstract" : "BACKGROUND: To provide optimal selection of patients for preoperative endoscopic retrograde cholangiopancreatography or intraoperative cholangiography, we evaluated simple, noninvasive biochemical parameters as screening tests to predict the absence of common bile duct stones prior to laparoscopic cholecystectomy. METHODS: A total of 1002 patients underwent laparoscopic cholecystectomy. Five biochemical parameters were measured preoperatively: gamma glutamyl transferase (GGT), alkaline phosphatase, total bilirubin, alanine aminotransferase, and aspartate aminotransferase. Conventional diagnostic tests, including ultrasound imaging, computed tomography, magnetic resonance imaging, common bile duct diameter, endoscopic retrograde cholangiopancreatography, and serum amylase were performed. Along with the five biochemical tests above, these diagnostic tests were scrutinized and compared as potential predictors for common bile duct stones. RESULTS: Eighty-eight (8.8%) patients with gallstone disease who underwent laparoscopic cholecystectomy had concurrent common bile duct stones. Among all diagnostic tests, endoscopic retrograde cholangiopancreatography had the highest sensitivity (96.0%), specificity (99.1%), probability ratio (107.3), accuracy (98.0%), and positive predictive value (98.8%) in detecting common bile duct stones. At least one abnormal elevation among the five biochemical parameters had the highest sensitivity (87.5%). Total bilirubin had the highest specificity (87.5%), highest probability ratio (3.9), highest accuracy (84.1%), and highest positive predictive value (27.4%). All five biochemical predictors had high negative predictive values; gamma glutamyl transferase was highest (97.9%), while the lowest was total bilirubin (94.7%). Multivariate analysis showed only gamma glutamyl transferase, alkaline phosphatase, and total bilirubin to be independent predictors; gamma glutamyl transferase appeared to be the most powerful predictor (odds ratio 3.20). CONCLUSION: Biochemical tests, especially gamma glutamyl transferase with 97.9% negative predictive value, are ideal noninvasive predictors for the absence of common bile duct stones in patients undergoing laparoscopic cholecystectomy. We suggest that unnecessary, costly, or risky procedures such as endoscopic retrograde cholangiopancreatography can be omitted prior to laparoscopic cholecystectomy in patients without abnormal elevation of these biochemical values.", "author" : [ { "dropping-particle" : "", "family" : "Yang", "given" : "M H", "non-dropping-particle" : "", "parse-names" : false, "suffix" : "" }, { "dropping-particle" : "", "family" : "Chen", "given" : "T H", "non-dropping-particle" : "", "parse-names" : false, "suffix" : "" }, { "dropping-particle" : "", "family" : "Wang", "given" : "S E", "non-dropping-particle" : "", "parse-names" : false, "suffix" : "" }, { "dropping-particle" : "", "family" : "Tsai", "given" : "Y F", "non-dropping-particle" : "", "parse-names" : false, "suffix" : "" }, { "dropping-particle" : "", "family" : "Su", "given" : "C H", "non-dropping-particle" : "", "parse-names" : false, "suffix" : "" }, { "dropping-particle" : "", "family" : "Wu", "given" : "C W", "non-dropping-particle" : "", "parse-names" : false, "suffix" : "" }, { "dropping-particle" : "", "family" : "Lui", "given" : "W Y", "non-dropping-particle" : "", "parse-names" : false, "suffix" : "" }, { "dropping-particle" : "", "family" : "Shyr", "given" : "Y M", "non-dropping-particle" : "", "parse-names" : false, "suffix" : "" } ], "container-title" : "Surgical endoscopy", "id" : "ITEM-1", "issue" : "7", "issued" : { "date-parts" : [ [ "2008" ] ] }, "page" : "1620-1624", "title" : "Biochemical predictors for absence of common bile duct stones in patients undergoing laparoscopic cholecystectomy", "type" : "article-journal", "volume" : "22" }, "uris" : [ "http://www.mendeley.com/documents/?uuid=5ca5f7ef-f942-44d5-8abe-bbd4ec5e0fa8" ] } ], "mendeley" : { "formattedCitation" : "&lt;sup&gt;65&lt;/sup&gt;", "plainTextFormattedCitation" : "65", "previouslyFormattedCitation" : "&lt;sup&gt;65&lt;/sup&gt;"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65</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Catheline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"10.1016/S0929-8266(99)00028-2", "ISSN" : "09298266", "PMID" : "10502634", "abstract" : "Objective: This study assessed the effectiveness of laparoscopic ultrasound in detecting main biliary duct stones. Methods: From November 1994 to August 1998, 600 patients treated by laparoscopic cholecystectomy were included in a prospective study, to compare intraoperative cholangiography and laparoscopic ultrasound. The biliary tree was successively explored by these two methods in the routine detection of common bile duct stones. Results: The feasibility of laparoscopic ultrasound was 100%. Cholangiography was performed only in 498 cases (83%). The time taken for laparoscopic ultrasound examination was significantly shorter (10.2 vs 17.9 min, P=0.0001). In this study, common bile duct stones were found in 54 cases (9%). For their detection, results were comparable to laparoscopic ultrasound and intraoperative cholangiography. For laparoscopic ultrasound, sensitivity was 80% and specificity 99%; and for cholangiography 75 and 98% respectively. Both examinations combined had a 100% sensitivity and specificity. Laparoscopic ultrasound failed to recognize the intrapancreatic part of the common bile duct in 78 cases (13%) and did not show anatomical anomalies detected by cholangiography. It did however detect other unsuspected intra-abdominal pathologies. Conclusions: Laparoscopic ultrasound is safe, repeatable, and non-invasive, but a considerable learning curve is necessary to optimize its efficacy. Comparison of relative cost must be undertaken. Copyright (C) 1999 Elsevier Science Ireland Ltd.", "author" : [ { "dropping-particle" : "", "family" : "Catheline", "given" : "Jean Marc", "non-dropping-particle" : "", "parse-names" : false, "suffix" : "" }, { "dropping-particle" : "", "family" : "Rizk", "given" : "Nabil", "non-dropping-particle" : "", "parse-names" : false, "suffix" : "" }, { "dropping-particle" : "", "family" : "Champault", "given" : "G\u00e9rard", "non-dropping-particle" : "", "parse-names" : false, "suffix" : "" } ], "container-title" : "European Journal of Ultrasound", "id" : "ITEM-1", "issue" : "1", "issued" : { "date-parts" : [ [ "1999" ] ] }, "page" : "1-9", "title" : "A comparison of laparoscopic ultrasound versus cholangiography in the evaluation of the biliary tree during laparoscopic cholecystectomy", "type" : "article-journal", "volume" : "10" }, "uris" : [ "http://www.mendeley.com/documents/?uuid=ec518087-8760-4c1a-83e0-0169224fbd8e" ] } ], "mendeley" : { "formattedCitation" : "&lt;sup&gt;20&lt;/sup&gt;", "plainTextFormattedCitation" : "20", "previouslyFormattedCitation" : "&lt;sup&gt;20&lt;/sup&gt;"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20</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r w:rsidR="00A81957" w:rsidRPr="00124E11">
        <w:rPr>
          <w:rFonts w:ascii="Book Antiqua" w:hAnsi="Book Antiqua"/>
          <w:color w:val="000000" w:themeColor="text1"/>
          <w:vertAlign w:val="superscript"/>
          <w:lang w:val="en-US" w:eastAsia="zh-CN"/>
        </w:rPr>
        <w:t xml:space="preserve"> </w:t>
      </w:r>
      <w:r w:rsidR="008B4947" w:rsidRPr="00124E11">
        <w:rPr>
          <w:rFonts w:ascii="Book Antiqua" w:hAnsi="Book Antiqua"/>
          <w:color w:val="000000" w:themeColor="text1"/>
          <w:lang w:val="en-US"/>
        </w:rPr>
        <w:t xml:space="preserve">in a retrospective trial published </w:t>
      </w:r>
      <w:r w:rsidRPr="00124E11">
        <w:rPr>
          <w:rFonts w:ascii="Book Antiqua" w:hAnsi="Book Antiqua"/>
          <w:color w:val="000000" w:themeColor="text1"/>
          <w:lang w:val="en-US"/>
        </w:rPr>
        <w:t xml:space="preserve">in 1999, reported a perioperative CBDS detection rate of 9%. In this group of patients, 30% manifested no preoperative risk factors. Olsen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"10.1016/S0929-8266(99)00053-1", "ISSN" : "09298266", "PMID" : "10586020", "abstract" : "Intraoperative ultrasonography during abdominal surgery became widespread by availability of high-frequency, high-resolution transducers. It's usefulness has particularly been proven in biliar and gastrointestinal surgery. Our objective was to examine the method in laparoscopic cholecystectomy and in laparoscopic staging of malignancies of the upper gastrointestinal tract as well. Lapaoscopic ultrasound (LUS) examination was performed in 567 patients operated on because of biliary stones and in 12 patients with carcinoma in the upper part of the gastrointestinal tract. In accordance to the known criteria endoscopic retrograde cholangiopancreatography (ERCP) was performed in 89 patients, and additionally, ERCP was performed in 58 patients because of dilated common bile duct. Choledochal stones were demonstrated in 72 of the 147 patients. Laparoscopic ultrasonography demonstrated preoperatively undetected bile duct stones in 18 of these patients (12%). In 294 other patients without any criteria of bile duct stones, laparoscopic ultrasonography demonstrated bile duct stones in 11 patients (4%). Laparoscopic ultrasonography in 12 patients with proximal gastrointestinal malignancies demonstrated inoperability in all of the patients. Laparotomy could thereby be avoided. LUS examination is an ideal operative tool as it is safe, reproducible and requires no special patient preparation or positioning. The method of imaging is therefore justified for patients undergoing laparoscopic surgery because of biliary stones and gastrointestinal surgery. Copyright (C) 1999 Elsevier Science Ireland Ltd.", "author" : [ { "dropping-particle" : "", "family" : "Olsen", "given" : "Arild K.", "non-dropping-particle" : "", "parse-names" : false, "suffix" : "" }, { "dropping-particle" : "", "family" : "Bjerkeset", "given" : "Ottar A.", "non-dropping-particle" : "", "parse-names" : false, "suffix" : "" } ], "container-title" : "European Journal of Ultrasound", "id" : "ITEM-1", "issue" : "2-3", "issued" : { "date-parts" : [ [ "1999" ] ] }, "page" : "159-170", "title" : "Laparoscopic ultrasound (LUS) in gastrointestinal surgery", "type" : "article-journal", "volume" : "10" }, "uris" : [ "http://www.mendeley.com/documents/?uuid=1d45db13-99ef-4ff7-a75c-032e4349ac53" ] } ], "mendeley" : { "formattedCitation" : "&lt;sup&gt;24&lt;/sup&gt;", "plainTextFormattedCitation" : "24", "previouslyFormattedCitation" : "&lt;sup&gt;24&lt;/sup&gt;"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24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8B4947" w:rsidRPr="00124E11">
        <w:rPr>
          <w:rFonts w:ascii="Book Antiqua" w:hAnsi="Book Antiqua"/>
          <w:color w:val="000000" w:themeColor="text1"/>
          <w:lang w:val="en-US"/>
        </w:rPr>
        <w:t xml:space="preserve">, in a prospective non randomized study, </w:t>
      </w:r>
      <w:r w:rsidRPr="00124E11">
        <w:rPr>
          <w:rFonts w:ascii="Book Antiqua" w:hAnsi="Book Antiqua"/>
          <w:color w:val="000000" w:themeColor="text1"/>
          <w:lang w:val="en-US"/>
        </w:rPr>
        <w:t>recorded 12% of patients as having CBDS, even after preoperative clearance by endoscopic retrograde cholangiopancreatography (ERCP). Thanks to LUS, CBDS can be identified early during the procedure, which gives the operating room personnel time to set up the required CBDS exploration equipment.</w:t>
      </w:r>
    </w:p>
    <w:p w14:paraId="7FE525F1" w14:textId="5F761E3D"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The sensitivity and specificity provided by LUS in detecting CBDS is very good (Table 5). In 2003, Tranter 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"10.1007/s00464-002-8911-x", "ISSN" : "0930-2794", "author" : [ { "dropping-particle" : "", "family" : "Tranter", "given" : "S.E.", "non-dropping-particle" : "", "parse-names" : false, "suffix" : "" }, { "dropping-particle" : "", "family" : "Thompson", "given" : "M.H.", "non-dropping-particle" : "", "parse-names" : false, "suffix" : "" } ], "container-title" : "Surgical Endoscopy", "id" : "ITEM-1", "issue" : "2", "issued" : { "date-parts" : [ [ "2003", "2", "1" ] ] }, "page" : "216-219", "title" : "A prospective single-blinded controlled study comparing laparoscopic ultrasound of the common bile duct with operative cholangiography", "type" : "article-journal", "volume" : "17" }, "uris" : [ "http://www.mendeley.com/documents/?uuid=090b57ce-4697-4872-b787-7a4b7128ced7" ] } ], "mendeley" : { "formattedCitation" : "&lt;sup&gt;66&lt;/sup&gt;", "plainTextFormattedCitation" : "66", "previouslyFormattedCitation" : "&lt;sup&gt;66&lt;/sup&gt;"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8B4947" w:rsidRPr="00124E11">
        <w:rPr>
          <w:rFonts w:ascii="Book Antiqua" w:hAnsi="Book Antiqua"/>
          <w:color w:val="000000" w:themeColor="text1"/>
          <w:lang w:val="en-US"/>
        </w:rPr>
        <w:t xml:space="preserve">, in a prospective non randomized study, </w:t>
      </w:r>
      <w:r w:rsidRPr="00124E11">
        <w:rPr>
          <w:rFonts w:ascii="Book Antiqua" w:hAnsi="Book Antiqua"/>
          <w:color w:val="000000" w:themeColor="text1"/>
          <w:lang w:val="en-US"/>
        </w:rPr>
        <w:t xml:space="preserve">reported specificity and sensitivity rates of 96% and 100%, respectively, compared to sensitivity and specificity rates of 86% and 99% in IOC. </w:t>
      </w:r>
      <w:r w:rsidR="008B4947" w:rsidRPr="00124E11">
        <w:rPr>
          <w:rFonts w:ascii="Book Antiqua" w:hAnsi="Book Antiqua"/>
          <w:color w:val="000000" w:themeColor="text1"/>
          <w:lang w:val="en-US"/>
        </w:rPr>
        <w:t>In another prospective non randomized study,</w:t>
      </w:r>
      <w:r w:rsidR="00FB1C95" w:rsidRPr="00124E11">
        <w:rPr>
          <w:rFonts w:ascii="Book Antiqua" w:hAnsi="Book Antiqua"/>
          <w:color w:val="000000" w:themeColor="text1"/>
          <w:lang w:val="en-US"/>
        </w:rPr>
        <w:t xml:space="preserve"> </w:t>
      </w:r>
      <w:r w:rsidRPr="00124E11">
        <w:rPr>
          <w:rFonts w:ascii="Book Antiqua" w:hAnsi="Book Antiqua"/>
          <w:color w:val="000000" w:themeColor="text1"/>
          <w:lang w:val="en-US"/>
        </w:rPr>
        <w:t xml:space="preserve">Li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"878164 [pii]", "ISBN" : "1643-3750 (Electronic)\\r1234-1010 (Linking)", "ISSN" : "1643-3750 (Electronic)", "PMID" : "19721408", "abstract" : "BACKGROUND: There is still a debate about the utility of intraoperative cholangiography (IOC) or laparoscopic ultrasonography (LUS) for detection of occult choledocholithiasis during laparoscopic cholecystectomy (LC). The aim of this study was to assess the value of IOC combined with LUS for detection of occult common bile duct (CBD) stones at LC. MATERIAL/METHODS: From Dec 2002 to Aug 2006, 103 patients with moderate risk of CBD stones underwent IOC and LUS simultaneously during LC. The physician teams for the two different procedures were blinded by each other. The sensitivity, specificity, accuracy, positive predictive value, negative predictive value, positive likelihood ratio, and negative likelihood ratio were calculated by several contingency tables that cross-tabulated the results of each technique with those of the gold standard. RESULTS: The success rate of IOC and LUS were 91.3% and 100% respectively and the time required for LUS was significantly shorter (P&lt;0.01). The visualization of intrapancreatic part of CBD by IOC (97.3%) was significantly higher than LUS (73.8%). The sensitivities, specificities, accuracies, positive and negative predictive values, positive and negative likelihood rations identifying occult CBD stones were 75.0%, 98.7%, 92.2%, 95.5%, 91.4%, 57.7 and 0.253 by IOC, and 82.1%, 98.7%, 94.2%, 95.8%, 93.7%, 63.2 and 0.181 by IUS respectively. The McNemar test showed no significant difference between two methods. The sensitivity of IOC combined with LUS was 92.9%, which was greater than that of IOC and LUS taken separately. CONCLUSIONS: LUS is usually performed in case where IOC has failed or is contraindicated. The combination of both methods maximizes intraoperative detection of occult CBD stones and should at least be recommended as two complementary methods.", "author" : [ { "dropping-particle" : "", "family" : "Li", "given" : "Jian-Wen", "non-dropping-particle" : "", "parse-names" : false, "suffix" : "" }, { "dropping-particle" : "", "family" : "Feng", "given" : "Bo", "non-dropping-particle" : "", "parse-names" : false, "suffix" : "" }, { "dropping-particle" : "", "family" : "Wu", "given" : "Liang", "non-dropping-particle" : "", "parse-names" : false, "suffix" : "" }, { "dropping-particle" : "", "family" : "Wang", "given" : "Ming-Liang", "non-dropping-particle" : "", "parse-names" : false, "suffix" : "" }, { "dropping-particle" : "", "family" : "Lu", "given" : "Ai-Guo", "non-dropping-particle" : "", "parse-names" : false, "suffix" : "" }, { "dropping-particle" : "", "family" : "Zang", "given" : "Lu", "non-dropping-particle" : "", "parse-names" : false, "suffix" : "" }, { "dropping-particle" : "", "family" : "Mao", "given" : "Zhi-Hai", "non-dropping-particle" : "", "parse-names" : false, "suffix" : "" }, { "dropping-particle" : "", "family" : "Dong", "given" : "Feng", "non-dropping-particle" : "", "parse-names" : false, "suffix" : "" }, { "dropping-particle" : "", "family" : "Zheng", "given" : "Min-Hua", "non-dropping-particle" : "", "parse-names" : false, "suffix" : "" } ], "container-title" : "Medical science monitor : international medical journal of experimental and clinical research", "id" : "ITEM-1", "issue" : "9", "issued" : { "date-parts" : [ [ "2009" ] ] }, "page" : "MT126-30", "title" : "Intraoperative cholangiography in combination with laparoscopic ultrasonography for the detection of occult choledocholithiasis.", "type" : "article-journal", "volume" : "15" }, "uris" : [ "http://www.mendeley.com/documents/?uuid=c1461c1c-d73f-4504-8f6d-a9e7c98d5f7f" ] } ], "mendeley" : { "formattedCitation" : "&lt;sup&gt;49&lt;/sup&gt;", "plainTextFormattedCitation" : "49", "previouslyFormattedCitation" : "&lt;sup&gt;49&lt;/sup&gt;"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49</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also observed higher sensitivity rates for LUS </w:t>
      </w:r>
      <w:r w:rsidRPr="00124E11">
        <w:rPr>
          <w:rFonts w:ascii="Book Antiqua" w:hAnsi="Book Antiqua"/>
          <w:i/>
          <w:color w:val="000000" w:themeColor="text1"/>
          <w:lang w:val="en-US"/>
        </w:rPr>
        <w:t>vs</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 xml:space="preserve">IOC (82.1% </w:t>
      </w:r>
      <w:r w:rsidRPr="00124E11">
        <w:rPr>
          <w:rFonts w:ascii="Book Antiqua" w:hAnsi="Book Antiqua"/>
          <w:i/>
          <w:color w:val="000000" w:themeColor="text1"/>
          <w:lang w:val="en-US"/>
        </w:rPr>
        <w:t>vs</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75%), and an equal specificity rate of 98.7%.</w:t>
      </w:r>
    </w:p>
    <w:p w14:paraId="14ED8338" w14:textId="1F69F6D7"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A meta-analysis of the literature</w:t>
      </w:r>
      <w:r w:rsidR="008B4947" w:rsidRPr="00124E11">
        <w:rPr>
          <w:rFonts w:ascii="Book Antiqua" w:hAnsi="Book Antiqua"/>
          <w:color w:val="000000" w:themeColor="text1"/>
          <w:lang w:val="en-US"/>
        </w:rPr>
        <w:t xml:space="preserve"> </w:t>
      </w:r>
      <w:r w:rsidR="00B50EAE" w:rsidRPr="00124E11">
        <w:rPr>
          <w:rFonts w:ascii="Book Antiqua" w:hAnsi="Book Antiqua"/>
          <w:color w:val="000000" w:themeColor="text1"/>
          <w:lang w:val="en-US"/>
        </w:rPr>
        <w:t xml:space="preserve">performed </w:t>
      </w:r>
      <w:r w:rsidR="008B4947" w:rsidRPr="00124E11">
        <w:rPr>
          <w:rFonts w:ascii="Book Antiqua" w:hAnsi="Book Antiqua"/>
          <w:color w:val="000000" w:themeColor="text1"/>
          <w:lang w:val="en-US"/>
        </w:rPr>
        <w:t xml:space="preserve">by Jamal </w:t>
      </w:r>
      <w:r w:rsidR="008B4947" w:rsidRPr="00655722">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"10.1308/rcsann.2016.0068", "ISSN" : "00358843", "PMID" : "26985813", "abstract" : "Introduction During laparoscopic cholecystectomy, intraoperative cholangiography (IOC) is currently regarded as the gold standard in the detection of choledocholithiasis. Laparoscopic ultrasonography (LUS) is an attractive alternative with several potential advantages. Methods A systematic review was undertaken of the published literature comparing LUS with IOC in the assessment of common bile duct (CBD) stones. Results Twenty-one comparative studies were analysed. There were 4,566 patients in the IOC group and 5,044 in the LUS group. The combined sensitivity and specificity of IOC in the detection of CBD stones were 0.87 (95% confidence interval [CI]: 0.83-0.89) and 0.98 (95% CI: 0.98-0.98) respectively with a pooled area under the curve (AUC) of 0.985 and a diagnostic odds ratio (OR) of 260.65 (95% CI: 160.44-423.45). This compares with a sensitivity and specificity for LUS of 0.90 (95% CI: 0.87-0.92) and 0.99 (95% CI: 0.99-0.99) respectively with a pooled AUC of 0.982 and a diagnostic OR of 765.15 (95% CI: 450.78-1,298.76). LUS appeared to be more successful in terms of coming to a clinical decision regarding CBD stones than IOC (random effects, risk ratio: 0.95, 95% CI: 0.93-0.98, df=20, z=-3.7, p&lt;0.005). Furthermore, LUS took less time (random effects, standardised mean difference: 0.95, 95% CI: 0.93-0.98, df=20, z=-3.7, p&lt;0.005). Conclusions LUS is comparable with IOC in the detection of CBD stones. The main advantages of LUS are that it does not involve ionising radiation, is quicker to perform, has a lower failure rate and can be repeated during the procedure as required.", "author" : [ { "dropping-particle" : "", "family" : "Jamal", "given" : "K. N.", "non-dropping-particle" : "", "parse-names" : false, "suffix" : "" }, { "dropping-particle" : "", "family" : "Smith", "given" : "H.", "non-dropping-particle" : "", "parse-names" : false, "suffix" : "" }, { "dropping-particle" : "", "family" : "Ratnasingham", "given" : "K.", "non-dropping-particle" : "", "parse-names" : false, "suffix" : "" }, { "dropping-particle" : "", "family" : "Siddiqui", "given" : "M. R.", "non-dropping-particle" : "", "parse-names" : false, "suffix" : "" }, { "dropping-particle" : "", "family" : "McLachlan", "given" : "G.", "non-dropping-particle" : "", "parse-names" : false, "suffix" : "" }, { "dropping-particle" : "", "family" : "Belgaumkar", "given" : "A. P.", "non-dropping-particle" : "", "parse-names" : false, "suffix" : "" } ], "container-title" : "Annals of the Royal College of Surgeons of England", "id" : "ITEM-1", "issue" : "4", "issued" : { "date-parts" : [ [ "2016" ] ] }, "page" : "244-249", "title" : "Meta-analysis of the diagnostic accuracy of laparoscopic ultrasonography and intraoperative cholangiography in detection of common bile duct stones", "type" : "article-journal", "volume" : "98" }, "uris" : [ "http://www.mendeley.com/documents/?uuid=eb67e9bc-0c2b-44e7-8d18-221f51f14e9a" ] } ], "mendeley" : { "formattedCitation" : "&lt;sup&gt;38&lt;/sup&gt;", "plainTextFormattedCitation" : "38", "previouslyFormattedCitation" : "&lt;sup&gt;38&lt;/sup&gt;"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38</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confirmed a sensitivity and sensitivity rate for LUS that was superior to IOC (0.90 and 0.99 for LUS vs. 0.87 and 0.98 for IOC, respectively), with heterogeneity found to be insignificant. </w:t>
      </w:r>
      <w:r w:rsidR="00B50EAE" w:rsidRPr="00124E11">
        <w:rPr>
          <w:rFonts w:ascii="Book Antiqua" w:hAnsi="Book Antiqua"/>
          <w:color w:val="000000" w:themeColor="text1"/>
          <w:lang w:val="en-US"/>
        </w:rPr>
        <w:t xml:space="preserve">In agreement with this observation, Aziz </w:t>
      </w:r>
      <w:r w:rsidR="00B50EAE"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"10.1016/j.ijsu.2014.05.038", "ISBN" : "1743-9159 (Electronic)\\r1743-9159 (Linking)", "ISSN" : "17439159", "PMID" : "24861544", "abstract" : "Background: Routine intra-operative cholangiography (IOC) during laparoscopic cholecystectomy is often not performed because of increased operative time, radiation, and failure rate. Laparoscopic ultrasound (LUS) is a less invasive alternative but studies comparing it to IOC have been of small sample size. This study aims to assess the diagnostic accuracy of LUS in detecting common bile duct (CBD) stones compared to IOC. Methods: This meta-analysis was executed and reported in accordance with the Preferred Reporting Items for Systematic Reviews and Meta- Analyses (PRISMA) statement. 11 comparative studies (1994-2013) reporting on 12 patient groups were included. A bivariate model for diagnostic meta-analysis was used to attain overall pooled sensitivity and specificity for IOC and LUS, and their relationship assessed using a hierarchical summary receiver operating characteristic model with meta-regression. Results: IOC had a pooled sensitivity of 0.87 (95% CI 0.77-0.93) and a pooled specificity of 0.99 (95% CI 0.98-0.99) with no significant heterogeneity. The diagnostic Odds Ratio (OR) was 442 (95% CI 196-997) and pooled weighted Area Under the Curve (AUC) was 0.99 (95% CI: 0.98-1.0). LUS had a pooled sensitivity of 0.87 (95% CI 0.80-0.92) and a specificity of 1.00 (95% CI 0.99-1.00). Heterogeneity was significant for specificity results. The diagnostic Odds Ratio (OR) was 1171 (95% CI 372-3689) and the pooled, weighted AUC was 1 (95% CI: 0.99-1). Meta-regression did not identify factors that significantly predict diagnostic accuracy. Conclusions: LUS is a potentially useful imaging modality to confirm the absence of CBD stones without needing to cannulate the biliary system. ?? 2014 Surgical Associates Ltd.", "author" : [ { "dropping-particle" : "", "family" : "Aziz", "given" : "Omer", "non-dropping-particle" : "", "parse-names" : false, "suffix" : "" }, { "dropping-particle" : "", "family" : "Ashrafian", "given" : "Hutan", "non-dropping-particle" : "", "parse-names" : false, "suffix" : "" }, { "dropping-particle" : "", "family" : "Jones", "given" : "Catherine", "non-dropping-particle" : "", "parse-names" : false, "suffix" : "" }, { "dropping-particle" : "", "family" : "Harling", "given" : "Leanne", "non-dropping-particle" : "", "parse-names" : false, "suffix" : "" }, { "dropping-particle" : "", "family" : "Kumar", "given" : "Sacheen", "non-dropping-particle" : "", "parse-names" : false, "suffix" : "" }, { "dropping-particle" : "", "family" : "Garas", "given" : "George", "non-dropping-particle" : "", "parse-names" : false, "suffix" : "" }, { "dropping-particle" : "", "family" : "Holme", "given" : "Thomas", "non-dropping-particle" : "", "parse-names" : false, "suffix" : "" }, { "dropping-particle" : "", "family" : "Darzi", "given" : "Ara", "non-dropping-particle" : "", "parse-names" : false, "suffix" : "" }, { "dropping-particle" : "", "family" : "Zacharakis", "given" : "Emmanouil", "non-dropping-particle" : "", "parse-names" : false, "suffix" : "" }, { "dropping-particle" : "", "family" : "Athanasiou", "given" : "Thanos", "non-dropping-particle" : "", "parse-names" : false, "suffix" : "" } ], "container-title" : "International Journal of Surgery", "id" : "ITEM-1", "issue" : "7", "issued" : { "date-parts" : [ [ "2014" ] ] }, "page" : "712-719", "title" : "Laparoscopic ultrasonography versus intra-operative cholangiogram for the detection of common bile duct stones during laparoscopic cholecystectomy: A meta-analysis of diagnostic accuracy", "type" : "article-journal", "volume" : "12" }, "uris" : [ "http://www.mendeley.com/documents/?uuid=31ad4676-ff1d-473b-a7cf-795a750c31d6" ] } ], "mendeley" : { "formattedCitation" : "&lt;sup&gt;37&lt;/sup&gt;", "plainTextFormattedCitation" : "37", "previouslyFormattedCitation" : "&lt;sup&gt;37&lt;/sup&gt;"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37</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00662276" w:rsidRPr="00124E11">
        <w:rPr>
          <w:rFonts w:ascii="Book Antiqua" w:hAnsi="Book Antiqua"/>
          <w:color w:val="000000" w:themeColor="text1"/>
          <w:lang w:val="en-US"/>
        </w:rPr>
        <w:t>, in a</w:t>
      </w:r>
      <w:r w:rsidR="00B50EAE" w:rsidRPr="00124E11">
        <w:rPr>
          <w:rFonts w:ascii="Book Antiqua" w:hAnsi="Book Antiqua"/>
          <w:color w:val="000000" w:themeColor="text1"/>
          <w:lang w:val="en-US"/>
        </w:rPr>
        <w:t>nother meta-analysis, s</w:t>
      </w:r>
      <w:r w:rsidRPr="00124E11">
        <w:rPr>
          <w:rFonts w:ascii="Book Antiqua" w:hAnsi="Book Antiqua"/>
          <w:color w:val="000000" w:themeColor="text1"/>
          <w:lang w:val="en-US"/>
        </w:rPr>
        <w:t xml:space="preserve">uggested that LUS is very accurate in detecting CBDS (pooled sensitivity of 0.87, and specificity of 1.00) </w:t>
      </w:r>
      <w:r w:rsidRPr="00655722">
        <w:rPr>
          <w:rFonts w:ascii="Book Antiqua" w:hAnsi="Book Antiqua"/>
          <w:i/>
          <w:color w:val="000000" w:themeColor="text1"/>
          <w:lang w:val="en-US"/>
        </w:rPr>
        <w:t>vs</w:t>
      </w:r>
      <w:r w:rsidR="00655722">
        <w:rPr>
          <w:rFonts w:ascii="Book Antiqua" w:hAnsi="Book Antiqua" w:hint="eastAsia"/>
          <w:color w:val="000000" w:themeColor="text1"/>
          <w:lang w:val="en-US" w:eastAsia="zh-CN"/>
        </w:rPr>
        <w:t xml:space="preserve"> </w:t>
      </w:r>
      <w:r w:rsidRPr="00124E11">
        <w:rPr>
          <w:rFonts w:ascii="Book Antiqua" w:hAnsi="Book Antiqua"/>
          <w:color w:val="000000" w:themeColor="text1"/>
          <w:lang w:val="en-US"/>
        </w:rPr>
        <w:t>IOC (pooled sensitivity of 0.87, and specificity of 0.99).</w:t>
      </w:r>
    </w:p>
    <w:p w14:paraId="76CFA7C6" w14:textId="7486D1C9"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The measurement of CBD diameter was performed and reported in several studies</w:t>
      </w:r>
      <w:r w:rsidRPr="00124E11">
        <w:rPr>
          <w:rFonts w:ascii="Book Antiqua" w:hAnsi="Book Antiqua"/>
          <w:color w:val="000000" w:themeColor="text1"/>
          <w:vertAlign w:val="superscript"/>
          <w:lang w:val="en-US"/>
        </w:rPr>
        <w:t>[</w:t>
      </w:r>
      <w:r w:rsidR="00A81957" w:rsidRPr="00124E11">
        <w:rPr>
          <w:rFonts w:ascii="Book Antiqua" w:hAnsi="Book Antiqua"/>
          <w:color w:val="000000" w:themeColor="text1"/>
          <w:vertAlign w:val="superscript"/>
          <w:lang w:val="en-US"/>
        </w:rPr>
        <w:fldChar w:fldCharType="begin" w:fldLock="1"/>
      </w:r>
      <w:r w:rsidR="00A81957" w:rsidRPr="00124E11">
        <w:rPr>
          <w:rFonts w:ascii="Book Antiqua" w:hAnsi="Book Antiqua"/>
          <w:color w:val="000000" w:themeColor="text1"/>
          <w:vertAlign w:val="superscript"/>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00A81957" w:rsidRPr="00124E11">
        <w:rPr>
          <w:rFonts w:ascii="Book Antiqua" w:hAnsi="Book Antiqua"/>
          <w:color w:val="000000" w:themeColor="text1"/>
          <w:vertAlign w:val="superscript"/>
          <w:lang w:val="en-US"/>
        </w:rPr>
        <w:fldChar w:fldCharType="separate"/>
      </w:r>
      <w:r w:rsidR="00A81957" w:rsidRPr="00124E11">
        <w:rPr>
          <w:rFonts w:ascii="Book Antiqua" w:hAnsi="Book Antiqua"/>
          <w:color w:val="000000" w:themeColor="text1"/>
          <w:vertAlign w:val="superscript"/>
          <w:lang w:val="en-US"/>
        </w:rPr>
        <w:t>13</w:t>
      </w:r>
      <w:r w:rsidR="00A81957" w:rsidRPr="00124E11">
        <w:rPr>
          <w:rFonts w:ascii="Book Antiqua" w:hAnsi="Book Antiqua"/>
          <w:color w:val="000000" w:themeColor="text1"/>
          <w:vertAlign w:val="superscript"/>
          <w:lang w:val="en-US"/>
        </w:rPr>
        <w:fldChar w:fldCharType="end"/>
      </w:r>
      <w:r w:rsidR="00A81957" w:rsidRPr="00124E11">
        <w:rPr>
          <w:rFonts w:ascii="Book Antiqua" w:hAnsi="Book Antiqua"/>
          <w:color w:val="000000" w:themeColor="text1"/>
          <w:vertAlign w:val="superscript"/>
          <w:lang w:val="en-US"/>
        </w:rPr>
        <w:t>,</w:t>
      </w:r>
      <w:r w:rsidR="00A81957" w:rsidRPr="00124E11">
        <w:rPr>
          <w:rFonts w:ascii="Book Antiqua" w:hAnsi="Book Antiqua"/>
          <w:color w:val="000000" w:themeColor="text1"/>
          <w:vertAlign w:val="superscript"/>
          <w:lang w:val="en-US" w:eastAsia="zh-CN"/>
        </w:rPr>
        <w:t>66-68]</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 xml:space="preserve">In 2001, Tranter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"author" : [ { "dropping-particle" : "", "family" : "Thompson", "given" : "S. E. Tranter and M. H.", "non-dropping-particle" : "", "parse-names" : false, "suffix" : "" }, { "dropping-particle" : "", "family" : "Department of Surgery, Southmead Hospital, Bristol BS10 5NB", "given" : "UK", "non-dropping-particle" : "", "parse-names" : false, "suffix" : "" }, { "dropping-particle" : "", "family" : "Mhtsurg@aol.com)", "given" : "Correspondence to: Mr M. H. Thompson (e-mail:", "non-dropping-particle" : "", "parse-names" : false, "suffix" : "" } ], "container-title" : "British Journal of Surgery", "id" : "ITEM-1", "issue" : "88", "issued" : { "date-parts" : [ [ "2001" ] ] }, "page" : "65\u00b169", "title" : "Potential of laparoscopic ultrasonography as an alternative to operative cholangiography in the detection of bile duct stones", "type" : "article-journal" }, "uris" : [ "http://www.mendeley.com/documents/?uuid=22382d81-7601-4b41-97e9-ce0c6cf41e76" ] } ], "mendeley" : { "formattedCitation" : "&lt;sup&gt;68&lt;/sup&gt;", "plainTextFormattedCitation" : "68", "previouslyFormattedCitation" : "&lt;sup&gt;68&lt;/sup&gt;"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68</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observed that when dealing with a thin CBD (&lt;</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5</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mm) there should be no concern regarding CBDS. In these circumstances, LUS could be an excellent negative predictor. Two years later, the same author reported</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"10.1007/s00464-002-8911-x", "ISSN" : "0930-2794", "author" : [ { "dropping-particle" : "", "family" : "Tranter", "given" : "S.E.", "non-dropping-particle" : "", "parse-names" : false, "suffix" : "" }, { "dropping-particle" : "", "family" : "Thompson", "given" : "M.H.", "non-dropping-particle" : "", "parse-names" : false, "suffix" : "" } ], "container-title" : "Surgical Endoscopy", "id" : "ITEM-1", "issue" : "2", "issued" : { "date-parts" : [ [ "2003", "2", "1" ] ] }, "page" : "216-219", "title" : "A prospective single-blinded controlled study comparing laparoscopic ultrasound of the common bile duct with operative cholangiography", "type" : "article-journal", "volume" : "17" }, "uris" : [ "http://www.mendeley.com/documents/?uuid=090b57ce-4697-4872-b787-7a4b7128ced7" ] } ], "mendeley" : { "formattedCitation" : "&lt;sup&gt;66&lt;/sup&gt;", "plainTextFormattedCitation" : "66", "previouslyFormattedCitation" : "&lt;sup&gt;66&lt;/sup&gt;"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66</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Pr="00124E11">
        <w:rPr>
          <w:rFonts w:ascii="Book Antiqua" w:hAnsi="Book Antiqua"/>
          <w:color w:val="000000" w:themeColor="text1"/>
          <w:lang w:val="en-US"/>
        </w:rPr>
        <w:lastRenderedPageBreak/>
        <w:t>that for CBDs of between 6-10mm in diameter, there was a large overlap between ducts with or without stones; 85% of ducts &gt;</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10</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mm in width contained stones.</w:t>
      </w:r>
    </w:p>
    <w:p w14:paraId="17644C1F" w14:textId="19462E33"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Considering sludge, defined as small areas (&lt;</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1</w:t>
      </w:r>
      <w:r w:rsidR="00A81957" w:rsidRPr="00124E11">
        <w:rPr>
          <w:rFonts w:ascii="Book Antiqua" w:hAnsi="Book Antiqua"/>
          <w:color w:val="000000" w:themeColor="text1"/>
          <w:lang w:val="en-US" w:eastAsia="zh-CN"/>
        </w:rPr>
        <w:t xml:space="preserve"> </w:t>
      </w:r>
      <w:r w:rsidRPr="00124E11">
        <w:rPr>
          <w:rFonts w:ascii="Book Antiqua" w:hAnsi="Book Antiqua"/>
          <w:color w:val="000000" w:themeColor="text1"/>
          <w:lang w:val="en-US"/>
        </w:rPr>
        <w:t>mm) of mobile echogenic material without acoustic shadowing, their clinical significance remains debatable, with some studies suggesting that sludge is related with acute pancreatitis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"10.1056/NEJM199202273260902", "ISSN" : "0028-4793", "PMID" : "1734248", "abstract" : "BACKGROUND: In about 20 to 40 percent of cases of acute pancreatitis, no cause can be found, and these are labeled idiopathic. In this study, we sought to determine the frequency with which patients with acute idiopathic pancreatitis have biliary sludge, a suspension of cholesterol monohydrate crystals or calcium bilirubinate granules that is found predominantly in the gallbladder. METHODS: Between 1980 and 1988, we prospectively studied 86 patients who had acute pancreatitis. In patients with no known cause of pancreatitis and no ultrasonographic evidence of gallstones or dilatation of the biliary ducts, we determined how often biliary sludge was present and its subsequent fate by repeated microscopical examinations of bile samples and abdominal ultrasonography. The outcome of patients treated by cholecystectomy or papillotomy was compared with that of untreated patients. RESULTS: The pancreatitis was considered idiopathic in 31 of the 86 patients (36 percent), of whom 23 had microscopical evidence of biliary sludge. Biliary sludge was detected by ultrasonography in only 11 of the 23 patients (48 percent). The sludge detected by ultrasonography was composed of calcium bilirubinate granules in 10 and cholesterol monohydrate crystals in 1 (P = 0.003). Calcium bilirubinate granules were found more frequently in men (nine men vs. four women, P less than 0.001). Of the 21 patients in whom biliary sludge was the only finding (2 patients also had dilasted bile ducts when restudied), the 6 treated by cholecystectomy and the 4 treated by papillotomy had fewer recurrences of acute pancreatitis during follow-up (up to seven years) than the 11 untreated patients (P = 0.011). The presence of biliary sludge appeared to increase the likelihood of recurrent attacks of pancreatitis (P = 0.020). CONCLUSIONS: Biliary sludge is an underestimated cause of acute idiopathic pancreatitis.", "author" : [ { "dropping-particle" : "", "family" : "Lee", "given" : "S P", "non-dropping-particle" : "", "parse-names" : false, "suffix" : "" }, { "dropping-particle" : "", "family" : "Nicholls", "given" : "J F", "non-dropping-particle" : "", "parse-names" : false, "suffix" : "" }, { "dropping-particle" : "", "family" : "Park", "given" : "H Z", "non-dropping-particle" : "", "parse-names" : false, "suffix" : "" } ], "container-title" : "The New England journal of medicine", "id" : "ITEM-1", "issue" : "9", "issued" : { "date-parts" : [ [ "1992" ] ] }, "page" : "589-93", "title" : "Biliary sludge as a cause of acute pancreatitis.", "type" : "article-journal", "volume" : "326" }, "uris" : [ "http://www.mendeley.com/documents/?uuid=b092b39c-208d-403d-9bbf-39fa02862343" ] } ], "mendeley" : { "formattedCitation" : "&lt;sup&gt;69&lt;/sup&gt;", "plainTextFormattedCitation" : "69", "previouslyFormattedCitation" : "&lt;sup&gt;69&lt;/sup&gt;"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69</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"1530-4515", "PMID" : "11757540", "abstract" : "A prospective study of laparoscopic ultrasound (LUS) for evaluation of the common bile duct during laparoscopic cholecystectomy was started in October 1993. LUS during cholecystectomy was performed routinely to preoperatively identify unsuspected stones. Three-hundred thirty patients with symptomatic cholelithiasis were included in the study. The preoperative work-up included endoscopic retrograde cholangiopancreatography in 49 patients. Common bile duct (CBD) stones were found in 22 cases; in 19 cases the stones were removed successfully by endoscopic sphincterotomy. LUS successfully visualized the CBD in all but 10 patients (3%). CBD stones were found in 17 patients and confirmed by preoperative cholangiography and/or CBD exploration. There were two false-negative and one false-positive result for LUS. In 47 patients (14.2%) LUS detected CBD sludge as low-amplitude echoes without acoustic shadowing. The presence of CBD sludge was correlated with some biochemical and clinical variables. A significant correlation was identified between the absence or presence of CBD sludge and endoscopic retrograde cholangiopancreatography, acute pancreatitis, gallbladder sludge, age, and the levels of serum bilirubin and alkaline phosphatase. A significant difference was recorded between CBD diameter and the presence or absence of stones or sludge (p = 0.00001). In our experience, LUS allowed good diagnosis of CBD stones during laparoscopic cholecystectomy. The clinical significance of CBD sludge remains to be elucidated.", "author" : [ { "dropping-particle" : "", "family" : "Santambrogio", "given" : "R", "non-dropping-particle" : "", "parse-names" : false, "suffix" : "" }, { "dropping-particle" : "", "family" : "Bianchi", "given" : "P", "non-dropping-particle" : "", "parse-names" : false, "suffix" : "" }, { "dropping-particle" : "", "family" : "Opocher", "given" : "E", "non-dropping-particle" : "", "parse-names" : false, "suffix" : "" }, { "dropping-particle" : "", "family" : "Verga", "given" : "M", "non-dropping-particle" : "", "parse-names" : false, "suffix" : "" }, { "dropping-particle" : "", "family" : "Montorsi", "given" : "M", "non-dropping-particle" : "", "parse-names" : false, "suffix" : "" } ], "container-title" : "Surgical laparoscopy, endoscopy &amp; percutaneous techniques", "id" : "ITEM-1", "issue" : "2", "issued" : { "date-parts" : [ [ "1999", "4" ] ] }, "page" : "129-34", "title" : "Prevalence and laparoscopic ultrasound patterns of choledocholithiasis and biliary sludge during cholecystectomy.", "type" : "article-journal", "volume" : "9" }, "uris" : [ "http://www.mendeley.com/documents/?uuid=7352ad4b-1a2d-4aa0-a984-8fc65b635eed" ] } ], "mendeley" : { "formattedCitation" : "&lt;sup&gt;70&lt;/sup&gt;", "plainTextFormattedCitation" : "70", "previouslyFormattedCitation" : "&lt;sup&gt;70&lt;/sup&gt;"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70</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or cholangitis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"10.1111/j.1572-0241.1994.tb07928.x", "ISBN" : "0002-9270 (Print)\\r0002-9270 (Linking)", "ISSN" : "15720241", "PMID" : "8147369", "abstract" : "Three patients with acute cholangitis who lacked cholangiographic evidence of common bile duct stones are reported. One presented 7 yr after cholecystectomy, and the other two had gallbladder sludge but no gallstones. The clinical features were mild, consisting of biliary pain, low grade fever without chills, and with modest leukocytosis. In each case, free cannulation of the bile duct was not possible, necessitating needle-knife papillotomy. After endoscopic sphincterotomy, balloon retrieval yielded purulent bile and sludge, but no stones. Prompt clinical improvement resulted in all three patients. Cultures of bile obtained at endoscopic retrograde cholangiopancreatography grew Escherichia coli in two patients and Enterobacter aeruginosa in the other. These observations suggest a link between intermittent obstruction due to biliary sludge in the common bile duct and bacterial cholangitis. We hypothesize that recurrent passage of biliary sludge may precipitate obstructive inflammation and fibrosis of the ampulla of Vater. Acute cholangitis should be added to the differential of potential complications of biliary sludge.", "author" : [ { "dropping-particle" : "", "family" : "Grier", "given" : "Jonathan F.", "non-dropping-particle" : "", "parse-names" : false, "suffix" : "" }, { "dropping-particle" : "", "family" : "Cohen", "given" : "Steven W.", "non-dropping-particle" : "", "parse-names" : false, "suffix" : "" }, { "dropping-particle" : "", "family" : "Grafton", "given" : "Warren D.", "non-dropping-particle" : "", "parse-names" : false, "suffix" : "" }, { "dropping-particle" : "", "family" : "Gholson", "given" : "Charles F.", "non-dropping-particle" : "", "parse-names" : false, "suffix" : "" } ], "container-title" : "The American Journal of Gastroenterology", "id" : "ITEM-1", "issue" : "4", "issued" : { "date-parts" : [ [ "1994" ] ] }, "page" : "617-619", "title" : "Acute Suppurative Cholangitis Associated with Choledochal Sludge", "type" : "article-journal", "volume" : "89" }, "uris" : [ "http://www.mendeley.com/documents/?uuid=c011c8ac-c134-43ac-b91d-e49a09ff2f90" ] } ], "mendeley" : { "formattedCitation" : "&lt;sup&gt;71&lt;/sup&gt;", "plainTextFormattedCitation" : "71", "previouslyFormattedCitation" : "&lt;sup&gt;71&lt;/sup&gt;"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71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LUS appears to be more accurate in these diagnoses than IOC. Halpin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B50EAE" w:rsidRPr="00124E11">
        <w:rPr>
          <w:rFonts w:ascii="Book Antiqua" w:hAnsi="Book Antiqua"/>
          <w:color w:val="000000" w:themeColor="text1"/>
          <w:lang w:val="en-US"/>
        </w:rPr>
        <w:t xml:space="preserve">, in a prospective non randomized study, </w:t>
      </w:r>
      <w:r w:rsidRPr="00124E11">
        <w:rPr>
          <w:rFonts w:ascii="Book Antiqua" w:hAnsi="Book Antiqua"/>
          <w:color w:val="000000" w:themeColor="text1"/>
          <w:lang w:val="en-US"/>
        </w:rPr>
        <w:t>detected 14% of patients with sludge in the LUS group, but no diagnoses were made for the IOC group. This allowed the surgeon to proceed to a non-invasive treatment, such as saline flush via the cystic duct combined with glucagon injection.</w:t>
      </w:r>
      <w:r w:rsidR="00822039">
        <w:rPr>
          <w:rFonts w:ascii="Book Antiqua" w:hAnsi="Book Antiqua"/>
          <w:color w:val="000000" w:themeColor="text1"/>
          <w:lang w:val="en-US"/>
        </w:rPr>
        <w:t xml:space="preserve"> </w:t>
      </w:r>
      <w:r w:rsidRPr="00124E11">
        <w:rPr>
          <w:rFonts w:ascii="Book Antiqua" w:hAnsi="Book Antiqua"/>
          <w:color w:val="000000" w:themeColor="text1"/>
          <w:lang w:val="en-US"/>
        </w:rPr>
        <w:t>On the other hand, Halpin’s experience was that 62% of patients with sludge underwent no treatment, with no adverse events. Other authors also adopted a "wait and see" approach to sludge with good results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"10.1007/s00464-005-0817-y", "ISBN" : "0046400508", "ISSN" : "09302794", "PMID" : "17122981", "abstract" : "BACKGROUND: The use of intraoperative cholangiography (IOC), routinely rather than selectively, during laparoscopic cholecystectomy (LC) is controversial. Recent findings have shown laparoscopic ultrasound (LUS) to be safe, quick, and effective not only for screening of the bile duct for stones, but also for evaluating the biliary anatomy. This study aimed to evaluate, on the basis of the LC outcome and the cost of LUS and IOC, whether and how much the routine use of LUS would be able to reduce the need for IOC. METHODS: During LC, LUS was used routinely to screen the bile duct for stones and to evaluate the biliary anatomy, whereas IOC was used selectively only when LUS was unsatisfactory or unsuccessful. RESULTS: For 193 (96.5%) of 200 patients, LUS was completed successfully, whereas IOC was needed for 7 patients (3.5%). Bile duct stones were identified in 20 patients (10%). For the detection of bile duct stones, LUS yielded 19 true-positive, 175 true-negative, 0 false-positive, and 1 false-negative results. It had a sensitivity of 95%, a specificity of 100%, a positive predictive value of 100%, and a negative predictive value of 99.4%. The postoperative complications included bile leaks from the liver bed in two patients and a retained bile duct stone in one patient. If IOC had been used selectively in a traditional manner on the basis of preoperative risk factors, IOC would have been needed for 77 patients (38.5%). The total cost of LUS plus IOC for the current 200 patients was 26,256 dollars. The total estimated cost of selective IOC, if it had been performed for the 77 patients, would have been 31,416 dollars. CONCLUSIONS: Routine LUS accurately diagnosed bile duct stones and significantly reduced the need for selective IOC from a potential 38.5% to an actual 3.5% without adversely affecting the outcome of the LC or increasing the overall cost. The routine use of LUS during LC is accurate and cost effective.", "author" : [ { "dropping-particle" : "", "family" : "Machi", "given" : "J.", "non-dropping-particle" : "", "parse-names" : false, "suffix" : "" }, { "dropping-particle" : "", "family" : "Oishi", "given" : "A. J.", "non-dropping-particle" : "", "parse-names" : false, "suffix" : "" }, { "dropping-particle" : "", "family" : "Tajiri", "given" : "T.", "non-dropping-particle" : "", "parse-names" : false, "suffix" : "" }, { "dropping-particle" : "", "family" : "Murayama", "given" : "K. M.", "non-dropping-particle" : "", "parse-names" : false, "suffix" : "" }, { "dropping-particle" : "", "family" : "Furumoto", "given" : "N. L.", "non-dropping-particle" : "", "parse-names" : false, "suffix" : "" }, { "dropping-particle" : "", "family" : "Oishi", "given" : "R. H.", "non-dropping-particle" : "", "parse-names" : false, "suffix" : "" } ], "container-title" : "Surgical Endoscopy and Other Interventional Techniques", "id" : "ITEM-1", "issue" : "2", "issued" : { "date-parts" : [ [ "2007" ] ] }, "page" : "270-274", "title" : "Routine laparoscopic ultrasound can significantly reduce the need for selective intraoperative cholangiography during cholecystectomy", "type" : "article-journal", "volume" : "21" }, "uris" : [ "http://www.mendeley.com/documents/?uuid=6c900167-8e7c-4198-9bb8-bddc71940063" ] } ], "mendeley" : { "formattedCitation" : "&lt;sup&gt;51&lt;/sup&gt;", "plainTextFormattedCitation" : "51", "previouslyFormattedCitation" : "&lt;sup&gt;51&lt;/sup&gt;"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The high detection rate of LUS agrees with reports observing a high accuracy of detection of microlithiasis by echoendoscopic examination</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"10.1016/j.gassur.2005.03.002", "ISSN" : "1091255X", "PMID" : "16137592", "abstract" : "Prior investigators have proposed microlithiasis as a causative factor for occult gallbladder diseases. Endoscopic ultrasonography (EUS) is potentially far more sensitive than transabdominal ultrasonography (TUS) in visualizing small stones. The aim of this study was to investigate the role of endoscopic ultrasonography (EUS) in the diagnosis of microlithiasis in patients with upper abdominal pain and normal TUS. Thirty-five patients with biliary-type abdominal pain and normal TUS results were prospectively studied. All patients underwent radial EUS by means of a GF UM-20 echoendoscope (Olympus Optical, Tokyo, Japan). Of 35 patients, 33 were revealed to have gallbladder sludge or small stones, and 21 had CBD sludge or microlithiasis. Nine patients were not available for follow-up; of the remaining patients, 13 underwent combined endoscopic biliary sphincterotomy and cholecystectomy, 10 underwent cholecystectomy, and 3 underwent biliary sphincterotomy alone. In a postoperative follow-up at 9.2 months, 25 patients (96.2%) were symptom free. EUS is an important diagnostic tool in patients with unexplained biliary colic. Cholecystectomy with or without EUS is an effective treatment modality in these settings. ?? 2005 The Society for Surgery of the Alimentary Tract.", "author" : [ { "dropping-particle" : "", "family" : "Mirbagheri", "given" : "Seyed Amir", "non-dropping-particle" : "", "parse-names" : false, "suffix" : "" }, { "dropping-particle" : "", "family" : "Mohamadnejad", "given" : "Mehdi", "non-dropping-particle" : "", "parse-names" : false, "suffix" : "" }, { "dropping-particle" : "", "family" : "Nasiri", "given" : "Jafar", "non-dropping-particle" : "", "parse-names" : false, "suffix" : "" }, { "dropping-particle" : "", "family" : "Vahid", "given" : "Ahad Atef", "non-dropping-particle" : "", "parse-names" : false, "suffix" : "" }, { "dropping-particle" : "", "family" : "Ghadimi", "given" : "Ramin", "non-dropping-particle" : "", "parse-names" : false, "suffix" : "" }, { "dropping-particle" : "", "family" : "Malekzadeh", "given" : "Reza", "non-dropping-particle" : "", "parse-names" : false, "suffix" : "" } ], "container-title" : "Journal of Gastrointestinal Surgery", "id" : "ITEM-1", "issue" : "7", "issued" : { "date-parts" : [ [ "2005" ] ] }, "page" : "961-964", "title" : "Prospective evaluation of endoscopic ultrasonography in the diagnosis of biliary microlithiasis in patients with normal transabdominal ultrasonography", "type" : "article-journal", "volume" : "9" }, "uris" : [ "http://www.mendeley.com/documents/?uuid=3178b53f-047c-4025-8b86-75cda4afc124" ] } ], "mendeley" : { "formattedCitation" : "&lt;sup&gt;72&lt;/sup&gt;", "plainTextFormattedCitation" : "72", "previouslyFormattedCitation" : "&lt;sup&gt;72&lt;/sup&gt;"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72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7DC8F808" w14:textId="3F2F46E2"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In IOC, a higher number of false positive examinations may be due to micro-bubbles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"10.1046/j.1365-2168.2002.02198.x", "ISSN" : "0007-1323", "author" : [ { "dropping-particle" : "", "family" : "Catheline", "given" : "J. M.", "non-dropping-particle" : "", "parse-names" : false, "suffix" : "" }, { "dropping-particle" : "", "family" : "Turner", "given" : "R.", "non-dropping-particle" : "", "parse-names" : false, "suffix" : "" }, { "dropping-particle" : "", "family" : "Paries", "given" : "J.", "non-dropping-particle" : "", "parse-names" : false, "suffix" : "" } ], "container-title" : "British Journal of Surgery", "id" : "ITEM-1", "issue" : "10", "issued" : { "date-parts" : [ [ "2002", "10" ] ] }, "page" : "1235-1239", "title" : "Laparoscopic ultrasonography is a complement to cholangiography for the detection of choledocholithiasis at laparoscopic cholecystectomy", "type" : "article-journal", "volume" : "89" }, "uris" : [ "http://www.mendeley.com/documents/?uuid=f9d892a2-5561-4b45-9c8a-58c7d2053d1d" ] } ], "mendeley" : { "formattedCitation" : "&lt;sup&gt;73&lt;/sup&gt;", "plainTextFormattedCitation" : "73", "previouslyFormattedCitation" : "&lt;sup&gt;73&lt;/sup&gt;"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73</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or Oddi’s contractions. </w:t>
      </w:r>
      <w:r w:rsidR="00B50EAE" w:rsidRPr="00124E11">
        <w:rPr>
          <w:rFonts w:ascii="Book Antiqua" w:hAnsi="Book Antiqua"/>
          <w:color w:val="000000" w:themeColor="text1"/>
          <w:lang w:val="en-US"/>
        </w:rPr>
        <w:t>These drawbacks are not applicable to LUS. In LUS, only</w:t>
      </w:r>
      <w:r w:rsidRPr="00124E11">
        <w:rPr>
          <w:rFonts w:ascii="Book Antiqua" w:hAnsi="Book Antiqua"/>
          <w:color w:val="000000" w:themeColor="text1"/>
          <w:lang w:val="en-US"/>
        </w:rPr>
        <w:t xml:space="preserve"> exceptional false positive examinations have been reported due to confusing pancreatic head micro-calcifications with CBDS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"10.1007/s00464-008-9985-x", "ISSN" : "09302794", "PMID" : "18528611", "abstract" : "OBJECTIVE: Laparoscopic ultrasound (LUS) has been used for over 15 years to screen the bile duct (BD) for stones and to delineate anatomy during laparoscopic cholecystectomy (LC). LUS as a modality to prevent BD injury has not been investigated in a large series. This study evaluated the routine use of LUS to determine its effect on preventing BD injury. METHODS: A multicenter retrospective study was performed by reviewing clinical outcome of LC in which LUS was used routinely. RESULTS: In five centers, 1,381 patients underwent LC with LUS. LUS was successful to delineate and evaluate the BD in 1,352 patients (98.0%), although it was unsuccessful or incomplete in 29 patients (2.0%). LUS was considered remarkably valuable to safely complete LC, avoiding conversion to open, in 81 patients (5.9%). The use of intraoperative cholangiography (IOC) varied depending on centers; IOC was performed in 504 patients (36.5%). For screening of BD stones (which was positive in 151 patients, 10.9%), LUS had a false-positive result in two patients (0.1%) and a false-negative result in five patients (0.4%). There were retained BD stones in three patients (0.2%). There were minor bile leaks from the liver bed in three patients (0.2%). However, there were no other BD injuries including BD transection (0%). Retrospectively, IOC was deemed necessary in 25 patients (1.8%) to complete LC in spite of routine LUS. CONCLUSION: LUS can be performed successfully to delineate BD anatomy in the majority of patients. The routine use of LUS during LC has obviated major BD injury, compared to the reported rate (1 out of 200-400 LCs). LUS improves the safety of LC by clarifying anatomy and decreasing BD injury.", "author" : [ { "dropping-particle" : "", "family" : "MacHi", "given" : "Junji", "non-dropping-particle" : "", "parse-names" : false, "suffix" : "" }, { "dropping-particle" : "", "family" : "Johnson", "given" : "James O.", "non-dropping-particle" : "", "parse-names" : false, "suffix" : "" }, { "dropping-particle" : "", "family" : "Deziel", "given" : "Daniel J.", "non-dropping-particle" : "", "parse-names" : false, "suffix" : "" }, { "dropping-particle" : "", "family" : "Soper", "given" : "Nathaniel J.", "non-dropping-particle" : "", "parse-names" : false, "suffix" : "" }, { "dropping-particle" : "", "family" : "Berber", "given" : "Eren", "non-dropping-particle" : "", "parse-names" : false, "suffix" : "" }, { "dropping-particle" : "", "family" : "Siperstein", "given" : "Allan", "non-dropping-particle" : "", "parse-names" : false, "suffix" : "" }, { "dropping-particle" : "", "family" : "Hata", "given" : "Masaki", "non-dropping-particle" : "", "parse-names" : false, "suffix" : "" }, { "dropping-particle" : "", "family" : "Patel", "given" : "Anand", "non-dropping-particle" : "", "parse-names" : false, "suffix" : "" }, { "dropping-particle" : "", "family" : "Singh", "given" : "Kirpal", "non-dropping-particle" : "", "parse-names" : false, "suffix" : "" }, { "dropping-particle" : "", "family" : "Arregui", "given" : "Maurice E.", "non-dropping-particle" : "", "parse-names" : false, "suffix" : "" } ], "container-title" : "Surgical Endoscopy and Other Interventional Techniques", "id" : "ITEM-1", "issue" : "2", "issued" : { "date-parts" : [ [ "2009" ] ] }, "page" : "384-388", "title" : "The routine use of laparoscopic ultrasound decreases bile duct injury: A multicenter study", "type" : "article-journal", "volume" : "23" }, "uris" : [ "http://www.mendeley.com/documents/?uuid=b9869114-bd07-4c46-95c4-24ed9c5401c6" ] } ], "mendeley" : { "formattedCitation" : "&lt;sup&gt;54&lt;/sup&gt;", "plainTextFormattedCitation" : "54", "previouslyFormattedCitation" : "&lt;sup&gt;54&lt;/sup&gt;"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21E042A5" w14:textId="70C1B0BF"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To conclude, this literature review suggests that LUS is, at the very least, equivalent to IOC in terms of detecting choledocholithiasis, and may be more specific, leading to fewer negative explorations. It is important to note that LUS and IOC </w:t>
      </w:r>
      <w:r w:rsidR="00B50EAE" w:rsidRPr="00124E11">
        <w:rPr>
          <w:rFonts w:ascii="Book Antiqua" w:hAnsi="Book Antiqua"/>
          <w:color w:val="000000" w:themeColor="text1"/>
          <w:lang w:val="en-US"/>
        </w:rPr>
        <w:t>may be</w:t>
      </w:r>
      <w:r w:rsidRPr="00124E11">
        <w:rPr>
          <w:rFonts w:ascii="Book Antiqua" w:hAnsi="Book Antiqua"/>
          <w:color w:val="000000" w:themeColor="text1"/>
          <w:lang w:val="en-US"/>
        </w:rPr>
        <w:t xml:space="preserve"> complementary, as combining the 2 techniques maximizes the intraoperative detection of CBDS, with a sensitivity rate of 95% and a specificity rate of 98%</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"10.1046/j.1365-2168.2002.02198.x", "ISSN" : "0007-1323", "author" : [ { "dropping-particle" : "", "family" : "Catheline", "given" : "J. M.", "non-dropping-particle" : "", "parse-names" : false, "suffix" : "" }, { "dropping-particle" : "", "family" : "Turner", "given" : "R.", "non-dropping-particle" : "", "parse-names" : false, "suffix" : "" }, { "dropping-particle" : "", "family" : "Paries", "given" : "J.", "non-dropping-particle" : "", "parse-names" : false, "suffix" : "" } ], "container-title" : "British Journal of Surgery", "id" : "ITEM-1", "issue" : "10", "issued" : { "date-parts" : [ [ "2002", "10" ] ] }, "page" : "1235-1239", "title" : "Laparoscopic ultrasonography is a complement to cholangiography for the detection of choledocholithiasis at laparoscopic cholecystectomy", "type" : "article-journal", "volume" : "89" }, "uris" : [ "http://www.mendeley.com/documents/?uuid=f9d892a2-5561-4b45-9c8a-58c7d2053d1d" ] } ], "mendeley" : { "formattedCitation" : "&lt;sup&gt;73&lt;/sup&gt;", "plainTextFormattedCitation" : "73", "previouslyFormattedCitation" : "&lt;sup&gt;73&lt;/sup&gt;"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73</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"878164 [pii]", "ISBN" : "1643-3750 (Electronic)\\r1234-1010 (Linking)", "ISSN" : "1643-3750 (Electronic)", "PMID" : "19721408", "abstract" : "BACKGROUND: There is still a debate about the utility of intraoperative cholangiography (IOC) or laparoscopic ultrasonography (LUS) for detection of occult choledocholithiasis during laparoscopic cholecystectomy (LC). The aim of this study was to assess the value of IOC combined with LUS for detection of occult common bile duct (CBD) stones at LC. MATERIAL/METHODS: From Dec 2002 to Aug 2006, 103 patients with moderate risk of CBD stones underwent IOC and LUS simultaneously during LC. The physician teams for the two different procedures were blinded by each other. The sensitivity, specificity, accuracy, positive predictive value, negative predictive value, positive likelihood ratio, and negative likelihood ratio were calculated by several contingency tables that cross-tabulated the results of each technique with those of the gold standard. RESULTS: The success rate of IOC and LUS were 91.3% and 100% respectively and the time required for LUS was significantly shorter (P&lt;0.01). The visualization of intrapancreatic part of CBD by IOC (97.3%) was significantly higher than LUS (73.8%). The sensitivities, specificities, accuracies, positive and negative predictive values, positive and negative likelihood rations identifying occult CBD stones were 75.0%, 98.7%, 92.2%, 95.5%, 91.4%, 57.7 and 0.253 by IOC, and 82.1%, 98.7%, 94.2%, 95.8%, 93.7%, 63.2 and 0.181 by IUS respectively. The McNemar test showed no significant difference between two methods. The sensitivity of IOC combined with LUS was 92.9%, which was greater than that of IOC and LUS taken separately. CONCLUSIONS: LUS is usually performed in case where IOC has failed or is contraindicated. The combination of both methods maximizes intraoperative detection of occult CBD stones and should at least be recommended as two complementary methods.", "author" : [ { "dropping-particle" : "", "family" : "Li", "given" : "Jian-Wen", "non-dropping-particle" : "", "parse-names" : false, "suffix" : "" }, { "dropping-particle" : "", "family" : "Feng", "given" : "Bo", "non-dropping-particle" : "", "parse-names" : false, "suffix" : "" }, { "dropping-particle" : "", "family" : "Wu", "given" : "Liang", "non-dropping-particle" : "", "parse-names" : false, "suffix" : "" }, { "dropping-particle" : "", "family" : "Wang", "given" : "Ming-Liang", "non-dropping-particle" : "", "parse-names" : false, "suffix" : "" }, { "dropping-particle" : "", "family" : "Lu", "given" : "Ai-Guo", "non-dropping-particle" : "", "parse-names" : false, "suffix" : "" }, { "dropping-particle" : "", "family" : "Zang", "given" : "Lu", "non-dropping-particle" : "", "parse-names" : false, "suffix" : "" }, { "dropping-particle" : "", "family" : "Mao", "given" : "Zhi-Hai", "non-dropping-particle" : "", "parse-names" : false, "suffix" : "" }, { "dropping-particle" : "", "family" : "Dong", "given" : "Feng", "non-dropping-particle" : "", "parse-names" : false, "suffix" : "" }, { "dropping-particle" : "", "family" : "Zheng", "given" : "Min-Hua", "non-dropping-particle" : "", "parse-names" : false, "suffix" : "" } ], "container-title" : "Medical science monitor : international medical journal of experimental and clinical research", "id" : "ITEM-1", "issue" : "9", "issued" : { "date-parts" : [ [ "2009" ] ] }, "page" : "MT126-30", "title" : "Intraoperative cholangiography in combination with laparoscopic ultrasonography for the detection of occult choledocholithiasis.", "type" : "article-journal", "volume" : "15" }, "uris" : [ "http://www.mendeley.com/documents/?uuid=c1461c1c-d73f-4504-8f6d-a9e7c98d5f7f" ] } ], "mendeley" : { "formattedCitation" : "&lt;sup&gt;49&lt;/sup&gt;", "plainTextFormattedCitation" : "49", "previouslyFormattedCitation" : "&lt;sup&gt;49&lt;/sup&gt;"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49</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w:t>
      </w:r>
    </w:p>
    <w:p w14:paraId="3369719C" w14:textId="77777777" w:rsidR="00E32F0F" w:rsidRPr="00124E11" w:rsidRDefault="00E32F0F" w:rsidP="00A94613">
      <w:pPr>
        <w:snapToGrid w:val="0"/>
        <w:spacing w:line="360" w:lineRule="auto"/>
        <w:jc w:val="both"/>
        <w:rPr>
          <w:rFonts w:ascii="Book Antiqua" w:hAnsi="Book Antiqua"/>
          <w:color w:val="000000" w:themeColor="text1"/>
          <w:lang w:val="en-US"/>
        </w:rPr>
      </w:pPr>
    </w:p>
    <w:p w14:paraId="6F3833F4" w14:textId="7D8369BD"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 xml:space="preserve">LUS </w:t>
      </w:r>
      <w:r w:rsidR="00A81957" w:rsidRPr="00124E11">
        <w:rPr>
          <w:rFonts w:ascii="Book Antiqua" w:hAnsi="Book Antiqua"/>
          <w:b/>
          <w:i/>
          <w:color w:val="000000" w:themeColor="text1"/>
          <w:lang w:val="en-US"/>
        </w:rPr>
        <w:t>and incidental findings</w:t>
      </w:r>
    </w:p>
    <w:p w14:paraId="5A2E0004" w14:textId="78E0222B"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LUS has the benefit of substituting for the lack of tactile palpation during LC, and allows scanning of other organs such that additional underlying pathology can be identified. Liver abscesses or tumors, suspicious lesions in the gallbladder wall, or diverticulum of the common bile duct can be detected</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"1072-7515", "PMID" : "9291406", "abstract" : "BACKGROUND The purpose of this study was to compare the functional utility of intraoperative ultrasonography (IOUS) and cholangiography (IOC) during a laparoscopic cholecystectomy for the treatment of gallstone disease. STUDY DESIGN A prospective study comparing IOUS and IOC was carried out in 65 patients. Intraoperative ultrasonography was conducted first using a 7.5-MHz linear array probe. After IOUS, IOC was then conducted in all patients. The respective usefulness of IOUS and IOC in the identification of gallstones, detection of hepatobiliary structures, and demonstration of congenital anomalies was then compared. RESULTS Intraoperative ultrasonography was successful in all 65 patients, and IOC was successful only in 54. The time required for IOUS was significantly shorter (p &lt; 0.0001) than for IOC. Intraoperative ultrasonography imaged the hepatic ducts and their confluence, the common hepatic duct, the common bile duct, and the ampulla of Vater in 97, 100, 97, and 51% of cases, respectively. Intraoperative cholangiography, on the other hand, depicted these structures in 85, 89, 100, and 94% of cases, respectively. Intraoperative ultrasonography demonstrated the cystic duct and its confluence in 94% of cases. Biliary anomalies were identified by IOUS in 12 patients and by IOC in 13. Intraoperative ultrasonography could detect the hilar vascular structures in most patients and visualized anomalies of the hepatic arteries in 5 patients. In this series, 5 patients had choledocholithiasis. The sensitivities, specificities, positive and negative predictive values, and accuracies in identifying these bile duct stones were 80, 98, 80, 98, and 97% by IOUS, and 80, 97, 67, 98, and 95% by IOC, respectively. CONCLUSIONS Intraoperative ultrasonography is superior to cholangiography with respect to its safety, shorter examination period, and ease of administration in all patients. In addition, IOUS is also better for identifying subtle anatomic detail. Intraoperative ultrasonography compares favorably with IOC in terms of utility in exploring bile ducts for stones. Intraoperative ultrasonography is an effective procedure for biliary exploration during a laparoscopic cholecystectomy.", "author" : [ { "dropping-particle" : "", "family" : "Ohtani", "given" : "T", "non-dropping-particle" : "", "parse-names" : false, "suffix" : "" }, { "dropping-particle" : "", "family" : "Kawai", "given" : "C", "non-dropping-particle" : "", "parse-names" : false, "suffix" : "" }, { "dropping-particle" : "", "family" : "Shirai", "given" : "Y", "non-dropping-particle" : "", "parse-names" : false, "suffix" : "" }, { "dropping-particle" : "", "family" : "Kawakami", "given" : "K", "non-dropping-particle" : "", "parse-names" : false, "suffix" : "" }, { "dropping-particle" : "", "family" : "Yoshida", "given" : "K", "non-dropping-particle" : "", "parse-names" : false, "suffix" : "" }, { "dropping-particle" : "", "family" : "Hatakeyama", "given" : "K", "non-dropping-particle" : "", "parse-names" : false, "suffix" : "" } ], "container-title" : "Journal of the American College of Surgeons", "id" : "ITEM-1", "issue" : "3", "issued" : { "date-parts" : [ [ "1997", "9" ] ] }, "page" : "274-82", "title" : "Intraoperative ultrasonography versus cholangiography during laparoscopic cholecystectomy: a prospective comparative study.", "type" : "article-journal", "volume" : "185" }, "uris" : [ "http://www.mendeley.com/documents/?uuid=766d0a10-6714-4534-b464-7dae43958e94" ] } ], "mendeley" : { "formattedCitation" : "&lt;sup&gt;25&lt;/sup&gt;", "plainTextFormattedCitation" : "25", "previouslyFormattedCitation" : "&lt;sup&gt;25&lt;/sup&gt;"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25</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In 1995, </w:t>
      </w:r>
      <w:r w:rsidR="00B50EAE" w:rsidRPr="00124E11">
        <w:rPr>
          <w:rFonts w:ascii="Book Antiqua" w:hAnsi="Book Antiqua"/>
          <w:color w:val="000000" w:themeColor="text1"/>
          <w:lang w:val="en-US"/>
        </w:rPr>
        <w:t xml:space="preserve">in a prospective non randomized study, </w:t>
      </w:r>
      <w:r w:rsidRPr="00124E11">
        <w:rPr>
          <w:rFonts w:ascii="Book Antiqua" w:hAnsi="Book Antiqua"/>
          <w:color w:val="000000" w:themeColor="text1"/>
          <w:lang w:val="en-US"/>
        </w:rPr>
        <w:t xml:space="preserve">Stiegmann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"10.1007/BF00190157", "ISSN" : "09302794", "PMID" : "8629207", "abstract" : "We compared laparoscopic ultrasonography (LICU) with static (S) or dynamic (D) cholangiography (IOC) for assessment of duct anatomy an calculi in 209 patients. LICU visualized ducts in 88% compared with 93% for IOC (P = 0.046). Nineteen patients (9%) had stones: 17 were found by LICU (89%) and 10 (53%) by IOC (P = 0.032). Time to perform LICU (7 3 min) was less than IOC (13 6 min) (P &lt; 0.0001). Time to perform SIOC (12 5 min) and DIOC (14 6 min) did not differ (P = 0.48), nor did these tests differ in accuracy. LICU provided useful anatomical information but IOC better defined anatomic anomalies. LICU required less time but was less reliable at defining anatomy and complete duct visualization. LICU was more sensitive for stones. SIOC and DIOC did not differ objectively. LICU and IOC are complementary.", "author" : [ { "dropping-particle" : "V.", "family" : "Stiegmann", "given" : "G.", "non-dropping-particle" : "", "parse-names" : false, "suffix" : "" }, { "dropping-particle" : "", "family" : "Soper", "given" : "N. J.", "non-dropping-particle" : "", "parse-names" : false, "suffix" : "" }, { "dropping-particle" : "", "family" : "Filipi", "given" : "C. J.", "non-dropping-particle" : "", "parse-names" : false, "suffix" : "" }, { "dropping-particle" : "", "family" : "McIntyre", "given" : "R. C.", "non-dropping-particle" : "", "parse-names" : false, "suffix" : "" }, { "dropping-particle" : "", "family" : "Callery", "given" : "M. P.", "non-dropping-particle" : "", "parse-names" : false, "suffix" : "" }, { "dropping-particle" : "", "family" : "Cordova", "given" : "J. F.", "non-dropping-particle" : "", "parse-names" : false, "suffix" : "" } ], "container-title" : "Surgical Endoscopy", "id" : "ITEM-1", "issue" : "12", "issued" : { "date-parts" : [ [ "1995" ] ] }, "page" : "1269-1273", "title" : "Laparoscopic ultrasonography as compared with static or dynamic cholangiography at laparoscopic cholecystectomy - A prospective multicenter trial", "type" : "article-journal", "volume" : "9" }, "uris" : [ "http://www.mendeley.com/documents/?uuid=34e6738f-57e9-4fcc-8d05-928c287b4c71" ] } ], "mendeley" : { "formattedCitation" : "&lt;sup&gt;19&lt;/sup&gt;", "plainTextFormattedCitation" : "19", "previouslyFormattedCitation" : "&lt;sup&gt;19&lt;/sup&gt;"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19</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reported the LUS identification of a large </w:t>
      </w:r>
      <w:r w:rsidRPr="00124E11">
        <w:rPr>
          <w:rFonts w:ascii="Book Antiqua" w:hAnsi="Book Antiqua"/>
          <w:color w:val="000000" w:themeColor="text1"/>
          <w:lang w:val="en-US"/>
        </w:rPr>
        <w:lastRenderedPageBreak/>
        <w:t>hilar lymph node, from which a frozen section was used to diagnose gallbladder carcinoma.</w:t>
      </w:r>
    </w:p>
    <w:p w14:paraId="31C37458" w14:textId="3A96A60C" w:rsidR="00E32F0F" w:rsidRPr="00124E11" w:rsidRDefault="00E32F0F"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In the series published after 2000 (Table 6), Hublet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"ISSN" : "00015458", "PMID" : "19943585", "abstract" : "Intraoperative cholangiography (IOC), used routinely or selectively, is the standard method for bile duct imaging during cholecystectomy. Laparoscopic ultrasonography (LUS) has emerged as a possible, safe and quick alternative. This study examined the evolving use and the performance of these two methods as primary technique for routine bile duct imaging, so as to detect common bile duct stones (CBDS) and to prevent common bile duct injury (CBDI). A prospective database permitted to evaluate the results of the two methods in 968 consecutive cholecystectomies. Nine hundered and twenty five were performed by laparoscopy, 18 (1.9%) by laparotomy and 25 (2.6) necessitated a conversion. The systematic use of the IOC was gradually replaced by a systematic use of the LUS. The success to delineate and evaluate the CBD, the detection of a CBDS, any type of bile duct complication, especially of CBDI, were registered. All the CBDS suspected by LUS were controlled by IOC. The patients were followed during 1 and 6 months. Six hundred and eighty five IOC and 269 LUS were performed. The procedure was technically unsuccessful in 35 IOC (5.1%) (mainly due to difficulty in catheterising the cystic duct) and in 2 LUS (1%) (due to steatosis). Concerning the detection of CBDS, 31 were detected by IOC (4.5%) and 16 by LUS (6%). Five IOC were considered as false positive, 1 as false negative (sensitivity and specificity of 96,9 and 99,2%) and 1 LUS as false positive (sensitivity and specificity of 100 and 99,6%). Five CBDI were detected in the complete seria: 2 during the dissection before the IOC, 1 thermic injury, 1 late stenosis, 1 lateral stenosis by the cystic clip detected by LUS. However none of these CBDI could have been prevented by IOC. In our experience, in this prospective study, LUS has been certainly as effective as IOC as a primary imaging technique for bile duct. It permitted to detect CBDS with a high specificity and sensitivity, and CBDS and was not followed by an increase in CBDI.", "author" : [ { "dropping-particle" : "", "family" : "Hublet", "given" : "A.", "non-dropping-particle" : "", "parse-names" : false, "suffix" : "" }, { "dropping-particle" : "", "family" : "Dili", "given" : "A.", "non-dropping-particle" : "", "parse-names" : false, "suffix" : "" }, { "dropping-particle" : "", "family" : "Lemaire", "given" : "J.", "non-dropping-particle" : "", "parse-names" : false, "suffix" : "" }, { "dropping-particle" : "", "family" : "Mansvelt", "given" : "B.", "non-dropping-particle" : "", "parse-names" : false, "suffix" : "" }, { "dropping-particle" : "", "family" : "Molle", "given" : "G.", "non-dropping-particle" : "", "parse-names" : false, "suffix" : "" }, { "dropping-particle" : "", "family" : "Bertrand", "given" : "C.", "non-dropping-particle" : "", "parse-names" : false, "suffix" : "" } ], "container-title" : "Acta chirurgica Belgica", "id" : "ITEM-1", "issue" : "3", "issued" : { "date-parts" : [ [ "2009" ] ] }, "page" : "312-316", "title" : "Laparoscopic ultrasonography as a good alternative to intraoperative cholangiography (IOC) during laparoscopic cholecystectomy: results of prospective study.", "type" : "article-journal", "volume" : "109" }, "uris" : [ "http://www.mendeley.com/documents/?uuid=61326b02-aab8-4bf4-9505-ae81801639de" ] } ], "mendeley" : { "formattedCitation" : "&lt;sup&gt;12&lt;/sup&gt;", "plainTextFormattedCitation" : "12", "previouslyFormattedCitation" : "&lt;sup&gt;12&lt;/sup&gt;"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12</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00B50EAE" w:rsidRPr="00124E11">
        <w:rPr>
          <w:rFonts w:ascii="Book Antiqua" w:hAnsi="Book Antiqua"/>
          <w:color w:val="000000" w:themeColor="text1"/>
          <w:lang w:val="en-US"/>
        </w:rPr>
        <w:t xml:space="preserve">, in a prospective non randomized study, </w:t>
      </w:r>
      <w:r w:rsidRPr="00124E11">
        <w:rPr>
          <w:rFonts w:ascii="Book Antiqua" w:hAnsi="Book Antiqua"/>
          <w:color w:val="000000" w:themeColor="text1"/>
          <w:lang w:val="en-US"/>
        </w:rPr>
        <w:t>reported the diagnosis of one case with hemobilia (which could have been</w:t>
      </w:r>
      <w:r w:rsidR="00822039">
        <w:rPr>
          <w:rFonts w:ascii="Book Antiqua" w:hAnsi="Book Antiqua"/>
          <w:color w:val="000000" w:themeColor="text1"/>
          <w:lang w:val="en-US"/>
        </w:rPr>
        <w:t xml:space="preserve"> </w:t>
      </w:r>
      <w:r w:rsidRPr="00124E11">
        <w:rPr>
          <w:rFonts w:ascii="Book Antiqua" w:hAnsi="Book Antiqua"/>
          <w:color w:val="000000" w:themeColor="text1"/>
          <w:lang w:val="en-US"/>
        </w:rPr>
        <w:t>interpreted as a filling defect in IOC imaging), 1 pancreatic pseudocyst, 1 case of IPMN, 1 pancreas divisum, and 1 patient with micro-calcifications of the head of the pancreas. Other authors report the identification of gallbladder polyps</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"10.1016/j.jamcollsurg.2013.02.009", "ISBN" : "1879-1190 (Electronic)\\r1072-7515 (Linking)", "ISSN" : "10727515", "PMID" : "23571143", "abstract" : "Background: Transabdominal ultrasound (TAU) is the gold standard for detecting cholelithiasis. Morbid obesity can inhibit detection of gallbladder pathology due to increased subcutaneous and visceral fat. Laparoscopic ultrasound (LUS) has the potential to overcome these technical challenges. We hypothesized that LUS would have a sensitivity and specificity similar to TAU for detecting cholelithiasis and polyps in morbidly obese patients presenting for laparoscopic Roux-en-Y gastric bypass. Study Design: After Institutional Review Board approval, patients underwent preoperative TAU and intraoperative LUS during laparoscopic Roux-en-Y gastric bypass. Certified ultrasonographers performed all TAUs. Surgeons, blinded to TAU results, performed the LUS. Presence of cholelithiasis or polyps and common bile duct diameter was evaluated. Statistical analysis included chi-square and McNemar's test. Results: Two hundred and fifty-three patients were prospectively enrolled during a 6-year period. Seventy-six percent were female, mean age and preoperative body mass index (calculated as kg/m2) were 43.5 years and 48, respectively. Mean time to complete the LUS was 4 minutes. Mean common bile duct diameter measured 3.7 mm via LUS and 4.0 mm via TAU. Transabdominal ultrasound and LUS identified 61 and 60 patients with cholelithiasis, respectively (p = 0.763). The sensitivity and specificity of LUS for cholelithiasis was 90.2% and 97.4%. Laparoscopic ultrasound identified polyps in 41 patients, and TAU identified polyps in 6 patients, 5 of which had polyps identified on LUS as well (p &lt; 0.001). Sensitivity and specificity of LUS for polyps was 83.3% and 85.4%. Conclusions: Laparoscopic ultrasound is equivalent to TAU in detecting cholelithiasis, however, LUS detected significantly more polyps. Intraoperative LUS is an appropriate alternative to TAU in patients undergoing laparoscopic Roux-en-Y gastric bypass. ?? 2013 by the American College of Surgeons.", "author" : [ { "dropping-particle" : "", "family" : "Kothari", "given" : "Shanu N.", "non-dropping-particle" : "", "parse-names" : false, "suffix" : "" }, { "dropping-particle" : "", "family" : "Obinwanne", "given" : "Kosisochi M.", "non-dropping-particle" : "", "parse-names" : false, "suffix" : "" }, { "dropping-particle" : "", "family" : "Baker", "given" : "Matthew T.", "non-dropping-particle" : "", "parse-names" : false, "suffix" : "" }, { "dropping-particle" : "", "family" : "Mathiason", "given" : "Michelle A.", "non-dropping-particle" : "", "parse-names" : false, "suffix" : "" }, { "dropping-particle" : "", "family" : "Kallies", "given" : "Kara J.", "non-dropping-particle" : "", "parse-names" : false, "suffix" : "" } ], "container-title" : "Journal of the American College of Surgeons", "id" : "ITEM-1", "issue" : "6", "issued" : { "date-parts" : [ [ "2013" ] ] }, "page" : "1057-1062", "publisher" : "Elsevier Inc", "title" : "A prospective, blinded comparison of laparoscopic ultrasound with transabdominal ultrasound for the detection of gallbladder pathology in morbidly obese patients", "type" : "article-journal", "volume" : "216" }, "uris" : [ "http://www.mendeley.com/documents/?uuid=eaa1db1b-5c07-457d-ad5f-23d9a3ebe732" ] } ], "mendeley" : { "formattedCitation" : "&lt;sup&gt;74&lt;/sup&gt;", "plainTextFormattedCitation" : "74", "previouslyFormattedCitation" : "&lt;sup&gt;74&lt;/sup&gt;"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74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Mirizzi syndrome</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"10.1007/s00464-007-9558-4", "ISSN" : "09302794", "PMID" : "17721807", "abstract" : "BACKGROUND: Intraoperative fluorocholangiography (IOC) has been the standard method for bile duct imaging during cholecystectomy. Laparoscopic ultrasound (LUS) has been evaluated as a possible alternative, but has been used less frequently. The authors examined the evolving use of these two methods to assess the relative utility of LUS as the primary method for routine bile duct imaging during laparoscopic cholecystectomy (LC). METHODS: This study analyzed a prospective database containing 423 consecutive cholecystectomies performed by one attending surgeon in an academic medical center between 1995 and 2005. RESULTS: Intraoperative bile duct imaging was performed in 371 (94%) of 396 LCs performed for cholelithiasis. As recorded, IOC was performed in 239 cases, LUS in 236 cases, and both in 104 cases. Choledocholithiasis was present in 50 patients (13%). Common bile duct stones (CBDS) were identified by LUS in 3% of the patients without preoperative indicators of CBDS, and in 10% of the patients with one or more indicators. As shown by the findings, LUS had a positive predictive value of 100%, a negative predictive value of 99.6%, a sensitivity of 92.3%, and a specificity of 100% for detecting CBDS. Also, LUS identified clinically significant bile duct anatomy in 6% of the patients. In 1995, LUS was used for 20% of cases, whereas by 2005, it was used for 97% of cases. Conversely, the use of IOC decreased from 93% to 23%. CONCLUSIONS: With moderate experience, LUS can become the primary routine imaging method for evaluating the bile duct during LC. It is as reliable as IOC for detecting choledocholithiasis. In addition, LUS can locate the common bile duct during difficult dissections. On the basis of this experience, LUS is used currently in nearly all LCs and is the sole method for bile duct imaging in 75% of these cases. IOC is used as an adjunct to LUS when LUS imaging is inadequate, when stronger clinical indicators of choledocholithiasis are present, or when biliary anatomy remains uncertain.", "author" : [ { "dropping-particle" : "", "family" : "Perry", "given" : "K. A.", "non-dropping-particle" : "", "parse-names" : false, "suffix" : "" }, { "dropping-particle" : "", "family" : "Myers", "given" : "J. A.", "non-dropping-particle" : "", "parse-names" : false, "suffix" : "" }, { "dropping-particle" : "", "family" : "Deziel", "given" : "D. J.", "non-dropping-particle" : "", "parse-names" : false, "suffix" : "" } ], "container-title" : "Surgical Endoscopy and Other Interventional Techniques", "id" : "ITEM-1", "issue" : "1", "issued" : { "date-parts" : [ [ "2008" ] ] }, "page" : "208-213", "title" : "Laparoscopic ultrasound as the primary method for bile duct imaging during cholecystectomy", "type" : "article-journal", "volume" : "22" }, "uris" : [ "http://www.mendeley.com/documents/?uuid=da521f74-114e-4d71-aee9-b1c70d0e7b9b" ] } ], "mendeley" : { "formattedCitation" : "&lt;sup&gt;50&lt;/sup&gt;", "plainTextFormattedCitation" : "50", "previouslyFormattedCitation" : "&lt;sup&gt;50&lt;/sup&gt;"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50</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lobar atrophy/hypertrophy, or rotational anomalies of the liver</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"10.1007/s00464-008-9985-x", "ISSN" : "09302794", "PMID" : "18528611", "abstract" : "OBJECTIVE: Laparoscopic ultrasound (LUS) has been used for over 15 years to screen the bile duct (BD) for stones and to delineate anatomy during laparoscopic cholecystectomy (LC). LUS as a modality to prevent BD injury has not been investigated in a large series. This study evaluated the routine use of LUS to determine its effect on preventing BD injury. METHODS: A multicenter retrospective study was performed by reviewing clinical outcome of LC in which LUS was used routinely. RESULTS: In five centers, 1,381 patients underwent LC with LUS. LUS was successful to delineate and evaluate the BD in 1,352 patients (98.0%), although it was unsuccessful or incomplete in 29 patients (2.0%). LUS was considered remarkably valuable to safely complete LC, avoiding conversion to open, in 81 patients (5.9%). The use of intraoperative cholangiography (IOC) varied depending on centers; IOC was performed in 504 patients (36.5%). For screening of BD stones (which was positive in 151 patients, 10.9%), LUS had a false-positive result in two patients (0.1%) and a false-negative result in five patients (0.4%). There were retained BD stones in three patients (0.2%). There were minor bile leaks from the liver bed in three patients (0.2%). However, there were no other BD injuries including BD transection (0%). Retrospectively, IOC was deemed necessary in 25 patients (1.8%) to complete LC in spite of routine LUS. CONCLUSION: LUS can be performed successfully to delineate BD anatomy in the majority of patients. The routine use of LUS during LC has obviated major BD injury, compared to the reported rate (1 out of 200-400 LCs). LUS improves the safety of LC by clarifying anatomy and decreasing BD injury.", "author" : [ { "dropping-particle" : "", "family" : "MacHi", "given" : "Junji", "non-dropping-particle" : "", "parse-names" : false, "suffix" : "" }, { "dropping-particle" : "", "family" : "Johnson", "given" : "James O.", "non-dropping-particle" : "", "parse-names" : false, "suffix" : "" }, { "dropping-particle" : "", "family" : "Deziel", "given" : "Daniel J.", "non-dropping-particle" : "", "parse-names" : false, "suffix" : "" }, { "dropping-particle" : "", "family" : "Soper", "given" : "Nathaniel J.", "non-dropping-particle" : "", "parse-names" : false, "suffix" : "" }, { "dropping-particle" : "", "family" : "Berber", "given" : "Eren", "non-dropping-particle" : "", "parse-names" : false, "suffix" : "" }, { "dropping-particle" : "", "family" : "Siperstein", "given" : "Allan", "non-dropping-particle" : "", "parse-names" : false, "suffix" : "" }, { "dropping-particle" : "", "family" : "Hata", "given" : "Masaki", "non-dropping-particle" : "", "parse-names" : false, "suffix" : "" }, { "dropping-particle" : "", "family" : "Patel", "given" : "Anand", "non-dropping-particle" : "", "parse-names" : false, "suffix" : "" }, { "dropping-particle" : "", "family" : "Singh", "given" : "Kirpal", "non-dropping-particle" : "", "parse-names" : false, "suffix" : "" }, { "dropping-particle" : "", "family" : "Arregui", "given" : "Maurice E.", "non-dropping-particle" : "", "parse-names" : false, "suffix" : "" } ], "container-title" : "Surgical Endoscopy and Other Interventional Techniques", "id" : "ITEM-1", "issue" : "2", "issued" : { "date-parts" : [ [ "2009" ] ] }, "page" : "384-388", "title" : "The routine use of laparoscopic ultrasound decreases bile duct injury: A multicenter study", "type" : "article-journal", "volume" : "23" }, "uris" : [ "http://www.mendeley.com/documents/?uuid=b9869114-bd07-4c46-95c4-24ed9c5401c6" ] } ], "mendeley" : { "formattedCitation" : "&lt;sup&gt;54&lt;/sup&gt;", "plainTextFormattedCitation" : "54", "previouslyFormattedCitation" : "&lt;sup&gt;54&lt;/sup&gt;"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54</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B50EAE" w:rsidRPr="00124E11">
        <w:rPr>
          <w:rFonts w:ascii="Book Antiqua" w:hAnsi="Book Antiqua"/>
          <w:color w:val="000000" w:themeColor="text1"/>
          <w:lang w:val="en-US"/>
        </w:rPr>
        <w:t xml:space="preserve">In a prospective non randomized study published in 2007, </w:t>
      </w:r>
      <w:r w:rsidRPr="00124E11">
        <w:rPr>
          <w:rFonts w:ascii="Book Antiqua" w:hAnsi="Book Antiqua"/>
          <w:color w:val="000000" w:themeColor="text1"/>
          <w:lang w:val="en-US"/>
        </w:rPr>
        <w:t>Machi</w:t>
      </w:r>
      <w:r w:rsidRPr="00124E11">
        <w:rPr>
          <w:rFonts w:ascii="Book Antiqua" w:hAnsi="Book Antiqua"/>
          <w:i/>
          <w:color w:val="000000" w:themeColor="text1"/>
          <w:lang w:val="en-US"/>
        </w:rPr>
        <w:t xml:space="preserve"> et al</w:t>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"10.1007/s00464-005-0817-y", "ISBN" : "0046400508", "ISSN" : "09302794", "PMID" : "17122981", "abstract" : "BACKGROUND: The use of intraoperative cholangiography (IOC), routinely rather than selectively, during laparoscopic cholecystectomy (LC) is controversial. Recent findings have shown laparoscopic ultrasound (LUS) to be safe, quick, and effective not only for screening of the bile duct for stones, but also for evaluating the biliary anatomy. This study aimed to evaluate, on the basis of the LC outcome and the cost of LUS and IOC, whether and how much the routine use of LUS would be able to reduce the need for IOC. METHODS: During LC, LUS was used routinely to screen the bile duct for stones and to evaluate the biliary anatomy, whereas IOC was used selectively only when LUS was unsatisfactory or unsuccessful. RESULTS: For 193 (96.5%) of 200 patients, LUS was completed successfully, whereas IOC was needed for 7 patients (3.5%). Bile duct stones were identified in 20 patients (10%). For the detection of bile duct stones, LUS yielded 19 true-positive, 175 true-negative, 0 false-positive, and 1 false-negative results. It had a sensitivity of 95%, a specificity of 100%, a positive predictive value of 100%, and a negative predictive value of 99.4%. The postoperative complications included bile leaks from the liver bed in two patients and a retained bile duct stone in one patient. If IOC had been used selectively in a traditional manner on the basis of preoperative risk factors, IOC would have been needed for 77 patients (38.5%). The total cost of LUS plus IOC for the current 200 patients was 26,256 dollars. The total estimated cost of selective IOC, if it had been performed for the 77 patients, would have been 31,416 dollars. CONCLUSIONS: Routine LUS accurately diagnosed bile duct stones and significantly reduced the need for selective IOC from a potential 38.5% to an actual 3.5% without adversely affecting the outcome of the LC or increasing the overall cost. The routine use of LUS during LC is accurate and cost effective.", "author" : [ { "dropping-particle" : "", "family" : "Machi", "given" : "J.", "non-dropping-particle" : "", "parse-names" : false, "suffix" : "" }, { "dropping-particle" : "", "family" : "Oishi", "given" : "A. J.", "non-dropping-particle" : "", "parse-names" : false, "suffix" : "" }, { "dropping-particle" : "", "family" : "Tajiri", "given" : "T.", "non-dropping-particle" : "", "parse-names" : false, "suffix" : "" }, { "dropping-particle" : "", "family" : "Murayama", "given" : "K. M.", "non-dropping-particle" : "", "parse-names" : false, "suffix" : "" }, { "dropping-particle" : "", "family" : "Furumoto", "given" : "N. L.", "non-dropping-particle" : "", "parse-names" : false, "suffix" : "" }, { "dropping-particle" : "", "family" : "Oishi", "given" : "R. H.", "non-dropping-particle" : "", "parse-names" : false, "suffix" : "" } ], "container-title" : "Surgical Endoscopy and Other Interventional Techniques", "id" : "ITEM-1", "issue" : "2", "issued" : { "date-parts" : [ [ "2007" ] ] }, "page" : "270-274", "title" : "Routine laparoscopic ultrasound can significantly reduce the need for selective intraoperative cholangiography during cholecystectomy", "type" : "article-journal", "volume" : "21" }, "uris" : [ "http://www.mendeley.com/documents/?uuid=6c900167-8e7c-4198-9bb8-bddc71940063" ] } ], "mendeley" : { "formattedCitation" : "&lt;sup&gt;51&lt;/sup&gt;", "plainTextFormattedCitation" : "51", "previouslyFormattedCitation" : "&lt;sup&gt;51&lt;/sup&gt;"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51</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diagnosed cystic or solid tumors of the liver or pancreas during systematic examination </w:t>
      </w:r>
      <w:r w:rsidRPr="00124E11">
        <w:rPr>
          <w:rFonts w:ascii="Book Antiqua" w:hAnsi="Book Antiqua"/>
          <w:i/>
          <w:color w:val="000000" w:themeColor="text1"/>
          <w:lang w:val="en-US"/>
        </w:rPr>
        <w:t>via</w:t>
      </w:r>
      <w:r w:rsidRPr="00124E11">
        <w:rPr>
          <w:rFonts w:ascii="Book Antiqua" w:hAnsi="Book Antiqua"/>
          <w:color w:val="000000" w:themeColor="text1"/>
          <w:lang w:val="en-US"/>
        </w:rPr>
        <w:t xml:space="preserve"> LUS. Thus, LUS permitted the surgeon to proceed to biopsy or aspiration, and even radiofrequency ablation of tumors in 6 cases. Even if it remains unclear as to whether these tumors were incidental perioperative findings, or were diagnosed during the preoperative workup, LUS permitted localization of the disease</w:t>
      </w:r>
      <w:r w:rsidR="00B50EAE" w:rsidRPr="00124E11">
        <w:rPr>
          <w:rFonts w:ascii="Book Antiqua" w:hAnsi="Book Antiqua"/>
          <w:color w:val="000000" w:themeColor="text1"/>
          <w:lang w:val="en-US"/>
        </w:rPr>
        <w:t>,</w:t>
      </w:r>
      <w:r w:rsidRPr="00124E11">
        <w:rPr>
          <w:rFonts w:ascii="Book Antiqua" w:hAnsi="Book Antiqua"/>
          <w:color w:val="000000" w:themeColor="text1"/>
          <w:lang w:val="en-US"/>
        </w:rPr>
        <w:t xml:space="preserve"> </w:t>
      </w:r>
      <w:r w:rsidR="00B50EAE" w:rsidRPr="00124E11">
        <w:rPr>
          <w:rFonts w:ascii="Book Antiqua" w:hAnsi="Book Antiqua"/>
          <w:color w:val="000000" w:themeColor="text1"/>
          <w:lang w:val="en-US"/>
        </w:rPr>
        <w:t>biopsy</w:t>
      </w:r>
      <w:r w:rsidR="00140140" w:rsidRPr="00124E11">
        <w:rPr>
          <w:rFonts w:ascii="Book Antiqua" w:hAnsi="Book Antiqua"/>
          <w:color w:val="000000" w:themeColor="text1"/>
          <w:lang w:val="en-US"/>
        </w:rPr>
        <w:t>,</w:t>
      </w:r>
      <w:r w:rsidR="00B50EAE" w:rsidRPr="00124E11">
        <w:rPr>
          <w:rFonts w:ascii="Book Antiqua" w:hAnsi="Book Antiqua"/>
          <w:color w:val="000000" w:themeColor="text1"/>
          <w:lang w:val="en-US"/>
        </w:rPr>
        <w:t xml:space="preserve"> and even </w:t>
      </w:r>
      <w:r w:rsidRPr="00124E11">
        <w:rPr>
          <w:rFonts w:ascii="Book Antiqua" w:hAnsi="Book Antiqua"/>
          <w:color w:val="000000" w:themeColor="text1"/>
          <w:lang w:val="en-US"/>
        </w:rPr>
        <w:t>treatment.</w:t>
      </w:r>
    </w:p>
    <w:p w14:paraId="0045CAAC" w14:textId="77777777" w:rsidR="009460FB" w:rsidRPr="00124E11" w:rsidRDefault="009460FB" w:rsidP="00A94613">
      <w:pPr>
        <w:snapToGrid w:val="0"/>
        <w:spacing w:line="360" w:lineRule="auto"/>
        <w:jc w:val="both"/>
        <w:rPr>
          <w:rFonts w:ascii="Book Antiqua" w:hAnsi="Book Antiqua"/>
          <w:color w:val="000000" w:themeColor="text1"/>
          <w:lang w:val="en-US"/>
        </w:rPr>
      </w:pPr>
    </w:p>
    <w:p w14:paraId="38373C3B" w14:textId="62A6AE5E"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S</w:t>
      </w:r>
      <w:r w:rsidR="00A81957" w:rsidRPr="00124E11">
        <w:rPr>
          <w:rFonts w:ascii="Book Antiqua" w:hAnsi="Book Antiqua"/>
          <w:b/>
          <w:i/>
          <w:color w:val="000000" w:themeColor="text1"/>
          <w:lang w:val="en-US"/>
        </w:rPr>
        <w:t>peed of the process</w:t>
      </w:r>
    </w:p>
    <w:p w14:paraId="3A0E76E8" w14:textId="0C30AE83"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LUS can be completed more rapidly than IOC</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"10.1308/rcsann.2016.0068", "ISSN" : "00358843", "PMID" : "26985813", "abstract" : "Introduction During laparoscopic cholecystectomy, intraoperative cholangiography (IOC) is currently regarded as the gold standard in the detection of choledocholithiasis. Laparoscopic ultrasonography (LUS) is an attractive alternative with several potential advantages. Methods A systematic review was undertaken of the published literature comparing LUS with IOC in the assessment of common bile duct (CBD) stones. Results Twenty-one comparative studies were analysed. There were 4,566 patients in the IOC group and 5,044 in the LUS group. The combined sensitivity and specificity of IOC in the detection of CBD stones were 0.87 (95% confidence interval [CI]: 0.83-0.89) and 0.98 (95% CI: 0.98-0.98) respectively with a pooled area under the curve (AUC) of 0.985 and a diagnostic odds ratio (OR) of 260.65 (95% CI: 160.44-423.45). This compares with a sensitivity and specificity for LUS of 0.90 (95% CI: 0.87-0.92) and 0.99 (95% CI: 0.99-0.99) respectively with a pooled AUC of 0.982 and a diagnostic OR of 765.15 (95% CI: 450.78-1,298.76). LUS appeared to be more successful in terms of coming to a clinical decision regarding CBD stones than IOC (random effects, risk ratio: 0.95, 95% CI: 0.93-0.98, df=20, z=-3.7, p&lt;0.005). Furthermore, LUS took less time (random effects, standardised mean difference: 0.95, 95% CI: 0.93-0.98, df=20, z=-3.7, p&lt;0.005). Conclusions LUS is comparable with IOC in the detection of CBD stones. The main advantages of LUS are that it does not involve ionising radiation, is quicker to perform, has a lower failure rate and can be repeated during the procedure as required.", "author" : [ { "dropping-particle" : "", "family" : "Jamal", "given" : "K. N.", "non-dropping-particle" : "", "parse-names" : false, "suffix" : "" }, { "dropping-particle" : "", "family" : "Smith", "given" : "H.", "non-dropping-particle" : "", "parse-names" : false, "suffix" : "" }, { "dropping-particle" : "", "family" : "Ratnasingham", "given" : "K.", "non-dropping-particle" : "", "parse-names" : false, "suffix" : "" }, { "dropping-particle" : "", "family" : "Siddiqui", "given" : "M. R.", "non-dropping-particle" : "", "parse-names" : false, "suffix" : "" }, { "dropping-particle" : "", "family" : "McLachlan", "given" : "G.", "non-dropping-particle" : "", "parse-names" : false, "suffix" : "" }, { "dropping-particle" : "", "family" : "Belgaumkar", "given" : "A. P.", "non-dropping-particle" : "", "parse-names" : false, "suffix" : "" } ], "container-title" : "Annals of the Royal College of Surgeons of England", "id" : "ITEM-1", "issue" : "4", "issued" : { "date-parts" : [ [ "2016" ] ] }, "page" : "244-249", "title" : "Meta-analysis of the diagnostic accuracy of laparoscopic ultrasonography and intraoperative cholangiography in detection of common bile duct stones", "type" : "article-journal", "volume" : "98" }, "uris" : [ "http://www.mendeley.com/documents/?uuid=eb67e9bc-0c2b-44e7-8d18-221f51f14e9a" ] } ], "mendeley" : { "formattedCitation" : "&lt;sup&gt;38&lt;/sup&gt;", "plainTextFormattedCitation" : "38", "previouslyFormattedCitation" : "&lt;sup&gt;38&lt;/sup&gt;"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38</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"10.3748/wjg.14.2370", "ISBN" : "8117239507", "ISSN" : "10079327", "PMID" : "18416464", "abstract" : "To analyze the efficacy of routine intraoperative ultrasound (IOUS) as a guide for understanding biliary tract anatomy, to avoid bile duct injury (BDI) after laparoscopic cholecystectomy (LC), as well as any burden during the learning period.", "author" : [ { "dropping-particle" : "", "family" : "Hakamada", "given" : "Kenichi", "non-dropping-particle" : "", "parse-names" : false, "suffix" : "" }, { "dropping-particle" : "", "family" : "Narumi", "given" : "Shunji", "non-dropping-particle" : "", "parse-names" : false, "suffix" : "" }, { "dropping-particle" : "", "family" : "Toyoki", "given" : "Yoshikazu", "non-dropping-particle" : "", "parse-names" : false, "suffix" : "" }, { "dropping-particle" : "", "family" : "Nara", "given" : "Masaki", "non-dropping-particle" : "", "parse-names" : false, "suffix" : "" }, { "dropping-particle" : "", "family" : "Oohashi", "given" : "Motonari", "non-dropping-particle" : "", "parse-names" : false, "suffix" : "" }, { "dropping-particle" : "", "family" : "Miura", "given" : "Takuya", "non-dropping-particle" : "", "parse-names" : false, "suffix" : "" }, { "dropping-particle" : "", "family" : "Jin", "given" : "Hiroyuki", "non-dropping-particle" : "", "parse-names" : false, "suffix" : "" }, { "dropping-particle" : "", "family" : "Yoshihara", "given" : "Syuichi", "non-dropping-particle" : "", "parse-names" : false, "suffix" : "" }, { "dropping-particle" : "", "family" : "Sugai", "given" : "Michihiro", "non-dropping-particle" : "", "parse-names" : false, "suffix" : "" }, { "dropping-particle" : "", "family" : "Sasaki", "given" : "Mutsuo", "non-dropping-particle" : "", "parse-names" : false, "suffix" : "" } ], "container-title" : "World Journal of Gastroenterology", "id" : "ITEM-1", "issue" : "15", "issued" : { "date-parts" : [ [ "2008" ] ] }, "page" : "2370-2376", "title" : "Intraoperative ultrasound as an educational guide for laparoscopic biliary surgery", "type" : "article-journal", "volume" : "14" }, "uris" : [ "http://www.mendeley.com/documents/?uuid=f891370d-7522-40a6-ab32-ebe926759b1e" ] } ], "mendeley" : { "formattedCitation" : "&lt;sup&gt;48&lt;/sup&gt;", "plainTextFormattedCitation" : "48", "previouslyFormattedCitation" : "&lt;sup&gt;48&lt;/sup&gt;"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48</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"10.1046/j.1365-2168.2002.02198.x", "ISSN" : "0007-1323", "author" : [ { "dropping-particle" : "", "family" : "Catheline", "given" : "J. M.", "non-dropping-particle" : "", "parse-names" : false, "suffix" : "" }, { "dropping-particle" : "", "family" : "Turner", "given" : "R.", "non-dropping-particle" : "", "parse-names" : false, "suffix" : "" }, { "dropping-particle" : "", "family" : "Paries", "given" : "J.", "non-dropping-particle" : "", "parse-names" : false, "suffix" : "" } ], "container-title" : "British Journal of Surgery", "id" : "ITEM-1", "issue" : "10", "issued" : { "date-parts" : [ [ "2002", "10" ] ] }, "page" : "1235-1239", "title" : "Laparoscopic ultrasonography is a complement to cholangiography for the detection of choledocholithiasis at laparoscopic cholecystectomy", "type" : "article-journal", "volume" : "89" }, "uris" : [ "http://www.mendeley.com/documents/?uuid=f9d892a2-5561-4b45-9c8a-58c7d2053d1d" ] } ], "mendeley" : { "formattedCitation" : "&lt;sup&gt;73&lt;/sup&gt;", "plainTextFormattedCitation" : "73", "previouslyFormattedCitation" : "&lt;sup&gt;73&lt;/sup&gt;"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73</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"10.5754/hge10540", "ISSN" : "0172-6390", "PMID" : "22580648", "abstract" : "BACKGROUND/AIMS Intraoperative ultrasonography (IOUS) has been used to delineate anatomy during laparoscopic cholecystectomy (LapC) and screen for common bile duct stones (CBDS), however no consensus about its efficacy has been reached in Japan. In this study, we compared and evaluated the performance of intraoperative cholangiography(IOC) and IOUS during LapC. METHODOLOGY We evaluated 295 cases of cholecystolithiasis that underwent surgery from 2005- 2009 at our hospital. Frequency of CBDS and duration of surgery was examined in cases with IOC alone or IOC and IOUS in combination. RESULTS There were 5 cases (1.7%) in which IOUS or IOC detected CBDS that had not been detected by preoperative evaluation using abdominal CT, abdominal ultrasonography or MRCP. Out of 62 LapC cases involving both IOC and IOUS, 60 cases showed the same findings, i.e. no false-negative results, indicating that IOUS is a trustworthy examination method. The mean duration of surgery involving IOUS alone was 135 minutes while a longer mean time of 163 minutes was found for that involving IOC alone or IOC and IOUS in combination. CONCLUSIONS This study shows that IOC can be considered useful as it did not produce any false-negative results in screening CBDS and it also shortened the operation time. We also found some problems associated with IOC, such as small calculi falling within the gallbladder during examination procedures and the irradiation of patients and staff.", "author" : [ { "dropping-particle" : "", "family" : "Nasu", "given" : "Motomi", "non-dropping-particle" : "", "parse-names" : false, "suffix" : "" }, { "dropping-particle" : "", "family" : "Yoshimura", "given" : "Satoshi", "non-dropping-particle" : "", "parse-names" : false, "suffix" : "" }, { "dropping-particle" : "", "family" : "Uomori", "given" : "Toshitaka", "non-dropping-particle" : "", "parse-names" : false, "suffix" : "" }, { "dropping-particle" : "", "family" : "Takehara", "given" : "Kazuhiro", "non-dropping-particle" : "", "parse-names" : false, "suffix" : "" }, { "dropping-particle" : "", "family" : "Tanaka", "given" : "Ryoichi", "non-dropping-particle" : "", "parse-names" : false, "suffix" : "" }, { "dropping-particle" : "", "family" : "Miyano", "given" : "Syozo", "non-dropping-particle" : "", "parse-names" : false, "suffix" : "" }, { "dropping-particle" : "", "family" : "Machida", "given" : "Michio", "non-dropping-particle" : "", "parse-names" : false, "suffix" : "" }, { "dropping-particle" : "", "family" : "Kitabatake", "given" : "Toshiaki", "non-dropping-particle" : "", "parse-names" : false, "suffix" : "" }, { "dropping-particle" : "", "family" : "Fujisawa", "given" : "Minoru", "non-dropping-particle" : "", "parse-names" : false, "suffix" : "" }, { "dropping-particle" : "", "family" : "Kojima", "given" : "Kuniaki", "non-dropping-particle" : "", "parse-names" : false, "suffix" : "" } ], "container-title" : "Hepato-gastroenterology", "id" : "ITEM-1", "issue" : "116", "issued" : { "date-parts" : [ [ "2012", "6" ] ] }, "page" : "1003-5", "title" : "The efficacy of intraoperative ultrasonography during laparoscopic cholecystectomy.", "type" : "article-journal", "volume" : "59" }, "uris" : [ "http://www.mendeley.com/documents/?uuid=06181b80-76c5-44a4-a055-5aee289ab0f8" ] } ], "mendeley" : { "formattedCitation" : "&lt;sup&gt;75&lt;/sup&gt;", "plainTextFormattedCitation" : "75", "previouslyFormattedCitation" : "&lt;sup&gt;75&lt;/sup&gt;"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75</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873D14" w:rsidRPr="00124E11">
        <w:rPr>
          <w:rFonts w:ascii="Book Antiqua" w:hAnsi="Book Antiqua"/>
          <w:color w:val="000000" w:themeColor="text1"/>
          <w:lang w:val="en-US"/>
        </w:rPr>
        <w:t xml:space="preserve">Catheline </w:t>
      </w:r>
      <w:r w:rsidR="00873D14" w:rsidRPr="00124E11">
        <w:rPr>
          <w:rFonts w:ascii="Book Antiqua" w:hAnsi="Book Antiqua"/>
          <w:i/>
          <w:color w:val="000000" w:themeColor="text1"/>
          <w:lang w:val="en-US"/>
        </w:rPr>
        <w:t>et al</w:t>
      </w:r>
      <w:r w:rsidR="00873D14" w:rsidRPr="00124E11">
        <w:rPr>
          <w:rFonts w:ascii="Book Antiqua" w:hAnsi="Book Antiqua"/>
          <w:color w:val="000000" w:themeColor="text1"/>
          <w:vertAlign w:val="superscript"/>
          <w:lang w:val="en-US"/>
        </w:rPr>
        <w:t>[73]</w:t>
      </w:r>
      <w:r w:rsidR="00873D14" w:rsidRPr="00124E11">
        <w:rPr>
          <w:rFonts w:ascii="Book Antiqua" w:hAnsi="Book Antiqua"/>
          <w:color w:val="000000" w:themeColor="text1"/>
          <w:lang w:val="en-US"/>
        </w:rPr>
        <w:t xml:space="preserve">, in a prospective non randomized study, reports </w:t>
      </w:r>
      <w:r w:rsidR="00D203BB" w:rsidRPr="00124E11">
        <w:rPr>
          <w:rFonts w:ascii="Book Antiqua" w:hAnsi="Book Antiqua"/>
          <w:color w:val="000000" w:themeColor="text1"/>
          <w:lang w:val="en-US"/>
        </w:rPr>
        <w:t>a</w:t>
      </w:r>
      <w:r w:rsidR="00873D14" w:rsidRPr="00124E11">
        <w:rPr>
          <w:rFonts w:ascii="Book Antiqua" w:hAnsi="Book Antiqua"/>
          <w:color w:val="000000" w:themeColor="text1"/>
          <w:lang w:val="en-US"/>
        </w:rPr>
        <w:t xml:space="preserve"> </w:t>
      </w:r>
      <w:r w:rsidR="00D203BB" w:rsidRPr="00124E11">
        <w:rPr>
          <w:rFonts w:ascii="Book Antiqua" w:hAnsi="Book Antiqua"/>
          <w:color w:val="000000" w:themeColor="text1"/>
          <w:lang w:val="en-US"/>
        </w:rPr>
        <w:t xml:space="preserve">LUS </w:t>
      </w:r>
      <w:r w:rsidR="00873D14" w:rsidRPr="00124E11">
        <w:rPr>
          <w:rFonts w:ascii="Book Antiqua" w:hAnsi="Book Antiqua"/>
          <w:color w:val="000000" w:themeColor="text1"/>
          <w:lang w:val="en-US"/>
        </w:rPr>
        <w:t>duration of 9</w:t>
      </w:r>
      <w:r w:rsidR="00FB1C95" w:rsidRPr="00124E11">
        <w:rPr>
          <w:rFonts w:ascii="Book Antiqua" w:hAnsi="Book Antiqua"/>
          <w:color w:val="000000" w:themeColor="text1"/>
          <w:lang w:val="en-US"/>
        </w:rPr>
        <w:t>.</w:t>
      </w:r>
      <w:r w:rsidR="00873D14" w:rsidRPr="00124E11">
        <w:rPr>
          <w:rFonts w:ascii="Book Antiqua" w:hAnsi="Book Antiqua"/>
          <w:color w:val="000000" w:themeColor="text1"/>
          <w:lang w:val="en-US"/>
        </w:rPr>
        <w:t xml:space="preserve">8 min </w:t>
      </w:r>
      <w:r w:rsidR="00140140" w:rsidRPr="00124E11">
        <w:rPr>
          <w:rFonts w:ascii="Book Antiqua" w:hAnsi="Book Antiqua"/>
          <w:i/>
          <w:color w:val="000000" w:themeColor="text1"/>
          <w:lang w:val="en-US"/>
        </w:rPr>
        <w:t>vs</w:t>
      </w:r>
      <w:r w:rsidR="00A81957" w:rsidRPr="00124E11">
        <w:rPr>
          <w:rFonts w:ascii="Book Antiqua" w:hAnsi="Book Antiqua"/>
          <w:color w:val="000000" w:themeColor="text1"/>
          <w:lang w:val="en-US" w:eastAsia="zh-CN"/>
        </w:rPr>
        <w:t xml:space="preserve"> </w:t>
      </w:r>
      <w:r w:rsidR="00873D14" w:rsidRPr="00124E11">
        <w:rPr>
          <w:rFonts w:ascii="Book Antiqua" w:hAnsi="Book Antiqua"/>
          <w:color w:val="000000" w:themeColor="text1"/>
          <w:lang w:val="en-US"/>
        </w:rPr>
        <w:t>17</w:t>
      </w:r>
      <w:r w:rsidR="00FB1C95" w:rsidRPr="00124E11">
        <w:rPr>
          <w:rFonts w:ascii="Book Antiqua" w:hAnsi="Book Antiqua"/>
          <w:color w:val="000000" w:themeColor="text1"/>
          <w:lang w:val="en-US"/>
        </w:rPr>
        <w:t>.</w:t>
      </w:r>
      <w:r w:rsidR="00873D14" w:rsidRPr="00124E11">
        <w:rPr>
          <w:rFonts w:ascii="Book Antiqua" w:hAnsi="Book Antiqua"/>
          <w:color w:val="000000" w:themeColor="text1"/>
          <w:lang w:val="en-US"/>
        </w:rPr>
        <w:t>6</w:t>
      </w:r>
      <w:r w:rsidR="008347DF" w:rsidRPr="00124E11">
        <w:rPr>
          <w:rFonts w:ascii="Book Antiqua" w:hAnsi="Book Antiqua"/>
          <w:color w:val="000000" w:themeColor="text1"/>
          <w:lang w:val="en-US"/>
        </w:rPr>
        <w:t xml:space="preserve"> </w:t>
      </w:r>
      <w:r w:rsidR="00873D14" w:rsidRPr="00124E11">
        <w:rPr>
          <w:rFonts w:ascii="Book Antiqua" w:hAnsi="Book Antiqua"/>
          <w:color w:val="000000" w:themeColor="text1"/>
          <w:lang w:val="en-US"/>
        </w:rPr>
        <w:t xml:space="preserve">min for IOC. </w:t>
      </w:r>
      <w:r w:rsidR="008347DF" w:rsidRPr="00124E11">
        <w:rPr>
          <w:rFonts w:ascii="Book Antiqua" w:hAnsi="Book Antiqua"/>
          <w:color w:val="000000" w:themeColor="text1"/>
          <w:lang w:val="en-US"/>
        </w:rPr>
        <w:t xml:space="preserve">Further, </w:t>
      </w:r>
      <w:r w:rsidR="00873D14" w:rsidRPr="00124E11">
        <w:rPr>
          <w:rFonts w:ascii="Book Antiqua" w:hAnsi="Book Antiqua"/>
          <w:color w:val="000000" w:themeColor="text1"/>
          <w:lang w:val="en-US"/>
        </w:rPr>
        <w:t>in order to perform IOC</w:t>
      </w:r>
      <w:r w:rsidR="008347DF" w:rsidRPr="00124E11">
        <w:rPr>
          <w:rFonts w:ascii="Book Antiqua" w:hAnsi="Book Antiqua"/>
          <w:color w:val="000000" w:themeColor="text1"/>
          <w:lang w:val="en-US"/>
        </w:rPr>
        <w:t>,</w:t>
      </w:r>
      <w:r w:rsidR="00873D14" w:rsidRPr="00124E11">
        <w:rPr>
          <w:rFonts w:ascii="Book Antiqua" w:hAnsi="Book Antiqua"/>
          <w:color w:val="000000" w:themeColor="text1"/>
          <w:lang w:val="en-US"/>
        </w:rPr>
        <w:t xml:space="preserve"> a radiological device</w:t>
      </w:r>
      <w:r w:rsidR="008347DF" w:rsidRPr="00124E11">
        <w:rPr>
          <w:rFonts w:ascii="Book Antiqua" w:hAnsi="Book Antiqua"/>
          <w:color w:val="000000" w:themeColor="text1"/>
          <w:lang w:val="en-US"/>
        </w:rPr>
        <w:t>, together with a technician capable of operating the device are nee</w:t>
      </w:r>
      <w:r w:rsidR="00140140" w:rsidRPr="00124E11">
        <w:rPr>
          <w:rFonts w:ascii="Book Antiqua" w:hAnsi="Book Antiqua"/>
          <w:color w:val="000000" w:themeColor="text1"/>
          <w:lang w:val="en-US"/>
        </w:rPr>
        <w:t>ded</w:t>
      </w:r>
      <w:r w:rsidR="009460FB" w:rsidRPr="00124E11">
        <w:rPr>
          <w:rFonts w:ascii="Book Antiqua" w:hAnsi="Book Antiqua"/>
          <w:color w:val="000000" w:themeColor="text1"/>
          <w:lang w:val="en-US"/>
        </w:rPr>
        <w:t>.</w:t>
      </w:r>
      <w:r w:rsidR="00140140" w:rsidRPr="00124E11">
        <w:rPr>
          <w:rFonts w:ascii="Book Antiqua" w:hAnsi="Book Antiqua"/>
          <w:color w:val="000000" w:themeColor="text1"/>
          <w:lang w:val="en-US"/>
        </w:rPr>
        <w:t xml:space="preserve"> </w:t>
      </w:r>
      <w:r w:rsidRPr="00124E11">
        <w:rPr>
          <w:rFonts w:ascii="Book Antiqua" w:hAnsi="Book Antiqua"/>
          <w:color w:val="000000" w:themeColor="text1"/>
          <w:lang w:val="en-US"/>
        </w:rPr>
        <w:t>While surgical experience in using LUS seemed to significantly influence the operating time for cholecystolithiasis</w:t>
      </w:r>
      <w:r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"10.3748/wjg.14.2370", "ISBN" : "8117239507", "ISSN" : "10079327", "PMID" : "18416464", "abstract" : "To analyze the efficacy of routine intraoperative ultrasound (IOUS) as a guide for understanding biliary tract anatomy, to avoid bile duct injury (BDI) after laparoscopic cholecystectomy (LC), as well as any burden during the learning period.", "author" : [ { "dropping-particle" : "", "family" : "Hakamada", "given" : "Kenichi", "non-dropping-particle" : "", "parse-names" : false, "suffix" : "" }, { "dropping-particle" : "", "family" : "Narumi", "given" : "Shunji", "non-dropping-particle" : "", "parse-names" : false, "suffix" : "" }, { "dropping-particle" : "", "family" : "Toyoki", "given" : "Yoshikazu", "non-dropping-particle" : "", "parse-names" : false, "suffix" : "" }, { "dropping-particle" : "", "family" : "Nara", "given" : "Masaki", "non-dropping-particle" : "", "parse-names" : false, "suffix" : "" }, { "dropping-particle" : "", "family" : "Oohashi", "given" : "Motonari", "non-dropping-particle" : "", "parse-names" : false, "suffix" : "" }, { "dropping-particle" : "", "family" : "Miura", "given" : "Takuya", "non-dropping-particle" : "", "parse-names" : false, "suffix" : "" }, { "dropping-particle" : "", "family" : "Jin", "given" : "Hiroyuki", "non-dropping-particle" : "", "parse-names" : false, "suffix" : "" }, { "dropping-particle" : "", "family" : "Yoshihara", "given" : "Syuichi", "non-dropping-particle" : "", "parse-names" : false, "suffix" : "" }, { "dropping-particle" : "", "family" : "Sugai", "given" : "Michihiro", "non-dropping-particle" : "", "parse-names" : false, "suffix" : "" }, { "dropping-particle" : "", "family" : "Sasaki", "given" : "Mutsuo", "non-dropping-particle" : "", "parse-names" : false, "suffix" : "" } ], "container-title" : "World Journal of Gastroenterology", "id" : "ITEM-1", "issue" : "15", "issued" : { "date-parts" : [ [ "2008" ] ] }, "page" : "2370-2376", "title" : "Intraoperative ultrasound as an educational guide for laparoscopic biliary surgery", "type" : "article-journal", "volume" : "14" }, "uris" : [ "http://www.mendeley.com/documents/?uuid=f891370d-7522-40a6-ab32-ebe926759b1e" ] } ], "mendeley" : { "formattedCitation" : "&lt;sup&gt;48&lt;/sup&gt;", "plainTextFormattedCitation" : "48", "previouslyFormattedCitation" : "&lt;sup&gt;48&lt;/sup&gt;"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48</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t>
      </w:r>
      <w:r w:rsidR="00873D14" w:rsidRPr="00124E11">
        <w:rPr>
          <w:rFonts w:ascii="Book Antiqua" w:hAnsi="Book Antiqua"/>
          <w:color w:val="000000" w:themeColor="text1"/>
          <w:lang w:val="en-US"/>
        </w:rPr>
        <w:t xml:space="preserve">Halpin </w:t>
      </w:r>
      <w:r w:rsidR="00873D14" w:rsidRPr="00124E11">
        <w:rPr>
          <w:rFonts w:ascii="Book Antiqua" w:hAnsi="Book Antiqua"/>
          <w:i/>
          <w:color w:val="000000" w:themeColor="text1"/>
          <w:lang w:val="en-US"/>
        </w:rPr>
        <w:t>et al</w:t>
      </w:r>
      <w:r w:rsidR="00873D14" w:rsidRPr="00124E11">
        <w:rPr>
          <w:rFonts w:ascii="Book Antiqua" w:hAnsi="Book Antiqua"/>
          <w:color w:val="000000" w:themeColor="text1"/>
          <w:vertAlign w:val="superscript"/>
          <w:lang w:val="en-US"/>
        </w:rPr>
        <w:t>[</w:t>
      </w:r>
      <w:r w:rsidR="00873D14" w:rsidRPr="00124E11">
        <w:rPr>
          <w:rFonts w:ascii="Book Antiqua" w:hAnsi="Book Antiqua"/>
          <w:color w:val="000000" w:themeColor="text1"/>
          <w:lang w:val="en-US"/>
        </w:rPr>
        <w:fldChar w:fldCharType="begin" w:fldLock="1"/>
      </w:r>
      <w:r w:rsidR="00873D14" w:rsidRPr="00124E11">
        <w:rPr>
          <w:rFonts w:ascii="Book Antiqua" w:hAnsi="Book Antiqua"/>
          <w:color w:val="000000" w:themeColor="text1"/>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00873D14" w:rsidRPr="00124E11">
        <w:rPr>
          <w:rFonts w:ascii="Book Antiqua" w:hAnsi="Book Antiqua"/>
          <w:color w:val="000000" w:themeColor="text1"/>
          <w:lang w:val="en-US"/>
        </w:rPr>
        <w:fldChar w:fldCharType="separate"/>
      </w:r>
      <w:r w:rsidR="00873D14" w:rsidRPr="00124E11">
        <w:rPr>
          <w:rFonts w:ascii="Book Antiqua" w:hAnsi="Book Antiqua"/>
          <w:color w:val="000000" w:themeColor="text1"/>
          <w:vertAlign w:val="superscript"/>
          <w:lang w:val="en-US"/>
        </w:rPr>
        <w:t>13</w:t>
      </w:r>
      <w:r w:rsidR="00873D14" w:rsidRPr="00124E11">
        <w:rPr>
          <w:rFonts w:ascii="Book Antiqua" w:hAnsi="Book Antiqua"/>
          <w:color w:val="000000" w:themeColor="text1"/>
          <w:lang w:val="en-US"/>
        </w:rPr>
        <w:fldChar w:fldCharType="end"/>
      </w:r>
      <w:r w:rsidR="00873D14" w:rsidRPr="00124E11">
        <w:rPr>
          <w:rFonts w:ascii="Book Antiqua" w:hAnsi="Book Antiqua"/>
          <w:color w:val="000000" w:themeColor="text1"/>
          <w:vertAlign w:val="superscript"/>
          <w:lang w:val="en-US"/>
        </w:rPr>
        <w:t>]</w:t>
      </w:r>
      <w:r w:rsidR="00873D14" w:rsidRPr="00124E11">
        <w:rPr>
          <w:rFonts w:ascii="Book Antiqua" w:hAnsi="Book Antiqua"/>
          <w:color w:val="000000" w:themeColor="text1"/>
          <w:lang w:val="en-US"/>
        </w:rPr>
        <w:t xml:space="preserve"> observed no differences when dealing with acute cholecystitis.</w:t>
      </w:r>
    </w:p>
    <w:p w14:paraId="57F46318" w14:textId="77777777" w:rsidR="00E32F0F" w:rsidRPr="00124E11" w:rsidRDefault="00E32F0F" w:rsidP="00A94613">
      <w:pPr>
        <w:snapToGrid w:val="0"/>
        <w:spacing w:line="360" w:lineRule="auto"/>
        <w:jc w:val="both"/>
        <w:rPr>
          <w:rFonts w:ascii="Book Antiqua" w:hAnsi="Book Antiqua"/>
          <w:b/>
          <w:color w:val="000000" w:themeColor="text1"/>
          <w:lang w:val="en-US"/>
        </w:rPr>
      </w:pPr>
    </w:p>
    <w:p w14:paraId="558A6E21" w14:textId="16012986"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L</w:t>
      </w:r>
      <w:r w:rsidR="00A81957" w:rsidRPr="00124E11">
        <w:rPr>
          <w:rFonts w:ascii="Book Antiqua" w:hAnsi="Book Antiqua"/>
          <w:b/>
          <w:i/>
          <w:color w:val="000000" w:themeColor="text1"/>
          <w:lang w:val="en-US"/>
        </w:rPr>
        <w:t>earning curve</w:t>
      </w:r>
    </w:p>
    <w:p w14:paraId="3AAFBCBC" w14:textId="77D5A54A"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The number of LUS examinations performed as part of the learning curve varied in reports</w:t>
      </w:r>
      <w:r w:rsidRPr="00124E11">
        <w:rPr>
          <w:rFonts w:ascii="Book Antiqua" w:hAnsi="Book Antiqua"/>
          <w:color w:val="000000" w:themeColor="text1"/>
          <w:vertAlign w:val="superscript"/>
          <w:lang w:val="en-US"/>
        </w:rPr>
        <w:t>[</w:t>
      </w:r>
      <w:r w:rsidR="00A81957" w:rsidRPr="00124E11">
        <w:rPr>
          <w:rFonts w:ascii="Book Antiqua" w:hAnsi="Book Antiqua"/>
          <w:color w:val="000000" w:themeColor="text1"/>
          <w:lang w:val="en-US"/>
        </w:rPr>
        <w:fldChar w:fldCharType="begin" w:fldLock="1"/>
      </w:r>
      <w:r w:rsidR="00A81957" w:rsidRPr="00124E11">
        <w:rPr>
          <w:rFonts w:ascii="Book Antiqua" w:hAnsi="Book Antiqua"/>
          <w:color w:val="000000" w:themeColor="text1"/>
          <w:lang w:val="en-US"/>
        </w:rPr>
        <w:instrText>ADDIN CSL_CITATION { "citationItems" : [ { "id" : "ITEM-1", "itemData" : { "DOI" : "10.1007/s00464-001-8325-1", "ISSN" : "09302794", "PMID" : "11967692", "abstract" : "BACKGROUND: The purpose of this study was to compare the results of laparoscopic  intracorporeal ultrasound (LICU) to those of fluoroscopic intraoperative cholangiography (FIOC) during laparoscopic cholecystectomy (LC) after the initial learning curve for LICU. METHODS: Data were prospectively collected on patients undergoing LC. A consecutive series of 394 LICU patients was compared to a consecutive series of 400 FIOC patients when each imaging procedure was preferentially performed. Patients during the transition period, including the first 100 LICU patients, were excluded. RESULTS: Demographics and preoperative diagnoses were similar in the two groups. Excluding those who were converted to open cholecystectomy and those in whom an imaging exam was not attempted, FIOC was successful in 361 of 374 (97%) patients and LICU was successful in 377 of 380 (99%) patients (p &lt; 0.03). The mean times (+/-SEM) to complete FIOC and LICU were 16.0 (+/-0.5) min and 5.1 (+/-0.1) min (p &lt; 0.0001), respectively, Choledocholithiasis was detected in 25 patients (7%) undergoing FIOC and in 39 patients (10%) undergoing LICU (p = 0.1). During LICU the common bile duct was visualized in continuity from the cystic duct to ampulla in 90% of cases. The common bile duct could not be completely visualized in continuity at the middle or distal portion of the common bile duct in 5% and 6% of LICU cases, respectively. One LICU patient (0.3%) with an incompletely visualized duct had a suspected stone confirmed by postoperative endoscopic retrograde cholangiopancreaticography (ERCP). One patient with negative FIOC (0.3%) had a retained stone treated by postoperative ERCP. CONCLUSION: LICU is safe and accurate, and it permits a more rapid evaluation of bile duct stones than FIOC during laparoscopic cholecystectomy. The false-negative rate of both imaging techniques is less than 1%.", "author" : [ { "dropping-particle" : "", "family" : "Halpin", "given" : "V. J.", "non-dropping-particle" : "", "parse-names" : false, "suffix" : "" }, { "dropping-particle" : "", "family" : "Dunnegan", "given" : "D.", "non-dropping-particle" : "", "parse-names" : false, "suffix" : "" }, { "dropping-particle" : "", "family" : "Soper", "given" : "N. J.", "non-dropping-particle" : "", "parse-names" : false, "suffix" : "" } ], "container-title" : "Surgical Endoscopy and Other Interventional Techniques", "id" : "ITEM-1", "issue" : "2", "issued" : { "date-parts" : [ [ "2002" ] ] }, "page" : "336-341", "title" : "Laparoscopic intracorporeal ultrasound vs fluoroscopic intraoperative cholangiography: After the learning curve", "type" : "article-journal", "volume" : "16" }, "uris" : [ "http://www.mendeley.com/documents/?uuid=790e8abb-3467-463d-b57d-5478eff3e4fe" ] } ], "mendeley" : { "formattedCitation" : "&lt;sup&gt;13&lt;/sup&gt;", "plainTextFormattedCitation" : "13", "previouslyFormattedCitation" : "&lt;sup&gt;13&lt;/sup&gt;" }, "properties" : { "noteIndex" : 0 }, "schema" : "https://github.com/citation-style-language/schema/raw/master/csl-citation.json" }</w:instrText>
      </w:r>
      <w:r w:rsidR="00A81957" w:rsidRPr="00124E11">
        <w:rPr>
          <w:rFonts w:ascii="Book Antiqua" w:hAnsi="Book Antiqua"/>
          <w:color w:val="000000" w:themeColor="text1"/>
          <w:lang w:val="en-US"/>
        </w:rPr>
        <w:fldChar w:fldCharType="separate"/>
      </w:r>
      <w:r w:rsidR="00A81957" w:rsidRPr="00124E11">
        <w:rPr>
          <w:rFonts w:ascii="Book Antiqua" w:hAnsi="Book Antiqua"/>
          <w:color w:val="000000" w:themeColor="text1"/>
          <w:vertAlign w:val="superscript"/>
          <w:lang w:val="en-US"/>
        </w:rPr>
        <w:t>13</w:t>
      </w:r>
      <w:r w:rsidR="00A81957" w:rsidRPr="00124E11">
        <w:rPr>
          <w:rFonts w:ascii="Book Antiqua" w:hAnsi="Book Antiqua"/>
          <w:color w:val="000000" w:themeColor="text1"/>
          <w:lang w:val="en-US"/>
        </w:rPr>
        <w:fldChar w:fldCharType="end"/>
      </w:r>
      <w:r w:rsidR="00A81957" w:rsidRPr="00124E11">
        <w:rPr>
          <w:rFonts w:ascii="Book Antiqua" w:hAnsi="Book Antiqua"/>
          <w:color w:val="000000" w:themeColor="text1"/>
          <w:vertAlign w:val="superscript"/>
          <w:lang w:val="en-US" w:eastAsia="zh-CN"/>
        </w:rPr>
        <w:t>,</w:t>
      </w:r>
      <w:r w:rsidR="00A81957" w:rsidRPr="00124E11">
        <w:rPr>
          <w:rFonts w:ascii="Book Antiqua" w:hAnsi="Book Antiqua"/>
          <w:color w:val="000000" w:themeColor="text1"/>
          <w:vertAlign w:val="superscript"/>
          <w:lang w:val="en-US"/>
        </w:rPr>
        <w:fldChar w:fldCharType="begin" w:fldLock="1"/>
      </w:r>
      <w:r w:rsidR="00A81957" w:rsidRPr="00124E11">
        <w:rPr>
          <w:rFonts w:ascii="Book Antiqua" w:hAnsi="Book Antiqua"/>
          <w:color w:val="000000" w:themeColor="text1"/>
          <w:vertAlign w:val="superscript"/>
          <w:lang w:val="en-US"/>
        </w:rPr>
        <w:instrText>ADDIN CSL_CITATION { "citationItems" : [ { "id" : "ITEM-1", "itemData" : { "DOI" : "10.3748/wjg.14.2370", "ISBN" : "8117239507", "ISSN" : "10079327", "PMID" : "18416464", "abstract" : "To analyze the efficacy of routine intraoperative ultrasound (IOUS) as a guide for understanding biliary tract anatomy, to avoid bile duct injury (BDI) after laparoscopic cholecystectomy (LC), as well as any burden during the learning period.", "author" : [ { "dropping-particle" : "", "family" : "Hakamada", "given" : "Kenichi", "non-dropping-particle" : "", "parse-names" : false, "suffix" : "" }, { "dropping-particle" : "", "family" : "Narumi", "given" : "Shunji", "non-dropping-particle" : "", "parse-names" : false, "suffix" : "" }, { "dropping-particle" : "", "family" : "Toyoki", "given" : "Yoshikazu", "non-dropping-particle" : "", "parse-names" : false, "suffix" : "" }, { "dropping-particle" : "", "family" : "Nara", "given" : "Masaki", "non-dropping-particle" : "", "parse-names" : false, "suffix" : "" }, { "dropping-particle" : "", "family" : "Oohashi", "given" : "Motonari", "non-dropping-particle" : "", "parse-names" : false, "suffix" : "" }, { "dropping-particle" : "", "family" : "Miura", "given" : "Takuya", "non-dropping-particle" : "", "parse-names" : false, "suffix" : "" }, { "dropping-particle" : "", "family" : "Jin", "given" : "Hiroyuki", "non-dropping-particle" : "", "parse-names" : false, "suffix" : "" }, { "dropping-particle" : "", "family" : "Yoshihara", "given" : "Syuichi", "non-dropping-particle" : "", "parse-names" : false, "suffix" : "" }, { "dropping-particle" : "", "family" : "Sugai", "given" : "Michihiro", "non-dropping-particle" : "", "parse-names" : false, "suffix" : "" }, { "dropping-particle" : "", "family" : "Sasaki", "given" : "Mutsuo", "non-dropping-particle" : "", "parse-names" : false, "suffix" : "" } ], "container-title" : "World Journal of Gastroenterology", "id" : "ITEM-1", "issue" : "15", "issued" : { "date-parts" : [ [ "2008" ] ] }, "page" : "2370-2376", "title" : "Intraoperative ultrasound as an educational guide for laparoscopic biliary surgery", "type" : "article-journal", "volume" : "14" }, "uris" : [ "http://www.mendeley.com/documents/?uuid=f891370d-7522-40a6-ab32-ebe926759b1e" ] } ], "mendeley" : { "formattedCitation" : "&lt;sup&gt;48&lt;/sup&gt;", "plainTextFormattedCitation" : "48", "previouslyFormattedCitation" : "&lt;sup&gt;48&lt;/sup&gt;" }, "properties" : { "noteIndex" : 0 }, "schema" : "https://github.com/citation-style-language/schema/raw/master/csl-citation.json" }</w:instrText>
      </w:r>
      <w:r w:rsidR="00A81957" w:rsidRPr="00124E11">
        <w:rPr>
          <w:rFonts w:ascii="Book Antiqua" w:hAnsi="Book Antiqua"/>
          <w:color w:val="000000" w:themeColor="text1"/>
          <w:vertAlign w:val="superscript"/>
          <w:lang w:val="en-US"/>
        </w:rPr>
        <w:fldChar w:fldCharType="separate"/>
      </w:r>
      <w:r w:rsidR="00A81957" w:rsidRPr="00124E11">
        <w:rPr>
          <w:rFonts w:ascii="Book Antiqua" w:hAnsi="Book Antiqua"/>
          <w:color w:val="000000" w:themeColor="text1"/>
          <w:vertAlign w:val="superscript"/>
          <w:lang w:val="en-US"/>
        </w:rPr>
        <w:t>48</w:t>
      </w:r>
      <w:r w:rsidR="00A81957" w:rsidRPr="00124E11">
        <w:rPr>
          <w:rFonts w:ascii="Book Antiqua" w:hAnsi="Book Antiqua"/>
          <w:color w:val="000000" w:themeColor="text1"/>
          <w:vertAlign w:val="superscript"/>
          <w:lang w:val="en-US"/>
        </w:rPr>
        <w:fldChar w:fldCharType="end"/>
      </w:r>
      <w:r w:rsidR="00A81957" w:rsidRPr="00124E11">
        <w:rPr>
          <w:rFonts w:ascii="Book Antiqua" w:hAnsi="Book Antiqua"/>
          <w:color w:val="000000" w:themeColor="text1"/>
          <w:vertAlign w:val="superscript"/>
          <w:lang w:val="en-US"/>
        </w:rPr>
        <w:t>,</w:t>
      </w:r>
      <w:r w:rsidRPr="00124E11">
        <w:rPr>
          <w:rFonts w:ascii="Book Antiqua" w:hAnsi="Book Antiqua"/>
          <w:color w:val="000000" w:themeColor="text1"/>
          <w:vertAlign w:val="superscript"/>
          <w:lang w:val="en-US"/>
        </w:rPr>
        <w:fldChar w:fldCharType="begin" w:fldLock="1"/>
      </w:r>
      <w:r w:rsidRPr="00124E11">
        <w:rPr>
          <w:rFonts w:ascii="Book Antiqua" w:hAnsi="Book Antiqua"/>
          <w:color w:val="000000" w:themeColor="text1"/>
          <w:vertAlign w:val="superscript"/>
          <w:lang w:val="en-US"/>
        </w:rPr>
        <w:instrText>ADDIN CSL_CITATION { "citationItems" : [ { "id" : "ITEM-1", "itemData" : { "DOI" : "10.1097/SLE.0b013e31828fa907", "ISSN" : "1534-4908", "PMID" : "24710230", "abstract" : "Visualization of the common bile duct during laparoscopic cholecystectomy is frequently required to confirm or exclude choledocholithiasis. Although on-table cholangiogram (OTC) is the traditional imaging technique, laparoscopic ultrasound (LUS) is increasingly deployed for this purpose. We are reporting a 31-month experience with an LUS, starting from the initial set up of the equipment. We retrospectively studied 70 patients who underwent LUS during their laparoscopic cholecystectomy operation over a period of 31 months. Data about preoperative investigation, intraoperative findings, and postoperative outcome were retrospectively collected and analyzed. LUS was found to be quick, safe, and effective in the intraoperative diagnosis of the common bile duct stones. It does not add significantly to the operative time and is inherently safer than intraoperative cholangiogram owing to the fact that it does not involve ionizing radiation. It is also more convenient, as there is no need to wear protective lead to avoid the side effects of ionizing radiation.", "author" : [ { "dropping-particle" : "", "family" : "Shaaban", "given" : "Hossam", "non-dropping-particle" : "", "parse-names" : false, "suffix" : "" }, { "dropping-particle" : "", "family" : "Welch", "given" : "Andrew", "non-dropping-particle" : "", "parse-names" : false, "suffix" : "" }, { "dropping-particle" : "", "family" : "Rao", "given" : "Sudhindra", "non-dropping-particle" : "", "parse-names" : false, "suffix" : "" } ], "container-title" : "Surgical laparoscopy, endoscopy &amp; percutaneous techniques", "id" : "ITEM-1", "issue" : "3", "issued" : { "date-parts" : [ [ "2014", "6" ] ] }, "page" : "274-6", "title" : "Laparoscopic ultrasound for the diagnosis of choledocholithiasis: quick, safe, and effective.", "type" : "article-journal", "volume" : "24" }, "uris" : [ "http://www.mendeley.com/documents/?uuid=2ccd7037-9d3b-4b2b-9870-ee83c07778cc" ] } ], "mendeley" : { "formattedCitation" : "&lt;sup&gt;67&lt;/sup&gt;", "plainTextFormattedCitation" : "67", "previouslyFormattedCitation" : "&lt;sup&gt;67&lt;/sup&gt;" }, "properties" : { "noteIndex" : 0 }, "schema" : "https://github.com/citation-style-language/schema/raw/master/csl-citation.json" }</w:instrText>
      </w:r>
      <w:r w:rsidRPr="00124E11">
        <w:rPr>
          <w:rFonts w:ascii="Book Antiqua" w:hAnsi="Book Antiqua"/>
          <w:color w:val="000000" w:themeColor="text1"/>
          <w:vertAlign w:val="superscript"/>
          <w:lang w:val="en-US"/>
        </w:rPr>
        <w:fldChar w:fldCharType="separate"/>
      </w:r>
      <w:r w:rsidRPr="00124E11">
        <w:rPr>
          <w:rFonts w:ascii="Book Antiqua" w:hAnsi="Book Antiqua"/>
          <w:color w:val="000000" w:themeColor="text1"/>
          <w:vertAlign w:val="superscript"/>
          <w:lang w:val="en-US"/>
        </w:rPr>
        <w:t>67</w:t>
      </w:r>
      <w:r w:rsidRPr="00124E11">
        <w:rPr>
          <w:rFonts w:ascii="Book Antiqua" w:hAnsi="Book Antiqua"/>
          <w:color w:val="000000" w:themeColor="text1"/>
          <w:vertAlign w:val="superscript"/>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xml:space="preserve">, with a broad agreement that the learning curve was greater than for IOC. What seems to be evident from the literature review is that surgeons that take the time and effort to perform LUS, not only become very efficient and accurate in their diagnoses, but also modify their practice. These surgeons use IOC more </w:t>
      </w:r>
      <w:r w:rsidRPr="00124E11">
        <w:rPr>
          <w:rFonts w:ascii="Book Antiqua" w:hAnsi="Book Antiqua"/>
          <w:color w:val="000000" w:themeColor="text1"/>
          <w:lang w:val="en-US"/>
        </w:rPr>
        <w:lastRenderedPageBreak/>
        <w:t>selectively and rarely</w:t>
      </w:r>
      <w:r w:rsidRPr="00124E11">
        <w:rPr>
          <w:rFonts w:ascii="Book Antiqua" w:hAnsi="Book Antiqua"/>
          <w:color w:val="000000" w:themeColor="text1"/>
          <w:vertAlign w:val="superscript"/>
          <w:lang w:val="en-US"/>
        </w:rPr>
        <w:t>[</w:t>
      </w:r>
      <w:r w:rsidR="00A81957" w:rsidRPr="00124E11">
        <w:rPr>
          <w:rFonts w:ascii="Book Antiqua" w:hAnsi="Book Antiqua"/>
          <w:color w:val="000000" w:themeColor="text1"/>
          <w:lang w:val="en-US"/>
        </w:rPr>
        <w:fldChar w:fldCharType="begin" w:fldLock="1"/>
      </w:r>
      <w:r w:rsidR="00A81957" w:rsidRPr="00124E11">
        <w:rPr>
          <w:rFonts w:ascii="Book Antiqua" w:hAnsi="Book Antiqua"/>
          <w:color w:val="000000" w:themeColor="text1"/>
          <w:lang w:val="en-US"/>
        </w:rPr>
        <w:instrText>ADDIN CSL_CITATION { "citationItems" : [ { "id" : "ITEM-1", "itemData" : { "ISSN" : "00015458", "PMID" : "19943585", "abstract" : "Intraoperative cholangiography (IOC), used routinely or selectively, is the standard method for bile duct imaging during cholecystectomy. Laparoscopic ultrasonography (LUS) has emerged as a possible, safe and quick alternative. This study examined the evolving use and the performance of these two methods as primary technique for routine bile duct imaging, so as to detect common bile duct stones (CBDS) and to prevent common bile duct injury (CBDI). A prospective database permitted to evaluate the results of the two methods in 968 consecutive cholecystectomies. Nine hundered and twenty five were performed by laparoscopy, 18 (1.9%) by laparotomy and 25 (2.6) necessitated a conversion. The systematic use of the IOC was gradually replaced by a systematic use of the LUS. The success to delineate and evaluate the CBD, the detection of a CBDS, any type of bile duct complication, especially of CBDI, were registered. All the CBDS suspected by LUS were controlled by IOC. The patients were followed during 1 and 6 months. Six hundred and eighty five IOC and 269 LUS were performed. The procedure was technically unsuccessful in 35 IOC (5.1%) (mainly due to difficulty in catheterising the cystic duct) and in 2 LUS (1%) (due to steatosis). Concerning the detection of CBDS, 31 were detected by IOC (4.5%) and 16 by LUS (6%). Five IOC were considered as false positive, 1 as false negative (sensitivity and specificity of 96,9 and 99,2%) and 1 LUS as false positive (sensitivity and specificity of 100 and 99,6%). Five CBDI were detected in the complete seria: 2 during the dissection before the IOC, 1 thermic injury, 1 late stenosis, 1 lateral stenosis by the cystic clip detected by LUS. However none of these CBDI could have been prevented by IOC. In our experience, in this prospective study, LUS has been certainly as effective as IOC as a primary imaging technique for bile duct. It permitted to detect CBDS with a high specificity and sensitivity, and CBDS and was not followed by an increase in CBDI.", "author" : [ { "dropping-particle" : "", "family" : "Hublet", "given" : "A.", "non-dropping-particle" : "", "parse-names" : false, "suffix" : "" }, { "dropping-particle" : "", "family" : "Dili", "given" : "A.", "non-dropping-particle" : "", "parse-names" : false, "suffix" : "" }, { "dropping-particle" : "", "family" : "Lemaire", "given" : "J.", "non-dropping-particle" : "", "parse-names" : false, "suffix" : "" }, { "dropping-particle" : "", "family" : "Mansvelt", "given" : "B.", "non-dropping-particle" : "", "parse-names" : false, "suffix" : "" }, { "dropping-particle" : "", "family" : "Molle", "given" : "G.", "non-dropping-particle" : "", "parse-names" : false, "suffix" : "" }, { "dropping-particle" : "", "family" : "Bertrand", "given" : "C.", "non-dropping-particle" : "", "parse-names" : false, "suffix" : "" } ], "container-title" : "Acta chirurgica Belgica", "id" : "ITEM-1", "issue" : "3", "issued" : { "date-parts" : [ [ "2009" ] ] }, "page" : "312-316", "title" : "Laparoscopic ultrasonography as a good alternative to intraoperative cholangiography (IOC) during laparoscopic cholecystectomy: results of prospective study.", "type" : "article-journal", "volume" : "109" }, "uris" : [ "http://www.mendeley.com/documents/?uuid=61326b02-aab8-4bf4-9505-ae81801639de" ] } ], "mendeley" : { "formattedCitation" : "&lt;sup&gt;12&lt;/sup&gt;", "plainTextFormattedCitation" : "12", "previouslyFormattedCitation" : "&lt;sup&gt;12&lt;/sup&gt;" }, "properties" : { "noteIndex" : 0 }, "schema" : "https://github.com/citation-style-language/schema/raw/master/csl-citation.json" }</w:instrText>
      </w:r>
      <w:r w:rsidR="00A81957" w:rsidRPr="00124E11">
        <w:rPr>
          <w:rFonts w:ascii="Book Antiqua" w:hAnsi="Book Antiqua"/>
          <w:color w:val="000000" w:themeColor="text1"/>
          <w:lang w:val="en-US"/>
        </w:rPr>
        <w:fldChar w:fldCharType="separate"/>
      </w:r>
      <w:r w:rsidR="00A81957" w:rsidRPr="00124E11">
        <w:rPr>
          <w:rFonts w:ascii="Book Antiqua" w:hAnsi="Book Antiqua"/>
          <w:color w:val="000000" w:themeColor="text1"/>
          <w:vertAlign w:val="superscript"/>
          <w:lang w:val="en-US"/>
        </w:rPr>
        <w:t>12</w:t>
      </w:r>
      <w:r w:rsidR="00A81957" w:rsidRPr="00124E11">
        <w:rPr>
          <w:rFonts w:ascii="Book Antiqua" w:hAnsi="Book Antiqua"/>
          <w:color w:val="000000" w:themeColor="text1"/>
          <w:lang w:val="en-US"/>
        </w:rPr>
        <w:fldChar w:fldCharType="end"/>
      </w:r>
      <w:r w:rsidR="00A81957" w:rsidRPr="00124E11">
        <w:rPr>
          <w:rFonts w:ascii="Book Antiqua" w:hAnsi="Book Antiqua"/>
          <w:color w:val="000000" w:themeColor="text1"/>
          <w:vertAlign w:val="superscript"/>
          <w:lang w:val="en-US" w:eastAsia="zh-CN"/>
        </w:rPr>
        <w:t>,</w:t>
      </w:r>
      <w:r w:rsidRPr="00124E11">
        <w:rPr>
          <w:rFonts w:ascii="Book Antiqua" w:hAnsi="Book Antiqua"/>
          <w:color w:val="000000" w:themeColor="text1"/>
          <w:lang w:val="en-US"/>
        </w:rPr>
        <w:fldChar w:fldCharType="begin" w:fldLock="1"/>
      </w:r>
      <w:r w:rsidRPr="00124E11">
        <w:rPr>
          <w:rFonts w:ascii="Book Antiqua" w:hAnsi="Book Antiqua"/>
          <w:color w:val="000000" w:themeColor="text1"/>
          <w:lang w:val="en-US"/>
        </w:rPr>
        <w:instrText>ADDIN CSL_CITATION { "citationItems" : [ { "id" : "ITEM-1", "itemData" : { "DOI" : "10.1007/s00464-007-9558-4", "ISSN" : "09302794", "PMID" : "17721807", "abstract" : "BACKGROUND: Intraoperative fluorocholangiography (IOC) has been the standard method for bile duct imaging during cholecystectomy. Laparoscopic ultrasound (LUS) has been evaluated as a possible alternative, but has been used less frequently. The authors examined the evolving use of these two methods to assess the relative utility of LUS as the primary method for routine bile duct imaging during laparoscopic cholecystectomy (LC). METHODS: This study analyzed a prospective database containing 423 consecutive cholecystectomies performed by one attending surgeon in an academic medical center between 1995 and 2005. RESULTS: Intraoperative bile duct imaging was performed in 371 (94%) of 396 LCs performed for cholelithiasis. As recorded, IOC was performed in 239 cases, LUS in 236 cases, and both in 104 cases. Choledocholithiasis was present in 50 patients (13%). Common bile duct stones (CBDS) were identified by LUS in 3% of the patients without preoperative indicators of CBDS, and in 10% of the patients with one or more indicators. As shown by the findings, LUS had a positive predictive value of 100%, a negative predictive value of 99.6%, a sensitivity of 92.3%, and a specificity of 100% for detecting CBDS. Also, LUS identified clinically significant bile duct anatomy in 6% of the patients. In 1995, LUS was used for 20% of cases, whereas by 2005, it was used for 97% of cases. Conversely, the use of IOC decreased from 93% to 23%. CONCLUSIONS: With moderate experience, LUS can become the primary routine imaging method for evaluating the bile duct during LC. It is as reliable as IOC for detecting choledocholithiasis. In addition, LUS can locate the common bile duct during difficult dissections. On the basis of this experience, LUS is used currently in nearly all LCs and is the sole method for bile duct imaging in 75% of these cases. IOC is used as an adjunct to LUS when LUS imaging is inadequate, when stronger clinical indicators of choledocholithiasis are present, or when biliary anatomy remains uncertain.", "author" : [ { "dropping-particle" : "", "family" : "Perry", "given" : "K. A.", "non-dropping-particle" : "", "parse-names" : false, "suffix" : "" }, { "dropping-particle" : "", "family" : "Myers", "given" : "J. A.", "non-dropping-particle" : "", "parse-names" : false, "suffix" : "" }, { "dropping-particle" : "", "family" : "Deziel", "given" : "D. J.", "non-dropping-particle" : "", "parse-names" : false, "suffix" : "" } ], "container-title" : "Surgical Endoscopy and Other Interventional Techniques", "id" : "ITEM-1", "issue" : "1", "issued" : { "date-parts" : [ [ "2008" ] ] }, "page" : "208-213", "title" : "Laparoscopic ultrasound as the primary method for bile duct imaging during cholecystectomy", "type" : "article-journal", "volume" : "22" }, "uris" : [ "http://www.mendeley.com/documents/?uuid=da521f74-114e-4d71-aee9-b1c70d0e7b9b" ] } ], "mendeley" : { "formattedCitation" : "&lt;sup&gt;50&lt;/sup&gt;", "plainTextFormattedCitation" : "50", "previouslyFormattedCitation" : "&lt;sup&gt;50&lt;/sup&gt;" }, "properties" : { "noteIndex" : 0 }, "schema" : "https://github.com/citation-style-language/schema/raw/master/csl-citation.json" }</w:instrText>
      </w:r>
      <w:r w:rsidRPr="00124E11">
        <w:rPr>
          <w:rFonts w:ascii="Book Antiqua" w:hAnsi="Book Antiqua"/>
          <w:color w:val="000000" w:themeColor="text1"/>
          <w:lang w:val="en-US"/>
        </w:rPr>
        <w:fldChar w:fldCharType="separate"/>
      </w:r>
      <w:r w:rsidRPr="00124E11">
        <w:rPr>
          <w:rFonts w:ascii="Book Antiqua" w:hAnsi="Book Antiqua"/>
          <w:color w:val="000000" w:themeColor="text1"/>
          <w:vertAlign w:val="superscript"/>
          <w:lang w:val="en-US"/>
        </w:rPr>
        <w:t>50</w:t>
      </w:r>
      <w:r w:rsidRPr="00124E11">
        <w:rPr>
          <w:rFonts w:ascii="Book Antiqua" w:hAnsi="Book Antiqua"/>
          <w:color w:val="000000" w:themeColor="text1"/>
          <w:lang w:val="en-US"/>
        </w:rPr>
        <w:fldChar w:fldCharType="end"/>
      </w:r>
      <w:r w:rsidRPr="00124E11">
        <w:rPr>
          <w:rFonts w:ascii="Book Antiqua" w:hAnsi="Book Antiqua"/>
          <w:color w:val="000000" w:themeColor="text1"/>
          <w:vertAlign w:val="superscript"/>
          <w:lang w:val="en-US"/>
        </w:rPr>
        <w:t>]</w:t>
      </w:r>
      <w:r w:rsidRPr="00124E11">
        <w:rPr>
          <w:rFonts w:ascii="Book Antiqua" w:hAnsi="Book Antiqua"/>
          <w:color w:val="000000" w:themeColor="text1"/>
          <w:lang w:val="en-US"/>
        </w:rPr>
        <w:t>. Given that the accuracy of LUS improves with the expertise of the operator, standardization of the examination is essential.</w:t>
      </w:r>
    </w:p>
    <w:p w14:paraId="02E83C7C" w14:textId="77777777" w:rsidR="00E32F0F" w:rsidRPr="00124E11" w:rsidRDefault="00E32F0F" w:rsidP="00A94613">
      <w:pPr>
        <w:snapToGrid w:val="0"/>
        <w:spacing w:line="360" w:lineRule="auto"/>
        <w:jc w:val="both"/>
        <w:rPr>
          <w:rFonts w:ascii="Book Antiqua" w:hAnsi="Book Antiqua"/>
          <w:color w:val="000000" w:themeColor="text1"/>
          <w:lang w:val="en-US"/>
        </w:rPr>
      </w:pPr>
    </w:p>
    <w:p w14:paraId="22651FC4" w14:textId="3DAAF1C4" w:rsidR="00E32F0F" w:rsidRPr="00124E11" w:rsidRDefault="00E32F0F" w:rsidP="00A94613">
      <w:pPr>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C</w:t>
      </w:r>
      <w:r w:rsidR="00A81957" w:rsidRPr="00124E11">
        <w:rPr>
          <w:rFonts w:ascii="Book Antiqua" w:hAnsi="Book Antiqua"/>
          <w:b/>
          <w:i/>
          <w:color w:val="000000" w:themeColor="text1"/>
          <w:lang w:val="en-US"/>
        </w:rPr>
        <w:t>osts</w:t>
      </w:r>
    </w:p>
    <w:p w14:paraId="1C8056F5" w14:textId="2BD05D82" w:rsidR="00E32F0F" w:rsidRPr="00124E11" w:rsidRDefault="00E32F0F"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 xml:space="preserve">In 2016, Sun </w:t>
      </w:r>
      <w:r w:rsidRPr="00124E11">
        <w:rPr>
          <w:rFonts w:ascii="Book Antiqua" w:hAnsi="Book Antiqua"/>
          <w:i/>
          <w:color w:val="000000" w:themeColor="text1"/>
          <w:lang w:val="en-US"/>
        </w:rPr>
        <w:t>et al</w:t>
      </w:r>
      <w:r w:rsidRPr="00124E11">
        <w:rPr>
          <w:rFonts w:ascii="Book Antiqua" w:hAnsi="Book Antiqua"/>
          <w:color w:val="000000" w:themeColor="text1"/>
          <w:vertAlign w:val="superscript"/>
          <w:lang w:val="en-US"/>
        </w:rPr>
        <w:t>[76]</w:t>
      </w:r>
      <w:r w:rsidRPr="00124E11">
        <w:rPr>
          <w:rFonts w:ascii="Book Antiqua" w:hAnsi="Book Antiqua"/>
          <w:color w:val="000000" w:themeColor="text1"/>
          <w:lang w:val="en-US"/>
        </w:rPr>
        <w:t xml:space="preserve"> evaluated the cost effectiveness of LUS, IOC for the investigation of silent CBDS during LC.</w:t>
      </w:r>
      <w:r w:rsidR="00822039">
        <w:rPr>
          <w:rFonts w:ascii="Book Antiqua" w:hAnsi="Book Antiqua"/>
          <w:color w:val="000000" w:themeColor="text1"/>
          <w:lang w:val="en-US"/>
        </w:rPr>
        <w:t xml:space="preserve"> </w:t>
      </w:r>
      <w:r w:rsidRPr="00124E11">
        <w:rPr>
          <w:rFonts w:ascii="Book Antiqua" w:hAnsi="Book Antiqua"/>
          <w:color w:val="000000" w:themeColor="text1"/>
          <w:lang w:val="en-US"/>
        </w:rPr>
        <w:t>The authors concluded that LUS is a more cost-effective strategy than IOC.</w:t>
      </w:r>
    </w:p>
    <w:p w14:paraId="0294BAB1" w14:textId="77777777" w:rsidR="00E32F0F" w:rsidRPr="00124E11" w:rsidRDefault="00E32F0F" w:rsidP="00A94613">
      <w:pPr>
        <w:snapToGrid w:val="0"/>
        <w:spacing w:line="360" w:lineRule="auto"/>
        <w:jc w:val="both"/>
        <w:rPr>
          <w:rFonts w:ascii="Book Antiqua" w:hAnsi="Book Antiqua"/>
          <w:color w:val="000000" w:themeColor="text1"/>
          <w:lang w:val="en-US"/>
        </w:rPr>
      </w:pPr>
    </w:p>
    <w:p w14:paraId="0C90A5BB" w14:textId="77777777" w:rsidR="00363096" w:rsidRPr="00124E11" w:rsidRDefault="00363096" w:rsidP="00A94613">
      <w:pPr>
        <w:snapToGrid w:val="0"/>
        <w:spacing w:line="360" w:lineRule="auto"/>
        <w:jc w:val="both"/>
        <w:outlineLvl w:val="0"/>
        <w:rPr>
          <w:rFonts w:ascii="Book Antiqua" w:hAnsi="Book Antiqua"/>
          <w:b/>
          <w:color w:val="000000" w:themeColor="text1"/>
          <w:lang w:val="en-US"/>
        </w:rPr>
      </w:pPr>
      <w:r w:rsidRPr="00124E11">
        <w:rPr>
          <w:rFonts w:ascii="Book Antiqua" w:hAnsi="Book Antiqua"/>
          <w:b/>
          <w:color w:val="000000" w:themeColor="text1"/>
          <w:lang w:val="en-US"/>
        </w:rPr>
        <w:t>DISCUSSION</w:t>
      </w:r>
    </w:p>
    <w:p w14:paraId="2432B9EC" w14:textId="51EAC541" w:rsidR="00363096" w:rsidRPr="00124E11" w:rsidRDefault="00363096"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 xml:space="preserve">During laparoscopic cholecystectomy, mapping of the dissection targets such as </w:t>
      </w:r>
      <w:r w:rsidR="00145907" w:rsidRPr="00124E11">
        <w:rPr>
          <w:rFonts w:ascii="Book Antiqua" w:hAnsi="Book Antiqua"/>
          <w:color w:val="000000" w:themeColor="text1"/>
          <w:lang w:val="en-US"/>
        </w:rPr>
        <w:t xml:space="preserve">the </w:t>
      </w:r>
      <w:r w:rsidRPr="00124E11">
        <w:rPr>
          <w:rFonts w:ascii="Book Antiqua" w:hAnsi="Book Antiqua"/>
          <w:color w:val="000000" w:themeColor="text1"/>
          <w:lang w:val="en-US"/>
        </w:rPr>
        <w:t>common bile duct, cystic duct</w:t>
      </w:r>
      <w:r w:rsidR="00145907" w:rsidRPr="00124E11">
        <w:rPr>
          <w:rFonts w:ascii="Book Antiqua" w:hAnsi="Book Antiqua"/>
          <w:color w:val="000000" w:themeColor="text1"/>
          <w:lang w:val="en-US"/>
        </w:rPr>
        <w:t>,</w:t>
      </w:r>
      <w:r w:rsidRPr="00124E11">
        <w:rPr>
          <w:rFonts w:ascii="Book Antiqua" w:hAnsi="Book Antiqua"/>
          <w:color w:val="000000" w:themeColor="text1"/>
          <w:lang w:val="en-US"/>
        </w:rPr>
        <w:t xml:space="preserve"> and hilar vascular structures</w:t>
      </w:r>
      <w:r w:rsidR="00C94AF2" w:rsidRPr="00124E11">
        <w:rPr>
          <w:rFonts w:ascii="Book Antiqua" w:hAnsi="Book Antiqua"/>
          <w:color w:val="000000" w:themeColor="text1"/>
          <w:lang w:val="en-US"/>
        </w:rPr>
        <w:t>,</w:t>
      </w:r>
      <w:r w:rsidRPr="00124E11">
        <w:rPr>
          <w:rFonts w:ascii="Book Antiqua" w:hAnsi="Book Antiqua"/>
          <w:color w:val="000000" w:themeColor="text1"/>
          <w:lang w:val="en-US"/>
        </w:rPr>
        <w:t xml:space="preserve"> </w:t>
      </w:r>
      <w:r w:rsidR="00C94AF2" w:rsidRPr="00124E11">
        <w:rPr>
          <w:rFonts w:ascii="Book Antiqua" w:hAnsi="Book Antiqua"/>
          <w:color w:val="000000" w:themeColor="text1"/>
          <w:lang w:val="en-US"/>
        </w:rPr>
        <w:t>is</w:t>
      </w:r>
      <w:r w:rsidRPr="00124E11">
        <w:rPr>
          <w:rFonts w:ascii="Book Antiqua" w:hAnsi="Book Antiqua"/>
          <w:color w:val="000000" w:themeColor="text1"/>
          <w:lang w:val="en-US"/>
        </w:rPr>
        <w:t xml:space="preserve"> crucial </w:t>
      </w:r>
      <w:r w:rsidR="00145907" w:rsidRPr="00124E11">
        <w:rPr>
          <w:rFonts w:ascii="Book Antiqua" w:hAnsi="Book Antiqua"/>
          <w:color w:val="000000" w:themeColor="text1"/>
          <w:lang w:val="en-US"/>
        </w:rPr>
        <w:t>for</w:t>
      </w:r>
      <w:r w:rsidRPr="00124E11">
        <w:rPr>
          <w:rFonts w:ascii="Book Antiqua" w:hAnsi="Book Antiqua"/>
          <w:color w:val="000000" w:themeColor="text1"/>
          <w:lang w:val="en-US"/>
        </w:rPr>
        <w:t xml:space="preserve"> </w:t>
      </w:r>
      <w:r w:rsidR="00C94AF2" w:rsidRPr="00124E11">
        <w:rPr>
          <w:rFonts w:ascii="Book Antiqua" w:hAnsi="Book Antiqua"/>
          <w:color w:val="000000" w:themeColor="text1"/>
          <w:lang w:val="en-US"/>
        </w:rPr>
        <w:t xml:space="preserve">safely </w:t>
      </w:r>
      <w:r w:rsidRPr="00124E11">
        <w:rPr>
          <w:rFonts w:ascii="Book Antiqua" w:hAnsi="Book Antiqua"/>
          <w:color w:val="000000" w:themeColor="text1"/>
          <w:lang w:val="en-US"/>
        </w:rPr>
        <w:t>complet</w:t>
      </w:r>
      <w:r w:rsidR="00145907" w:rsidRPr="00124E11">
        <w:rPr>
          <w:rFonts w:ascii="Book Antiqua" w:hAnsi="Book Antiqua"/>
          <w:color w:val="000000" w:themeColor="text1"/>
          <w:lang w:val="en-US"/>
        </w:rPr>
        <w:t>ing</w:t>
      </w:r>
      <w:r w:rsidRPr="00124E11">
        <w:rPr>
          <w:rFonts w:ascii="Book Antiqua" w:hAnsi="Book Antiqua"/>
          <w:color w:val="000000" w:themeColor="text1"/>
          <w:lang w:val="en-US"/>
        </w:rPr>
        <w:t xml:space="preserve"> the operation. </w:t>
      </w:r>
      <w:r w:rsidR="00C94AF2" w:rsidRPr="00124E11">
        <w:rPr>
          <w:rFonts w:ascii="Book Antiqua" w:hAnsi="Book Antiqua"/>
          <w:color w:val="000000" w:themeColor="text1"/>
          <w:lang w:val="en-US"/>
        </w:rPr>
        <w:t xml:space="preserve">While </w:t>
      </w:r>
      <w:r w:rsidR="00145907" w:rsidRPr="00124E11">
        <w:rPr>
          <w:rFonts w:ascii="Book Antiqua" w:hAnsi="Book Antiqua"/>
          <w:color w:val="000000" w:themeColor="text1"/>
          <w:lang w:val="en-US"/>
        </w:rPr>
        <w:t>careful</w:t>
      </w:r>
      <w:r w:rsidRPr="00124E11">
        <w:rPr>
          <w:rFonts w:ascii="Book Antiqua" w:hAnsi="Book Antiqua"/>
          <w:color w:val="000000" w:themeColor="text1"/>
          <w:lang w:val="en-US"/>
        </w:rPr>
        <w:t xml:space="preserve"> dissection avoid</w:t>
      </w:r>
      <w:r w:rsidR="00C94AF2" w:rsidRPr="00124E11">
        <w:rPr>
          <w:rFonts w:ascii="Book Antiqua" w:hAnsi="Book Antiqua"/>
          <w:color w:val="000000" w:themeColor="text1"/>
          <w:lang w:val="en-US"/>
        </w:rPr>
        <w:t>s</w:t>
      </w:r>
      <w:r w:rsidRPr="00124E11">
        <w:rPr>
          <w:rFonts w:ascii="Book Antiqua" w:hAnsi="Book Antiqua"/>
          <w:color w:val="000000" w:themeColor="text1"/>
          <w:lang w:val="en-US"/>
        </w:rPr>
        <w:t xml:space="preserve"> injury</w:t>
      </w:r>
      <w:r w:rsidR="00C94AF2" w:rsidRPr="00124E11">
        <w:rPr>
          <w:rFonts w:ascii="Book Antiqua" w:hAnsi="Book Antiqua"/>
          <w:color w:val="000000" w:themeColor="text1"/>
          <w:lang w:val="en-US"/>
        </w:rPr>
        <w:t>,</w:t>
      </w:r>
      <w:r w:rsidRPr="00124E11">
        <w:rPr>
          <w:rFonts w:ascii="Book Antiqua" w:hAnsi="Book Antiqua"/>
          <w:color w:val="000000" w:themeColor="text1"/>
          <w:lang w:val="en-US"/>
        </w:rPr>
        <w:t xml:space="preserve"> </w:t>
      </w:r>
      <w:r w:rsidR="00C94AF2" w:rsidRPr="00124E11">
        <w:rPr>
          <w:rFonts w:ascii="Book Antiqua" w:hAnsi="Book Antiqua"/>
          <w:color w:val="000000" w:themeColor="text1"/>
          <w:lang w:val="en-US"/>
        </w:rPr>
        <w:t xml:space="preserve">this </w:t>
      </w:r>
      <w:r w:rsidR="008D6FD1" w:rsidRPr="00124E11">
        <w:rPr>
          <w:rFonts w:ascii="Book Antiqua" w:hAnsi="Book Antiqua"/>
          <w:color w:val="000000" w:themeColor="text1"/>
          <w:lang w:val="en-US"/>
        </w:rPr>
        <w:t xml:space="preserve">may be difficult to achieve </w:t>
      </w:r>
      <w:r w:rsidR="00C94AF2" w:rsidRPr="00124E11">
        <w:rPr>
          <w:rFonts w:ascii="Book Antiqua" w:hAnsi="Book Antiqua"/>
          <w:color w:val="000000" w:themeColor="text1"/>
          <w:lang w:val="en-US"/>
        </w:rPr>
        <w:t xml:space="preserve">in </w:t>
      </w:r>
      <w:r w:rsidR="008D6FD1" w:rsidRPr="00124E11">
        <w:rPr>
          <w:rFonts w:ascii="Book Antiqua" w:hAnsi="Book Antiqua"/>
          <w:color w:val="000000" w:themeColor="text1"/>
          <w:lang w:val="en-US"/>
        </w:rPr>
        <w:t xml:space="preserve">the presence of </w:t>
      </w:r>
      <w:r w:rsidRPr="00124E11">
        <w:rPr>
          <w:rFonts w:ascii="Book Antiqua" w:hAnsi="Book Antiqua"/>
          <w:color w:val="000000" w:themeColor="text1"/>
          <w:lang w:val="en-US"/>
        </w:rPr>
        <w:t>fibro</w:t>
      </w:r>
      <w:r w:rsidR="00145907" w:rsidRPr="00124E11">
        <w:rPr>
          <w:rFonts w:ascii="Book Antiqua" w:hAnsi="Book Antiqua"/>
          <w:color w:val="000000" w:themeColor="text1"/>
          <w:lang w:val="en-US"/>
        </w:rPr>
        <w:t>sis</w:t>
      </w:r>
      <w:r w:rsidRPr="00124E11">
        <w:rPr>
          <w:rFonts w:ascii="Book Antiqua" w:hAnsi="Book Antiqua"/>
          <w:color w:val="000000" w:themeColor="text1"/>
          <w:lang w:val="en-US"/>
        </w:rPr>
        <w:t xml:space="preserve"> or exte</w:t>
      </w:r>
      <w:r w:rsidR="00145907" w:rsidRPr="00124E11">
        <w:rPr>
          <w:rFonts w:ascii="Book Antiqua" w:hAnsi="Book Antiqua"/>
          <w:color w:val="000000" w:themeColor="text1"/>
          <w:lang w:val="en-US"/>
        </w:rPr>
        <w:t>nsive</w:t>
      </w:r>
      <w:r w:rsidRPr="00124E11">
        <w:rPr>
          <w:rFonts w:ascii="Book Antiqua" w:hAnsi="Book Antiqua"/>
          <w:color w:val="000000" w:themeColor="text1"/>
          <w:lang w:val="en-US"/>
        </w:rPr>
        <w:t xml:space="preserve"> inflammation, </w:t>
      </w:r>
      <w:r w:rsidR="008D6FD1" w:rsidRPr="00124E11">
        <w:rPr>
          <w:rFonts w:ascii="Book Antiqua" w:hAnsi="Book Antiqua"/>
          <w:color w:val="000000" w:themeColor="text1"/>
          <w:lang w:val="en-US"/>
        </w:rPr>
        <w:t xml:space="preserve">or </w:t>
      </w:r>
      <w:r w:rsidR="00C94AF2" w:rsidRPr="00124E11">
        <w:rPr>
          <w:rFonts w:ascii="Book Antiqua" w:hAnsi="Book Antiqua"/>
          <w:color w:val="000000" w:themeColor="text1"/>
          <w:lang w:val="en-US"/>
        </w:rPr>
        <w:t xml:space="preserve">when there is an </w:t>
      </w:r>
      <w:r w:rsidRPr="00124E11">
        <w:rPr>
          <w:rFonts w:ascii="Book Antiqua" w:hAnsi="Book Antiqua"/>
          <w:color w:val="000000" w:themeColor="text1"/>
          <w:lang w:val="en-US"/>
        </w:rPr>
        <w:t>aberrant bil</w:t>
      </w:r>
      <w:r w:rsidR="00145907" w:rsidRPr="00124E11">
        <w:rPr>
          <w:rFonts w:ascii="Book Antiqua" w:hAnsi="Book Antiqua"/>
          <w:color w:val="000000" w:themeColor="text1"/>
          <w:lang w:val="en-US"/>
        </w:rPr>
        <w:t>i</w:t>
      </w:r>
      <w:r w:rsidRPr="00124E11">
        <w:rPr>
          <w:rFonts w:ascii="Book Antiqua" w:hAnsi="Book Antiqua"/>
          <w:color w:val="000000" w:themeColor="text1"/>
          <w:lang w:val="en-US"/>
        </w:rPr>
        <w:t>ary anatomy</w:t>
      </w:r>
      <w:r w:rsidR="008D6FD1" w:rsidRPr="00124E11">
        <w:rPr>
          <w:rFonts w:ascii="Book Antiqua" w:hAnsi="Book Antiqua"/>
          <w:color w:val="000000" w:themeColor="text1"/>
          <w:lang w:val="en-US"/>
        </w:rPr>
        <w:t xml:space="preserve"> (</w:t>
      </w:r>
      <w:r w:rsidRPr="00124E11">
        <w:rPr>
          <w:rFonts w:ascii="Book Antiqua" w:hAnsi="Book Antiqua"/>
          <w:color w:val="000000" w:themeColor="text1"/>
          <w:lang w:val="en-US"/>
        </w:rPr>
        <w:t xml:space="preserve">and/or </w:t>
      </w:r>
      <w:r w:rsidR="00145907" w:rsidRPr="00124E11">
        <w:rPr>
          <w:rFonts w:ascii="Book Antiqua" w:hAnsi="Book Antiqua"/>
          <w:color w:val="000000" w:themeColor="text1"/>
          <w:lang w:val="en-US"/>
        </w:rPr>
        <w:t xml:space="preserve">a </w:t>
      </w:r>
      <w:r w:rsidRPr="00124E11">
        <w:rPr>
          <w:rFonts w:ascii="Book Antiqua" w:hAnsi="Book Antiqua"/>
          <w:color w:val="000000" w:themeColor="text1"/>
          <w:lang w:val="en-US"/>
        </w:rPr>
        <w:t>very short cystic duct</w:t>
      </w:r>
      <w:r w:rsidR="008D6FD1" w:rsidRPr="00124E11">
        <w:rPr>
          <w:rFonts w:ascii="Book Antiqua" w:hAnsi="Book Antiqua"/>
          <w:color w:val="000000" w:themeColor="text1"/>
          <w:lang w:val="en-US"/>
        </w:rPr>
        <w:t>)</w:t>
      </w:r>
      <w:r w:rsidRPr="00124E11">
        <w:rPr>
          <w:rFonts w:ascii="Book Antiqua" w:hAnsi="Book Antiqua"/>
          <w:color w:val="000000" w:themeColor="text1"/>
          <w:lang w:val="en-US"/>
        </w:rPr>
        <w:t xml:space="preserve">. </w:t>
      </w:r>
    </w:p>
    <w:p w14:paraId="4913550C" w14:textId="5A3305FC" w:rsidR="00363096" w:rsidRPr="00124E11" w:rsidRDefault="00363096" w:rsidP="00A94613">
      <w:pPr>
        <w:snapToGrid w:val="0"/>
        <w:spacing w:line="360" w:lineRule="auto"/>
        <w:ind w:firstLineChars="100" w:firstLine="240"/>
        <w:jc w:val="both"/>
        <w:rPr>
          <w:rFonts w:ascii="Book Antiqua" w:hAnsi="Book Antiqua"/>
          <w:b/>
          <w:color w:val="000000" w:themeColor="text1"/>
          <w:lang w:val="en-US"/>
        </w:rPr>
      </w:pPr>
      <w:r w:rsidRPr="00124E11">
        <w:rPr>
          <w:rFonts w:ascii="Book Antiqua" w:hAnsi="Book Antiqua"/>
          <w:color w:val="000000" w:themeColor="text1"/>
          <w:lang w:val="en-US"/>
        </w:rPr>
        <w:t xml:space="preserve">The debate is ongoing </w:t>
      </w:r>
      <w:r w:rsidR="007057AE" w:rsidRPr="00124E11">
        <w:rPr>
          <w:rFonts w:ascii="Book Antiqua" w:hAnsi="Book Antiqua"/>
          <w:color w:val="000000" w:themeColor="text1"/>
          <w:lang w:val="en-US"/>
        </w:rPr>
        <w:t>as to whether an</w:t>
      </w:r>
      <w:r w:rsidRPr="00124E11">
        <w:rPr>
          <w:rFonts w:ascii="Book Antiqua" w:hAnsi="Book Antiqua"/>
          <w:color w:val="000000" w:themeColor="text1"/>
          <w:lang w:val="en-US"/>
        </w:rPr>
        <w:t xml:space="preserve"> analysis of the hilar anatomy during cholecystectomy may help to prevent injury and postoperative complications. Many surgeons perform no analys</w:t>
      </w:r>
      <w:r w:rsidR="007057AE" w:rsidRPr="00124E11">
        <w:rPr>
          <w:rFonts w:ascii="Book Antiqua" w:hAnsi="Book Antiqua"/>
          <w:color w:val="000000" w:themeColor="text1"/>
          <w:lang w:val="en-US"/>
        </w:rPr>
        <w:t>e</w:t>
      </w:r>
      <w:r w:rsidRPr="00124E11">
        <w:rPr>
          <w:rFonts w:ascii="Book Antiqua" w:hAnsi="Book Antiqua"/>
          <w:color w:val="000000" w:themeColor="text1"/>
          <w:lang w:val="en-US"/>
        </w:rPr>
        <w:t xml:space="preserve">s </w:t>
      </w:r>
      <w:r w:rsidR="007057AE" w:rsidRPr="00124E11">
        <w:rPr>
          <w:rFonts w:ascii="Book Antiqua" w:hAnsi="Book Antiqua"/>
          <w:color w:val="000000" w:themeColor="text1"/>
          <w:lang w:val="en-US"/>
        </w:rPr>
        <w:t xml:space="preserve">given that </w:t>
      </w:r>
      <w:r w:rsidRPr="00124E11">
        <w:rPr>
          <w:rFonts w:ascii="Book Antiqua" w:hAnsi="Book Antiqua"/>
          <w:color w:val="000000" w:themeColor="text1"/>
          <w:lang w:val="en-US"/>
        </w:rPr>
        <w:t xml:space="preserve">the proposed “gold standard” technique (IOC) has </w:t>
      </w:r>
      <w:r w:rsidR="007057AE" w:rsidRPr="00124E11">
        <w:rPr>
          <w:rFonts w:ascii="Book Antiqua" w:hAnsi="Book Antiqua"/>
          <w:color w:val="000000" w:themeColor="text1"/>
          <w:lang w:val="en-US"/>
        </w:rPr>
        <w:t xml:space="preserve">its own </w:t>
      </w:r>
      <w:r w:rsidRPr="00124E11">
        <w:rPr>
          <w:rFonts w:ascii="Book Antiqua" w:hAnsi="Book Antiqua"/>
          <w:color w:val="000000" w:themeColor="text1"/>
          <w:lang w:val="en-US"/>
        </w:rPr>
        <w:t xml:space="preserve">drawbacks </w:t>
      </w:r>
      <w:r w:rsidR="008D6FD1" w:rsidRPr="00124E11">
        <w:rPr>
          <w:rFonts w:ascii="Book Antiqua" w:hAnsi="Book Antiqua"/>
          <w:color w:val="000000" w:themeColor="text1"/>
          <w:lang w:val="en-US"/>
        </w:rPr>
        <w:t>including</w:t>
      </w:r>
      <w:r w:rsidRPr="00124E11">
        <w:rPr>
          <w:rFonts w:ascii="Book Antiqua" w:hAnsi="Book Antiqua"/>
          <w:color w:val="000000" w:themeColor="text1"/>
          <w:lang w:val="en-US"/>
        </w:rPr>
        <w:t xml:space="preserve"> irradiat</w:t>
      </w:r>
      <w:r w:rsidR="008D6FD1" w:rsidRPr="00124E11">
        <w:rPr>
          <w:rFonts w:ascii="Book Antiqua" w:hAnsi="Book Antiqua"/>
          <w:color w:val="000000" w:themeColor="text1"/>
          <w:lang w:val="en-US"/>
        </w:rPr>
        <w:t>ion of</w:t>
      </w:r>
      <w:r w:rsidRPr="00124E11">
        <w:rPr>
          <w:rFonts w:ascii="Book Antiqua" w:hAnsi="Book Antiqua"/>
          <w:color w:val="000000" w:themeColor="text1"/>
          <w:lang w:val="en-US"/>
        </w:rPr>
        <w:t xml:space="preserve"> the patient and the </w:t>
      </w:r>
      <w:r w:rsidR="008D6FD1" w:rsidRPr="00124E11">
        <w:rPr>
          <w:rFonts w:ascii="Book Antiqua" w:hAnsi="Book Antiqua"/>
          <w:color w:val="000000" w:themeColor="text1"/>
          <w:lang w:val="en-US"/>
        </w:rPr>
        <w:t xml:space="preserve">surgical </w:t>
      </w:r>
      <w:r w:rsidR="00F45A84" w:rsidRPr="00124E11">
        <w:rPr>
          <w:rFonts w:ascii="Book Antiqua" w:hAnsi="Book Antiqua"/>
          <w:color w:val="000000" w:themeColor="text1"/>
          <w:lang w:val="en-US"/>
        </w:rPr>
        <w:t>team</w:t>
      </w:r>
      <w:r w:rsidRPr="00124E11">
        <w:rPr>
          <w:rFonts w:ascii="Book Antiqua" w:hAnsi="Book Antiqua"/>
          <w:color w:val="000000" w:themeColor="text1"/>
          <w:lang w:val="en-US"/>
        </w:rPr>
        <w:t xml:space="preserve">, dissection of the Calot’s triangle to identify the cystic duct, </w:t>
      </w:r>
      <w:r w:rsidR="007057AE" w:rsidRPr="00124E11">
        <w:rPr>
          <w:rFonts w:ascii="Book Antiqua" w:hAnsi="Book Antiqua"/>
          <w:color w:val="000000" w:themeColor="text1"/>
          <w:lang w:val="en-US"/>
        </w:rPr>
        <w:t>an</w:t>
      </w:r>
      <w:r w:rsidR="008D6FD1" w:rsidRPr="00124E11">
        <w:rPr>
          <w:rFonts w:ascii="Book Antiqua" w:hAnsi="Book Antiqua"/>
          <w:color w:val="000000" w:themeColor="text1"/>
          <w:lang w:val="en-US"/>
        </w:rPr>
        <w:t>d</w:t>
      </w:r>
      <w:r w:rsidR="007057AE" w:rsidRPr="00124E11">
        <w:rPr>
          <w:rFonts w:ascii="Book Antiqua" w:hAnsi="Book Antiqua"/>
          <w:color w:val="000000" w:themeColor="text1"/>
          <w:lang w:val="en-US"/>
        </w:rPr>
        <w:t xml:space="preserve"> </w:t>
      </w:r>
      <w:r w:rsidRPr="00124E11">
        <w:rPr>
          <w:rFonts w:ascii="Book Antiqua" w:hAnsi="Book Antiqua"/>
          <w:color w:val="000000" w:themeColor="text1"/>
          <w:lang w:val="en-US"/>
        </w:rPr>
        <w:t>can</w:t>
      </w:r>
      <w:r w:rsidR="007057AE" w:rsidRPr="00124E11">
        <w:rPr>
          <w:rFonts w:ascii="Book Antiqua" w:hAnsi="Book Antiqua"/>
          <w:color w:val="000000" w:themeColor="text1"/>
          <w:lang w:val="en-US"/>
        </w:rPr>
        <w:t>n</w:t>
      </w:r>
      <w:r w:rsidRPr="00124E11">
        <w:rPr>
          <w:rFonts w:ascii="Book Antiqua" w:hAnsi="Book Antiqua"/>
          <w:color w:val="000000" w:themeColor="text1"/>
          <w:lang w:val="en-US"/>
        </w:rPr>
        <w:t xml:space="preserve">ulation of the cystic duct which may cause avulsion or perforation. IOC is also considered </w:t>
      </w:r>
      <w:r w:rsidR="007057AE" w:rsidRPr="00124E11">
        <w:rPr>
          <w:rFonts w:ascii="Book Antiqua" w:hAnsi="Book Antiqua"/>
          <w:color w:val="000000" w:themeColor="text1"/>
          <w:lang w:val="en-US"/>
        </w:rPr>
        <w:t xml:space="preserve">to be </w:t>
      </w:r>
      <w:r w:rsidRPr="00124E11">
        <w:rPr>
          <w:rFonts w:ascii="Book Antiqua" w:hAnsi="Book Antiqua"/>
          <w:color w:val="000000" w:themeColor="text1"/>
          <w:lang w:val="en-US"/>
        </w:rPr>
        <w:t>expensive and time-consuming.</w:t>
      </w:r>
    </w:p>
    <w:p w14:paraId="05B27DB0" w14:textId="5CBD513D" w:rsidR="00363096" w:rsidRPr="00124E11" w:rsidRDefault="00363096"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On the other hand, LUS, </w:t>
      </w:r>
      <w:r w:rsidR="007057AE" w:rsidRPr="00124E11">
        <w:rPr>
          <w:rFonts w:ascii="Book Antiqua" w:hAnsi="Book Antiqua"/>
          <w:color w:val="000000" w:themeColor="text1"/>
          <w:lang w:val="en-US"/>
        </w:rPr>
        <w:t>which has a long history of use</w:t>
      </w:r>
      <w:r w:rsidRPr="00124E11">
        <w:rPr>
          <w:rFonts w:ascii="Book Antiqua" w:hAnsi="Book Antiqua"/>
          <w:color w:val="000000" w:themeColor="text1"/>
          <w:lang w:val="en-US"/>
        </w:rPr>
        <w:t xml:space="preserve"> </w:t>
      </w:r>
      <w:r w:rsidR="007057AE" w:rsidRPr="00124E11">
        <w:rPr>
          <w:rFonts w:ascii="Book Antiqua" w:hAnsi="Book Antiqua"/>
          <w:color w:val="000000" w:themeColor="text1"/>
          <w:lang w:val="en-US"/>
        </w:rPr>
        <w:t>(&gt;</w:t>
      </w:r>
      <w:r w:rsidR="00A81957" w:rsidRPr="00124E11">
        <w:rPr>
          <w:rFonts w:ascii="Book Antiqua" w:hAnsi="Book Antiqua"/>
          <w:color w:val="000000" w:themeColor="text1"/>
          <w:lang w:val="en-US" w:eastAsia="zh-CN"/>
        </w:rPr>
        <w:t xml:space="preserve"> </w:t>
      </w:r>
      <w:r w:rsidR="007057AE" w:rsidRPr="00124E11">
        <w:rPr>
          <w:rFonts w:ascii="Book Antiqua" w:hAnsi="Book Antiqua"/>
          <w:color w:val="000000" w:themeColor="text1"/>
          <w:lang w:val="en-US"/>
        </w:rPr>
        <w:t>30 y</w:t>
      </w:r>
      <w:r w:rsidR="00A81957" w:rsidRPr="00124E11">
        <w:rPr>
          <w:rFonts w:ascii="Book Antiqua" w:hAnsi="Book Antiqua"/>
          <w:color w:val="000000" w:themeColor="text1"/>
          <w:lang w:val="en-US" w:eastAsia="zh-CN"/>
        </w:rPr>
        <w:t>ea</w:t>
      </w:r>
      <w:r w:rsidR="007057AE" w:rsidRPr="00124E11">
        <w:rPr>
          <w:rFonts w:ascii="Book Antiqua" w:hAnsi="Book Antiqua"/>
          <w:color w:val="000000" w:themeColor="text1"/>
          <w:lang w:val="en-US"/>
        </w:rPr>
        <w:t xml:space="preserve">rs), </w:t>
      </w:r>
      <w:r w:rsidRPr="00124E11">
        <w:rPr>
          <w:rFonts w:ascii="Book Antiqua" w:hAnsi="Book Antiqua"/>
          <w:color w:val="000000" w:themeColor="text1"/>
          <w:lang w:val="en-US"/>
        </w:rPr>
        <w:t>allows a quick, repeatable</w:t>
      </w:r>
      <w:r w:rsidR="00E767E9" w:rsidRPr="00124E11">
        <w:rPr>
          <w:rFonts w:ascii="Book Antiqua" w:hAnsi="Book Antiqua"/>
          <w:color w:val="000000" w:themeColor="text1"/>
          <w:lang w:val="en-US"/>
        </w:rPr>
        <w:t>,</w:t>
      </w:r>
      <w:r w:rsidRPr="00124E11">
        <w:rPr>
          <w:rFonts w:ascii="Book Antiqua" w:hAnsi="Book Antiqua"/>
          <w:color w:val="000000" w:themeColor="text1"/>
          <w:lang w:val="en-US"/>
        </w:rPr>
        <w:t xml:space="preserve"> high</w:t>
      </w:r>
      <w:r w:rsidR="007057AE" w:rsidRPr="00124E11">
        <w:rPr>
          <w:rFonts w:ascii="Book Antiqua" w:hAnsi="Book Antiqua"/>
          <w:color w:val="000000" w:themeColor="text1"/>
          <w:lang w:val="en-US"/>
        </w:rPr>
        <w:t>ly</w:t>
      </w:r>
      <w:r w:rsidRPr="00124E11">
        <w:rPr>
          <w:rFonts w:ascii="Book Antiqua" w:hAnsi="Book Antiqua"/>
          <w:color w:val="000000" w:themeColor="text1"/>
          <w:lang w:val="en-US"/>
        </w:rPr>
        <w:t xml:space="preserve"> success</w:t>
      </w:r>
      <w:r w:rsidR="007057AE" w:rsidRPr="00124E11">
        <w:rPr>
          <w:rFonts w:ascii="Book Antiqua" w:hAnsi="Book Antiqua"/>
          <w:color w:val="000000" w:themeColor="text1"/>
          <w:lang w:val="en-US"/>
        </w:rPr>
        <w:t>ful</w:t>
      </w:r>
      <w:r w:rsidR="00F45A84" w:rsidRPr="00124E11">
        <w:rPr>
          <w:rFonts w:ascii="Book Antiqua" w:hAnsi="Book Antiqua"/>
          <w:color w:val="000000" w:themeColor="text1"/>
          <w:lang w:val="en-US"/>
        </w:rPr>
        <w:t>, non</w:t>
      </w:r>
      <w:r w:rsidRPr="00124E11">
        <w:rPr>
          <w:rFonts w:ascii="Book Antiqua" w:hAnsi="Book Antiqua"/>
          <w:color w:val="000000" w:themeColor="text1"/>
          <w:lang w:val="en-US"/>
        </w:rPr>
        <w:t>-irradiating, and non-invasive study of the biliary tract.</w:t>
      </w:r>
      <w:r w:rsidR="00822039">
        <w:rPr>
          <w:rFonts w:ascii="Book Antiqua" w:hAnsi="Book Antiqua"/>
          <w:color w:val="000000" w:themeColor="text1"/>
          <w:lang w:val="en-US"/>
        </w:rPr>
        <w:t xml:space="preserve"> </w:t>
      </w:r>
      <w:r w:rsidRPr="00124E11">
        <w:rPr>
          <w:rFonts w:ascii="Book Antiqua" w:hAnsi="Book Antiqua"/>
          <w:color w:val="000000" w:themeColor="text1"/>
          <w:lang w:val="en-US"/>
        </w:rPr>
        <w:t xml:space="preserve">In difficult scenarios, when anatomical structures </w:t>
      </w:r>
      <w:r w:rsidR="007057AE" w:rsidRPr="00124E11">
        <w:rPr>
          <w:rFonts w:ascii="Book Antiqua" w:hAnsi="Book Antiqua"/>
          <w:color w:val="000000" w:themeColor="text1"/>
          <w:lang w:val="en-US"/>
        </w:rPr>
        <w:t>are</w:t>
      </w:r>
      <w:r w:rsidRPr="00124E11">
        <w:rPr>
          <w:rFonts w:ascii="Book Antiqua" w:hAnsi="Book Antiqua"/>
          <w:color w:val="000000" w:themeColor="text1"/>
          <w:lang w:val="en-US"/>
        </w:rPr>
        <w:t xml:space="preserve"> obscured</w:t>
      </w:r>
      <w:r w:rsidR="007057AE" w:rsidRPr="00124E11">
        <w:rPr>
          <w:rFonts w:ascii="Book Antiqua" w:hAnsi="Book Antiqua"/>
          <w:color w:val="000000" w:themeColor="text1"/>
          <w:lang w:val="en-US"/>
        </w:rPr>
        <w:t>,</w:t>
      </w:r>
      <w:r w:rsidRPr="00124E11">
        <w:rPr>
          <w:rFonts w:ascii="Book Antiqua" w:hAnsi="Book Antiqua"/>
          <w:color w:val="000000" w:themeColor="text1"/>
          <w:lang w:val="en-US"/>
        </w:rPr>
        <w:t xml:space="preserve"> such as </w:t>
      </w:r>
      <w:r w:rsidR="007057AE" w:rsidRPr="00124E11">
        <w:rPr>
          <w:rFonts w:ascii="Book Antiqua" w:hAnsi="Book Antiqua"/>
          <w:color w:val="000000" w:themeColor="text1"/>
          <w:lang w:val="en-US"/>
        </w:rPr>
        <w:t xml:space="preserve">during </w:t>
      </w:r>
      <w:r w:rsidRPr="00124E11">
        <w:rPr>
          <w:rFonts w:ascii="Book Antiqua" w:hAnsi="Book Antiqua"/>
          <w:color w:val="000000" w:themeColor="text1"/>
          <w:lang w:val="en-US"/>
        </w:rPr>
        <w:t xml:space="preserve">inflammation or fibrosis, LUS </w:t>
      </w:r>
      <w:r w:rsidR="007057AE" w:rsidRPr="00124E11">
        <w:rPr>
          <w:rFonts w:ascii="Book Antiqua" w:hAnsi="Book Antiqua"/>
          <w:color w:val="000000" w:themeColor="text1"/>
          <w:lang w:val="en-US"/>
        </w:rPr>
        <w:t>can be pivotal</w:t>
      </w:r>
      <w:r w:rsidR="008D6FD1" w:rsidRPr="00124E11">
        <w:rPr>
          <w:rFonts w:ascii="Book Antiqua" w:hAnsi="Book Antiqua"/>
          <w:color w:val="000000" w:themeColor="text1"/>
          <w:lang w:val="en-US"/>
        </w:rPr>
        <w:t xml:space="preserve"> to the success of the procedure</w:t>
      </w:r>
      <w:r w:rsidR="007057AE" w:rsidRPr="00124E11">
        <w:rPr>
          <w:rFonts w:ascii="Book Antiqua" w:hAnsi="Book Antiqua"/>
          <w:color w:val="000000" w:themeColor="text1"/>
          <w:lang w:val="en-US"/>
        </w:rPr>
        <w:t xml:space="preserve">, and </w:t>
      </w:r>
      <w:r w:rsidR="008D6FD1" w:rsidRPr="00124E11">
        <w:rPr>
          <w:rFonts w:ascii="Book Antiqua" w:hAnsi="Book Antiqua"/>
          <w:color w:val="000000" w:themeColor="text1"/>
          <w:lang w:val="en-US"/>
        </w:rPr>
        <w:t xml:space="preserve">is </w:t>
      </w:r>
      <w:r w:rsidRPr="00124E11">
        <w:rPr>
          <w:rFonts w:ascii="Book Antiqua" w:hAnsi="Book Antiqua"/>
          <w:color w:val="000000" w:themeColor="text1"/>
          <w:lang w:val="en-US"/>
        </w:rPr>
        <w:t xml:space="preserve">easily performed before </w:t>
      </w:r>
      <w:r w:rsidR="007057AE" w:rsidRPr="00124E11">
        <w:rPr>
          <w:rFonts w:ascii="Book Antiqua" w:hAnsi="Book Antiqua"/>
          <w:color w:val="000000" w:themeColor="text1"/>
          <w:lang w:val="en-US"/>
        </w:rPr>
        <w:t xml:space="preserve">the </w:t>
      </w:r>
      <w:r w:rsidRPr="00124E11">
        <w:rPr>
          <w:rFonts w:ascii="Book Antiqua" w:hAnsi="Book Antiqua"/>
          <w:color w:val="000000" w:themeColor="text1"/>
          <w:lang w:val="en-US"/>
        </w:rPr>
        <w:t xml:space="preserve">dissection in order to guide the surgeon. </w:t>
      </w:r>
      <w:r w:rsidR="007057AE" w:rsidRPr="00124E11">
        <w:rPr>
          <w:rFonts w:ascii="Book Antiqua" w:hAnsi="Book Antiqua"/>
          <w:color w:val="000000" w:themeColor="text1"/>
          <w:lang w:val="en-US"/>
        </w:rPr>
        <w:t xml:space="preserve">With the added advantage of re-use on demand during the operation </w:t>
      </w:r>
      <w:r w:rsidR="009D07FB" w:rsidRPr="00124E11">
        <w:rPr>
          <w:rFonts w:ascii="Book Antiqua" w:hAnsi="Book Antiqua"/>
          <w:color w:val="000000" w:themeColor="text1"/>
          <w:lang w:val="en-US"/>
        </w:rPr>
        <w:t>as it</w:t>
      </w:r>
      <w:r w:rsidRPr="00124E11">
        <w:rPr>
          <w:rFonts w:ascii="Book Antiqua" w:hAnsi="Book Antiqua"/>
          <w:color w:val="000000" w:themeColor="text1"/>
          <w:lang w:val="en-US"/>
        </w:rPr>
        <w:t xml:space="preserve"> is neither time-consuming nor expensive. Indeed, </w:t>
      </w:r>
      <w:r w:rsidR="007057AE" w:rsidRPr="00124E11">
        <w:rPr>
          <w:rFonts w:ascii="Book Antiqua" w:hAnsi="Book Antiqua"/>
          <w:color w:val="000000" w:themeColor="text1"/>
          <w:lang w:val="en-US"/>
        </w:rPr>
        <w:t>LUS</w:t>
      </w:r>
      <w:r w:rsidR="00F45A84" w:rsidRPr="00124E11">
        <w:rPr>
          <w:rFonts w:ascii="Book Antiqua" w:hAnsi="Book Antiqua"/>
          <w:color w:val="000000" w:themeColor="text1"/>
          <w:lang w:val="en-US"/>
        </w:rPr>
        <w:t xml:space="preserve"> provides</w:t>
      </w:r>
      <w:r w:rsidRPr="00124E11">
        <w:rPr>
          <w:rFonts w:ascii="Book Antiqua" w:hAnsi="Book Antiqua"/>
          <w:color w:val="000000" w:themeColor="text1"/>
          <w:lang w:val="en-US"/>
        </w:rPr>
        <w:t xml:space="preserve"> an excellent analysis of the CBD, even if it would appear to be less accurate than IOC in the study of the intra-pancreatic segment of the bile duct. </w:t>
      </w:r>
    </w:p>
    <w:p w14:paraId="2B8C71A0" w14:textId="7EEFF0F9" w:rsidR="00363096" w:rsidRPr="00124E11" w:rsidRDefault="00363096"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lastRenderedPageBreak/>
        <w:t xml:space="preserve">Considering aberrant biliary anatomy, such as </w:t>
      </w:r>
      <w:r w:rsidR="008D6FD1" w:rsidRPr="00124E11">
        <w:rPr>
          <w:rFonts w:ascii="Book Antiqua" w:hAnsi="Book Antiqua"/>
          <w:color w:val="000000" w:themeColor="text1"/>
          <w:lang w:val="en-US"/>
        </w:rPr>
        <w:t xml:space="preserve">a </w:t>
      </w:r>
      <w:r w:rsidRPr="00124E11">
        <w:rPr>
          <w:rFonts w:ascii="Book Antiqua" w:hAnsi="Book Antiqua"/>
          <w:color w:val="000000" w:themeColor="text1"/>
          <w:lang w:val="en-US"/>
        </w:rPr>
        <w:t xml:space="preserve">cystic duct </w:t>
      </w:r>
      <w:r w:rsidR="007057AE" w:rsidRPr="00124E11">
        <w:rPr>
          <w:rFonts w:ascii="Book Antiqua" w:hAnsi="Book Antiqua"/>
          <w:color w:val="000000" w:themeColor="text1"/>
          <w:lang w:val="en-US"/>
        </w:rPr>
        <w:t>originating</w:t>
      </w:r>
      <w:r w:rsidRPr="00124E11">
        <w:rPr>
          <w:rFonts w:ascii="Book Antiqua" w:hAnsi="Book Antiqua"/>
          <w:color w:val="000000" w:themeColor="text1"/>
          <w:lang w:val="en-US"/>
        </w:rPr>
        <w:t xml:space="preserve"> from the </w:t>
      </w:r>
      <w:r w:rsidR="00C13506" w:rsidRPr="00124E11">
        <w:rPr>
          <w:rFonts w:ascii="Book Antiqua" w:hAnsi="Book Antiqua"/>
          <w:color w:val="000000" w:themeColor="text1"/>
          <w:lang w:val="en-US"/>
        </w:rPr>
        <w:t>right posterior sector</w:t>
      </w:r>
      <w:r w:rsidRPr="00124E11">
        <w:rPr>
          <w:rFonts w:ascii="Book Antiqua" w:hAnsi="Book Antiqua"/>
          <w:color w:val="000000" w:themeColor="text1"/>
          <w:lang w:val="en-US"/>
        </w:rPr>
        <w:t>, very few authors provide detailed anatomical description</w:t>
      </w:r>
      <w:r w:rsidR="007057AE" w:rsidRPr="00124E11">
        <w:rPr>
          <w:rFonts w:ascii="Book Antiqua" w:hAnsi="Book Antiqua"/>
          <w:color w:val="000000" w:themeColor="text1"/>
          <w:lang w:val="en-US"/>
        </w:rPr>
        <w:t>s</w:t>
      </w:r>
      <w:r w:rsidRPr="00124E11">
        <w:rPr>
          <w:rFonts w:ascii="Book Antiqua" w:hAnsi="Book Antiqua"/>
          <w:color w:val="000000" w:themeColor="text1"/>
          <w:lang w:val="en-US"/>
        </w:rPr>
        <w:t xml:space="preserve">. More results for the precise anatomical evaluation, segment by segment, are warranted. Nevertheless, it seems that, in experienced hands, LUS can provide </w:t>
      </w:r>
      <w:r w:rsidR="007057AE" w:rsidRPr="00124E11">
        <w:rPr>
          <w:rFonts w:ascii="Book Antiqua" w:hAnsi="Book Antiqua"/>
          <w:color w:val="000000" w:themeColor="text1"/>
          <w:lang w:val="en-US"/>
        </w:rPr>
        <w:t xml:space="preserve">a </w:t>
      </w:r>
      <w:r w:rsidRPr="00124E11">
        <w:rPr>
          <w:rFonts w:ascii="Book Antiqua" w:hAnsi="Book Antiqua"/>
          <w:color w:val="000000" w:themeColor="text1"/>
          <w:lang w:val="en-US"/>
        </w:rPr>
        <w:t>precis</w:t>
      </w:r>
      <w:r w:rsidR="007057AE" w:rsidRPr="00124E11">
        <w:rPr>
          <w:rFonts w:ascii="Book Antiqua" w:hAnsi="Book Antiqua"/>
          <w:color w:val="000000" w:themeColor="text1"/>
          <w:lang w:val="en-US"/>
        </w:rPr>
        <w:t>ely</w:t>
      </w:r>
      <w:r w:rsidRPr="00124E11">
        <w:rPr>
          <w:rFonts w:ascii="Book Antiqua" w:hAnsi="Book Antiqua"/>
          <w:color w:val="000000" w:themeColor="text1"/>
          <w:lang w:val="en-US"/>
        </w:rPr>
        <w:t xml:space="preserve"> map</w:t>
      </w:r>
      <w:r w:rsidR="007057AE" w:rsidRPr="00124E11">
        <w:rPr>
          <w:rFonts w:ascii="Book Antiqua" w:hAnsi="Book Antiqua"/>
          <w:color w:val="000000" w:themeColor="text1"/>
          <w:lang w:val="en-US"/>
        </w:rPr>
        <w:t xml:space="preserve">ped </w:t>
      </w:r>
      <w:r w:rsidRPr="00124E11">
        <w:rPr>
          <w:rFonts w:ascii="Book Antiqua" w:hAnsi="Book Antiqua"/>
          <w:color w:val="000000" w:themeColor="text1"/>
          <w:lang w:val="en-US"/>
        </w:rPr>
        <w:t xml:space="preserve">biliary duct. </w:t>
      </w:r>
      <w:r w:rsidR="008D6FD1" w:rsidRPr="00124E11">
        <w:rPr>
          <w:rFonts w:ascii="Book Antiqua" w:hAnsi="Book Antiqua"/>
          <w:color w:val="000000" w:themeColor="text1"/>
          <w:lang w:val="en-US"/>
        </w:rPr>
        <w:t>When</w:t>
      </w:r>
      <w:r w:rsidRPr="00124E11">
        <w:rPr>
          <w:rFonts w:ascii="Book Antiqua" w:hAnsi="Book Antiqua"/>
          <w:color w:val="000000" w:themeColor="text1"/>
          <w:lang w:val="en-US"/>
        </w:rPr>
        <w:t xml:space="preserve"> analy</w:t>
      </w:r>
      <w:r w:rsidR="008D6FD1" w:rsidRPr="00124E11">
        <w:rPr>
          <w:rFonts w:ascii="Book Antiqua" w:hAnsi="Book Antiqua"/>
          <w:color w:val="000000" w:themeColor="text1"/>
          <w:lang w:val="en-US"/>
        </w:rPr>
        <w:t>zing</w:t>
      </w:r>
      <w:r w:rsidRPr="00124E11">
        <w:rPr>
          <w:rFonts w:ascii="Book Antiqua" w:hAnsi="Book Antiqua"/>
          <w:color w:val="000000" w:themeColor="text1"/>
          <w:lang w:val="en-US"/>
        </w:rPr>
        <w:t xml:space="preserve"> </w:t>
      </w:r>
      <w:r w:rsidR="008D6FD1" w:rsidRPr="00124E11">
        <w:rPr>
          <w:rFonts w:ascii="Book Antiqua" w:hAnsi="Book Antiqua"/>
          <w:color w:val="000000" w:themeColor="text1"/>
          <w:lang w:val="en-US"/>
        </w:rPr>
        <w:t xml:space="preserve">the </w:t>
      </w:r>
      <w:r w:rsidRPr="00124E11">
        <w:rPr>
          <w:rFonts w:ascii="Book Antiqua" w:hAnsi="Book Antiqua"/>
          <w:color w:val="000000" w:themeColor="text1"/>
          <w:lang w:val="en-US"/>
        </w:rPr>
        <w:t xml:space="preserve">cystic-common bile duct junction, </w:t>
      </w:r>
      <w:r w:rsidR="007057AE" w:rsidRPr="00124E11">
        <w:rPr>
          <w:rFonts w:ascii="Book Antiqua" w:hAnsi="Book Antiqua"/>
          <w:color w:val="000000" w:themeColor="text1"/>
          <w:lang w:val="en-US"/>
        </w:rPr>
        <w:t xml:space="preserve">a </w:t>
      </w:r>
      <w:r w:rsidRPr="00124E11">
        <w:rPr>
          <w:rFonts w:ascii="Book Antiqua" w:hAnsi="Book Antiqua"/>
          <w:color w:val="000000" w:themeColor="text1"/>
          <w:lang w:val="en-US"/>
        </w:rPr>
        <w:t>short cystic duct</w:t>
      </w:r>
      <w:r w:rsidR="007057AE" w:rsidRPr="00124E11">
        <w:rPr>
          <w:rFonts w:ascii="Book Antiqua" w:hAnsi="Book Antiqua"/>
          <w:color w:val="000000" w:themeColor="text1"/>
          <w:lang w:val="en-US"/>
        </w:rPr>
        <w:t>,</w:t>
      </w:r>
      <w:r w:rsidRPr="00124E11">
        <w:rPr>
          <w:rFonts w:ascii="Book Antiqua" w:hAnsi="Book Antiqua"/>
          <w:color w:val="000000" w:themeColor="text1"/>
          <w:lang w:val="en-US"/>
        </w:rPr>
        <w:t xml:space="preserve"> or even Mirizzi’s syndrom</w:t>
      </w:r>
      <w:r w:rsidR="007057AE" w:rsidRPr="00124E11">
        <w:rPr>
          <w:rFonts w:ascii="Book Antiqua" w:hAnsi="Book Antiqua"/>
          <w:color w:val="000000" w:themeColor="text1"/>
          <w:lang w:val="en-US"/>
        </w:rPr>
        <w:t>e</w:t>
      </w:r>
      <w:r w:rsidRPr="00124E11">
        <w:rPr>
          <w:rFonts w:ascii="Book Antiqua" w:hAnsi="Book Antiqua"/>
          <w:color w:val="000000" w:themeColor="text1"/>
          <w:lang w:val="en-US"/>
        </w:rPr>
        <w:t>, LUS m</w:t>
      </w:r>
      <w:r w:rsidR="007057AE" w:rsidRPr="00124E11">
        <w:rPr>
          <w:rFonts w:ascii="Book Antiqua" w:hAnsi="Book Antiqua"/>
          <w:color w:val="000000" w:themeColor="text1"/>
          <w:lang w:val="en-US"/>
        </w:rPr>
        <w:t>ight</w:t>
      </w:r>
      <w:r w:rsidRPr="00124E11">
        <w:rPr>
          <w:rFonts w:ascii="Book Antiqua" w:hAnsi="Book Antiqua"/>
          <w:color w:val="000000" w:themeColor="text1"/>
          <w:lang w:val="en-US"/>
        </w:rPr>
        <w:t xml:space="preserve"> </w:t>
      </w:r>
      <w:r w:rsidR="00D42DB2" w:rsidRPr="00124E11">
        <w:rPr>
          <w:rFonts w:ascii="Book Antiqua" w:hAnsi="Book Antiqua"/>
          <w:color w:val="000000" w:themeColor="text1"/>
          <w:lang w:val="en-US"/>
        </w:rPr>
        <w:t xml:space="preserve">be </w:t>
      </w:r>
      <w:r w:rsidRPr="00124E11">
        <w:rPr>
          <w:rFonts w:ascii="Book Antiqua" w:hAnsi="Book Antiqua"/>
          <w:color w:val="000000" w:themeColor="text1"/>
          <w:lang w:val="en-US"/>
        </w:rPr>
        <w:t>effective</w:t>
      </w:r>
      <w:r w:rsidR="00D42DB2" w:rsidRPr="00124E11">
        <w:rPr>
          <w:rFonts w:ascii="Book Antiqua" w:hAnsi="Book Antiqua"/>
          <w:color w:val="000000" w:themeColor="text1"/>
          <w:lang w:val="en-US"/>
        </w:rPr>
        <w:t xml:space="preserve"> in</w:t>
      </w:r>
      <w:r w:rsidRPr="00124E11">
        <w:rPr>
          <w:rFonts w:ascii="Book Antiqua" w:hAnsi="Book Antiqua"/>
          <w:color w:val="000000" w:themeColor="text1"/>
          <w:lang w:val="en-US"/>
        </w:rPr>
        <w:t xml:space="preserve"> clarify</w:t>
      </w:r>
      <w:r w:rsidR="00D42DB2" w:rsidRPr="00124E11">
        <w:rPr>
          <w:rFonts w:ascii="Book Antiqua" w:hAnsi="Book Antiqua"/>
          <w:color w:val="000000" w:themeColor="text1"/>
          <w:lang w:val="en-US"/>
        </w:rPr>
        <w:t>ing</w:t>
      </w:r>
      <w:r w:rsidRPr="00124E11">
        <w:rPr>
          <w:rFonts w:ascii="Book Antiqua" w:hAnsi="Book Antiqua"/>
          <w:color w:val="000000" w:themeColor="text1"/>
          <w:lang w:val="en-US"/>
        </w:rPr>
        <w:t xml:space="preserve"> </w:t>
      </w:r>
      <w:r w:rsidR="007057AE" w:rsidRPr="00124E11">
        <w:rPr>
          <w:rFonts w:ascii="Book Antiqua" w:hAnsi="Book Antiqua"/>
          <w:color w:val="000000" w:themeColor="text1"/>
          <w:lang w:val="en-US"/>
        </w:rPr>
        <w:t xml:space="preserve">the </w:t>
      </w:r>
      <w:r w:rsidRPr="00124E11">
        <w:rPr>
          <w:rFonts w:ascii="Book Antiqua" w:hAnsi="Book Antiqua"/>
          <w:color w:val="000000" w:themeColor="text1"/>
          <w:lang w:val="en-US"/>
        </w:rPr>
        <w:t>anatomy and even prevent</w:t>
      </w:r>
      <w:r w:rsidR="00D42DB2" w:rsidRPr="00124E11">
        <w:rPr>
          <w:rFonts w:ascii="Book Antiqua" w:hAnsi="Book Antiqua"/>
          <w:color w:val="000000" w:themeColor="text1"/>
          <w:lang w:val="en-US"/>
        </w:rPr>
        <w:t>ing</w:t>
      </w:r>
      <w:r w:rsidRPr="00124E11">
        <w:rPr>
          <w:rFonts w:ascii="Book Antiqua" w:hAnsi="Book Antiqua"/>
          <w:color w:val="000000" w:themeColor="text1"/>
          <w:lang w:val="en-US"/>
        </w:rPr>
        <w:t xml:space="preserve"> conversion.</w:t>
      </w:r>
    </w:p>
    <w:p w14:paraId="1D6AD7C3" w14:textId="55FC7784" w:rsidR="007057AE" w:rsidRPr="00124E11" w:rsidRDefault="00363096"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While no precise data concerning the prevention of BDIs were reported, the ability to delineate anatomy may have a protective role as no BDIs were described in the reviewed series, even when patients with acute or chronic inflammatory disease were included. </w:t>
      </w:r>
      <w:r w:rsidR="007057AE" w:rsidRPr="00124E11">
        <w:rPr>
          <w:rFonts w:ascii="Book Antiqua" w:hAnsi="Book Antiqua"/>
          <w:color w:val="000000" w:themeColor="text1"/>
          <w:lang w:val="en-US"/>
        </w:rPr>
        <w:tab/>
      </w:r>
    </w:p>
    <w:p w14:paraId="0376DD4B" w14:textId="5181F4EB" w:rsidR="00E84E4B" w:rsidRPr="00124E11" w:rsidRDefault="00363096"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The ability of LUS to detect CBDS and sludge is at least as good, if not better than IOC, and provides fewer false positive examinations. Moreover, LUS</w:t>
      </w:r>
      <w:r w:rsidR="007057AE" w:rsidRPr="00124E11">
        <w:rPr>
          <w:rFonts w:ascii="Book Antiqua" w:hAnsi="Book Antiqua"/>
          <w:color w:val="000000" w:themeColor="text1"/>
          <w:lang w:val="en-US"/>
        </w:rPr>
        <w:t xml:space="preserve"> </w:t>
      </w:r>
      <w:r w:rsidRPr="00124E11">
        <w:rPr>
          <w:rFonts w:ascii="Book Antiqua" w:hAnsi="Book Antiqua"/>
          <w:color w:val="000000" w:themeColor="text1"/>
          <w:lang w:val="en-US"/>
        </w:rPr>
        <w:t>contributes to a complete examination of the adjacent organs</w:t>
      </w:r>
      <w:r w:rsidR="007057AE" w:rsidRPr="00124E11">
        <w:rPr>
          <w:rFonts w:ascii="Book Antiqua" w:hAnsi="Book Antiqua"/>
          <w:color w:val="000000" w:themeColor="text1"/>
          <w:lang w:val="en-US"/>
        </w:rPr>
        <w:t>,</w:t>
      </w:r>
      <w:r w:rsidRPr="00124E11">
        <w:rPr>
          <w:rFonts w:ascii="Book Antiqua" w:hAnsi="Book Antiqua"/>
          <w:color w:val="000000" w:themeColor="text1"/>
          <w:lang w:val="en-US"/>
        </w:rPr>
        <w:t xml:space="preserve"> which allows for</w:t>
      </w:r>
      <w:r w:rsidR="007057AE" w:rsidRPr="00124E11">
        <w:rPr>
          <w:rFonts w:ascii="Book Antiqua" w:hAnsi="Book Antiqua"/>
          <w:color w:val="000000" w:themeColor="text1"/>
          <w:lang w:val="en-US"/>
        </w:rPr>
        <w:t xml:space="preserve"> </w:t>
      </w:r>
      <w:r w:rsidRPr="00124E11">
        <w:rPr>
          <w:rFonts w:ascii="Book Antiqua" w:hAnsi="Book Antiqua"/>
          <w:color w:val="000000" w:themeColor="text1"/>
          <w:lang w:val="en-US"/>
        </w:rPr>
        <w:t>diagnoses of incidental pathology.</w:t>
      </w:r>
    </w:p>
    <w:p w14:paraId="7C4406D9" w14:textId="019DBFC7" w:rsidR="00E84E4B" w:rsidRPr="00124E11" w:rsidRDefault="00E84E4B"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 xml:space="preserve">Finally, </w:t>
      </w:r>
      <w:r w:rsidR="008D6FD1" w:rsidRPr="00124E11">
        <w:rPr>
          <w:rFonts w:ascii="Book Antiqua" w:hAnsi="Book Antiqua"/>
          <w:color w:val="000000" w:themeColor="text1"/>
          <w:lang w:val="en-US"/>
        </w:rPr>
        <w:t xml:space="preserve">the use of </w:t>
      </w:r>
      <w:r w:rsidRPr="00124E11">
        <w:rPr>
          <w:rFonts w:ascii="Book Antiqua" w:hAnsi="Book Antiqua"/>
          <w:color w:val="000000" w:themeColor="text1"/>
          <w:lang w:val="en-US"/>
        </w:rPr>
        <w:t>LUS is not exclusive. IOC can be of importan</w:t>
      </w:r>
      <w:r w:rsidR="007057AE" w:rsidRPr="00124E11">
        <w:rPr>
          <w:rFonts w:ascii="Book Antiqua" w:hAnsi="Book Antiqua"/>
          <w:color w:val="000000" w:themeColor="text1"/>
          <w:lang w:val="en-US"/>
        </w:rPr>
        <w:t>ce</w:t>
      </w:r>
      <w:r w:rsidRPr="00124E11">
        <w:rPr>
          <w:rFonts w:ascii="Book Antiqua" w:hAnsi="Book Antiqua"/>
          <w:color w:val="000000" w:themeColor="text1"/>
          <w:lang w:val="en-US"/>
        </w:rPr>
        <w:t xml:space="preserve"> in many situations. </w:t>
      </w:r>
      <w:r w:rsidR="00D42DB2" w:rsidRPr="00124E11">
        <w:rPr>
          <w:rFonts w:ascii="Book Antiqua" w:hAnsi="Book Antiqua"/>
          <w:color w:val="000000" w:themeColor="text1"/>
          <w:lang w:val="en-US"/>
        </w:rPr>
        <w:t xml:space="preserve">Consequently, </w:t>
      </w:r>
      <w:r w:rsidRPr="00124E11">
        <w:rPr>
          <w:rFonts w:ascii="Book Antiqua" w:hAnsi="Book Antiqua"/>
          <w:color w:val="000000" w:themeColor="text1"/>
          <w:lang w:val="en-US"/>
        </w:rPr>
        <w:t xml:space="preserve">any surgeon </w:t>
      </w:r>
      <w:r w:rsidR="007057AE" w:rsidRPr="00124E11">
        <w:rPr>
          <w:rFonts w:ascii="Book Antiqua" w:hAnsi="Book Antiqua"/>
          <w:color w:val="000000" w:themeColor="text1"/>
          <w:lang w:val="en-US"/>
        </w:rPr>
        <w:t>sh</w:t>
      </w:r>
      <w:r w:rsidRPr="00124E11">
        <w:rPr>
          <w:rFonts w:ascii="Book Antiqua" w:hAnsi="Book Antiqua"/>
          <w:color w:val="000000" w:themeColor="text1"/>
          <w:lang w:val="en-US"/>
        </w:rPr>
        <w:t xml:space="preserve">ould be able to use </w:t>
      </w:r>
      <w:r w:rsidR="007057AE" w:rsidRPr="00124E11">
        <w:rPr>
          <w:rFonts w:ascii="Book Antiqua" w:hAnsi="Book Antiqua"/>
          <w:color w:val="000000" w:themeColor="text1"/>
          <w:lang w:val="en-US"/>
        </w:rPr>
        <w:t>both</w:t>
      </w:r>
      <w:r w:rsidRPr="00124E11">
        <w:rPr>
          <w:rFonts w:ascii="Book Antiqua" w:hAnsi="Book Antiqua"/>
          <w:color w:val="000000" w:themeColor="text1"/>
          <w:lang w:val="en-US"/>
        </w:rPr>
        <w:t xml:space="preserve"> techni</w:t>
      </w:r>
      <w:r w:rsidR="007057AE" w:rsidRPr="00124E11">
        <w:rPr>
          <w:rFonts w:ascii="Book Antiqua" w:hAnsi="Book Antiqua"/>
          <w:color w:val="000000" w:themeColor="text1"/>
          <w:lang w:val="en-US"/>
        </w:rPr>
        <w:t>ques</w:t>
      </w:r>
      <w:r w:rsidR="008D6FD1" w:rsidRPr="00124E11">
        <w:rPr>
          <w:rFonts w:ascii="Book Antiqua" w:hAnsi="Book Antiqua"/>
          <w:color w:val="000000" w:themeColor="text1"/>
          <w:lang w:val="en-US"/>
        </w:rPr>
        <w:t>, which</w:t>
      </w:r>
      <w:r w:rsidRPr="00124E11">
        <w:rPr>
          <w:rFonts w:ascii="Book Antiqua" w:hAnsi="Book Antiqua"/>
          <w:color w:val="000000" w:themeColor="text1"/>
          <w:lang w:val="en-US"/>
        </w:rPr>
        <w:t xml:space="preserve"> </w:t>
      </w:r>
      <w:r w:rsidR="00D42DB2" w:rsidRPr="00124E11">
        <w:rPr>
          <w:rFonts w:ascii="Book Antiqua" w:hAnsi="Book Antiqua"/>
          <w:color w:val="000000" w:themeColor="text1"/>
          <w:lang w:val="en-US"/>
        </w:rPr>
        <w:t xml:space="preserve">are complementary </w:t>
      </w:r>
      <w:r w:rsidRPr="00124E11">
        <w:rPr>
          <w:rFonts w:ascii="Book Antiqua" w:hAnsi="Book Antiqua"/>
          <w:color w:val="000000" w:themeColor="text1"/>
          <w:lang w:val="en-US"/>
        </w:rPr>
        <w:t xml:space="preserve">in </w:t>
      </w:r>
      <w:r w:rsidR="007057AE" w:rsidRPr="00124E11">
        <w:rPr>
          <w:rFonts w:ascii="Book Antiqua" w:hAnsi="Book Antiqua"/>
          <w:color w:val="000000" w:themeColor="text1"/>
          <w:lang w:val="en-US"/>
        </w:rPr>
        <w:t xml:space="preserve">detecting </w:t>
      </w:r>
      <w:r w:rsidRPr="00124E11">
        <w:rPr>
          <w:rFonts w:ascii="Book Antiqua" w:hAnsi="Book Antiqua"/>
          <w:color w:val="000000" w:themeColor="text1"/>
          <w:lang w:val="en-US"/>
        </w:rPr>
        <w:t>common bile duct stone</w:t>
      </w:r>
      <w:r w:rsidR="007057AE" w:rsidRPr="00124E11">
        <w:rPr>
          <w:rFonts w:ascii="Book Antiqua" w:hAnsi="Book Antiqua"/>
          <w:color w:val="000000" w:themeColor="text1"/>
          <w:lang w:val="en-US"/>
        </w:rPr>
        <w:t>s</w:t>
      </w:r>
      <w:r w:rsidRPr="00124E11">
        <w:rPr>
          <w:rFonts w:ascii="Book Antiqua" w:hAnsi="Book Antiqua"/>
          <w:color w:val="000000" w:themeColor="text1"/>
          <w:lang w:val="en-US"/>
        </w:rPr>
        <w:t xml:space="preserve">. </w:t>
      </w:r>
      <w:r w:rsidR="008D6FD1" w:rsidRPr="00124E11">
        <w:rPr>
          <w:rFonts w:ascii="Book Antiqua" w:hAnsi="Book Antiqua"/>
          <w:color w:val="000000" w:themeColor="text1"/>
          <w:lang w:val="en-US"/>
        </w:rPr>
        <w:t>Further, t</w:t>
      </w:r>
      <w:r w:rsidR="007057AE" w:rsidRPr="00124E11">
        <w:rPr>
          <w:rFonts w:ascii="Book Antiqua" w:hAnsi="Book Antiqua"/>
          <w:color w:val="000000" w:themeColor="text1"/>
          <w:lang w:val="en-US"/>
        </w:rPr>
        <w:t xml:space="preserve">he advantages of LUS have led to the </w:t>
      </w:r>
      <w:r w:rsidRPr="00124E11">
        <w:rPr>
          <w:rFonts w:ascii="Book Antiqua" w:hAnsi="Book Antiqua"/>
          <w:color w:val="000000" w:themeColor="text1"/>
          <w:lang w:val="en-US"/>
        </w:rPr>
        <w:t>authors</w:t>
      </w:r>
      <w:r w:rsidR="007057AE" w:rsidRPr="00124E11">
        <w:rPr>
          <w:rFonts w:ascii="Book Antiqua" w:hAnsi="Book Antiqua"/>
          <w:color w:val="000000" w:themeColor="text1"/>
          <w:lang w:val="en-US"/>
        </w:rPr>
        <w:t xml:space="preserve"> using this </w:t>
      </w:r>
      <w:r w:rsidR="00D42DB2" w:rsidRPr="00124E11">
        <w:rPr>
          <w:rFonts w:ascii="Book Antiqua" w:hAnsi="Book Antiqua"/>
          <w:color w:val="000000" w:themeColor="text1"/>
          <w:lang w:val="en-US"/>
        </w:rPr>
        <w:t>technique</w:t>
      </w:r>
      <w:r w:rsidRPr="00124E11">
        <w:rPr>
          <w:rFonts w:ascii="Book Antiqua" w:hAnsi="Book Antiqua"/>
          <w:color w:val="000000" w:themeColor="text1"/>
          <w:lang w:val="en-US"/>
        </w:rPr>
        <w:t xml:space="preserve"> as a first line procedure.</w:t>
      </w:r>
    </w:p>
    <w:p w14:paraId="198F5C7A" w14:textId="1BD2F80E" w:rsidR="00363096" w:rsidRPr="00124E11" w:rsidRDefault="008D6FD1" w:rsidP="00A94613">
      <w:pPr>
        <w:snapToGrid w:val="0"/>
        <w:spacing w:line="360" w:lineRule="auto"/>
        <w:ind w:firstLineChars="100" w:firstLine="240"/>
        <w:jc w:val="both"/>
        <w:rPr>
          <w:rFonts w:ascii="Book Antiqua" w:hAnsi="Book Antiqua"/>
          <w:color w:val="000000" w:themeColor="text1"/>
          <w:lang w:val="en-US"/>
        </w:rPr>
      </w:pPr>
      <w:r w:rsidRPr="00124E11">
        <w:rPr>
          <w:rFonts w:ascii="Book Antiqua" w:hAnsi="Book Antiqua"/>
          <w:color w:val="000000" w:themeColor="text1"/>
          <w:lang w:val="en-US"/>
        </w:rPr>
        <w:t>A</w:t>
      </w:r>
      <w:r w:rsidR="00363096" w:rsidRPr="00124E11">
        <w:rPr>
          <w:rFonts w:ascii="Book Antiqua" w:hAnsi="Book Antiqua"/>
          <w:color w:val="000000" w:themeColor="text1"/>
          <w:lang w:val="en-US"/>
        </w:rPr>
        <w:t xml:space="preserve"> limitation of this review is that it is based on a relatively small number of </w:t>
      </w:r>
      <w:r w:rsidR="00C13506" w:rsidRPr="00124E11">
        <w:rPr>
          <w:rFonts w:ascii="Book Antiqua" w:hAnsi="Book Antiqua"/>
          <w:color w:val="000000" w:themeColor="text1"/>
          <w:lang w:val="en-US"/>
        </w:rPr>
        <w:t>non-randomized</w:t>
      </w:r>
      <w:r w:rsidR="00363096" w:rsidRPr="00124E11">
        <w:rPr>
          <w:rFonts w:ascii="Book Antiqua" w:hAnsi="Book Antiqua"/>
          <w:color w:val="000000" w:themeColor="text1"/>
          <w:lang w:val="en-US"/>
        </w:rPr>
        <w:t xml:space="preserve"> trials, with a limited number of patients, with </w:t>
      </w:r>
      <w:r w:rsidR="00C13506" w:rsidRPr="00124E11">
        <w:rPr>
          <w:rFonts w:ascii="Book Antiqua" w:hAnsi="Book Antiqua"/>
          <w:color w:val="000000" w:themeColor="text1"/>
          <w:lang w:val="en-US"/>
        </w:rPr>
        <w:t>heterogeneous</w:t>
      </w:r>
      <w:r w:rsidR="00363096" w:rsidRPr="00124E11">
        <w:rPr>
          <w:rFonts w:ascii="Book Antiqua" w:hAnsi="Book Antiqua"/>
          <w:color w:val="000000" w:themeColor="text1"/>
          <w:lang w:val="en-US"/>
        </w:rPr>
        <w:t>, no</w:t>
      </w:r>
      <w:r w:rsidRPr="00124E11">
        <w:rPr>
          <w:rFonts w:ascii="Book Antiqua" w:hAnsi="Book Antiqua"/>
          <w:color w:val="000000" w:themeColor="text1"/>
          <w:lang w:val="en-US"/>
        </w:rPr>
        <w:t>n</w:t>
      </w:r>
      <w:r w:rsidR="00363096" w:rsidRPr="00124E11">
        <w:rPr>
          <w:rFonts w:ascii="Book Antiqua" w:hAnsi="Book Antiqua"/>
          <w:color w:val="000000" w:themeColor="text1"/>
          <w:lang w:val="en-US"/>
        </w:rPr>
        <w:t xml:space="preserve"> standardized criteria </w:t>
      </w:r>
      <w:r w:rsidRPr="00124E11">
        <w:rPr>
          <w:rFonts w:ascii="Book Antiqua" w:hAnsi="Book Antiqua"/>
          <w:color w:val="000000" w:themeColor="text1"/>
          <w:lang w:val="en-US"/>
        </w:rPr>
        <w:t>in terms of</w:t>
      </w:r>
      <w:r w:rsidR="00363096" w:rsidRPr="00124E11">
        <w:rPr>
          <w:rFonts w:ascii="Book Antiqua" w:hAnsi="Book Antiqua"/>
          <w:color w:val="000000" w:themeColor="text1"/>
          <w:lang w:val="en-US"/>
        </w:rPr>
        <w:t xml:space="preserve"> anatomical analys</w:t>
      </w:r>
      <w:r w:rsidR="005D774C" w:rsidRPr="00124E11">
        <w:rPr>
          <w:rFonts w:ascii="Book Antiqua" w:hAnsi="Book Antiqua"/>
          <w:color w:val="000000" w:themeColor="text1"/>
          <w:lang w:val="en-US"/>
        </w:rPr>
        <w:t>i</w:t>
      </w:r>
      <w:r w:rsidR="00363096" w:rsidRPr="00124E11">
        <w:rPr>
          <w:rFonts w:ascii="Book Antiqua" w:hAnsi="Book Antiqua"/>
          <w:color w:val="000000" w:themeColor="text1"/>
          <w:lang w:val="en-US"/>
        </w:rPr>
        <w:t xml:space="preserve">s. </w:t>
      </w:r>
      <w:r w:rsidRPr="00124E11">
        <w:rPr>
          <w:rFonts w:ascii="Book Antiqua" w:hAnsi="Book Antiqua"/>
          <w:color w:val="000000" w:themeColor="text1"/>
          <w:lang w:val="en-US"/>
        </w:rPr>
        <w:t>Unfor</w:t>
      </w:r>
      <w:r w:rsidR="008B17FE" w:rsidRPr="00124E11">
        <w:rPr>
          <w:rFonts w:ascii="Book Antiqua" w:hAnsi="Book Antiqua"/>
          <w:color w:val="000000" w:themeColor="text1"/>
          <w:lang w:val="en-US"/>
        </w:rPr>
        <w:t xml:space="preserve">tunately, no specific data could be </w:t>
      </w:r>
      <w:r w:rsidRPr="00124E11">
        <w:rPr>
          <w:rFonts w:ascii="Book Antiqua" w:hAnsi="Book Antiqua"/>
          <w:color w:val="000000" w:themeColor="text1"/>
          <w:lang w:val="en-US"/>
        </w:rPr>
        <w:t xml:space="preserve">found for the </w:t>
      </w:r>
      <w:r w:rsidR="00363096" w:rsidRPr="00124E11">
        <w:rPr>
          <w:rFonts w:ascii="Book Antiqua" w:hAnsi="Book Antiqua"/>
          <w:color w:val="000000" w:themeColor="text1"/>
          <w:lang w:val="en-US"/>
        </w:rPr>
        <w:t>hazardous situation of</w:t>
      </w:r>
      <w:r w:rsidR="00C13506" w:rsidRPr="00124E11">
        <w:rPr>
          <w:rFonts w:ascii="Book Antiqua" w:hAnsi="Book Antiqua"/>
          <w:color w:val="000000" w:themeColor="text1"/>
          <w:lang w:val="en-US"/>
        </w:rPr>
        <w:t xml:space="preserve"> fibro</w:t>
      </w:r>
      <w:r w:rsidR="008B17FE" w:rsidRPr="00124E11">
        <w:rPr>
          <w:rFonts w:ascii="Book Antiqua" w:hAnsi="Book Antiqua"/>
          <w:color w:val="000000" w:themeColor="text1"/>
          <w:lang w:val="en-US"/>
        </w:rPr>
        <w:t>sis</w:t>
      </w:r>
      <w:r w:rsidR="00C13506" w:rsidRPr="00124E11">
        <w:rPr>
          <w:rFonts w:ascii="Book Antiqua" w:hAnsi="Book Antiqua"/>
          <w:color w:val="000000" w:themeColor="text1"/>
          <w:lang w:val="en-US"/>
        </w:rPr>
        <w:t xml:space="preserve">, </w:t>
      </w:r>
      <w:r w:rsidRPr="00124E11">
        <w:rPr>
          <w:rFonts w:ascii="Book Antiqua" w:hAnsi="Book Antiqua"/>
          <w:color w:val="000000" w:themeColor="text1"/>
          <w:lang w:val="en-US"/>
        </w:rPr>
        <w:t xml:space="preserve">which is instead </w:t>
      </w:r>
      <w:r w:rsidR="008B17FE" w:rsidRPr="00124E11">
        <w:rPr>
          <w:rFonts w:ascii="Book Antiqua" w:hAnsi="Book Antiqua"/>
          <w:color w:val="000000" w:themeColor="text1"/>
          <w:lang w:val="en-US"/>
        </w:rPr>
        <w:t xml:space="preserve">necessarily </w:t>
      </w:r>
      <w:r w:rsidRPr="00124E11">
        <w:rPr>
          <w:rFonts w:ascii="Book Antiqua" w:hAnsi="Book Antiqua"/>
          <w:color w:val="000000" w:themeColor="text1"/>
          <w:lang w:val="en-US"/>
        </w:rPr>
        <w:t xml:space="preserve">included </w:t>
      </w:r>
      <w:r w:rsidR="008B17FE" w:rsidRPr="00124E11">
        <w:rPr>
          <w:rFonts w:ascii="Book Antiqua" w:hAnsi="Book Antiqua"/>
          <w:color w:val="000000" w:themeColor="text1"/>
          <w:lang w:val="en-US"/>
        </w:rPr>
        <w:t>in a broad</w:t>
      </w:r>
      <w:r w:rsidR="00D42DB2" w:rsidRPr="00124E11">
        <w:rPr>
          <w:rFonts w:ascii="Book Antiqua" w:hAnsi="Book Antiqua"/>
          <w:color w:val="000000" w:themeColor="text1"/>
          <w:lang w:val="en-US"/>
        </w:rPr>
        <w:t>er</w:t>
      </w:r>
      <w:r w:rsidR="008B17FE" w:rsidRPr="00124E11">
        <w:rPr>
          <w:rFonts w:ascii="Book Antiqua" w:hAnsi="Book Antiqua"/>
          <w:color w:val="000000" w:themeColor="text1"/>
          <w:lang w:val="en-US"/>
        </w:rPr>
        <w:t xml:space="preserve"> </w:t>
      </w:r>
      <w:r w:rsidR="00363096" w:rsidRPr="00124E11">
        <w:rPr>
          <w:rFonts w:ascii="Book Antiqua" w:hAnsi="Book Antiqua"/>
          <w:color w:val="000000" w:themeColor="text1"/>
          <w:lang w:val="en-US"/>
        </w:rPr>
        <w:t xml:space="preserve">“difficult” </w:t>
      </w:r>
      <w:r w:rsidR="008B17FE" w:rsidRPr="00124E11">
        <w:rPr>
          <w:rFonts w:ascii="Book Antiqua" w:hAnsi="Book Antiqua"/>
          <w:color w:val="000000" w:themeColor="text1"/>
          <w:lang w:val="en-US"/>
        </w:rPr>
        <w:t>category</w:t>
      </w:r>
      <w:r w:rsidR="00363096" w:rsidRPr="00124E11">
        <w:rPr>
          <w:rFonts w:ascii="Book Antiqua" w:hAnsi="Book Antiqua"/>
          <w:color w:val="000000" w:themeColor="text1"/>
          <w:lang w:val="en-US"/>
        </w:rPr>
        <w:t>.</w:t>
      </w:r>
    </w:p>
    <w:p w14:paraId="3682DD6D" w14:textId="078304DC" w:rsidR="00872F9B" w:rsidRPr="00124E11" w:rsidRDefault="00363096" w:rsidP="00A94613">
      <w:pPr>
        <w:snapToGrid w:val="0"/>
        <w:spacing w:line="360" w:lineRule="auto"/>
        <w:ind w:firstLineChars="100" w:firstLine="240"/>
        <w:jc w:val="both"/>
        <w:rPr>
          <w:rFonts w:ascii="Book Antiqua" w:hAnsi="Book Antiqua" w:cs="Book Antiqua"/>
          <w:color w:val="000000" w:themeColor="text1"/>
          <w:lang w:val="en-US"/>
        </w:rPr>
      </w:pPr>
      <w:r w:rsidRPr="00124E11">
        <w:rPr>
          <w:rFonts w:ascii="Book Antiqua" w:hAnsi="Book Antiqua"/>
          <w:color w:val="000000" w:themeColor="text1"/>
          <w:lang w:val="en-US"/>
        </w:rPr>
        <w:t>To conclude, a large panel of techniques ha</w:t>
      </w:r>
      <w:r w:rsidR="00D42DB2" w:rsidRPr="00124E11">
        <w:rPr>
          <w:rFonts w:ascii="Book Antiqua" w:hAnsi="Book Antiqua"/>
          <w:color w:val="000000" w:themeColor="text1"/>
          <w:lang w:val="en-US"/>
        </w:rPr>
        <w:t>s</w:t>
      </w:r>
      <w:r w:rsidRPr="00124E11">
        <w:rPr>
          <w:rFonts w:ascii="Book Antiqua" w:hAnsi="Book Antiqua"/>
          <w:color w:val="000000" w:themeColor="text1"/>
          <w:lang w:val="en-US"/>
        </w:rPr>
        <w:t xml:space="preserve"> been described t</w:t>
      </w:r>
      <w:r w:rsidR="008B17FE" w:rsidRPr="00124E11">
        <w:rPr>
          <w:rFonts w:ascii="Book Antiqua" w:hAnsi="Book Antiqua"/>
          <w:color w:val="000000" w:themeColor="text1"/>
          <w:lang w:val="en-US"/>
        </w:rPr>
        <w:t>hat</w:t>
      </w:r>
      <w:r w:rsidRPr="00124E11">
        <w:rPr>
          <w:rFonts w:ascii="Book Antiqua" w:hAnsi="Book Antiqua"/>
          <w:color w:val="000000" w:themeColor="text1"/>
          <w:lang w:val="en-US"/>
        </w:rPr>
        <w:t xml:space="preserve"> clarify anatomy during laparoscopic cholecystectomy</w:t>
      </w:r>
      <w:r w:rsidR="008B17FE" w:rsidRPr="00124E11">
        <w:rPr>
          <w:rFonts w:ascii="Book Antiqua" w:hAnsi="Book Antiqua"/>
          <w:color w:val="000000" w:themeColor="text1"/>
          <w:lang w:val="en-US"/>
        </w:rPr>
        <w:t>.</w:t>
      </w:r>
      <w:r w:rsidRPr="00124E11">
        <w:rPr>
          <w:rFonts w:ascii="Book Antiqua" w:hAnsi="Book Antiqua"/>
          <w:color w:val="000000" w:themeColor="text1"/>
          <w:lang w:val="en-US"/>
        </w:rPr>
        <w:t xml:space="preserve"> </w:t>
      </w:r>
      <w:r w:rsidR="008B17FE" w:rsidRPr="00124E11">
        <w:rPr>
          <w:rFonts w:ascii="Book Antiqua" w:hAnsi="Book Antiqua"/>
          <w:color w:val="000000" w:themeColor="text1"/>
          <w:lang w:val="en-US"/>
        </w:rPr>
        <w:t>H</w:t>
      </w:r>
      <w:r w:rsidRPr="00124E11">
        <w:rPr>
          <w:rFonts w:ascii="Book Antiqua" w:hAnsi="Book Antiqua"/>
          <w:color w:val="000000" w:themeColor="text1"/>
          <w:lang w:val="en-US"/>
        </w:rPr>
        <w:t xml:space="preserve">owever, </w:t>
      </w:r>
      <w:r w:rsidR="008B17FE" w:rsidRPr="00124E11">
        <w:rPr>
          <w:rFonts w:ascii="Book Antiqua" w:hAnsi="Book Antiqua"/>
          <w:color w:val="000000" w:themeColor="text1"/>
          <w:lang w:val="en-US"/>
        </w:rPr>
        <w:t xml:space="preserve">of these techniques, </w:t>
      </w:r>
      <w:r w:rsidRPr="00124E11">
        <w:rPr>
          <w:rFonts w:ascii="Book Antiqua" w:hAnsi="Book Antiqua"/>
          <w:color w:val="000000" w:themeColor="text1"/>
          <w:lang w:val="en-US"/>
        </w:rPr>
        <w:t xml:space="preserve">LUS </w:t>
      </w:r>
      <w:r w:rsidR="008B17FE" w:rsidRPr="00124E11">
        <w:rPr>
          <w:rFonts w:ascii="Book Antiqua" w:hAnsi="Book Antiqua"/>
          <w:color w:val="000000" w:themeColor="text1"/>
          <w:lang w:val="en-US"/>
        </w:rPr>
        <w:t>would appear t</w:t>
      </w:r>
      <w:r w:rsidRPr="00124E11">
        <w:rPr>
          <w:rFonts w:ascii="Book Antiqua" w:hAnsi="Book Antiqua"/>
          <w:color w:val="000000" w:themeColor="text1"/>
          <w:lang w:val="en-US"/>
        </w:rPr>
        <w:t xml:space="preserve">o be the most suitable as it provides the </w:t>
      </w:r>
      <w:r w:rsidR="008B17FE" w:rsidRPr="00124E11">
        <w:rPr>
          <w:rFonts w:ascii="Book Antiqua" w:hAnsi="Book Antiqua"/>
          <w:color w:val="000000" w:themeColor="text1"/>
          <w:lang w:val="en-US"/>
        </w:rPr>
        <w:t xml:space="preserve">greatest number of </w:t>
      </w:r>
      <w:r w:rsidRPr="00124E11">
        <w:rPr>
          <w:rFonts w:ascii="Book Antiqua" w:hAnsi="Book Antiqua"/>
          <w:color w:val="000000" w:themeColor="text1"/>
          <w:lang w:val="en-US"/>
        </w:rPr>
        <w:t xml:space="preserve">advantages and can be used during other </w:t>
      </w:r>
      <w:r w:rsidR="008B17FE" w:rsidRPr="00124E11">
        <w:rPr>
          <w:rFonts w:ascii="Book Antiqua" w:hAnsi="Book Antiqua"/>
          <w:color w:val="000000" w:themeColor="text1"/>
          <w:lang w:val="en-US"/>
        </w:rPr>
        <w:t>types</w:t>
      </w:r>
      <w:r w:rsidRPr="00124E11">
        <w:rPr>
          <w:rFonts w:ascii="Book Antiqua" w:hAnsi="Book Antiqua"/>
          <w:color w:val="000000" w:themeColor="text1"/>
          <w:lang w:val="en-US"/>
        </w:rPr>
        <w:t xml:space="preserve"> of operation. </w:t>
      </w:r>
      <w:r w:rsidR="008B17FE" w:rsidRPr="00124E11">
        <w:rPr>
          <w:rFonts w:ascii="Book Antiqua" w:hAnsi="Book Antiqua"/>
          <w:color w:val="000000" w:themeColor="text1"/>
          <w:lang w:val="en-US"/>
        </w:rPr>
        <w:t>LUS</w:t>
      </w:r>
      <w:r w:rsidRPr="00124E11">
        <w:rPr>
          <w:rFonts w:ascii="Book Antiqua" w:hAnsi="Book Antiqua"/>
          <w:color w:val="000000" w:themeColor="text1"/>
          <w:lang w:val="en-US"/>
        </w:rPr>
        <w:t xml:space="preserve"> is </w:t>
      </w:r>
      <w:r w:rsidR="00D42DB2" w:rsidRPr="00124E11">
        <w:rPr>
          <w:rFonts w:ascii="Book Antiqua" w:hAnsi="Book Antiqua"/>
          <w:color w:val="000000" w:themeColor="text1"/>
          <w:lang w:val="en-US"/>
        </w:rPr>
        <w:t xml:space="preserve">also, </w:t>
      </w:r>
      <w:r w:rsidRPr="00124E11">
        <w:rPr>
          <w:rFonts w:ascii="Book Antiqua" w:hAnsi="Book Antiqua"/>
          <w:color w:val="000000" w:themeColor="text1"/>
          <w:lang w:val="en-US"/>
        </w:rPr>
        <w:t>probably</w:t>
      </w:r>
      <w:r w:rsidR="00D42DB2" w:rsidRPr="00124E11">
        <w:rPr>
          <w:rFonts w:ascii="Book Antiqua" w:hAnsi="Book Antiqua"/>
          <w:color w:val="000000" w:themeColor="text1"/>
          <w:lang w:val="en-US"/>
        </w:rPr>
        <w:t xml:space="preserve">, </w:t>
      </w:r>
      <w:r w:rsidRPr="00124E11">
        <w:rPr>
          <w:rFonts w:ascii="Book Antiqua" w:hAnsi="Book Antiqua"/>
          <w:color w:val="000000" w:themeColor="text1"/>
          <w:lang w:val="en-US"/>
        </w:rPr>
        <w:t xml:space="preserve">the most cost-effective, which is an essential quality in an era of financial </w:t>
      </w:r>
      <w:r w:rsidR="00D42DB2" w:rsidRPr="00124E11">
        <w:rPr>
          <w:rFonts w:ascii="Book Antiqua" w:hAnsi="Book Antiqua"/>
          <w:color w:val="000000" w:themeColor="text1"/>
          <w:lang w:val="en-US"/>
        </w:rPr>
        <w:t xml:space="preserve">constraints. </w:t>
      </w:r>
      <w:r w:rsidRPr="00124E11">
        <w:rPr>
          <w:rFonts w:ascii="Book Antiqua" w:hAnsi="Book Antiqua"/>
          <w:color w:val="000000" w:themeColor="text1"/>
          <w:lang w:val="en-US"/>
        </w:rPr>
        <w:t xml:space="preserve">The principal hurdle for the adoption of LUS as a standard imaging technique of the CBD during LC appears to be the </w:t>
      </w:r>
      <w:r w:rsidR="00E767E9" w:rsidRPr="00124E11">
        <w:rPr>
          <w:rFonts w:ascii="Book Antiqua" w:hAnsi="Book Antiqua"/>
          <w:color w:val="000000" w:themeColor="text1"/>
          <w:lang w:val="en-US"/>
        </w:rPr>
        <w:t>reticence of</w:t>
      </w:r>
      <w:r w:rsidRPr="00124E11">
        <w:rPr>
          <w:rFonts w:ascii="Book Antiqua" w:hAnsi="Book Antiqua"/>
          <w:color w:val="000000" w:themeColor="text1"/>
          <w:lang w:val="en-US"/>
        </w:rPr>
        <w:t xml:space="preserve"> surgeons, probably because of its supposed lengthy </w:t>
      </w:r>
      <w:r w:rsidRPr="00124E11">
        <w:rPr>
          <w:rFonts w:ascii="Book Antiqua" w:hAnsi="Book Antiqua"/>
          <w:color w:val="000000" w:themeColor="text1"/>
          <w:lang w:val="en-US"/>
        </w:rPr>
        <w:lastRenderedPageBreak/>
        <w:t xml:space="preserve">learning curve. However, </w:t>
      </w:r>
      <w:r w:rsidR="008B17FE" w:rsidRPr="00124E11">
        <w:rPr>
          <w:rFonts w:ascii="Book Antiqua" w:hAnsi="Book Antiqua"/>
          <w:color w:val="000000" w:themeColor="text1"/>
          <w:lang w:val="en-US"/>
        </w:rPr>
        <w:t xml:space="preserve">as </w:t>
      </w:r>
      <w:r w:rsidRPr="00124E11">
        <w:rPr>
          <w:rFonts w:ascii="Book Antiqua" w:hAnsi="Book Antiqua"/>
          <w:color w:val="000000" w:themeColor="text1"/>
          <w:lang w:val="en-US"/>
        </w:rPr>
        <w:t xml:space="preserve">ultrasound and laparoscopy </w:t>
      </w:r>
      <w:r w:rsidR="008B17FE" w:rsidRPr="00124E11">
        <w:rPr>
          <w:rFonts w:ascii="Book Antiqua" w:hAnsi="Book Antiqua"/>
          <w:color w:val="000000" w:themeColor="text1"/>
          <w:lang w:val="en-US"/>
        </w:rPr>
        <w:t xml:space="preserve">become standard techniques </w:t>
      </w:r>
      <w:r w:rsidRPr="00124E11">
        <w:rPr>
          <w:rFonts w:ascii="Book Antiqua" w:hAnsi="Book Antiqua"/>
          <w:color w:val="000000" w:themeColor="text1"/>
          <w:lang w:val="en-US"/>
        </w:rPr>
        <w:t>in mod</w:t>
      </w:r>
      <w:r w:rsidR="00C13506" w:rsidRPr="00124E11">
        <w:rPr>
          <w:rFonts w:ascii="Book Antiqua" w:hAnsi="Book Antiqua"/>
          <w:color w:val="000000" w:themeColor="text1"/>
          <w:lang w:val="en-US"/>
        </w:rPr>
        <w:t>ern surgery, most surgical traine</w:t>
      </w:r>
      <w:r w:rsidRPr="00124E11">
        <w:rPr>
          <w:rFonts w:ascii="Book Antiqua" w:hAnsi="Book Antiqua"/>
          <w:color w:val="000000" w:themeColor="text1"/>
          <w:lang w:val="en-US"/>
        </w:rPr>
        <w:t xml:space="preserve">es and junior surgeons </w:t>
      </w:r>
      <w:r w:rsidR="008B17FE" w:rsidRPr="00124E11">
        <w:rPr>
          <w:rFonts w:ascii="Book Antiqua" w:hAnsi="Book Antiqua"/>
          <w:color w:val="000000" w:themeColor="text1"/>
          <w:lang w:val="en-US"/>
        </w:rPr>
        <w:t xml:space="preserve">will </w:t>
      </w:r>
      <w:r w:rsidRPr="00124E11">
        <w:rPr>
          <w:rFonts w:ascii="Book Antiqua" w:hAnsi="Book Antiqua"/>
          <w:color w:val="000000" w:themeColor="text1"/>
          <w:lang w:val="en-US"/>
        </w:rPr>
        <w:t>be exposed to the</w:t>
      </w:r>
      <w:r w:rsidR="008B17FE" w:rsidRPr="00124E11">
        <w:rPr>
          <w:rFonts w:ascii="Book Antiqua" w:hAnsi="Book Antiqua"/>
          <w:color w:val="000000" w:themeColor="text1"/>
          <w:lang w:val="en-US"/>
        </w:rPr>
        <w:t xml:space="preserve">m, and will be </w:t>
      </w:r>
      <w:r w:rsidR="00D42DB2" w:rsidRPr="00124E11">
        <w:rPr>
          <w:rFonts w:ascii="Book Antiqua" w:hAnsi="Book Antiqua"/>
          <w:color w:val="000000" w:themeColor="text1"/>
          <w:lang w:val="en-US"/>
        </w:rPr>
        <w:t>m</w:t>
      </w:r>
      <w:r w:rsidR="008B17FE" w:rsidRPr="00124E11">
        <w:rPr>
          <w:rFonts w:ascii="Book Antiqua" w:hAnsi="Book Antiqua"/>
          <w:color w:val="000000" w:themeColor="text1"/>
          <w:lang w:val="en-US"/>
        </w:rPr>
        <w:t>ore inclined to include them in their skill set. In this fashion, we envisage that the r</w:t>
      </w:r>
      <w:r w:rsidR="00C13506" w:rsidRPr="00124E11">
        <w:rPr>
          <w:rFonts w:ascii="Book Antiqua" w:hAnsi="Book Antiqua"/>
          <w:color w:val="000000" w:themeColor="text1"/>
          <w:lang w:val="en-US"/>
        </w:rPr>
        <w:t>elu</w:t>
      </w:r>
      <w:r w:rsidRPr="00124E11">
        <w:rPr>
          <w:rFonts w:ascii="Book Antiqua" w:hAnsi="Book Antiqua"/>
          <w:color w:val="000000" w:themeColor="text1"/>
          <w:lang w:val="en-US"/>
        </w:rPr>
        <w:t xml:space="preserve">ctance </w:t>
      </w:r>
      <w:r w:rsidR="008B17FE" w:rsidRPr="00124E11">
        <w:rPr>
          <w:rFonts w:ascii="Book Antiqua" w:hAnsi="Book Antiqua"/>
          <w:color w:val="000000" w:themeColor="text1"/>
          <w:lang w:val="en-US"/>
        </w:rPr>
        <w:t>to use LUS will become obs</w:t>
      </w:r>
      <w:r w:rsidR="00C94AF2" w:rsidRPr="00124E11">
        <w:rPr>
          <w:rFonts w:ascii="Book Antiqua" w:hAnsi="Book Antiqua"/>
          <w:color w:val="000000" w:themeColor="text1"/>
          <w:lang w:val="en-US"/>
        </w:rPr>
        <w:t>o</w:t>
      </w:r>
      <w:r w:rsidR="008B17FE" w:rsidRPr="00124E11">
        <w:rPr>
          <w:rFonts w:ascii="Book Antiqua" w:hAnsi="Book Antiqua"/>
          <w:color w:val="000000" w:themeColor="text1"/>
          <w:lang w:val="en-US"/>
        </w:rPr>
        <w:t xml:space="preserve">lete. </w:t>
      </w:r>
      <w:r w:rsidRPr="00124E11">
        <w:rPr>
          <w:rFonts w:ascii="Book Antiqua" w:hAnsi="Book Antiqua"/>
          <w:color w:val="000000" w:themeColor="text1"/>
          <w:lang w:val="en-US"/>
        </w:rPr>
        <w:t xml:space="preserve">Moreover, surgeons should consider that implementation of LUS during LC could serve as a valuable exercise to gain familiarity with a technique that should prove useful for multiple operations. </w:t>
      </w:r>
    </w:p>
    <w:p w14:paraId="2C8532DA" w14:textId="77777777" w:rsidR="00C94AF2" w:rsidRPr="00124E11" w:rsidRDefault="00C94AF2" w:rsidP="00A94613">
      <w:pPr>
        <w:widowControl w:val="0"/>
        <w:autoSpaceDE w:val="0"/>
        <w:autoSpaceDN w:val="0"/>
        <w:adjustRightInd w:val="0"/>
        <w:snapToGrid w:val="0"/>
        <w:spacing w:line="360" w:lineRule="auto"/>
        <w:jc w:val="both"/>
        <w:outlineLvl w:val="0"/>
        <w:rPr>
          <w:rFonts w:ascii="Book Antiqua" w:hAnsi="Book Antiqua" w:cs="Book Antiqua"/>
          <w:color w:val="000000" w:themeColor="text1"/>
          <w:lang w:val="en-US"/>
        </w:rPr>
      </w:pPr>
    </w:p>
    <w:p w14:paraId="08DD3709" w14:textId="494A2550" w:rsidR="00A413F9" w:rsidRPr="00124E11" w:rsidRDefault="00A413F9" w:rsidP="00A94613">
      <w:pPr>
        <w:snapToGrid w:val="0"/>
        <w:spacing w:line="360" w:lineRule="auto"/>
        <w:jc w:val="both"/>
        <w:outlineLvl w:val="0"/>
        <w:rPr>
          <w:rFonts w:ascii="Book Antiqua" w:hAnsi="Book Antiqua"/>
          <w:b/>
          <w:color w:val="000000" w:themeColor="text1"/>
          <w:lang w:val="en-US" w:eastAsia="zh-CN"/>
        </w:rPr>
      </w:pPr>
      <w:r w:rsidRPr="00124E11">
        <w:rPr>
          <w:rFonts w:ascii="Book Antiqua" w:hAnsi="Book Antiqua"/>
          <w:b/>
          <w:color w:val="000000" w:themeColor="text1"/>
          <w:lang w:val="en-US"/>
        </w:rPr>
        <w:t>ACKNOWLEDGEMENT</w:t>
      </w:r>
      <w:r w:rsidR="003474A6">
        <w:rPr>
          <w:rFonts w:ascii="Book Antiqua" w:hAnsi="Book Antiqua" w:hint="eastAsia"/>
          <w:b/>
          <w:color w:val="000000" w:themeColor="text1"/>
          <w:lang w:val="en-US" w:eastAsia="zh-CN"/>
        </w:rPr>
        <w:t>S</w:t>
      </w:r>
    </w:p>
    <w:p w14:paraId="299501D4" w14:textId="77777777" w:rsidR="00A413F9" w:rsidRPr="00124E11" w:rsidRDefault="00A413F9" w:rsidP="00A94613">
      <w:pPr>
        <w:widowControl w:val="0"/>
        <w:autoSpaceDE w:val="0"/>
        <w:autoSpaceDN w:val="0"/>
        <w:adjustRightInd w:val="0"/>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The authors would like to thank San Francisco Edit (</w:t>
      </w:r>
      <w:hyperlink r:id="rId9" w:history="1">
        <w:r w:rsidRPr="00124E11">
          <w:rPr>
            <w:rStyle w:val="Hyperlink"/>
            <w:rFonts w:ascii="Book Antiqua" w:hAnsi="Book Antiqua"/>
            <w:color w:val="000000" w:themeColor="text1"/>
            <w:lang w:val="en-US"/>
          </w:rPr>
          <w:t>www.sfedit.net</w:t>
        </w:r>
      </w:hyperlink>
      <w:r w:rsidRPr="00124E11">
        <w:rPr>
          <w:rFonts w:ascii="Book Antiqua" w:hAnsi="Book Antiqua"/>
          <w:color w:val="000000" w:themeColor="text1"/>
          <w:lang w:val="en-US"/>
        </w:rPr>
        <w:t xml:space="preserve">; </w:t>
      </w:r>
      <w:hyperlink r:id="rId10" w:history="1">
        <w:r w:rsidRPr="00124E11">
          <w:rPr>
            <w:rStyle w:val="Hyperlink"/>
            <w:rFonts w:ascii="Book Antiqua" w:hAnsi="Book Antiqua"/>
            <w:color w:val="000000" w:themeColor="text1"/>
            <w:lang w:val="en-US"/>
          </w:rPr>
          <w:t>pkretchmer@edit.net</w:t>
        </w:r>
      </w:hyperlink>
      <w:r w:rsidRPr="00124E11">
        <w:rPr>
          <w:rFonts w:ascii="Book Antiqua" w:hAnsi="Book Antiqua"/>
          <w:color w:val="000000" w:themeColor="text1"/>
          <w:lang w:val="en-US"/>
        </w:rPr>
        <w:t xml:space="preserve"> ) for revising this paper.</w:t>
      </w:r>
    </w:p>
    <w:p w14:paraId="0D5A1583" w14:textId="77777777" w:rsidR="00A81957" w:rsidRPr="00124E11" w:rsidRDefault="00A81957" w:rsidP="00A94613">
      <w:pPr>
        <w:snapToGrid w:val="0"/>
        <w:spacing w:line="360" w:lineRule="auto"/>
        <w:jc w:val="both"/>
        <w:outlineLvl w:val="0"/>
        <w:rPr>
          <w:rFonts w:ascii="Book Antiqua" w:hAnsi="Book Antiqua"/>
          <w:b/>
          <w:color w:val="000000" w:themeColor="text1"/>
          <w:lang w:val="en-US" w:eastAsia="zh-CN"/>
        </w:rPr>
      </w:pPr>
    </w:p>
    <w:p w14:paraId="5473E646" w14:textId="77777777" w:rsidR="00A413F9" w:rsidRPr="00124E11" w:rsidRDefault="00A413F9" w:rsidP="00A94613">
      <w:pPr>
        <w:snapToGrid w:val="0"/>
        <w:spacing w:line="360" w:lineRule="auto"/>
        <w:jc w:val="both"/>
        <w:outlineLvl w:val="0"/>
        <w:rPr>
          <w:rFonts w:ascii="Book Antiqua" w:hAnsi="Book Antiqua"/>
          <w:b/>
          <w:color w:val="000000" w:themeColor="text1"/>
          <w:lang w:val="en-US"/>
        </w:rPr>
      </w:pPr>
      <w:r w:rsidRPr="00124E11">
        <w:rPr>
          <w:rFonts w:ascii="Book Antiqua" w:hAnsi="Book Antiqua"/>
          <w:b/>
          <w:color w:val="000000" w:themeColor="text1"/>
          <w:lang w:val="en-US"/>
        </w:rPr>
        <w:t>COMMENTS</w:t>
      </w:r>
    </w:p>
    <w:p w14:paraId="7D55F779" w14:textId="77777777" w:rsidR="00A413F9" w:rsidRPr="00124E11" w:rsidRDefault="00A413F9" w:rsidP="00A94613">
      <w:pPr>
        <w:widowControl w:val="0"/>
        <w:autoSpaceDE w:val="0"/>
        <w:autoSpaceDN w:val="0"/>
        <w:adjustRightInd w:val="0"/>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Background</w:t>
      </w:r>
    </w:p>
    <w:p w14:paraId="6603DA4F" w14:textId="4B0E123B" w:rsidR="00A413F9" w:rsidRPr="00124E11" w:rsidRDefault="00A413F9" w:rsidP="00A94613">
      <w:pPr>
        <w:widowControl w:val="0"/>
        <w:autoSpaceDE w:val="0"/>
        <w:autoSpaceDN w:val="0"/>
        <w:adjustRightInd w:val="0"/>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 xml:space="preserve">The detection of common bile duct stones and bile duct injury prevention remain hot topics in laparoscopic cholecystectomy, more so now that the laparoscopic approach is standardly used, even in difficult cases with acute or chronic inflammation and fibrosis. As a companion technique, </w:t>
      </w:r>
      <w:r w:rsidR="00655722" w:rsidRPr="00124E11">
        <w:rPr>
          <w:rFonts w:ascii="Book Antiqua" w:hAnsi="Book Antiqua" w:cs="Helvetica"/>
          <w:color w:val="000000" w:themeColor="text1"/>
          <w:lang w:val="en-US"/>
        </w:rPr>
        <w:t>intraoperative cholangiography (IOC)</w:t>
      </w:r>
      <w:r w:rsidR="00655722">
        <w:rPr>
          <w:rFonts w:ascii="Book Antiqua" w:hAnsi="Book Antiqua" w:hint="eastAsia"/>
          <w:color w:val="000000" w:themeColor="text1"/>
          <w:lang w:val="en-US" w:eastAsia="zh-CN"/>
        </w:rPr>
        <w:t xml:space="preserve"> </w:t>
      </w:r>
      <w:r w:rsidRPr="00124E11">
        <w:rPr>
          <w:rFonts w:ascii="Book Antiqua" w:hAnsi="Book Antiqua"/>
          <w:color w:val="000000" w:themeColor="text1"/>
          <w:lang w:val="en-US"/>
        </w:rPr>
        <w:t xml:space="preserve">is usually proposed as the “gold standard” analysis method. Laparoscopic ultrasonography </w:t>
      </w:r>
      <w:r w:rsidR="00655722">
        <w:rPr>
          <w:rFonts w:ascii="Book Antiqua" w:hAnsi="Book Antiqua" w:hint="eastAsia"/>
          <w:color w:val="000000" w:themeColor="text1"/>
          <w:lang w:val="en-US" w:eastAsia="zh-CN"/>
        </w:rPr>
        <w:t>(</w:t>
      </w:r>
      <w:r w:rsidR="00655722" w:rsidRPr="00124E11">
        <w:rPr>
          <w:rFonts w:ascii="Book Antiqua" w:hAnsi="Book Antiqua"/>
          <w:color w:val="000000" w:themeColor="text1"/>
          <w:lang w:val="en-US"/>
        </w:rPr>
        <w:t>LUS</w:t>
      </w:r>
      <w:r w:rsidR="00655722">
        <w:rPr>
          <w:rFonts w:ascii="Book Antiqua" w:hAnsi="Book Antiqua" w:hint="eastAsia"/>
          <w:color w:val="000000" w:themeColor="text1"/>
          <w:lang w:val="en-US" w:eastAsia="zh-CN"/>
        </w:rPr>
        <w:t xml:space="preserve">) </w:t>
      </w:r>
      <w:r w:rsidRPr="00124E11">
        <w:rPr>
          <w:rFonts w:ascii="Book Antiqua" w:hAnsi="Book Antiqua"/>
          <w:color w:val="000000" w:themeColor="text1"/>
          <w:lang w:val="en-US"/>
        </w:rPr>
        <w:t>is much less evaluated.</w:t>
      </w:r>
    </w:p>
    <w:p w14:paraId="253F6D8A" w14:textId="77777777" w:rsidR="00A81957" w:rsidRPr="00124E11" w:rsidRDefault="00A81957" w:rsidP="00A94613">
      <w:pPr>
        <w:widowControl w:val="0"/>
        <w:autoSpaceDE w:val="0"/>
        <w:autoSpaceDN w:val="0"/>
        <w:adjustRightInd w:val="0"/>
        <w:snapToGrid w:val="0"/>
        <w:spacing w:line="360" w:lineRule="auto"/>
        <w:jc w:val="both"/>
        <w:outlineLvl w:val="0"/>
        <w:rPr>
          <w:rFonts w:ascii="Book Antiqua" w:hAnsi="Book Antiqua"/>
          <w:i/>
          <w:color w:val="000000" w:themeColor="text1"/>
          <w:lang w:val="en-US" w:eastAsia="zh-CN"/>
        </w:rPr>
      </w:pPr>
    </w:p>
    <w:p w14:paraId="3CDB048E" w14:textId="77777777" w:rsidR="00A413F9" w:rsidRPr="00124E11" w:rsidRDefault="00A413F9" w:rsidP="00A94613">
      <w:pPr>
        <w:widowControl w:val="0"/>
        <w:autoSpaceDE w:val="0"/>
        <w:autoSpaceDN w:val="0"/>
        <w:adjustRightInd w:val="0"/>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 xml:space="preserve">Research frontiers </w:t>
      </w:r>
    </w:p>
    <w:p w14:paraId="394A9F17" w14:textId="1D6FD2ED" w:rsidR="00A413F9" w:rsidRPr="00124E11" w:rsidRDefault="00655722" w:rsidP="00A94613">
      <w:pPr>
        <w:widowControl w:val="0"/>
        <w:autoSpaceDE w:val="0"/>
        <w:autoSpaceDN w:val="0"/>
        <w:adjustRightInd w:val="0"/>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LUS</w:t>
      </w:r>
      <w:r>
        <w:rPr>
          <w:rFonts w:ascii="Book Antiqua" w:hAnsi="Book Antiqua" w:hint="eastAsia"/>
          <w:color w:val="000000" w:themeColor="text1"/>
          <w:lang w:val="en-US" w:eastAsia="zh-CN"/>
        </w:rPr>
        <w:t xml:space="preserve"> </w:t>
      </w:r>
      <w:r w:rsidR="00A413F9" w:rsidRPr="00124E11">
        <w:rPr>
          <w:rFonts w:ascii="Book Antiqua" w:hAnsi="Book Antiqua"/>
          <w:color w:val="000000" w:themeColor="text1"/>
          <w:lang w:val="en-US"/>
        </w:rPr>
        <w:t>during cholecystectomy is a well-known</w:t>
      </w:r>
      <w:r w:rsidR="00822039">
        <w:rPr>
          <w:rFonts w:ascii="Book Antiqua" w:hAnsi="Book Antiqua"/>
          <w:color w:val="000000" w:themeColor="text1"/>
          <w:lang w:val="en-US"/>
        </w:rPr>
        <w:t xml:space="preserve"> </w:t>
      </w:r>
      <w:r w:rsidR="00A413F9" w:rsidRPr="00124E11">
        <w:rPr>
          <w:rFonts w:ascii="Book Antiqua" w:hAnsi="Book Antiqua"/>
          <w:color w:val="000000" w:themeColor="text1"/>
          <w:lang w:val="en-US"/>
        </w:rPr>
        <w:t>technique described from more than 30 years ago. However as less than 1% of surgeons seem to adopt it probably due to its supposed longer learning curve. The specific benefits and the performance of the technique has to be been evaluated.</w:t>
      </w:r>
    </w:p>
    <w:p w14:paraId="3A06783C" w14:textId="77777777" w:rsidR="00A81957" w:rsidRPr="00124E11" w:rsidRDefault="00A81957" w:rsidP="00A94613">
      <w:pPr>
        <w:widowControl w:val="0"/>
        <w:autoSpaceDE w:val="0"/>
        <w:autoSpaceDN w:val="0"/>
        <w:adjustRightInd w:val="0"/>
        <w:snapToGrid w:val="0"/>
        <w:spacing w:line="360" w:lineRule="auto"/>
        <w:jc w:val="both"/>
        <w:outlineLvl w:val="0"/>
        <w:rPr>
          <w:rFonts w:ascii="Book Antiqua" w:hAnsi="Book Antiqua"/>
          <w:i/>
          <w:color w:val="000000" w:themeColor="text1"/>
          <w:lang w:val="en-US" w:eastAsia="zh-CN"/>
        </w:rPr>
      </w:pPr>
    </w:p>
    <w:p w14:paraId="7EC61795" w14:textId="77777777" w:rsidR="00A413F9" w:rsidRPr="00124E11" w:rsidRDefault="00A413F9" w:rsidP="00A94613">
      <w:pPr>
        <w:widowControl w:val="0"/>
        <w:autoSpaceDE w:val="0"/>
        <w:autoSpaceDN w:val="0"/>
        <w:adjustRightInd w:val="0"/>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Innovations and breakthroughs</w:t>
      </w:r>
    </w:p>
    <w:p w14:paraId="1083B45B" w14:textId="77777777" w:rsidR="00A413F9" w:rsidRPr="00124E11" w:rsidRDefault="00A413F9" w:rsidP="00A94613">
      <w:pPr>
        <w:widowControl w:val="0"/>
        <w:autoSpaceDE w:val="0"/>
        <w:autoSpaceDN w:val="0"/>
        <w:adjustRightInd w:val="0"/>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All manuscripts concerning the performance of LUS during laparoscopic cholecystectomy from the year 2000 were reviewed by the authors with a view to the performance of anatomical mapping, even with background inflammation.</w:t>
      </w:r>
    </w:p>
    <w:p w14:paraId="38AC0346" w14:textId="77777777" w:rsidR="00A81957" w:rsidRPr="00124E11" w:rsidRDefault="00A81957" w:rsidP="00A94613">
      <w:pPr>
        <w:widowControl w:val="0"/>
        <w:autoSpaceDE w:val="0"/>
        <w:autoSpaceDN w:val="0"/>
        <w:adjustRightInd w:val="0"/>
        <w:snapToGrid w:val="0"/>
        <w:spacing w:line="360" w:lineRule="auto"/>
        <w:jc w:val="both"/>
        <w:outlineLvl w:val="0"/>
        <w:rPr>
          <w:rFonts w:ascii="Book Antiqua" w:hAnsi="Book Antiqua"/>
          <w:i/>
          <w:color w:val="000000" w:themeColor="text1"/>
          <w:lang w:val="en-US" w:eastAsia="zh-CN"/>
        </w:rPr>
      </w:pPr>
    </w:p>
    <w:p w14:paraId="27AAB90A" w14:textId="77777777" w:rsidR="00A413F9" w:rsidRPr="00124E11" w:rsidRDefault="00A413F9" w:rsidP="00A94613">
      <w:pPr>
        <w:widowControl w:val="0"/>
        <w:autoSpaceDE w:val="0"/>
        <w:autoSpaceDN w:val="0"/>
        <w:adjustRightInd w:val="0"/>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Applications</w:t>
      </w:r>
    </w:p>
    <w:p w14:paraId="5B896E07" w14:textId="77777777" w:rsidR="00A413F9" w:rsidRPr="00124E11" w:rsidRDefault="00A413F9" w:rsidP="00A94613">
      <w:pPr>
        <w:widowControl w:val="0"/>
        <w:autoSpaceDE w:val="0"/>
        <w:autoSpaceDN w:val="0"/>
        <w:adjustRightInd w:val="0"/>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 xml:space="preserve">This review confirmed the clinical benefits of LUS during cholecystectomy, especially in difficult situations. Compared to IOC, LUS remains under-used. Greater uptake of this technique by young surgeons, backed by large-scale studies to confirm its clinical impact, should help to eliminate the discrepancy between use and value. </w:t>
      </w:r>
    </w:p>
    <w:p w14:paraId="654C3C23" w14:textId="77777777" w:rsidR="00A81957" w:rsidRPr="00124E11" w:rsidRDefault="00A81957" w:rsidP="00A94613">
      <w:pPr>
        <w:widowControl w:val="0"/>
        <w:autoSpaceDE w:val="0"/>
        <w:autoSpaceDN w:val="0"/>
        <w:adjustRightInd w:val="0"/>
        <w:snapToGrid w:val="0"/>
        <w:spacing w:line="360" w:lineRule="auto"/>
        <w:jc w:val="both"/>
        <w:outlineLvl w:val="0"/>
        <w:rPr>
          <w:rFonts w:ascii="Book Antiqua" w:hAnsi="Book Antiqua"/>
          <w:b/>
          <w:i/>
          <w:color w:val="000000" w:themeColor="text1"/>
          <w:lang w:val="en-US" w:eastAsia="zh-CN"/>
        </w:rPr>
      </w:pPr>
    </w:p>
    <w:p w14:paraId="424EE1A1" w14:textId="77777777" w:rsidR="00A413F9" w:rsidRPr="00124E11" w:rsidRDefault="00A413F9" w:rsidP="00A94613">
      <w:pPr>
        <w:widowControl w:val="0"/>
        <w:autoSpaceDE w:val="0"/>
        <w:autoSpaceDN w:val="0"/>
        <w:adjustRightInd w:val="0"/>
        <w:snapToGrid w:val="0"/>
        <w:spacing w:line="360" w:lineRule="auto"/>
        <w:jc w:val="both"/>
        <w:outlineLvl w:val="0"/>
        <w:rPr>
          <w:rFonts w:ascii="Book Antiqua" w:hAnsi="Book Antiqua"/>
          <w:b/>
          <w:i/>
          <w:color w:val="000000" w:themeColor="text1"/>
          <w:lang w:val="en-US"/>
        </w:rPr>
      </w:pPr>
      <w:r w:rsidRPr="00124E11">
        <w:rPr>
          <w:rFonts w:ascii="Book Antiqua" w:hAnsi="Book Antiqua"/>
          <w:b/>
          <w:i/>
          <w:color w:val="000000" w:themeColor="text1"/>
          <w:lang w:val="en-US"/>
        </w:rPr>
        <w:t>Peer-review</w:t>
      </w:r>
    </w:p>
    <w:p w14:paraId="6732A438" w14:textId="77777777" w:rsidR="00A413F9" w:rsidRPr="00124E11" w:rsidRDefault="00A413F9" w:rsidP="00A94613">
      <w:pPr>
        <w:widowControl w:val="0"/>
        <w:autoSpaceDE w:val="0"/>
        <w:autoSpaceDN w:val="0"/>
        <w:adjustRightInd w:val="0"/>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t>In this review the authors present a critical analysis of the literature, from the year 2000, for the use of LUS during cholecystectomy and its performance in mapping the anatomy of the bile duct, detecting common bile duct stones, and preventing bile duct injury. A particular emphasis has been placed on complex inflammatory situations.</w:t>
      </w:r>
    </w:p>
    <w:p w14:paraId="1423D070" w14:textId="77777777" w:rsidR="00CD52D6" w:rsidRPr="00124E11" w:rsidRDefault="00CD52D6" w:rsidP="00A94613">
      <w:pPr>
        <w:snapToGrid w:val="0"/>
        <w:spacing w:line="360" w:lineRule="auto"/>
        <w:jc w:val="both"/>
        <w:rPr>
          <w:rFonts w:ascii="Book Antiqua" w:hAnsi="Book Antiqua" w:cs="Book Antiqua"/>
          <w:color w:val="000000" w:themeColor="text1"/>
          <w:lang w:val="en-US"/>
        </w:rPr>
      </w:pPr>
      <w:r w:rsidRPr="00124E11">
        <w:rPr>
          <w:rFonts w:ascii="Book Antiqua" w:hAnsi="Book Antiqua" w:cs="Book Antiqua"/>
          <w:color w:val="000000" w:themeColor="text1"/>
          <w:lang w:val="en-US"/>
        </w:rPr>
        <w:br w:type="page"/>
      </w:r>
    </w:p>
    <w:p w14:paraId="13635F18" w14:textId="7CCB08F6" w:rsidR="00E32F0F" w:rsidRPr="00124E11" w:rsidRDefault="00E32F0F" w:rsidP="00A94613">
      <w:pPr>
        <w:widowControl w:val="0"/>
        <w:autoSpaceDE w:val="0"/>
        <w:autoSpaceDN w:val="0"/>
        <w:adjustRightInd w:val="0"/>
        <w:snapToGrid w:val="0"/>
        <w:spacing w:line="360" w:lineRule="auto"/>
        <w:jc w:val="both"/>
        <w:outlineLvl w:val="0"/>
        <w:rPr>
          <w:rFonts w:ascii="Book Antiqua" w:hAnsi="Book Antiqua"/>
          <w:b/>
          <w:color w:val="000000" w:themeColor="text1"/>
          <w:lang w:val="en-US"/>
        </w:rPr>
      </w:pPr>
      <w:r w:rsidRPr="00124E11">
        <w:rPr>
          <w:rFonts w:ascii="Book Antiqua" w:hAnsi="Book Antiqua" w:cs="Book Antiqua"/>
          <w:b/>
          <w:color w:val="000000" w:themeColor="text1"/>
          <w:lang w:val="en-US"/>
        </w:rPr>
        <w:lastRenderedPageBreak/>
        <w:t>REFERENCES</w:t>
      </w:r>
    </w:p>
    <w:p w14:paraId="615D6CD3" w14:textId="04363EB1"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1 </w:t>
      </w:r>
      <w:r w:rsidRPr="00475BD2">
        <w:rPr>
          <w:rFonts w:ascii="Book Antiqua" w:hAnsi="Book Antiqua" w:cs="SimSun"/>
          <w:b/>
          <w:bCs/>
          <w:color w:val="000000"/>
          <w:lang w:val="en-US" w:eastAsia="zh-CN"/>
        </w:rPr>
        <w:t>Wong-Lun-Hing EM</w:t>
      </w:r>
      <w:r w:rsidRPr="00475BD2">
        <w:rPr>
          <w:rFonts w:ascii="Book Antiqua" w:hAnsi="Book Antiqua" w:cs="SimSun"/>
          <w:color w:val="000000"/>
          <w:lang w:val="en-US" w:eastAsia="zh-CN"/>
        </w:rPr>
        <w:t>, Lodewick TM, Stoot JH, Bemelmans MH, Olde Damink SW, Dejong CH, van Dam RM. A survey in the hepatopancreatobiliary community on ways to enhance patient recovery. </w:t>
      </w:r>
      <w:r w:rsidRPr="00475BD2">
        <w:rPr>
          <w:rFonts w:ascii="Book Antiqua" w:hAnsi="Book Antiqua" w:cs="SimSun"/>
          <w:i/>
          <w:iCs/>
          <w:color w:val="000000"/>
          <w:lang w:val="en-US" w:eastAsia="zh-CN"/>
        </w:rPr>
        <w:t>HPB (Oxford)</w:t>
      </w:r>
      <w:r w:rsidRPr="00475BD2">
        <w:rPr>
          <w:rFonts w:ascii="Book Antiqua" w:hAnsi="Book Antiqua" w:cs="SimSun"/>
          <w:color w:val="000000"/>
          <w:lang w:val="en-US" w:eastAsia="zh-CN"/>
        </w:rPr>
        <w:t xml:space="preserve"> 2012; </w:t>
      </w:r>
      <w:r w:rsidRPr="00475BD2">
        <w:rPr>
          <w:rFonts w:ascii="Book Antiqua" w:hAnsi="Book Antiqua" w:cs="SimSun"/>
          <w:b/>
          <w:bCs/>
          <w:color w:val="000000"/>
          <w:lang w:val="en-US" w:eastAsia="zh-CN"/>
        </w:rPr>
        <w:t>14</w:t>
      </w:r>
      <w:r w:rsidRPr="00475BD2">
        <w:rPr>
          <w:rFonts w:ascii="Book Antiqua" w:hAnsi="Book Antiqua" w:cs="SimSun"/>
          <w:color w:val="000000"/>
          <w:lang w:val="en-US" w:eastAsia="zh-CN"/>
        </w:rPr>
        <w:t>: 818-827 [PMID: 23134183 DOI: 10.1111/j.1477-2574.2012.00546.x]</w:t>
      </w:r>
    </w:p>
    <w:p w14:paraId="5824BE9B"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 xml:space="preserve">2 Gallstones and laparoscopic cholecystectomy. NIH Consensus Development Panel on Gallstones and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1993; </w:t>
      </w:r>
      <w:r w:rsidRPr="00475BD2">
        <w:rPr>
          <w:rFonts w:ascii="Book Antiqua" w:hAnsi="Book Antiqua" w:cs="SimSun"/>
          <w:b/>
          <w:bCs/>
          <w:color w:val="000000"/>
          <w:lang w:val="en-US" w:eastAsia="zh-CN"/>
        </w:rPr>
        <w:t>7</w:t>
      </w:r>
      <w:r w:rsidRPr="00475BD2">
        <w:rPr>
          <w:rFonts w:ascii="Book Antiqua" w:hAnsi="Book Antiqua" w:cs="SimSun"/>
          <w:color w:val="000000"/>
          <w:lang w:val="en-US" w:eastAsia="zh-CN"/>
        </w:rPr>
        <w:t>: 271-279 [PMID: 8503085 DOI: 10.1007/BF00594118]</w:t>
      </w:r>
    </w:p>
    <w:p w14:paraId="14B125FD"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3 </w:t>
      </w:r>
      <w:r w:rsidRPr="00475BD2">
        <w:rPr>
          <w:rFonts w:ascii="Book Antiqua" w:hAnsi="Book Antiqua" w:cs="SimSun"/>
          <w:b/>
          <w:bCs/>
          <w:color w:val="000000"/>
          <w:lang w:val="en-US" w:eastAsia="zh-CN"/>
        </w:rPr>
        <w:t>Hogan NM</w:t>
      </w:r>
      <w:r w:rsidRPr="00475BD2">
        <w:rPr>
          <w:rFonts w:ascii="Book Antiqua" w:hAnsi="Book Antiqua" w:cs="SimSun"/>
          <w:color w:val="000000"/>
          <w:lang w:val="en-US" w:eastAsia="zh-CN"/>
        </w:rPr>
        <w:t>, Dorcaratto D, Hogan AM, Nasirawan F, McEntee P, Maguire D, Geoghegan J, Traynor O, Winter DC, Hoti E. Iatrogenic common bile duct injuries: Increasing complexity in the laparoscopic era: A prospective cohort study. </w:t>
      </w:r>
      <w:r w:rsidRPr="00475BD2">
        <w:rPr>
          <w:rFonts w:ascii="Book Antiqua" w:hAnsi="Book Antiqua" w:cs="SimSun"/>
          <w:i/>
          <w:iCs/>
          <w:color w:val="000000"/>
          <w:lang w:val="en-US" w:eastAsia="zh-CN"/>
        </w:rPr>
        <w:t>Int J Surg</w:t>
      </w:r>
      <w:r w:rsidRPr="00475BD2">
        <w:rPr>
          <w:rFonts w:ascii="Book Antiqua" w:hAnsi="Book Antiqua" w:cs="SimSun"/>
          <w:color w:val="000000"/>
          <w:lang w:val="en-US" w:eastAsia="zh-CN"/>
        </w:rPr>
        <w:t> 2016; </w:t>
      </w:r>
      <w:r w:rsidRPr="00475BD2">
        <w:rPr>
          <w:rFonts w:ascii="Book Antiqua" w:hAnsi="Book Antiqua" w:cs="SimSun"/>
          <w:b/>
          <w:bCs/>
          <w:color w:val="000000"/>
          <w:lang w:val="en-US" w:eastAsia="zh-CN"/>
        </w:rPr>
        <w:t>33 Pt A</w:t>
      </w:r>
      <w:r w:rsidRPr="00475BD2">
        <w:rPr>
          <w:rFonts w:ascii="Book Antiqua" w:hAnsi="Book Antiqua" w:cs="SimSun"/>
          <w:color w:val="000000"/>
          <w:lang w:val="en-US" w:eastAsia="zh-CN"/>
        </w:rPr>
        <w:t>: 151-156 [PMID: 27512909 DOI: 10.1016/j.ijsu.2016.08.004]</w:t>
      </w:r>
    </w:p>
    <w:p w14:paraId="6B0B210A"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4 </w:t>
      </w:r>
      <w:r w:rsidRPr="00475BD2">
        <w:rPr>
          <w:rFonts w:ascii="Book Antiqua" w:hAnsi="Book Antiqua" w:cs="SimSun"/>
          <w:b/>
          <w:bCs/>
          <w:color w:val="000000"/>
          <w:lang w:val="en-US" w:eastAsia="zh-CN"/>
        </w:rPr>
        <w:t>Halbert C</w:t>
      </w:r>
      <w:r w:rsidRPr="00475BD2">
        <w:rPr>
          <w:rFonts w:ascii="Book Antiqua" w:hAnsi="Book Antiqua" w:cs="SimSun"/>
          <w:color w:val="000000"/>
          <w:lang w:val="en-US" w:eastAsia="zh-CN"/>
        </w:rPr>
        <w:t>, Pagkratis S, Yang J, Meng Z, Altieri MS, Parikh P, Pryor A, Talamini M, Telem DA. Beyond the learning curve: incidence of bile duct injuries following laparoscopic cholecystectomy normalize to open in the modern era.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2016; </w:t>
      </w:r>
      <w:r w:rsidRPr="00475BD2">
        <w:rPr>
          <w:rFonts w:ascii="Book Antiqua" w:hAnsi="Book Antiqua" w:cs="SimSun"/>
          <w:b/>
          <w:bCs/>
          <w:color w:val="000000"/>
          <w:lang w:val="en-US" w:eastAsia="zh-CN"/>
        </w:rPr>
        <w:t>30</w:t>
      </w:r>
      <w:r w:rsidRPr="00475BD2">
        <w:rPr>
          <w:rFonts w:ascii="Book Antiqua" w:hAnsi="Book Antiqua" w:cs="SimSun"/>
          <w:color w:val="000000"/>
          <w:lang w:val="en-US" w:eastAsia="zh-CN"/>
        </w:rPr>
        <w:t>: 2239-2243 [PMID: 26335071 DOI: 10.1007/s00464-015-4485-2]</w:t>
      </w:r>
    </w:p>
    <w:p w14:paraId="24FF7D70"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5 </w:t>
      </w:r>
      <w:r w:rsidRPr="00475BD2">
        <w:rPr>
          <w:rFonts w:ascii="Book Antiqua" w:hAnsi="Book Antiqua" w:cs="SimSun"/>
          <w:b/>
          <w:bCs/>
          <w:color w:val="000000"/>
          <w:lang w:val="en-US" w:eastAsia="zh-CN"/>
        </w:rPr>
        <w:t>Way LW</w:t>
      </w:r>
      <w:r w:rsidRPr="00475BD2">
        <w:rPr>
          <w:rFonts w:ascii="Book Antiqua" w:hAnsi="Book Antiqua" w:cs="SimSun"/>
          <w:color w:val="000000"/>
          <w:lang w:val="en-US" w:eastAsia="zh-CN"/>
        </w:rPr>
        <w:t>, Stewart L, Gantert W, Liu K, Lee CM, Whang K, Hunter JG. Causes and prevention of laparoscopic bile duct injuries: analysis of 252 cases from a human factors and cognitive psychology perspective. </w:t>
      </w:r>
      <w:r w:rsidRPr="00475BD2">
        <w:rPr>
          <w:rFonts w:ascii="Book Antiqua" w:hAnsi="Book Antiqua" w:cs="SimSun"/>
          <w:i/>
          <w:iCs/>
          <w:color w:val="000000"/>
          <w:lang w:val="en-US" w:eastAsia="zh-CN"/>
        </w:rPr>
        <w:t>Ann Surg</w:t>
      </w:r>
      <w:r w:rsidRPr="00475BD2">
        <w:rPr>
          <w:rFonts w:ascii="Book Antiqua" w:hAnsi="Book Antiqua" w:cs="SimSun"/>
          <w:color w:val="000000"/>
          <w:lang w:val="en-US" w:eastAsia="zh-CN"/>
        </w:rPr>
        <w:t> 2003; </w:t>
      </w:r>
      <w:r w:rsidRPr="00475BD2">
        <w:rPr>
          <w:rFonts w:ascii="Book Antiqua" w:hAnsi="Book Antiqua" w:cs="SimSun"/>
          <w:b/>
          <w:bCs/>
          <w:color w:val="000000"/>
          <w:lang w:val="en-US" w:eastAsia="zh-CN"/>
        </w:rPr>
        <w:t>237</w:t>
      </w:r>
      <w:r w:rsidRPr="00475BD2">
        <w:rPr>
          <w:rFonts w:ascii="Book Antiqua" w:hAnsi="Book Antiqua" w:cs="SimSun"/>
          <w:color w:val="000000"/>
          <w:lang w:val="en-US" w:eastAsia="zh-CN"/>
        </w:rPr>
        <w:t>: 460-469 [PMID: 12677139 DOI: 10.1097/01.SLA.0000060680.92690.E9]</w:t>
      </w:r>
    </w:p>
    <w:p w14:paraId="787BEE74" w14:textId="6A45F66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6 </w:t>
      </w:r>
      <w:r w:rsidRPr="00475BD2">
        <w:rPr>
          <w:rFonts w:ascii="Book Antiqua" w:hAnsi="Book Antiqua" w:cs="SimSun"/>
          <w:b/>
          <w:bCs/>
          <w:color w:val="000000"/>
          <w:lang w:val="en-US" w:eastAsia="zh-CN"/>
        </w:rPr>
        <w:t>Connor S</w:t>
      </w:r>
      <w:r w:rsidRPr="00475BD2">
        <w:rPr>
          <w:rFonts w:ascii="Book Antiqua" w:hAnsi="Book Antiqua" w:cs="SimSun"/>
          <w:color w:val="000000"/>
          <w:lang w:val="en-US" w:eastAsia="zh-CN"/>
        </w:rPr>
        <w:t>, Garden OJ. Bile duct injury in the era of laparoscopic cholecystectomy.</w:t>
      </w:r>
      <w:r w:rsidRPr="00124E11">
        <w:rPr>
          <w:rFonts w:ascii="Book Antiqua" w:hAnsi="Book Antiqua" w:cs="SimSun"/>
          <w:color w:val="000000"/>
          <w:lang w:val="en-US" w:eastAsia="zh-CN"/>
        </w:rPr>
        <w:t xml:space="preserve"> </w:t>
      </w:r>
      <w:r w:rsidRPr="00475BD2">
        <w:rPr>
          <w:rFonts w:ascii="Book Antiqua" w:hAnsi="Book Antiqua" w:cs="SimSun"/>
          <w:i/>
          <w:iCs/>
          <w:color w:val="000000"/>
          <w:lang w:val="en-US" w:eastAsia="zh-CN"/>
        </w:rPr>
        <w:t>Br J Surg</w:t>
      </w:r>
      <w:r w:rsidRPr="00475BD2">
        <w:rPr>
          <w:rFonts w:ascii="Book Antiqua" w:hAnsi="Book Antiqua" w:cs="SimSun"/>
          <w:color w:val="000000"/>
          <w:lang w:val="en-US" w:eastAsia="zh-CN"/>
        </w:rPr>
        <w:t> 2006; </w:t>
      </w:r>
      <w:r w:rsidRPr="00475BD2">
        <w:rPr>
          <w:rFonts w:ascii="Book Antiqua" w:hAnsi="Book Antiqua" w:cs="SimSun"/>
          <w:b/>
          <w:bCs/>
          <w:color w:val="000000"/>
          <w:lang w:val="en-US" w:eastAsia="zh-CN"/>
        </w:rPr>
        <w:t>93</w:t>
      </w:r>
      <w:r w:rsidRPr="00475BD2">
        <w:rPr>
          <w:rFonts w:ascii="Book Antiqua" w:hAnsi="Book Antiqua" w:cs="SimSun"/>
          <w:color w:val="000000"/>
          <w:lang w:val="en-US" w:eastAsia="zh-CN"/>
        </w:rPr>
        <w:t>: 158-168 [PMID: 16432812 DOI: 10.1002/bjs.5266]</w:t>
      </w:r>
    </w:p>
    <w:p w14:paraId="4577BDE5"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7 </w:t>
      </w:r>
      <w:r w:rsidRPr="00475BD2">
        <w:rPr>
          <w:rFonts w:ascii="Book Antiqua" w:hAnsi="Book Antiqua" w:cs="SimSun"/>
          <w:b/>
          <w:bCs/>
          <w:color w:val="000000"/>
          <w:lang w:val="en-US" w:eastAsia="zh-CN"/>
        </w:rPr>
        <w:t>Buddingh KT</w:t>
      </w:r>
      <w:r w:rsidRPr="00475BD2">
        <w:rPr>
          <w:rFonts w:ascii="Book Antiqua" w:hAnsi="Book Antiqua" w:cs="SimSun"/>
          <w:color w:val="000000"/>
          <w:lang w:val="en-US" w:eastAsia="zh-CN"/>
        </w:rPr>
        <w:t>, Nieuwenhuijs VB, van Buuren L, Hulscher JB, de Jong JS, van Dam GM. Intraoperative assessment of biliary anatomy for prevention of bile duct injury: a review of current and future patient safety interventions.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2011; </w:t>
      </w:r>
      <w:r w:rsidRPr="00475BD2">
        <w:rPr>
          <w:rFonts w:ascii="Book Antiqua" w:hAnsi="Book Antiqua" w:cs="SimSun"/>
          <w:b/>
          <w:bCs/>
          <w:color w:val="000000"/>
          <w:lang w:val="en-US" w:eastAsia="zh-CN"/>
        </w:rPr>
        <w:t>25</w:t>
      </w:r>
      <w:r w:rsidRPr="00475BD2">
        <w:rPr>
          <w:rFonts w:ascii="Book Antiqua" w:hAnsi="Book Antiqua" w:cs="SimSun"/>
          <w:color w:val="000000"/>
          <w:lang w:val="en-US" w:eastAsia="zh-CN"/>
        </w:rPr>
        <w:t>: 2449-2461 [PMID: 21487883 DOI: 10.1007/s00464-011-1639-8]</w:t>
      </w:r>
    </w:p>
    <w:p w14:paraId="1DBCC74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8 </w:t>
      </w:r>
      <w:r w:rsidRPr="00475BD2">
        <w:rPr>
          <w:rFonts w:ascii="Book Antiqua" w:hAnsi="Book Antiqua" w:cs="SimSun"/>
          <w:b/>
          <w:bCs/>
          <w:color w:val="000000"/>
          <w:lang w:val="en-US" w:eastAsia="zh-CN"/>
        </w:rPr>
        <w:t>Sajid MS</w:t>
      </w:r>
      <w:r w:rsidRPr="00475BD2">
        <w:rPr>
          <w:rFonts w:ascii="Book Antiqua" w:hAnsi="Book Antiqua" w:cs="SimSun"/>
          <w:color w:val="000000"/>
          <w:lang w:val="en-US" w:eastAsia="zh-CN"/>
        </w:rPr>
        <w:t>, Leaver C, Haider Z, Worthington T, Karanjia N, Singh KK. Routine on-table cholangiography during cholecystectomy: a systematic review. </w:t>
      </w:r>
      <w:r w:rsidRPr="00475BD2">
        <w:rPr>
          <w:rFonts w:ascii="Book Antiqua" w:hAnsi="Book Antiqua" w:cs="SimSun"/>
          <w:i/>
          <w:iCs/>
          <w:color w:val="000000"/>
          <w:lang w:val="en-US" w:eastAsia="zh-CN"/>
        </w:rPr>
        <w:t>Ann R Coll Surg Engl</w:t>
      </w:r>
      <w:r w:rsidRPr="00475BD2">
        <w:rPr>
          <w:rFonts w:ascii="Book Antiqua" w:hAnsi="Book Antiqua" w:cs="SimSun"/>
          <w:color w:val="000000"/>
          <w:lang w:val="en-US" w:eastAsia="zh-CN"/>
        </w:rPr>
        <w:t> 2012; </w:t>
      </w:r>
      <w:r w:rsidRPr="00475BD2">
        <w:rPr>
          <w:rFonts w:ascii="Book Antiqua" w:hAnsi="Book Antiqua" w:cs="SimSun"/>
          <w:b/>
          <w:bCs/>
          <w:color w:val="000000"/>
          <w:lang w:val="en-US" w:eastAsia="zh-CN"/>
        </w:rPr>
        <w:t>94</w:t>
      </w:r>
      <w:r w:rsidRPr="00475BD2">
        <w:rPr>
          <w:rFonts w:ascii="Book Antiqua" w:hAnsi="Book Antiqua" w:cs="SimSun"/>
          <w:color w:val="000000"/>
          <w:lang w:val="en-US" w:eastAsia="zh-CN"/>
        </w:rPr>
        <w:t>: 375-380 [PMID: 22943325 DOI: 10.1308/003588412X13373405385331]</w:t>
      </w:r>
    </w:p>
    <w:p w14:paraId="6E365E90"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lastRenderedPageBreak/>
        <w:t>9 </w:t>
      </w:r>
      <w:r w:rsidRPr="00475BD2">
        <w:rPr>
          <w:rFonts w:ascii="Book Antiqua" w:hAnsi="Book Antiqua" w:cs="SimSun"/>
          <w:b/>
          <w:bCs/>
          <w:color w:val="000000"/>
          <w:lang w:val="en-US" w:eastAsia="zh-CN"/>
        </w:rPr>
        <w:t>Slim K</w:t>
      </w:r>
      <w:r w:rsidRPr="00475BD2">
        <w:rPr>
          <w:rFonts w:ascii="Book Antiqua" w:hAnsi="Book Antiqua" w:cs="SimSun"/>
          <w:color w:val="000000"/>
          <w:lang w:val="en-US" w:eastAsia="zh-CN"/>
        </w:rPr>
        <w:t>, Martin G. Does routine intra-operative cholangiography reduce the risk of biliary injury during laparoscopic cholecystectomy? An evidence-based approach. </w:t>
      </w:r>
      <w:r w:rsidRPr="00475BD2">
        <w:rPr>
          <w:rFonts w:ascii="Book Antiqua" w:hAnsi="Book Antiqua" w:cs="SimSun"/>
          <w:i/>
          <w:iCs/>
          <w:color w:val="000000"/>
          <w:lang w:val="en-US" w:eastAsia="zh-CN"/>
        </w:rPr>
        <w:t>J Visc Surg</w:t>
      </w:r>
      <w:r w:rsidRPr="00475BD2">
        <w:rPr>
          <w:rFonts w:ascii="Book Antiqua" w:hAnsi="Book Antiqua" w:cs="SimSun"/>
          <w:color w:val="000000"/>
          <w:lang w:val="en-US" w:eastAsia="zh-CN"/>
        </w:rPr>
        <w:t> 2013; </w:t>
      </w:r>
      <w:r w:rsidRPr="00475BD2">
        <w:rPr>
          <w:rFonts w:ascii="Book Antiqua" w:hAnsi="Book Antiqua" w:cs="SimSun"/>
          <w:b/>
          <w:bCs/>
          <w:color w:val="000000"/>
          <w:lang w:val="en-US" w:eastAsia="zh-CN"/>
        </w:rPr>
        <w:t>150</w:t>
      </w:r>
      <w:r w:rsidRPr="00475BD2">
        <w:rPr>
          <w:rFonts w:ascii="Book Antiqua" w:hAnsi="Book Antiqua" w:cs="SimSun"/>
          <w:color w:val="000000"/>
          <w:lang w:val="en-US" w:eastAsia="zh-CN"/>
        </w:rPr>
        <w:t>: 321-324 [PMID: 23911201 DOI: 10.1016/j.jviscsurg.2013.06.002]</w:t>
      </w:r>
    </w:p>
    <w:p w14:paraId="36D69DBE"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10 </w:t>
      </w:r>
      <w:r w:rsidRPr="00475BD2">
        <w:rPr>
          <w:rFonts w:ascii="Book Antiqua" w:hAnsi="Book Antiqua" w:cs="SimSun"/>
          <w:b/>
          <w:bCs/>
          <w:color w:val="000000"/>
          <w:lang w:val="en-US" w:eastAsia="zh-CN"/>
        </w:rPr>
        <w:t>Ford JA</w:t>
      </w:r>
      <w:r w:rsidRPr="00475BD2">
        <w:rPr>
          <w:rFonts w:ascii="Book Antiqua" w:hAnsi="Book Antiqua" w:cs="SimSun"/>
          <w:color w:val="000000"/>
          <w:lang w:val="en-US" w:eastAsia="zh-CN"/>
        </w:rPr>
        <w:t>, Soop M, Du J, Loveday BP, Rodgers M. Systematic review of intraoperative cholangiography in cholecystectomy. </w:t>
      </w:r>
      <w:r w:rsidRPr="00475BD2">
        <w:rPr>
          <w:rFonts w:ascii="Book Antiqua" w:hAnsi="Book Antiqua" w:cs="SimSun"/>
          <w:i/>
          <w:iCs/>
          <w:color w:val="000000"/>
          <w:lang w:val="en-US" w:eastAsia="zh-CN"/>
        </w:rPr>
        <w:t>Br J Surg</w:t>
      </w:r>
      <w:r w:rsidRPr="00475BD2">
        <w:rPr>
          <w:rFonts w:ascii="Book Antiqua" w:hAnsi="Book Antiqua" w:cs="SimSun"/>
          <w:color w:val="000000"/>
          <w:lang w:val="en-US" w:eastAsia="zh-CN"/>
        </w:rPr>
        <w:t> 2012; </w:t>
      </w:r>
      <w:r w:rsidRPr="00475BD2">
        <w:rPr>
          <w:rFonts w:ascii="Book Antiqua" w:hAnsi="Book Antiqua" w:cs="SimSun"/>
          <w:b/>
          <w:bCs/>
          <w:color w:val="000000"/>
          <w:lang w:val="en-US" w:eastAsia="zh-CN"/>
        </w:rPr>
        <w:t>99</w:t>
      </w:r>
      <w:r w:rsidRPr="00475BD2">
        <w:rPr>
          <w:rFonts w:ascii="Book Antiqua" w:hAnsi="Book Antiqua" w:cs="SimSun"/>
          <w:color w:val="000000"/>
          <w:lang w:val="en-US" w:eastAsia="zh-CN"/>
        </w:rPr>
        <w:t>: 160-167 [PMID: 22183717 DOI: 10.1002/bjs.7809]</w:t>
      </w:r>
    </w:p>
    <w:p w14:paraId="626E5D5C" w14:textId="16C61C03"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11 </w:t>
      </w:r>
      <w:r w:rsidRPr="00475BD2">
        <w:rPr>
          <w:rFonts w:ascii="Book Antiqua" w:hAnsi="Book Antiqua" w:cs="SimSun"/>
          <w:b/>
          <w:bCs/>
          <w:color w:val="000000"/>
          <w:lang w:val="en-US" w:eastAsia="zh-CN"/>
        </w:rPr>
        <w:t>Sheffield KM</w:t>
      </w:r>
      <w:r w:rsidRPr="00475BD2">
        <w:rPr>
          <w:rFonts w:ascii="Book Antiqua" w:hAnsi="Book Antiqua" w:cs="SimSun"/>
          <w:color w:val="000000"/>
          <w:lang w:val="en-US" w:eastAsia="zh-CN"/>
        </w:rPr>
        <w:t>, Han Y, Kuo YF, Townsend CM, Goodwin JS, Riall TS. Variation in the use of intraoperative cholangiography during cholecystectomy. </w:t>
      </w:r>
      <w:r w:rsidRPr="00475BD2">
        <w:rPr>
          <w:rFonts w:ascii="Book Antiqua" w:hAnsi="Book Antiqua" w:cs="SimSun"/>
          <w:i/>
          <w:iCs/>
          <w:color w:val="000000"/>
          <w:lang w:val="en-US" w:eastAsia="zh-CN"/>
        </w:rPr>
        <w:t>J Am Coll Surg</w:t>
      </w:r>
      <w:r w:rsidRPr="00124E11">
        <w:rPr>
          <w:rFonts w:ascii="Book Antiqua" w:hAnsi="Book Antiqua" w:cs="SimSun"/>
          <w:color w:val="000000"/>
          <w:lang w:val="en-US" w:eastAsia="zh-CN"/>
        </w:rPr>
        <w:t xml:space="preserve"> </w:t>
      </w:r>
      <w:r w:rsidRPr="00475BD2">
        <w:rPr>
          <w:rFonts w:ascii="Book Antiqua" w:hAnsi="Book Antiqua" w:cs="SimSun"/>
          <w:color w:val="000000"/>
          <w:lang w:val="en-US" w:eastAsia="zh-CN"/>
        </w:rPr>
        <w:t>2012; </w:t>
      </w:r>
      <w:r w:rsidRPr="00475BD2">
        <w:rPr>
          <w:rFonts w:ascii="Book Antiqua" w:hAnsi="Book Antiqua" w:cs="SimSun"/>
          <w:b/>
          <w:bCs/>
          <w:color w:val="000000"/>
          <w:lang w:val="en-US" w:eastAsia="zh-CN"/>
        </w:rPr>
        <w:t>214</w:t>
      </w:r>
      <w:r w:rsidRPr="00475BD2">
        <w:rPr>
          <w:rFonts w:ascii="Book Antiqua" w:hAnsi="Book Antiqua" w:cs="SimSun"/>
          <w:color w:val="000000"/>
          <w:lang w:val="en-US" w:eastAsia="zh-CN"/>
        </w:rPr>
        <w:t>: 668-79; discussion 679-81 [PMID: 22366491 DOI: 10.1016/j.jamcollsurg.2011.12.033]</w:t>
      </w:r>
    </w:p>
    <w:p w14:paraId="3F007C5F"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12 </w:t>
      </w:r>
      <w:r w:rsidRPr="00475BD2">
        <w:rPr>
          <w:rFonts w:ascii="Book Antiqua" w:hAnsi="Book Antiqua" w:cs="SimSun"/>
          <w:b/>
          <w:bCs/>
          <w:color w:val="000000"/>
          <w:lang w:val="en-US" w:eastAsia="zh-CN"/>
        </w:rPr>
        <w:t>Hublet A</w:t>
      </w:r>
      <w:r w:rsidRPr="00475BD2">
        <w:rPr>
          <w:rFonts w:ascii="Book Antiqua" w:hAnsi="Book Antiqua" w:cs="SimSun"/>
          <w:color w:val="000000"/>
          <w:lang w:val="en-US" w:eastAsia="zh-CN"/>
        </w:rPr>
        <w:t>, Dili A, Lemaire J, Mansvelt B, Molle G, Bertrand C. Laparoscopic ultrasonography as a good alternative to intraoperative cholangiography (IOC) during laparoscopic cholecystectomy: results of prospective study. </w:t>
      </w:r>
      <w:r w:rsidRPr="00475BD2">
        <w:rPr>
          <w:rFonts w:ascii="Book Antiqua" w:hAnsi="Book Antiqua" w:cs="SimSun"/>
          <w:i/>
          <w:iCs/>
          <w:color w:val="000000"/>
          <w:lang w:val="en-US" w:eastAsia="zh-CN"/>
        </w:rPr>
        <w:t>Acta Chir Belg</w:t>
      </w:r>
      <w:r w:rsidRPr="00475BD2">
        <w:rPr>
          <w:rFonts w:ascii="Book Antiqua" w:hAnsi="Book Antiqua" w:cs="SimSun"/>
          <w:color w:val="000000"/>
          <w:lang w:val="en-US" w:eastAsia="zh-CN"/>
        </w:rPr>
        <w:t> 2009; </w:t>
      </w:r>
      <w:r w:rsidRPr="00475BD2">
        <w:rPr>
          <w:rFonts w:ascii="Book Antiqua" w:hAnsi="Book Antiqua" w:cs="SimSun"/>
          <w:b/>
          <w:bCs/>
          <w:color w:val="000000"/>
          <w:lang w:val="en-US" w:eastAsia="zh-CN"/>
        </w:rPr>
        <w:t>109</w:t>
      </w:r>
      <w:r w:rsidRPr="00475BD2">
        <w:rPr>
          <w:rFonts w:ascii="Book Antiqua" w:hAnsi="Book Antiqua" w:cs="SimSun"/>
          <w:color w:val="000000"/>
          <w:lang w:val="en-US" w:eastAsia="zh-CN"/>
        </w:rPr>
        <w:t>: 312-316 [PMID: 19943585 DOI: 10.1080/00015458.2009.11680431]</w:t>
      </w:r>
    </w:p>
    <w:p w14:paraId="10B01C36" w14:textId="6BFBC861"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13 </w:t>
      </w:r>
      <w:r w:rsidRPr="00475BD2">
        <w:rPr>
          <w:rFonts w:ascii="Book Antiqua" w:hAnsi="Book Antiqua" w:cs="SimSun"/>
          <w:b/>
          <w:bCs/>
          <w:color w:val="000000"/>
          <w:lang w:val="en-US" w:eastAsia="zh-CN"/>
        </w:rPr>
        <w:t>Halpin VJ</w:t>
      </w:r>
      <w:r w:rsidRPr="00475BD2">
        <w:rPr>
          <w:rFonts w:ascii="Book Antiqua" w:hAnsi="Book Antiqua" w:cs="SimSun"/>
          <w:color w:val="000000"/>
          <w:lang w:val="en-US" w:eastAsia="zh-CN"/>
        </w:rPr>
        <w:t>, Dunnegan D, Soper NJ. Laparoscopic intracorporeal ultrasound versus fluoroscopic intraoperative cholangiography: after the learning curve. </w:t>
      </w:r>
      <w:r w:rsidRPr="00475BD2">
        <w:rPr>
          <w:rFonts w:ascii="Book Antiqua" w:hAnsi="Book Antiqua" w:cs="SimSun"/>
          <w:i/>
          <w:iCs/>
          <w:color w:val="000000"/>
          <w:lang w:val="en-US" w:eastAsia="zh-CN"/>
        </w:rPr>
        <w:t>Surg Endosc</w:t>
      </w:r>
      <w:r w:rsidRPr="00124E11">
        <w:rPr>
          <w:rFonts w:ascii="Book Antiqua" w:hAnsi="Book Antiqua" w:cs="SimSun"/>
          <w:color w:val="000000"/>
          <w:lang w:val="en-US" w:eastAsia="zh-CN"/>
        </w:rPr>
        <w:t xml:space="preserve"> </w:t>
      </w:r>
      <w:r w:rsidRPr="00475BD2">
        <w:rPr>
          <w:rFonts w:ascii="Book Antiqua" w:hAnsi="Book Antiqua" w:cs="SimSun"/>
          <w:color w:val="000000"/>
          <w:lang w:val="en-US" w:eastAsia="zh-CN"/>
        </w:rPr>
        <w:t>2002; </w:t>
      </w:r>
      <w:r w:rsidRPr="00475BD2">
        <w:rPr>
          <w:rFonts w:ascii="Book Antiqua" w:hAnsi="Book Antiqua" w:cs="SimSun"/>
          <w:b/>
          <w:bCs/>
          <w:color w:val="000000"/>
          <w:lang w:val="en-US" w:eastAsia="zh-CN"/>
        </w:rPr>
        <w:t>16</w:t>
      </w:r>
      <w:r w:rsidRPr="00475BD2">
        <w:rPr>
          <w:rFonts w:ascii="Book Antiqua" w:hAnsi="Book Antiqua" w:cs="SimSun"/>
          <w:color w:val="000000"/>
          <w:lang w:val="en-US" w:eastAsia="zh-CN"/>
        </w:rPr>
        <w:t>: 336-341 [PMID: 11967692 DOI: 10.1007/s00464-001-8325-1]</w:t>
      </w:r>
    </w:p>
    <w:p w14:paraId="4F36F2F9"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14 </w:t>
      </w:r>
      <w:r w:rsidRPr="00475BD2">
        <w:rPr>
          <w:rFonts w:ascii="Book Antiqua" w:hAnsi="Book Antiqua" w:cs="SimSun"/>
          <w:b/>
          <w:bCs/>
          <w:color w:val="000000"/>
          <w:lang w:val="en-US" w:eastAsia="zh-CN"/>
        </w:rPr>
        <w:t>El Shallaly G</w:t>
      </w:r>
      <w:r w:rsidRPr="00475BD2">
        <w:rPr>
          <w:rFonts w:ascii="Book Antiqua" w:hAnsi="Book Antiqua" w:cs="SimSun"/>
          <w:color w:val="000000"/>
          <w:lang w:val="en-US" w:eastAsia="zh-CN"/>
        </w:rPr>
        <w:t>, Seow C, Sharp C, Mughrabi A, Nassar AH. Intraoperative cholangiography time in laparoscopic cholecystectomy: timing the radiographer.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2005; </w:t>
      </w:r>
      <w:r w:rsidRPr="00475BD2">
        <w:rPr>
          <w:rFonts w:ascii="Book Antiqua" w:hAnsi="Book Antiqua" w:cs="SimSun"/>
          <w:b/>
          <w:bCs/>
          <w:color w:val="000000"/>
          <w:lang w:val="en-US" w:eastAsia="zh-CN"/>
        </w:rPr>
        <w:t>19</w:t>
      </w:r>
      <w:r w:rsidRPr="00475BD2">
        <w:rPr>
          <w:rFonts w:ascii="Book Antiqua" w:hAnsi="Book Antiqua" w:cs="SimSun"/>
          <w:color w:val="000000"/>
          <w:lang w:val="en-US" w:eastAsia="zh-CN"/>
        </w:rPr>
        <w:t>: 1370-1372 [PMID: 16228860 DOI: 10.1007/s00464-004-2242-z]</w:t>
      </w:r>
    </w:p>
    <w:p w14:paraId="0A140C82"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15 </w:t>
      </w:r>
      <w:r w:rsidRPr="00475BD2">
        <w:rPr>
          <w:rFonts w:ascii="Book Antiqua" w:hAnsi="Book Antiqua" w:cs="SimSun"/>
          <w:b/>
          <w:bCs/>
          <w:color w:val="000000"/>
          <w:lang w:val="en-US" w:eastAsia="zh-CN"/>
        </w:rPr>
        <w:t>Karthikesalingam A</w:t>
      </w:r>
      <w:r w:rsidRPr="00475BD2">
        <w:rPr>
          <w:rFonts w:ascii="Book Antiqua" w:hAnsi="Book Antiqua" w:cs="SimSun"/>
          <w:color w:val="000000"/>
          <w:lang w:val="en-US" w:eastAsia="zh-CN"/>
        </w:rPr>
        <w:t>, Markar SR, Weerakkody R, Walsh SR, Carroll N, Praseedom RK. Radiation exposure during laparoscopic cholecystectomy with routine intraoperative cholangiography.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xml:space="preserve"> 2009; </w:t>
      </w:r>
      <w:r w:rsidRPr="00475BD2">
        <w:rPr>
          <w:rFonts w:ascii="Book Antiqua" w:hAnsi="Book Antiqua" w:cs="SimSun"/>
          <w:b/>
          <w:bCs/>
          <w:color w:val="000000"/>
          <w:lang w:val="en-US" w:eastAsia="zh-CN"/>
        </w:rPr>
        <w:t>23</w:t>
      </w:r>
      <w:r w:rsidRPr="00475BD2">
        <w:rPr>
          <w:rFonts w:ascii="Book Antiqua" w:hAnsi="Book Antiqua" w:cs="SimSun"/>
          <w:color w:val="000000"/>
          <w:lang w:val="en-US" w:eastAsia="zh-CN"/>
        </w:rPr>
        <w:t>: 1845-1848 [PMID: 19118424 DOI: 10.1007/s00464-008-0279-0]</w:t>
      </w:r>
    </w:p>
    <w:p w14:paraId="3E3086BB" w14:textId="67DA5389"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16 </w:t>
      </w:r>
      <w:r w:rsidRPr="00475BD2">
        <w:rPr>
          <w:rFonts w:ascii="Book Antiqua" w:hAnsi="Book Antiqua" w:cs="SimSun"/>
          <w:b/>
          <w:bCs/>
          <w:color w:val="000000"/>
          <w:lang w:val="en-US" w:eastAsia="zh-CN"/>
        </w:rPr>
        <w:t>Falcone RA</w:t>
      </w:r>
      <w:r w:rsidRPr="00475BD2">
        <w:rPr>
          <w:rFonts w:ascii="Book Antiqua" w:hAnsi="Book Antiqua" w:cs="SimSun"/>
          <w:color w:val="000000"/>
          <w:lang w:val="en-US" w:eastAsia="zh-CN"/>
        </w:rPr>
        <w:t>, Fegelman EJ, Nussbaum MS, Brown DL, Bebbe TM, Merhar GL, Johannigman JA, Luchette FA, Davis K, Hurst JM. A prospective comparison of laparoscopic ultrasound vs intraoperative cholangiogram during laparoscopic cholecystectomy.</w:t>
      </w:r>
      <w:r w:rsidRPr="00124E11">
        <w:rPr>
          <w:rFonts w:ascii="Book Antiqua" w:hAnsi="Book Antiqua" w:cs="SimSun"/>
          <w:color w:val="000000"/>
          <w:lang w:val="en-US" w:eastAsia="zh-CN"/>
        </w:rPr>
        <w:t xml:space="preserve">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xml:space="preserve"> 1999; </w:t>
      </w:r>
      <w:r w:rsidRPr="00475BD2">
        <w:rPr>
          <w:rFonts w:ascii="Book Antiqua" w:hAnsi="Book Antiqua" w:cs="SimSun"/>
          <w:b/>
          <w:bCs/>
          <w:color w:val="000000"/>
          <w:lang w:val="en-US" w:eastAsia="zh-CN"/>
        </w:rPr>
        <w:t>13</w:t>
      </w:r>
      <w:r w:rsidRPr="00475BD2">
        <w:rPr>
          <w:rFonts w:ascii="Book Antiqua" w:hAnsi="Book Antiqua" w:cs="SimSun"/>
          <w:color w:val="000000"/>
          <w:lang w:val="en-US" w:eastAsia="zh-CN"/>
        </w:rPr>
        <w:t>: 784-788 [PMID: 10430685 DOI: 10.1007/s004649901099]</w:t>
      </w:r>
    </w:p>
    <w:p w14:paraId="66AD93EA"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lastRenderedPageBreak/>
        <w:t>17 </w:t>
      </w:r>
      <w:r w:rsidRPr="00475BD2">
        <w:rPr>
          <w:rFonts w:ascii="Book Antiqua" w:hAnsi="Book Antiqua" w:cs="SimSun"/>
          <w:b/>
          <w:bCs/>
          <w:color w:val="000000"/>
          <w:lang w:val="en-US" w:eastAsia="zh-CN"/>
        </w:rPr>
        <w:t>Birth M</w:t>
      </w:r>
      <w:r w:rsidRPr="00475BD2">
        <w:rPr>
          <w:rFonts w:ascii="Book Antiqua" w:hAnsi="Book Antiqua" w:cs="SimSun"/>
          <w:color w:val="000000"/>
          <w:lang w:val="en-US" w:eastAsia="zh-CN"/>
        </w:rPr>
        <w:t>, Roblick U, Brugmans F, Weiser HF, Bruch HP. Laparoscopic ultrasonography reliably visualizes bile-duct injuries - a blind randomized porcine study. </w:t>
      </w:r>
      <w:r w:rsidRPr="00475BD2">
        <w:rPr>
          <w:rFonts w:ascii="Book Antiqua" w:hAnsi="Book Antiqua" w:cs="SimSun"/>
          <w:i/>
          <w:iCs/>
          <w:color w:val="000000"/>
          <w:lang w:val="en-US" w:eastAsia="zh-CN"/>
        </w:rPr>
        <w:t>Langenbecks Arch Surg</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384</w:t>
      </w:r>
      <w:r w:rsidRPr="00475BD2">
        <w:rPr>
          <w:rFonts w:ascii="Book Antiqua" w:hAnsi="Book Antiqua" w:cs="SimSun"/>
          <w:color w:val="000000"/>
          <w:lang w:val="en-US" w:eastAsia="zh-CN"/>
        </w:rPr>
        <w:t>: 360-365 [PMID: 10473856 DOI: 10.1007/s004230050214]</w:t>
      </w:r>
    </w:p>
    <w:p w14:paraId="2C106C00"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18 </w:t>
      </w:r>
      <w:r w:rsidRPr="00475BD2">
        <w:rPr>
          <w:rFonts w:ascii="Book Antiqua" w:hAnsi="Book Antiqua" w:cs="SimSun"/>
          <w:b/>
          <w:bCs/>
          <w:color w:val="000000"/>
          <w:lang w:val="en-US" w:eastAsia="zh-CN"/>
        </w:rPr>
        <w:t>Birth M</w:t>
      </w:r>
      <w:r w:rsidRPr="00475BD2">
        <w:rPr>
          <w:rFonts w:ascii="Book Antiqua" w:hAnsi="Book Antiqua" w:cs="SimSun"/>
          <w:color w:val="000000"/>
          <w:lang w:val="en-US" w:eastAsia="zh-CN"/>
        </w:rPr>
        <w:t>, Carroll BJ, Delinikolas K, Eichler M, Weiser H. Recognition of laparoscopic bile duct injuries by intraoperative ultrasonography.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1996; </w:t>
      </w:r>
      <w:r w:rsidRPr="00475BD2">
        <w:rPr>
          <w:rFonts w:ascii="Book Antiqua" w:hAnsi="Book Antiqua" w:cs="SimSun"/>
          <w:b/>
          <w:bCs/>
          <w:color w:val="000000"/>
          <w:lang w:val="en-US" w:eastAsia="zh-CN"/>
        </w:rPr>
        <w:t>10</w:t>
      </w:r>
      <w:r w:rsidRPr="00475BD2">
        <w:rPr>
          <w:rFonts w:ascii="Book Antiqua" w:hAnsi="Book Antiqua" w:cs="SimSun"/>
          <w:color w:val="000000"/>
          <w:lang w:val="en-US" w:eastAsia="zh-CN"/>
        </w:rPr>
        <w:t>: 794-797 [PMID: 8694939 DOI: 10.1007/BF00189535]</w:t>
      </w:r>
    </w:p>
    <w:p w14:paraId="0D0BF65F"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19 </w:t>
      </w:r>
      <w:r w:rsidRPr="00475BD2">
        <w:rPr>
          <w:rFonts w:ascii="Book Antiqua" w:hAnsi="Book Antiqua" w:cs="SimSun"/>
          <w:b/>
          <w:bCs/>
          <w:color w:val="000000"/>
          <w:lang w:val="en-US" w:eastAsia="zh-CN"/>
        </w:rPr>
        <w:t>Stiegmann GV</w:t>
      </w:r>
      <w:r w:rsidRPr="00475BD2">
        <w:rPr>
          <w:rFonts w:ascii="Book Antiqua" w:hAnsi="Book Antiqua" w:cs="SimSun"/>
          <w:color w:val="000000"/>
          <w:lang w:val="en-US" w:eastAsia="zh-CN"/>
        </w:rPr>
        <w:t>, Soper NJ, Filipi CJ, McIntyre RC, Callery MP, Cordova JF. Laparoscopic ultrasonography as compared with static or dynamic cholangiography at laparoscopic cholecystectomy. A prospective multicenter trial.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1995; </w:t>
      </w:r>
      <w:r w:rsidRPr="00475BD2">
        <w:rPr>
          <w:rFonts w:ascii="Book Antiqua" w:hAnsi="Book Antiqua" w:cs="SimSun"/>
          <w:b/>
          <w:bCs/>
          <w:color w:val="000000"/>
          <w:lang w:val="en-US" w:eastAsia="zh-CN"/>
        </w:rPr>
        <w:t>9</w:t>
      </w:r>
      <w:r w:rsidRPr="00475BD2">
        <w:rPr>
          <w:rFonts w:ascii="Book Antiqua" w:hAnsi="Book Antiqua" w:cs="SimSun"/>
          <w:color w:val="000000"/>
          <w:lang w:val="en-US" w:eastAsia="zh-CN"/>
        </w:rPr>
        <w:t>: 1269-1273 [PMID: 8629207 DOI: 10.1007/BF00190157]</w:t>
      </w:r>
    </w:p>
    <w:p w14:paraId="1EF76119"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20 </w:t>
      </w:r>
      <w:r w:rsidRPr="00475BD2">
        <w:rPr>
          <w:rFonts w:ascii="Book Antiqua" w:hAnsi="Book Antiqua" w:cs="SimSun"/>
          <w:b/>
          <w:bCs/>
          <w:color w:val="000000"/>
          <w:lang w:val="en-US" w:eastAsia="zh-CN"/>
        </w:rPr>
        <w:t>Catheline J</w:t>
      </w:r>
      <w:r w:rsidRPr="00475BD2">
        <w:rPr>
          <w:rFonts w:ascii="Book Antiqua" w:hAnsi="Book Antiqua" w:cs="SimSun"/>
          <w:color w:val="000000"/>
          <w:lang w:val="en-US" w:eastAsia="zh-CN"/>
        </w:rPr>
        <w:t>, Rizk N, Champault G. A comparison of laparoscopic ultrasound versus cholangiography in the evaluation of the biliary tree during laparoscopic cholecystectomy. </w:t>
      </w:r>
      <w:r w:rsidRPr="00475BD2">
        <w:rPr>
          <w:rFonts w:ascii="Book Antiqua" w:hAnsi="Book Antiqua" w:cs="SimSun"/>
          <w:i/>
          <w:iCs/>
          <w:color w:val="000000"/>
          <w:lang w:val="en-US" w:eastAsia="zh-CN"/>
        </w:rPr>
        <w:t>Eur J Ultrasound</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10</w:t>
      </w:r>
      <w:r w:rsidRPr="00475BD2">
        <w:rPr>
          <w:rFonts w:ascii="Book Antiqua" w:hAnsi="Book Antiqua" w:cs="SimSun"/>
          <w:color w:val="000000"/>
          <w:lang w:val="en-US" w:eastAsia="zh-CN"/>
        </w:rPr>
        <w:t>: 1-9 [PMID: 10502634 DOI: 10.1016/S0929-8266(99)00028-2]</w:t>
      </w:r>
    </w:p>
    <w:p w14:paraId="1354B39B"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21 </w:t>
      </w:r>
      <w:r w:rsidRPr="00475BD2">
        <w:rPr>
          <w:rFonts w:ascii="Book Antiqua" w:hAnsi="Book Antiqua" w:cs="SimSun"/>
          <w:b/>
          <w:bCs/>
          <w:color w:val="000000"/>
          <w:lang w:val="en-US" w:eastAsia="zh-CN"/>
        </w:rPr>
        <w:t>Wu JS</w:t>
      </w:r>
      <w:r w:rsidRPr="00475BD2">
        <w:rPr>
          <w:rFonts w:ascii="Book Antiqua" w:hAnsi="Book Antiqua" w:cs="SimSun"/>
          <w:color w:val="000000"/>
          <w:lang w:val="en-US" w:eastAsia="zh-CN"/>
        </w:rPr>
        <w:t>, Dunnegan DL, Soper NJ. The utility of intracorporeal ultrasonography for screening of the bile duct during laparoscopic cholecystectomy. </w:t>
      </w:r>
      <w:r w:rsidRPr="00475BD2">
        <w:rPr>
          <w:rFonts w:ascii="Book Antiqua" w:hAnsi="Book Antiqua" w:cs="SimSun"/>
          <w:i/>
          <w:iCs/>
          <w:color w:val="000000"/>
          <w:lang w:val="en-US" w:eastAsia="zh-CN"/>
        </w:rPr>
        <w:t>J Gastrointest Surg</w:t>
      </w:r>
      <w:r w:rsidRPr="00475BD2">
        <w:rPr>
          <w:rFonts w:ascii="Book Antiqua" w:hAnsi="Book Antiqua" w:cs="SimSun"/>
          <w:color w:val="000000"/>
          <w:lang w:val="en-US" w:eastAsia="zh-CN"/>
        </w:rPr>
        <w:t> 1998; </w:t>
      </w:r>
      <w:r w:rsidRPr="00475BD2">
        <w:rPr>
          <w:rFonts w:ascii="Book Antiqua" w:hAnsi="Book Antiqua" w:cs="SimSun"/>
          <w:b/>
          <w:bCs/>
          <w:color w:val="000000"/>
          <w:lang w:val="en-US" w:eastAsia="zh-CN"/>
        </w:rPr>
        <w:t>2</w:t>
      </w:r>
      <w:r w:rsidRPr="00475BD2">
        <w:rPr>
          <w:rFonts w:ascii="Book Antiqua" w:hAnsi="Book Antiqua" w:cs="SimSun"/>
          <w:color w:val="000000"/>
          <w:lang w:val="en-US" w:eastAsia="zh-CN"/>
        </w:rPr>
        <w:t>: 50-60 [PMID: 9841968 DOI: 10.1016/S1091-255X(98)80103-0]</w:t>
      </w:r>
    </w:p>
    <w:p w14:paraId="337B0BA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22 </w:t>
      </w:r>
      <w:r w:rsidRPr="00475BD2">
        <w:rPr>
          <w:rFonts w:ascii="Book Antiqua" w:hAnsi="Book Antiqua" w:cs="SimSun"/>
          <w:b/>
          <w:bCs/>
          <w:color w:val="000000"/>
          <w:lang w:val="en-US" w:eastAsia="zh-CN"/>
        </w:rPr>
        <w:t>Rijna H</w:t>
      </w:r>
      <w:r w:rsidRPr="00475BD2">
        <w:rPr>
          <w:rFonts w:ascii="Book Antiqua" w:hAnsi="Book Antiqua" w:cs="SimSun"/>
          <w:color w:val="000000"/>
          <w:lang w:val="en-US" w:eastAsia="zh-CN"/>
        </w:rPr>
        <w:t xml:space="preserve">, Eijsbouts QA, Barkhof F, de Brauw LM, Cuesta MA. Assessment of the biliary tract by ultrasonography and cholangiography during laparoscopic cholecystectomy: a prospective study. </w:t>
      </w:r>
      <w:r w:rsidRPr="00475BD2">
        <w:rPr>
          <w:rFonts w:ascii="Book Antiqua" w:hAnsi="Book Antiqua" w:cs="SimSun"/>
          <w:i/>
          <w:iCs/>
          <w:color w:val="000000"/>
          <w:lang w:val="en-US" w:eastAsia="zh-CN"/>
        </w:rPr>
        <w:t>Eur J Ultrasound</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9</w:t>
      </w:r>
      <w:r w:rsidRPr="00475BD2">
        <w:rPr>
          <w:rFonts w:ascii="Book Antiqua" w:hAnsi="Book Antiqua" w:cs="SimSun"/>
          <w:color w:val="000000"/>
          <w:lang w:val="en-US" w:eastAsia="zh-CN"/>
        </w:rPr>
        <w:t>: 127-133 [PMID: 10413748 DOI: 10.1016/S0929-8266(99)00018-X]</w:t>
      </w:r>
    </w:p>
    <w:p w14:paraId="127A4D40"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23 </w:t>
      </w:r>
      <w:r w:rsidRPr="00475BD2">
        <w:rPr>
          <w:rFonts w:ascii="Book Antiqua" w:hAnsi="Book Antiqua" w:cs="SimSun"/>
          <w:b/>
          <w:bCs/>
          <w:color w:val="000000"/>
          <w:lang w:val="en-US" w:eastAsia="zh-CN"/>
        </w:rPr>
        <w:t>Siperstein A</w:t>
      </w:r>
      <w:r w:rsidRPr="00475BD2">
        <w:rPr>
          <w:rFonts w:ascii="Book Antiqua" w:hAnsi="Book Antiqua" w:cs="SimSun"/>
          <w:color w:val="000000"/>
          <w:lang w:val="en-US" w:eastAsia="zh-CN"/>
        </w:rPr>
        <w:t>, Pearl J, Macho J, Hansen P, Gitomirsky A, Rogers S. Comparison of laparoscopic ultrasonography and fluorocholangiography in 300 patients undergoing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13</w:t>
      </w:r>
      <w:r w:rsidRPr="00475BD2">
        <w:rPr>
          <w:rFonts w:ascii="Book Antiqua" w:hAnsi="Book Antiqua" w:cs="SimSun"/>
          <w:color w:val="000000"/>
          <w:lang w:val="en-US" w:eastAsia="zh-CN"/>
        </w:rPr>
        <w:t>: 113-117 [PMID: 9918609 DOI: 10.1007/s004649900917]</w:t>
      </w:r>
    </w:p>
    <w:p w14:paraId="78F24C57"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24 </w:t>
      </w:r>
      <w:r w:rsidRPr="00475BD2">
        <w:rPr>
          <w:rFonts w:ascii="Book Antiqua" w:hAnsi="Book Antiqua" w:cs="SimSun"/>
          <w:b/>
          <w:bCs/>
          <w:color w:val="000000"/>
          <w:lang w:val="en-US" w:eastAsia="zh-CN"/>
        </w:rPr>
        <w:t>Olsen AK</w:t>
      </w:r>
      <w:r w:rsidRPr="00475BD2">
        <w:rPr>
          <w:rFonts w:ascii="Book Antiqua" w:hAnsi="Book Antiqua" w:cs="SimSun"/>
          <w:color w:val="000000"/>
          <w:lang w:val="en-US" w:eastAsia="zh-CN"/>
        </w:rPr>
        <w:t>, Bjerkeset OA. Laparoscopic ultrasound (LUS) in gastrointestinal surgery. </w:t>
      </w:r>
      <w:r w:rsidRPr="00475BD2">
        <w:rPr>
          <w:rFonts w:ascii="Book Antiqua" w:hAnsi="Book Antiqua" w:cs="SimSun"/>
          <w:i/>
          <w:iCs/>
          <w:color w:val="000000"/>
          <w:lang w:val="en-US" w:eastAsia="zh-CN"/>
        </w:rPr>
        <w:t>Eur J Ultrasound</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10</w:t>
      </w:r>
      <w:r w:rsidRPr="00475BD2">
        <w:rPr>
          <w:rFonts w:ascii="Book Antiqua" w:hAnsi="Book Antiqua" w:cs="SimSun"/>
          <w:color w:val="000000"/>
          <w:lang w:val="en-US" w:eastAsia="zh-CN"/>
        </w:rPr>
        <w:t>: 159-170 [PMID: 10586020 DOI: 10.1016/S0929-8266(99)00053-1]</w:t>
      </w:r>
    </w:p>
    <w:p w14:paraId="02679960"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25 </w:t>
      </w:r>
      <w:r w:rsidRPr="00475BD2">
        <w:rPr>
          <w:rFonts w:ascii="Book Antiqua" w:hAnsi="Book Antiqua" w:cs="SimSun"/>
          <w:b/>
          <w:bCs/>
          <w:color w:val="000000"/>
          <w:lang w:val="en-US" w:eastAsia="zh-CN"/>
        </w:rPr>
        <w:t>Ohtani T</w:t>
      </w:r>
      <w:r w:rsidRPr="00475BD2">
        <w:rPr>
          <w:rFonts w:ascii="Book Antiqua" w:hAnsi="Book Antiqua" w:cs="SimSun"/>
          <w:color w:val="000000"/>
          <w:lang w:val="en-US" w:eastAsia="zh-CN"/>
        </w:rPr>
        <w:t xml:space="preserve">, Kawai C, Shirai Y, Kawakami K, Yoshida K, Hatakeyama K. Intraoperative ultrasonography versus cholangiography during laparoscopic </w:t>
      </w:r>
      <w:r w:rsidRPr="00475BD2">
        <w:rPr>
          <w:rFonts w:ascii="Book Antiqua" w:hAnsi="Book Antiqua" w:cs="SimSun"/>
          <w:color w:val="000000"/>
          <w:lang w:val="en-US" w:eastAsia="zh-CN"/>
        </w:rPr>
        <w:lastRenderedPageBreak/>
        <w:t xml:space="preserve">cholecystectomy: a prospective comparative study. </w:t>
      </w:r>
      <w:r w:rsidRPr="00475BD2">
        <w:rPr>
          <w:rFonts w:ascii="Book Antiqua" w:hAnsi="Book Antiqua" w:cs="SimSun"/>
          <w:i/>
          <w:iCs/>
          <w:color w:val="000000"/>
          <w:lang w:val="en-US" w:eastAsia="zh-CN"/>
        </w:rPr>
        <w:t>J Am Coll Surg</w:t>
      </w:r>
      <w:r w:rsidRPr="00475BD2">
        <w:rPr>
          <w:rFonts w:ascii="Book Antiqua" w:hAnsi="Book Antiqua" w:cs="SimSun"/>
          <w:color w:val="000000"/>
          <w:lang w:val="en-US" w:eastAsia="zh-CN"/>
        </w:rPr>
        <w:t> 1997; </w:t>
      </w:r>
      <w:r w:rsidRPr="00475BD2">
        <w:rPr>
          <w:rFonts w:ascii="Book Antiqua" w:hAnsi="Book Antiqua" w:cs="SimSun"/>
          <w:b/>
          <w:bCs/>
          <w:color w:val="000000"/>
          <w:lang w:val="en-US" w:eastAsia="zh-CN"/>
        </w:rPr>
        <w:t>185</w:t>
      </w:r>
      <w:r w:rsidRPr="00475BD2">
        <w:rPr>
          <w:rFonts w:ascii="Book Antiqua" w:hAnsi="Book Antiqua" w:cs="SimSun"/>
          <w:color w:val="000000"/>
          <w:lang w:val="en-US" w:eastAsia="zh-CN"/>
        </w:rPr>
        <w:t>: 274-282 [PMID: 9291406 DOI: 10.1016/S1072-7515(97)00030-6]</w:t>
      </w:r>
    </w:p>
    <w:p w14:paraId="5B739D6A"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26 </w:t>
      </w:r>
      <w:r w:rsidRPr="00475BD2">
        <w:rPr>
          <w:rFonts w:ascii="Book Antiqua" w:hAnsi="Book Antiqua" w:cs="SimSun"/>
          <w:b/>
          <w:bCs/>
          <w:color w:val="000000"/>
          <w:lang w:val="en-US" w:eastAsia="zh-CN"/>
        </w:rPr>
        <w:t>Soper NJ</w:t>
      </w:r>
      <w:r w:rsidRPr="00475BD2">
        <w:rPr>
          <w:rFonts w:ascii="Book Antiqua" w:hAnsi="Book Antiqua" w:cs="SimSun"/>
          <w:color w:val="000000"/>
          <w:lang w:val="en-US" w:eastAsia="zh-CN"/>
        </w:rPr>
        <w:t>. Intraoperative detection: intraoperative cholangiography vs. intraoperative ultrasonography. </w:t>
      </w:r>
      <w:r w:rsidRPr="00475BD2">
        <w:rPr>
          <w:rFonts w:ascii="Book Antiqua" w:hAnsi="Book Antiqua" w:cs="SimSun"/>
          <w:i/>
          <w:iCs/>
          <w:color w:val="000000"/>
          <w:lang w:val="en-US" w:eastAsia="zh-CN"/>
        </w:rPr>
        <w:t>J Gastrointest Surg</w:t>
      </w:r>
      <w:r w:rsidRPr="00475BD2">
        <w:rPr>
          <w:rFonts w:ascii="Book Antiqua" w:hAnsi="Book Antiqua" w:cs="SimSun"/>
          <w:color w:val="000000"/>
          <w:lang w:val="en-US" w:eastAsia="zh-CN"/>
        </w:rPr>
        <w:t> 2000; </w:t>
      </w:r>
      <w:r w:rsidRPr="00475BD2">
        <w:rPr>
          <w:rFonts w:ascii="Book Antiqua" w:hAnsi="Book Antiqua" w:cs="SimSun"/>
          <w:b/>
          <w:bCs/>
          <w:color w:val="000000"/>
          <w:lang w:val="en-US" w:eastAsia="zh-CN"/>
        </w:rPr>
        <w:t>4</w:t>
      </w:r>
      <w:r w:rsidRPr="00475BD2">
        <w:rPr>
          <w:rFonts w:ascii="Book Antiqua" w:hAnsi="Book Antiqua" w:cs="SimSun"/>
          <w:color w:val="000000"/>
          <w:lang w:val="en-US" w:eastAsia="zh-CN"/>
        </w:rPr>
        <w:t>: 334-335 [PMID: 11185446 DOI: 10.1016/S1091-255X(00)80003-7]</w:t>
      </w:r>
    </w:p>
    <w:p w14:paraId="7D6AC56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27 </w:t>
      </w:r>
      <w:r w:rsidRPr="00475BD2">
        <w:rPr>
          <w:rFonts w:ascii="Book Antiqua" w:hAnsi="Book Antiqua" w:cs="SimSun"/>
          <w:b/>
          <w:bCs/>
          <w:color w:val="000000"/>
          <w:lang w:val="en-US" w:eastAsia="zh-CN"/>
        </w:rPr>
        <w:t>Santambrogio R</w:t>
      </w:r>
      <w:r w:rsidRPr="00475BD2">
        <w:rPr>
          <w:rFonts w:ascii="Book Antiqua" w:hAnsi="Book Antiqua" w:cs="SimSun"/>
          <w:color w:val="000000"/>
          <w:lang w:val="en-US" w:eastAsia="zh-CN"/>
        </w:rPr>
        <w:t xml:space="preserve">, Montorsi M, Bianchi P, Opocher E, Verga M, Panzera M, Cosentino F. Common bile duct exploration and laparoscopic cholecystectomy: role of intraoperative ultrasonography. </w:t>
      </w:r>
      <w:r w:rsidRPr="00475BD2">
        <w:rPr>
          <w:rFonts w:ascii="Book Antiqua" w:hAnsi="Book Antiqua" w:cs="SimSun"/>
          <w:i/>
          <w:iCs/>
          <w:color w:val="000000"/>
          <w:lang w:val="en-US" w:eastAsia="zh-CN"/>
        </w:rPr>
        <w:t>J Am Coll Surg</w:t>
      </w:r>
      <w:r w:rsidRPr="00475BD2">
        <w:rPr>
          <w:rFonts w:ascii="Book Antiqua" w:hAnsi="Book Antiqua" w:cs="SimSun"/>
          <w:color w:val="000000"/>
          <w:lang w:val="en-US" w:eastAsia="zh-CN"/>
        </w:rPr>
        <w:t> 1997; </w:t>
      </w:r>
      <w:r w:rsidRPr="00475BD2">
        <w:rPr>
          <w:rFonts w:ascii="Book Antiqua" w:hAnsi="Book Antiqua" w:cs="SimSun"/>
          <w:b/>
          <w:bCs/>
          <w:color w:val="000000"/>
          <w:lang w:val="en-US" w:eastAsia="zh-CN"/>
        </w:rPr>
        <w:t>185</w:t>
      </w:r>
      <w:r w:rsidRPr="00475BD2">
        <w:rPr>
          <w:rFonts w:ascii="Book Antiqua" w:hAnsi="Book Antiqua" w:cs="SimSun"/>
          <w:color w:val="000000"/>
          <w:lang w:val="en-US" w:eastAsia="zh-CN"/>
        </w:rPr>
        <w:t>: 40-48 [PMID: 9208959 DOI: 10.1016/S1072-7515(97)00013-6]</w:t>
      </w:r>
    </w:p>
    <w:p w14:paraId="0424AFE2" w14:textId="40EF6B6F"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28 </w:t>
      </w:r>
      <w:r w:rsidRPr="00475BD2">
        <w:rPr>
          <w:rFonts w:ascii="Book Antiqua" w:hAnsi="Book Antiqua" w:cs="SimSun"/>
          <w:b/>
          <w:bCs/>
          <w:color w:val="000000"/>
          <w:lang w:val="en-US" w:eastAsia="zh-CN"/>
        </w:rPr>
        <w:t>Teefey SA</w:t>
      </w:r>
      <w:r w:rsidRPr="00475BD2">
        <w:rPr>
          <w:rFonts w:ascii="Book Antiqua" w:hAnsi="Book Antiqua" w:cs="SimSun"/>
          <w:color w:val="000000"/>
          <w:lang w:val="en-US" w:eastAsia="zh-CN"/>
        </w:rPr>
        <w:t>, Soper NJ, Middleton WD, Balfe DM, Brink JA, Strasberg SM, Callery M. Imaging of the common bile duct during laparoscopic cholecystectomy: sonography versus videofluoroscopic cholangiography. </w:t>
      </w:r>
      <w:r w:rsidRPr="00475BD2">
        <w:rPr>
          <w:rFonts w:ascii="Book Antiqua" w:hAnsi="Book Antiqua" w:cs="SimSun"/>
          <w:i/>
          <w:iCs/>
          <w:color w:val="000000"/>
          <w:lang w:val="en-US" w:eastAsia="zh-CN"/>
        </w:rPr>
        <w:t>AJR Am J Roentgenol</w:t>
      </w:r>
      <w:r w:rsidRPr="00124E11">
        <w:rPr>
          <w:rFonts w:ascii="Book Antiqua" w:hAnsi="Book Antiqua" w:cs="SimSun"/>
          <w:color w:val="000000"/>
          <w:lang w:val="en-US" w:eastAsia="zh-CN"/>
        </w:rPr>
        <w:t xml:space="preserve"> </w:t>
      </w:r>
      <w:r w:rsidRPr="00475BD2">
        <w:rPr>
          <w:rFonts w:ascii="Book Antiqua" w:hAnsi="Book Antiqua" w:cs="SimSun"/>
          <w:color w:val="000000"/>
          <w:lang w:val="en-US" w:eastAsia="zh-CN"/>
        </w:rPr>
        <w:t>1995;</w:t>
      </w:r>
      <w:r w:rsidRPr="00124E11">
        <w:rPr>
          <w:rFonts w:ascii="Book Antiqua" w:hAnsi="Book Antiqua" w:cs="SimSun"/>
          <w:color w:val="000000"/>
          <w:lang w:val="en-US" w:eastAsia="zh-CN"/>
        </w:rPr>
        <w:t xml:space="preserve"> </w:t>
      </w:r>
      <w:r w:rsidRPr="00475BD2">
        <w:rPr>
          <w:rFonts w:ascii="Book Antiqua" w:hAnsi="Book Antiqua" w:cs="SimSun"/>
          <w:b/>
          <w:bCs/>
          <w:color w:val="000000"/>
          <w:lang w:val="en-US" w:eastAsia="zh-CN"/>
        </w:rPr>
        <w:t>165</w:t>
      </w:r>
      <w:r w:rsidRPr="00475BD2">
        <w:rPr>
          <w:rFonts w:ascii="Book Antiqua" w:hAnsi="Book Antiqua" w:cs="SimSun"/>
          <w:color w:val="000000"/>
          <w:lang w:val="en-US" w:eastAsia="zh-CN"/>
        </w:rPr>
        <w:t>: 847-851 [PMID: 7676979 DOI: 10.2214/ajr.165.4.7676979]</w:t>
      </w:r>
    </w:p>
    <w:p w14:paraId="0E7C16F2"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29 </w:t>
      </w:r>
      <w:r w:rsidRPr="00475BD2">
        <w:rPr>
          <w:rFonts w:ascii="Book Antiqua" w:hAnsi="Book Antiqua" w:cs="SimSun"/>
          <w:b/>
          <w:bCs/>
          <w:color w:val="000000"/>
          <w:lang w:val="en-US" w:eastAsia="zh-CN"/>
        </w:rPr>
        <w:t>Machi J</w:t>
      </w:r>
      <w:r w:rsidRPr="00475BD2">
        <w:rPr>
          <w:rFonts w:ascii="Book Antiqua" w:hAnsi="Book Antiqua" w:cs="SimSun"/>
          <w:color w:val="000000"/>
          <w:lang w:val="en-US" w:eastAsia="zh-CN"/>
        </w:rPr>
        <w:t xml:space="preserve">. Accuracy of intraoperative ultrasound and cholangiography.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1996; </w:t>
      </w:r>
      <w:r w:rsidRPr="00475BD2">
        <w:rPr>
          <w:rFonts w:ascii="Book Antiqua" w:hAnsi="Book Antiqua" w:cs="SimSun"/>
          <w:b/>
          <w:bCs/>
          <w:color w:val="000000"/>
          <w:lang w:val="en-US" w:eastAsia="zh-CN"/>
        </w:rPr>
        <w:t>10</w:t>
      </w:r>
      <w:r w:rsidRPr="00475BD2">
        <w:rPr>
          <w:rFonts w:ascii="Book Antiqua" w:hAnsi="Book Antiqua" w:cs="SimSun"/>
          <w:color w:val="000000"/>
          <w:lang w:val="en-US" w:eastAsia="zh-CN"/>
        </w:rPr>
        <w:t>: 363-364 [PMID: 8779081 DOI: 10.1007/BF00187397]</w:t>
      </w:r>
    </w:p>
    <w:p w14:paraId="4988EAF9"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30 </w:t>
      </w:r>
      <w:r w:rsidRPr="00475BD2">
        <w:rPr>
          <w:rFonts w:ascii="Book Antiqua" w:hAnsi="Book Antiqua" w:cs="SimSun"/>
          <w:b/>
          <w:bCs/>
          <w:color w:val="000000"/>
          <w:lang w:val="en-US" w:eastAsia="zh-CN"/>
        </w:rPr>
        <w:t>Kelly SB</w:t>
      </w:r>
      <w:r w:rsidRPr="00475BD2">
        <w:rPr>
          <w:rFonts w:ascii="Book Antiqua" w:hAnsi="Book Antiqua" w:cs="SimSun"/>
          <w:color w:val="000000"/>
          <w:lang w:val="en-US" w:eastAsia="zh-CN"/>
        </w:rPr>
        <w:t>, Remedios D, Lau WY, Li AK. Laparoscopic ultrasonography during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xml:space="preserve"> 1997; </w:t>
      </w:r>
      <w:r w:rsidRPr="00475BD2">
        <w:rPr>
          <w:rFonts w:ascii="Book Antiqua" w:hAnsi="Book Antiqua" w:cs="SimSun"/>
          <w:b/>
          <w:bCs/>
          <w:color w:val="000000"/>
          <w:lang w:val="en-US" w:eastAsia="zh-CN"/>
        </w:rPr>
        <w:t>11</w:t>
      </w:r>
      <w:r w:rsidRPr="00475BD2">
        <w:rPr>
          <w:rFonts w:ascii="Book Antiqua" w:hAnsi="Book Antiqua" w:cs="SimSun"/>
          <w:color w:val="000000"/>
          <w:lang w:val="en-US" w:eastAsia="zh-CN"/>
        </w:rPr>
        <w:t>: 67-70 [PMID: 8994992 DOI: 10.1007/s004649900297]</w:t>
      </w:r>
    </w:p>
    <w:p w14:paraId="24AB40FA"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31 </w:t>
      </w:r>
      <w:r w:rsidRPr="00475BD2">
        <w:rPr>
          <w:rFonts w:ascii="Book Antiqua" w:hAnsi="Book Antiqua" w:cs="SimSun"/>
          <w:b/>
          <w:bCs/>
          <w:color w:val="000000"/>
          <w:lang w:val="en-US" w:eastAsia="zh-CN"/>
        </w:rPr>
        <w:t>Röthlin MA</w:t>
      </w:r>
      <w:r w:rsidRPr="00475BD2">
        <w:rPr>
          <w:rFonts w:ascii="Book Antiqua" w:hAnsi="Book Antiqua" w:cs="SimSun"/>
          <w:color w:val="000000"/>
          <w:lang w:val="en-US" w:eastAsia="zh-CN"/>
        </w:rPr>
        <w:t>, Schöb O, Schlumpf R, Largiadèr F. Laparoscopic ultrasonography during cholecystectomy. </w:t>
      </w:r>
      <w:r w:rsidRPr="00475BD2">
        <w:rPr>
          <w:rFonts w:ascii="Book Antiqua" w:hAnsi="Book Antiqua" w:cs="SimSun"/>
          <w:i/>
          <w:iCs/>
          <w:color w:val="000000"/>
          <w:lang w:val="en-US" w:eastAsia="zh-CN"/>
        </w:rPr>
        <w:t>Br J Surg</w:t>
      </w:r>
      <w:r w:rsidRPr="00475BD2">
        <w:rPr>
          <w:rFonts w:ascii="Book Antiqua" w:hAnsi="Book Antiqua" w:cs="SimSun"/>
          <w:color w:val="000000"/>
          <w:lang w:val="en-US" w:eastAsia="zh-CN"/>
        </w:rPr>
        <w:t> 1996; </w:t>
      </w:r>
      <w:r w:rsidRPr="00475BD2">
        <w:rPr>
          <w:rFonts w:ascii="Book Antiqua" w:hAnsi="Book Antiqua" w:cs="SimSun"/>
          <w:b/>
          <w:bCs/>
          <w:color w:val="000000"/>
          <w:lang w:val="en-US" w:eastAsia="zh-CN"/>
        </w:rPr>
        <w:t>83</w:t>
      </w:r>
      <w:r w:rsidRPr="00475BD2">
        <w:rPr>
          <w:rFonts w:ascii="Book Antiqua" w:hAnsi="Book Antiqua" w:cs="SimSun"/>
          <w:color w:val="000000"/>
          <w:lang w:val="en-US" w:eastAsia="zh-CN"/>
        </w:rPr>
        <w:t>: 1512-1516 [PMID: 9014663 DOI: 10.1002/bjs.1800831107]</w:t>
      </w:r>
    </w:p>
    <w:p w14:paraId="58E88D96"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32 </w:t>
      </w:r>
      <w:r w:rsidRPr="00475BD2">
        <w:rPr>
          <w:rFonts w:ascii="Book Antiqua" w:hAnsi="Book Antiqua" w:cs="SimSun"/>
          <w:b/>
          <w:bCs/>
          <w:color w:val="000000"/>
          <w:lang w:val="en-US" w:eastAsia="zh-CN"/>
        </w:rPr>
        <w:t>Tomonaga T</w:t>
      </w:r>
      <w:r w:rsidRPr="00475BD2">
        <w:rPr>
          <w:rFonts w:ascii="Book Antiqua" w:hAnsi="Book Antiqua" w:cs="SimSun"/>
          <w:color w:val="000000"/>
          <w:lang w:val="en-US" w:eastAsia="zh-CN"/>
        </w:rPr>
        <w:t>, Filipi CJ, Lowham A, Martinez T. Laparoscopic intracorporeal ultrasound cystic duct length measurement: a new technique to prevent common bile duct injuries.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13</w:t>
      </w:r>
      <w:r w:rsidRPr="00475BD2">
        <w:rPr>
          <w:rFonts w:ascii="Book Antiqua" w:hAnsi="Book Antiqua" w:cs="SimSun"/>
          <w:color w:val="000000"/>
          <w:lang w:val="en-US" w:eastAsia="zh-CN"/>
        </w:rPr>
        <w:t>: 183-185 [PMID: 9918627 DOI: 10.1007/s004649900935]</w:t>
      </w:r>
    </w:p>
    <w:p w14:paraId="6C8C9A5E" w14:textId="50B00332"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33 </w:t>
      </w:r>
      <w:r w:rsidRPr="00475BD2">
        <w:rPr>
          <w:rFonts w:ascii="Book Antiqua" w:hAnsi="Book Antiqua" w:cs="SimSun"/>
          <w:b/>
          <w:bCs/>
          <w:color w:val="000000"/>
          <w:lang w:val="en-US" w:eastAsia="zh-CN"/>
        </w:rPr>
        <w:t>Kubota K</w:t>
      </w:r>
      <w:r w:rsidRPr="00475BD2">
        <w:rPr>
          <w:rFonts w:ascii="Book Antiqua" w:hAnsi="Book Antiqua" w:cs="SimSun"/>
          <w:color w:val="000000"/>
          <w:lang w:val="en-US" w:eastAsia="zh-CN"/>
        </w:rPr>
        <w:t xml:space="preserve">, Bandai Y, Sano K, Teruya M, Ishizaki Y, Makuuchi M. Appraisal of intraoperative ultrasonography during laparoscopic cholecystectomy. </w:t>
      </w:r>
      <w:r w:rsidRPr="00475BD2">
        <w:rPr>
          <w:rFonts w:ascii="Book Antiqua" w:hAnsi="Book Antiqua" w:cs="SimSun"/>
          <w:i/>
          <w:iCs/>
          <w:color w:val="000000"/>
          <w:lang w:val="en-US" w:eastAsia="zh-CN"/>
        </w:rPr>
        <w:t>Surgery</w:t>
      </w:r>
      <w:r w:rsidRPr="00124E11">
        <w:rPr>
          <w:rFonts w:ascii="Book Antiqua" w:hAnsi="Book Antiqua" w:cs="SimSun"/>
          <w:color w:val="000000"/>
          <w:lang w:val="en-US" w:eastAsia="zh-CN"/>
        </w:rPr>
        <w:t xml:space="preserve"> </w:t>
      </w:r>
      <w:r w:rsidRPr="00475BD2">
        <w:rPr>
          <w:rFonts w:ascii="Book Antiqua" w:hAnsi="Book Antiqua" w:cs="SimSun"/>
          <w:color w:val="000000"/>
          <w:lang w:val="en-US" w:eastAsia="zh-CN"/>
        </w:rPr>
        <w:t>1995;</w:t>
      </w:r>
      <w:r w:rsidRPr="00124E11">
        <w:rPr>
          <w:rFonts w:ascii="Book Antiqua" w:hAnsi="Book Antiqua" w:cs="SimSun"/>
          <w:color w:val="000000"/>
          <w:lang w:val="en-US" w:eastAsia="zh-CN"/>
        </w:rPr>
        <w:t xml:space="preserve"> </w:t>
      </w:r>
      <w:r w:rsidRPr="00475BD2">
        <w:rPr>
          <w:rFonts w:ascii="Book Antiqua" w:hAnsi="Book Antiqua" w:cs="SimSun"/>
          <w:b/>
          <w:bCs/>
          <w:color w:val="000000"/>
          <w:lang w:val="en-US" w:eastAsia="zh-CN"/>
        </w:rPr>
        <w:t>118</w:t>
      </w:r>
      <w:r w:rsidRPr="00475BD2">
        <w:rPr>
          <w:rFonts w:ascii="Book Antiqua" w:hAnsi="Book Antiqua" w:cs="SimSun"/>
          <w:color w:val="000000"/>
          <w:lang w:val="en-US" w:eastAsia="zh-CN"/>
        </w:rPr>
        <w:t>: 555-561 [PMID: 7652693 DOI: 10.1016/S0039-6060(05)80373-3]</w:t>
      </w:r>
    </w:p>
    <w:p w14:paraId="690AF10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34 </w:t>
      </w:r>
      <w:r w:rsidRPr="00475BD2">
        <w:rPr>
          <w:rFonts w:ascii="Book Antiqua" w:hAnsi="Book Antiqua" w:cs="SimSun"/>
          <w:b/>
          <w:bCs/>
          <w:color w:val="000000"/>
          <w:lang w:val="en-US" w:eastAsia="zh-CN"/>
        </w:rPr>
        <w:t>Barteau JA</w:t>
      </w:r>
      <w:r w:rsidRPr="00475BD2">
        <w:rPr>
          <w:rFonts w:ascii="Book Antiqua" w:hAnsi="Book Antiqua" w:cs="SimSun"/>
          <w:color w:val="000000"/>
          <w:lang w:val="en-US" w:eastAsia="zh-CN"/>
        </w:rPr>
        <w:t xml:space="preserve">, Castro D, Arregui ME, Tetik C. A comparison of intraoperative ultrasound versus cholangiography in the evaluation of the common bile duct </w:t>
      </w:r>
      <w:r w:rsidRPr="00475BD2">
        <w:rPr>
          <w:rFonts w:ascii="Book Antiqua" w:hAnsi="Book Antiqua" w:cs="SimSun"/>
          <w:color w:val="000000"/>
          <w:lang w:val="en-US" w:eastAsia="zh-CN"/>
        </w:rPr>
        <w:lastRenderedPageBreak/>
        <w:t>during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1995; </w:t>
      </w:r>
      <w:r w:rsidRPr="00475BD2">
        <w:rPr>
          <w:rFonts w:ascii="Book Antiqua" w:hAnsi="Book Antiqua" w:cs="SimSun"/>
          <w:b/>
          <w:bCs/>
          <w:color w:val="000000"/>
          <w:lang w:val="en-US" w:eastAsia="zh-CN"/>
        </w:rPr>
        <w:t>9</w:t>
      </w:r>
      <w:r w:rsidRPr="00475BD2">
        <w:rPr>
          <w:rFonts w:ascii="Book Antiqua" w:hAnsi="Book Antiqua" w:cs="SimSun"/>
          <w:color w:val="000000"/>
          <w:lang w:val="en-US" w:eastAsia="zh-CN"/>
        </w:rPr>
        <w:t>: 490-496 [PMID: 7676368 DOI: 10.1007/BF00206833]</w:t>
      </w:r>
    </w:p>
    <w:p w14:paraId="63CE3E96"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35 </w:t>
      </w:r>
      <w:r w:rsidRPr="00475BD2">
        <w:rPr>
          <w:rFonts w:ascii="Book Antiqua" w:hAnsi="Book Antiqua" w:cs="SimSun"/>
          <w:b/>
          <w:bCs/>
          <w:color w:val="000000"/>
          <w:lang w:val="en-US" w:eastAsia="zh-CN"/>
        </w:rPr>
        <w:t>Santambrogio R</w:t>
      </w:r>
      <w:r w:rsidRPr="00475BD2">
        <w:rPr>
          <w:rFonts w:ascii="Book Antiqua" w:hAnsi="Book Antiqua" w:cs="SimSun"/>
          <w:color w:val="000000"/>
          <w:lang w:val="en-US" w:eastAsia="zh-CN"/>
        </w:rPr>
        <w:t>, Bianchi P, Opocher E, Mantovani A, Schubert L, Ghelma F, Panzera M, Verga M, Spina GP. Intraoperative ultrasonography (IOUS) during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1996; </w:t>
      </w:r>
      <w:r w:rsidRPr="00475BD2">
        <w:rPr>
          <w:rFonts w:ascii="Book Antiqua" w:hAnsi="Book Antiqua" w:cs="SimSun"/>
          <w:b/>
          <w:bCs/>
          <w:color w:val="000000"/>
          <w:lang w:val="en-US" w:eastAsia="zh-CN"/>
        </w:rPr>
        <w:t>10</w:t>
      </w:r>
      <w:r w:rsidRPr="00475BD2">
        <w:rPr>
          <w:rFonts w:ascii="Book Antiqua" w:hAnsi="Book Antiqua" w:cs="SimSun"/>
          <w:color w:val="000000"/>
          <w:lang w:val="en-US" w:eastAsia="zh-CN"/>
        </w:rPr>
        <w:t>: 622-627 [PMID: 8662399 DOI: 10.1007/BF00188514]</w:t>
      </w:r>
    </w:p>
    <w:p w14:paraId="7A43E98A"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36 </w:t>
      </w:r>
      <w:r w:rsidRPr="00475BD2">
        <w:rPr>
          <w:rFonts w:ascii="Book Antiqua" w:hAnsi="Book Antiqua" w:cs="SimSun"/>
          <w:b/>
          <w:bCs/>
          <w:color w:val="000000"/>
          <w:lang w:val="en-US" w:eastAsia="zh-CN"/>
        </w:rPr>
        <w:t>Daly SC</w:t>
      </w:r>
      <w:r w:rsidRPr="00475BD2">
        <w:rPr>
          <w:rFonts w:ascii="Book Antiqua" w:hAnsi="Book Antiqua" w:cs="SimSun"/>
          <w:color w:val="000000"/>
          <w:lang w:val="en-US" w:eastAsia="zh-CN"/>
        </w:rPr>
        <w:t>, Deziel DJ, Li X, Thaqi M, Millikan KW, Myers JA, Bonomo S, Luu MB. Current practices in biliary surgery: Do we practice what we teach?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2016; </w:t>
      </w:r>
      <w:r w:rsidRPr="00475BD2">
        <w:rPr>
          <w:rFonts w:ascii="Book Antiqua" w:hAnsi="Book Antiqua" w:cs="SimSun"/>
          <w:b/>
          <w:bCs/>
          <w:color w:val="000000"/>
          <w:lang w:val="en-US" w:eastAsia="zh-CN"/>
        </w:rPr>
        <w:t>30</w:t>
      </w:r>
      <w:r w:rsidRPr="00475BD2">
        <w:rPr>
          <w:rFonts w:ascii="Book Antiqua" w:hAnsi="Book Antiqua" w:cs="SimSun"/>
          <w:color w:val="000000"/>
          <w:lang w:val="en-US" w:eastAsia="zh-CN"/>
        </w:rPr>
        <w:t>: 3345-3350 [PMID: 26541721 DOI: 10.1007/s00464-015-4609-8]</w:t>
      </w:r>
    </w:p>
    <w:p w14:paraId="1A63464D"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37 </w:t>
      </w:r>
      <w:r w:rsidRPr="00475BD2">
        <w:rPr>
          <w:rFonts w:ascii="Book Antiqua" w:hAnsi="Book Antiqua" w:cs="SimSun"/>
          <w:b/>
          <w:bCs/>
          <w:color w:val="000000"/>
          <w:lang w:val="en-US" w:eastAsia="zh-CN"/>
        </w:rPr>
        <w:t>Aziz O</w:t>
      </w:r>
      <w:r w:rsidRPr="00475BD2">
        <w:rPr>
          <w:rFonts w:ascii="Book Antiqua" w:hAnsi="Book Antiqua" w:cs="SimSun"/>
          <w:color w:val="000000"/>
          <w:lang w:val="en-US" w:eastAsia="zh-CN"/>
        </w:rPr>
        <w:t>, Ashrafian H, Jones C, Harling L, Kumar S, Garas G, Holme T, Darzi A, Zacharakis E, Athanasiou T. Laparoscopic ultrasonography versus intra-operative cholangiogram for the detection of common bile duct stones during laparoscopic cholecystectomy: a meta-analysis of diagnostic accuracy. </w:t>
      </w:r>
      <w:r w:rsidRPr="00475BD2">
        <w:rPr>
          <w:rFonts w:ascii="Book Antiqua" w:hAnsi="Book Antiqua" w:cs="SimSun"/>
          <w:i/>
          <w:iCs/>
          <w:color w:val="000000"/>
          <w:lang w:val="en-US" w:eastAsia="zh-CN"/>
        </w:rPr>
        <w:t>Int J Surg</w:t>
      </w:r>
      <w:r w:rsidRPr="00475BD2">
        <w:rPr>
          <w:rFonts w:ascii="Book Antiqua" w:hAnsi="Book Antiqua" w:cs="SimSun"/>
          <w:color w:val="000000"/>
          <w:lang w:val="en-US" w:eastAsia="zh-CN"/>
        </w:rPr>
        <w:t xml:space="preserve"> 2014; </w:t>
      </w:r>
      <w:r w:rsidRPr="00475BD2">
        <w:rPr>
          <w:rFonts w:ascii="Book Antiqua" w:hAnsi="Book Antiqua" w:cs="SimSun"/>
          <w:b/>
          <w:bCs/>
          <w:color w:val="000000"/>
          <w:lang w:val="en-US" w:eastAsia="zh-CN"/>
        </w:rPr>
        <w:t>12</w:t>
      </w:r>
      <w:r w:rsidRPr="00475BD2">
        <w:rPr>
          <w:rFonts w:ascii="Book Antiqua" w:hAnsi="Book Antiqua" w:cs="SimSun"/>
          <w:color w:val="000000"/>
          <w:lang w:val="en-US" w:eastAsia="zh-CN"/>
        </w:rPr>
        <w:t>: 712-719 [PMID: 24861544 DOI: 10.1016/j.ijsu.2014.05.038]</w:t>
      </w:r>
    </w:p>
    <w:p w14:paraId="6D8CB27D"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38 </w:t>
      </w:r>
      <w:r w:rsidRPr="00475BD2">
        <w:rPr>
          <w:rFonts w:ascii="Book Antiqua" w:hAnsi="Book Antiqua" w:cs="SimSun"/>
          <w:b/>
          <w:bCs/>
          <w:color w:val="000000"/>
          <w:lang w:val="en-US" w:eastAsia="zh-CN"/>
        </w:rPr>
        <w:t>Jamal KN</w:t>
      </w:r>
      <w:r w:rsidRPr="00475BD2">
        <w:rPr>
          <w:rFonts w:ascii="Book Antiqua" w:hAnsi="Book Antiqua" w:cs="SimSun"/>
          <w:color w:val="000000"/>
          <w:lang w:val="en-US" w:eastAsia="zh-CN"/>
        </w:rPr>
        <w:t>, Smith H, Ratnasingham K, Siddiqui MR, McLachlan G, Belgaumkar AP. Meta-analysis of the diagnostic accuracy of laparoscopic ultrasonography and intraoperative cholangiography in detection of common bile duct stones. </w:t>
      </w:r>
      <w:r w:rsidRPr="00475BD2">
        <w:rPr>
          <w:rFonts w:ascii="Book Antiqua" w:hAnsi="Book Antiqua" w:cs="SimSun"/>
          <w:i/>
          <w:iCs/>
          <w:color w:val="000000"/>
          <w:lang w:val="en-US" w:eastAsia="zh-CN"/>
        </w:rPr>
        <w:t>Ann R Coll Surg Engl</w:t>
      </w:r>
      <w:r w:rsidRPr="00475BD2">
        <w:rPr>
          <w:rFonts w:ascii="Book Antiqua" w:hAnsi="Book Antiqua" w:cs="SimSun"/>
          <w:color w:val="000000"/>
          <w:lang w:val="en-US" w:eastAsia="zh-CN"/>
        </w:rPr>
        <w:t> 2016; </w:t>
      </w:r>
      <w:r w:rsidRPr="00475BD2">
        <w:rPr>
          <w:rFonts w:ascii="Book Antiqua" w:hAnsi="Book Antiqua" w:cs="SimSun"/>
          <w:b/>
          <w:bCs/>
          <w:color w:val="000000"/>
          <w:lang w:val="en-US" w:eastAsia="zh-CN"/>
        </w:rPr>
        <w:t>98</w:t>
      </w:r>
      <w:r w:rsidRPr="00475BD2">
        <w:rPr>
          <w:rFonts w:ascii="Book Antiqua" w:hAnsi="Book Antiqua" w:cs="SimSun"/>
          <w:color w:val="000000"/>
          <w:lang w:val="en-US" w:eastAsia="zh-CN"/>
        </w:rPr>
        <w:t>: 244-249 [PMID: 26985813 DOI: 10.1308/rcsann.2016.0068]</w:t>
      </w:r>
    </w:p>
    <w:p w14:paraId="49A8604B"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39 </w:t>
      </w:r>
      <w:r w:rsidRPr="00475BD2">
        <w:rPr>
          <w:rFonts w:ascii="Book Antiqua" w:hAnsi="Book Antiqua" w:cs="SimSun"/>
          <w:b/>
          <w:bCs/>
          <w:color w:val="000000"/>
          <w:lang w:val="en-US" w:eastAsia="zh-CN"/>
        </w:rPr>
        <w:t>Babel N</w:t>
      </w:r>
      <w:r w:rsidRPr="00475BD2">
        <w:rPr>
          <w:rFonts w:ascii="Book Antiqua" w:hAnsi="Book Antiqua" w:cs="SimSun"/>
          <w:color w:val="000000"/>
          <w:lang w:val="en-US" w:eastAsia="zh-CN"/>
        </w:rPr>
        <w:t>, Sakpal SV, Paragi P, Wellen J, Feldman S, Chamberlain RS. Iatrogenic bile duct injury associated with anomalies of the right hepatic sectoral ducts: a misunderstood and underappreciated problem. </w:t>
      </w:r>
      <w:r w:rsidRPr="00475BD2">
        <w:rPr>
          <w:rFonts w:ascii="Book Antiqua" w:hAnsi="Book Antiqua" w:cs="SimSun"/>
          <w:i/>
          <w:iCs/>
          <w:color w:val="000000"/>
          <w:lang w:val="en-US" w:eastAsia="zh-CN"/>
        </w:rPr>
        <w:t>HPB Surg</w:t>
      </w:r>
      <w:r w:rsidRPr="00475BD2">
        <w:rPr>
          <w:rFonts w:ascii="Book Antiqua" w:hAnsi="Book Antiqua" w:cs="SimSun"/>
          <w:color w:val="000000"/>
          <w:lang w:val="en-US" w:eastAsia="zh-CN"/>
        </w:rPr>
        <w:t> 2009; </w:t>
      </w:r>
      <w:r w:rsidRPr="00475BD2">
        <w:rPr>
          <w:rFonts w:ascii="Book Antiqua" w:hAnsi="Book Antiqua" w:cs="SimSun"/>
          <w:b/>
          <w:bCs/>
          <w:color w:val="000000"/>
          <w:lang w:val="en-US" w:eastAsia="zh-CN"/>
        </w:rPr>
        <w:t>2009</w:t>
      </w:r>
      <w:r w:rsidRPr="00475BD2">
        <w:rPr>
          <w:rFonts w:ascii="Book Antiqua" w:hAnsi="Book Antiqua" w:cs="SimSun"/>
          <w:color w:val="000000"/>
          <w:lang w:val="en-US" w:eastAsia="zh-CN"/>
        </w:rPr>
        <w:t>: 153269 [PMID: 19753137 DOI: 10.1155/2009/153269]</w:t>
      </w:r>
    </w:p>
    <w:p w14:paraId="5B82F2E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40 </w:t>
      </w:r>
      <w:r w:rsidRPr="00475BD2">
        <w:rPr>
          <w:rFonts w:ascii="Book Antiqua" w:hAnsi="Book Antiqua" w:cs="SimSun"/>
          <w:b/>
          <w:bCs/>
          <w:color w:val="000000"/>
          <w:lang w:val="en-US" w:eastAsia="zh-CN"/>
        </w:rPr>
        <w:t>Izuishi K</w:t>
      </w:r>
      <w:r w:rsidRPr="00475BD2">
        <w:rPr>
          <w:rFonts w:ascii="Book Antiqua" w:hAnsi="Book Antiqua" w:cs="SimSun"/>
          <w:color w:val="000000"/>
          <w:lang w:val="en-US" w:eastAsia="zh-CN"/>
        </w:rPr>
        <w:t>, Toyama Y, Nakano S, Goda F, Usuki H, Masaki T, Maeta H. Preoperative assessment of the aberrant bile duct using multislice computed tomography cholangiography. </w:t>
      </w:r>
      <w:r w:rsidRPr="00475BD2">
        <w:rPr>
          <w:rFonts w:ascii="Book Antiqua" w:hAnsi="Book Antiqua" w:cs="SimSun"/>
          <w:i/>
          <w:iCs/>
          <w:color w:val="000000"/>
          <w:lang w:val="en-US" w:eastAsia="zh-CN"/>
        </w:rPr>
        <w:t>Am J Surg</w:t>
      </w:r>
      <w:r w:rsidRPr="00475BD2">
        <w:rPr>
          <w:rFonts w:ascii="Book Antiqua" w:hAnsi="Book Antiqua" w:cs="SimSun"/>
          <w:color w:val="000000"/>
          <w:lang w:val="en-US" w:eastAsia="zh-CN"/>
        </w:rPr>
        <w:t xml:space="preserve"> 2005; </w:t>
      </w:r>
      <w:r w:rsidRPr="00475BD2">
        <w:rPr>
          <w:rFonts w:ascii="Book Antiqua" w:hAnsi="Book Antiqua" w:cs="SimSun"/>
          <w:b/>
          <w:bCs/>
          <w:color w:val="000000"/>
          <w:lang w:val="en-US" w:eastAsia="zh-CN"/>
        </w:rPr>
        <w:t>189</w:t>
      </w:r>
      <w:r w:rsidRPr="00475BD2">
        <w:rPr>
          <w:rFonts w:ascii="Book Antiqua" w:hAnsi="Book Antiqua" w:cs="SimSun"/>
          <w:color w:val="000000"/>
          <w:lang w:val="en-US" w:eastAsia="zh-CN"/>
        </w:rPr>
        <w:t>: 53-55 [PMID: 15701492 DOI: 10.1016/j.amjsurg.2004.06.039]</w:t>
      </w:r>
    </w:p>
    <w:p w14:paraId="49ACDFE8"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41 </w:t>
      </w:r>
      <w:r w:rsidRPr="00475BD2">
        <w:rPr>
          <w:rFonts w:ascii="Book Antiqua" w:hAnsi="Book Antiqua" w:cs="SimSun"/>
          <w:b/>
          <w:bCs/>
          <w:color w:val="000000"/>
          <w:lang w:val="en-US" w:eastAsia="zh-CN"/>
        </w:rPr>
        <w:t>Yoshida J</w:t>
      </w:r>
      <w:r w:rsidRPr="00475BD2">
        <w:rPr>
          <w:rFonts w:ascii="Book Antiqua" w:hAnsi="Book Antiqua" w:cs="SimSun"/>
          <w:color w:val="000000"/>
          <w:lang w:val="en-US" w:eastAsia="zh-CN"/>
        </w:rPr>
        <w:t>, Chijiiwa K, Yamaguchi K, Yokohata K, Tanaka M. Practical classification of the branching types of the biliary tree: an analysis of 1,094 consecutive direct cholangiograms. </w:t>
      </w:r>
      <w:r w:rsidRPr="00475BD2">
        <w:rPr>
          <w:rFonts w:ascii="Book Antiqua" w:hAnsi="Book Antiqua" w:cs="SimSun"/>
          <w:i/>
          <w:iCs/>
          <w:color w:val="000000"/>
          <w:lang w:val="en-US" w:eastAsia="zh-CN"/>
        </w:rPr>
        <w:t>J Am Coll Surg</w:t>
      </w:r>
      <w:r w:rsidRPr="00475BD2">
        <w:rPr>
          <w:rFonts w:ascii="Book Antiqua" w:hAnsi="Book Antiqua" w:cs="SimSun"/>
          <w:color w:val="000000"/>
          <w:lang w:val="en-US" w:eastAsia="zh-CN"/>
        </w:rPr>
        <w:t> 1996; </w:t>
      </w:r>
      <w:r w:rsidRPr="00475BD2">
        <w:rPr>
          <w:rFonts w:ascii="Book Antiqua" w:hAnsi="Book Antiqua" w:cs="SimSun"/>
          <w:b/>
          <w:bCs/>
          <w:color w:val="000000"/>
          <w:lang w:val="en-US" w:eastAsia="zh-CN"/>
        </w:rPr>
        <w:t>182</w:t>
      </w:r>
      <w:r w:rsidRPr="00475BD2">
        <w:rPr>
          <w:rFonts w:ascii="Book Antiqua" w:hAnsi="Book Antiqua" w:cs="SimSun"/>
          <w:color w:val="000000"/>
          <w:lang w:val="en-US" w:eastAsia="zh-CN"/>
        </w:rPr>
        <w:t>: 37-40 [PMID: 8542087]</w:t>
      </w:r>
    </w:p>
    <w:p w14:paraId="0816A146" w14:textId="75F45CB0"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lastRenderedPageBreak/>
        <w:t>42 </w:t>
      </w:r>
      <w:r w:rsidRPr="00475BD2">
        <w:rPr>
          <w:rFonts w:ascii="Book Antiqua" w:hAnsi="Book Antiqua" w:cs="SimSun"/>
          <w:b/>
          <w:bCs/>
          <w:color w:val="000000"/>
          <w:lang w:val="en-US" w:eastAsia="zh-CN"/>
        </w:rPr>
        <w:t>Hashimoto M</w:t>
      </w:r>
      <w:r w:rsidRPr="00475BD2">
        <w:rPr>
          <w:rFonts w:ascii="Book Antiqua" w:hAnsi="Book Antiqua" w:cs="SimSun"/>
          <w:color w:val="000000"/>
          <w:lang w:val="en-US" w:eastAsia="zh-CN"/>
        </w:rPr>
        <w:t xml:space="preserve">, Matsuda M, Watanabe G. Intraoperative ultrasonography for reducing bile duct injury during laparoscopic cholecystectomy. </w:t>
      </w:r>
      <w:r w:rsidRPr="00475BD2">
        <w:rPr>
          <w:rFonts w:ascii="Book Antiqua" w:hAnsi="Book Antiqua" w:cs="SimSun"/>
          <w:i/>
          <w:iCs/>
          <w:color w:val="000000"/>
          <w:lang w:val="en-US" w:eastAsia="zh-CN"/>
        </w:rPr>
        <w:t>Hepatogastroenterology</w:t>
      </w:r>
      <w:r w:rsidRPr="00124E11">
        <w:rPr>
          <w:rFonts w:ascii="Book Antiqua" w:hAnsi="Book Antiqua" w:cs="SimSun"/>
          <w:color w:val="000000"/>
          <w:lang w:val="en-US" w:eastAsia="zh-CN"/>
        </w:rPr>
        <w:t xml:space="preserve"> </w:t>
      </w:r>
      <w:r w:rsidRPr="00475BD2">
        <w:rPr>
          <w:rFonts w:ascii="Book Antiqua" w:hAnsi="Book Antiqua" w:cs="SimSun"/>
          <w:color w:val="000000"/>
          <w:lang w:val="en-US" w:eastAsia="zh-CN"/>
        </w:rPr>
        <w:t>2010; </w:t>
      </w:r>
      <w:r w:rsidRPr="00475BD2">
        <w:rPr>
          <w:rFonts w:ascii="Book Antiqua" w:hAnsi="Book Antiqua" w:cs="SimSun"/>
          <w:b/>
          <w:bCs/>
          <w:color w:val="000000"/>
          <w:lang w:val="en-US" w:eastAsia="zh-CN"/>
        </w:rPr>
        <w:t>57</w:t>
      </w:r>
      <w:r w:rsidRPr="00475BD2">
        <w:rPr>
          <w:rFonts w:ascii="Book Antiqua" w:hAnsi="Book Antiqua" w:cs="SimSun"/>
          <w:color w:val="000000"/>
          <w:lang w:val="en-US" w:eastAsia="zh-CN"/>
        </w:rPr>
        <w:t>: 706-709 [PMID: 21033214]</w:t>
      </w:r>
    </w:p>
    <w:p w14:paraId="6735B3A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43 </w:t>
      </w:r>
      <w:r w:rsidRPr="00475BD2">
        <w:rPr>
          <w:rFonts w:ascii="Book Antiqua" w:hAnsi="Book Antiqua" w:cs="SimSun"/>
          <w:b/>
          <w:bCs/>
          <w:color w:val="000000"/>
          <w:lang w:val="en-US" w:eastAsia="zh-CN"/>
        </w:rPr>
        <w:t>Shen BY</w:t>
      </w:r>
      <w:r w:rsidRPr="00475BD2">
        <w:rPr>
          <w:rFonts w:ascii="Book Antiqua" w:hAnsi="Book Antiqua" w:cs="SimSun"/>
          <w:color w:val="000000"/>
          <w:lang w:val="en-US" w:eastAsia="zh-CN"/>
        </w:rPr>
        <w:t xml:space="preserve">, Li HW, Chen M, Zheng MH, Zang L, Jiang SM, Li JW, Jiang Y. Color Doppler ultrasonographic assessment of the risk of injury to major branch of the middle hepatic vein during laparoscopic cholecystectomy. </w:t>
      </w:r>
      <w:r w:rsidRPr="00475BD2">
        <w:rPr>
          <w:rFonts w:ascii="Book Antiqua" w:hAnsi="Book Antiqua" w:cs="SimSun"/>
          <w:i/>
          <w:iCs/>
          <w:color w:val="000000"/>
          <w:lang w:val="en-US" w:eastAsia="zh-CN"/>
        </w:rPr>
        <w:t>Hepatobiliary Pancreat Dis Int</w:t>
      </w:r>
      <w:r w:rsidRPr="00475BD2">
        <w:rPr>
          <w:rFonts w:ascii="Book Antiqua" w:hAnsi="Book Antiqua" w:cs="SimSun"/>
          <w:color w:val="000000"/>
          <w:lang w:val="en-US" w:eastAsia="zh-CN"/>
        </w:rPr>
        <w:t> 2003; </w:t>
      </w:r>
      <w:r w:rsidRPr="00475BD2">
        <w:rPr>
          <w:rFonts w:ascii="Book Antiqua" w:hAnsi="Book Antiqua" w:cs="SimSun"/>
          <w:b/>
          <w:bCs/>
          <w:color w:val="000000"/>
          <w:lang w:val="en-US" w:eastAsia="zh-CN"/>
        </w:rPr>
        <w:t>2</w:t>
      </w:r>
      <w:r w:rsidRPr="00475BD2">
        <w:rPr>
          <w:rFonts w:ascii="Book Antiqua" w:hAnsi="Book Antiqua" w:cs="SimSun"/>
          <w:color w:val="000000"/>
          <w:lang w:val="en-US" w:eastAsia="zh-CN"/>
        </w:rPr>
        <w:t>: 126-130 [PMID: 14607664]</w:t>
      </w:r>
    </w:p>
    <w:p w14:paraId="123AC500"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44 </w:t>
      </w:r>
      <w:r w:rsidRPr="00475BD2">
        <w:rPr>
          <w:rFonts w:ascii="Book Antiqua" w:hAnsi="Book Antiqua" w:cs="SimSun"/>
          <w:b/>
          <w:bCs/>
          <w:color w:val="000000"/>
          <w:lang w:val="en-US" w:eastAsia="zh-CN"/>
        </w:rPr>
        <w:t>Yau HM</w:t>
      </w:r>
      <w:r w:rsidRPr="00475BD2">
        <w:rPr>
          <w:rFonts w:ascii="Book Antiqua" w:hAnsi="Book Antiqua" w:cs="SimSun"/>
          <w:color w:val="000000"/>
          <w:lang w:val="en-US" w:eastAsia="zh-CN"/>
        </w:rPr>
        <w:t>, Lee KT, Kao EL, Chuang HY, Chou SH, Huang MF. Color Doppler ultrasound detection and classification of the tangential hepatic vein before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2005; </w:t>
      </w:r>
      <w:r w:rsidRPr="00475BD2">
        <w:rPr>
          <w:rFonts w:ascii="Book Antiqua" w:hAnsi="Book Antiqua" w:cs="SimSun"/>
          <w:b/>
          <w:bCs/>
          <w:color w:val="000000"/>
          <w:lang w:val="en-US" w:eastAsia="zh-CN"/>
        </w:rPr>
        <w:t>19</w:t>
      </w:r>
      <w:r w:rsidRPr="00475BD2">
        <w:rPr>
          <w:rFonts w:ascii="Book Antiqua" w:hAnsi="Book Antiqua" w:cs="SimSun"/>
          <w:color w:val="000000"/>
          <w:lang w:val="en-US" w:eastAsia="zh-CN"/>
        </w:rPr>
        <w:t>: 1377-1380 [PMID: 16228862 DOI: 10.1007/s00464-004-2251-y]</w:t>
      </w:r>
    </w:p>
    <w:p w14:paraId="73A4399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45 </w:t>
      </w:r>
      <w:r w:rsidRPr="00475BD2">
        <w:rPr>
          <w:rFonts w:ascii="Book Antiqua" w:hAnsi="Book Antiqua" w:cs="SimSun"/>
          <w:b/>
          <w:bCs/>
          <w:color w:val="000000"/>
          <w:lang w:val="en-US" w:eastAsia="zh-CN"/>
        </w:rPr>
        <w:t>Misawa T</w:t>
      </w:r>
      <w:r w:rsidRPr="00475BD2">
        <w:rPr>
          <w:rFonts w:ascii="Book Antiqua" w:hAnsi="Book Antiqua" w:cs="SimSun"/>
          <w:color w:val="000000"/>
          <w:lang w:val="en-US" w:eastAsia="zh-CN"/>
        </w:rPr>
        <w:t>, Koike M, Suzuki K, Unemura Y, Murai R, Yoshida K, Kobayashi S, Yamazaki Y. Ultrasonographic assessment of the risk of injury to branches of the middle hepatic vein during laparoscopic cholecystectomy. </w:t>
      </w:r>
      <w:r w:rsidRPr="00475BD2">
        <w:rPr>
          <w:rFonts w:ascii="Book Antiqua" w:hAnsi="Book Antiqua" w:cs="SimSun"/>
          <w:i/>
          <w:iCs/>
          <w:color w:val="000000"/>
          <w:lang w:val="en-US" w:eastAsia="zh-CN"/>
        </w:rPr>
        <w:t>Am J Surg</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178</w:t>
      </w:r>
      <w:r w:rsidRPr="00475BD2">
        <w:rPr>
          <w:rFonts w:ascii="Book Antiqua" w:hAnsi="Book Antiqua" w:cs="SimSun"/>
          <w:color w:val="000000"/>
          <w:lang w:val="en-US" w:eastAsia="zh-CN"/>
        </w:rPr>
        <w:t>: 418-421 [PMID: 10612541 DOI: 10.1016/S0002-9610(99)00202-0]</w:t>
      </w:r>
    </w:p>
    <w:p w14:paraId="7E4300BE" w14:textId="090B0EF0"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46 </w:t>
      </w:r>
      <w:r w:rsidRPr="00475BD2">
        <w:rPr>
          <w:rFonts w:ascii="Book Antiqua" w:hAnsi="Book Antiqua" w:cs="SimSun"/>
          <w:b/>
          <w:bCs/>
          <w:color w:val="000000"/>
          <w:lang w:val="en-US" w:eastAsia="zh-CN"/>
        </w:rPr>
        <w:t>Birth M</w:t>
      </w:r>
      <w:r w:rsidRPr="00475BD2">
        <w:rPr>
          <w:rFonts w:ascii="Book Antiqua" w:hAnsi="Book Antiqua" w:cs="SimSun"/>
          <w:color w:val="000000"/>
          <w:lang w:val="en-US" w:eastAsia="zh-CN"/>
        </w:rPr>
        <w:t>, Lossin P, Brugmans F, Weiser HF. Vascular injuries within the hepatoduodenal ligament: recognition by laparoscopic color Doppler ultrasound.</w:t>
      </w:r>
      <w:r w:rsidRPr="00124E11">
        <w:rPr>
          <w:rFonts w:ascii="Book Antiqua" w:hAnsi="Book Antiqua" w:cs="SimSun"/>
          <w:color w:val="000000"/>
          <w:lang w:val="en-US" w:eastAsia="zh-CN"/>
        </w:rPr>
        <w:t xml:space="preserve">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2000; </w:t>
      </w:r>
      <w:r w:rsidRPr="00475BD2">
        <w:rPr>
          <w:rFonts w:ascii="Book Antiqua" w:hAnsi="Book Antiqua" w:cs="SimSun"/>
          <w:b/>
          <w:bCs/>
          <w:color w:val="000000"/>
          <w:lang w:val="en-US" w:eastAsia="zh-CN"/>
        </w:rPr>
        <w:t>14</w:t>
      </w:r>
      <w:r w:rsidRPr="00475BD2">
        <w:rPr>
          <w:rFonts w:ascii="Book Antiqua" w:hAnsi="Book Antiqua" w:cs="SimSun"/>
          <w:color w:val="000000"/>
          <w:lang w:val="en-US" w:eastAsia="zh-CN"/>
        </w:rPr>
        <w:t>: 246-249 [PMID: 10741442 DOI: 10.1007/s004640000028]</w:t>
      </w:r>
    </w:p>
    <w:p w14:paraId="6B806897"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47 </w:t>
      </w:r>
      <w:r w:rsidRPr="00475BD2">
        <w:rPr>
          <w:rFonts w:ascii="Book Antiqua" w:hAnsi="Book Antiqua" w:cs="SimSun"/>
          <w:b/>
          <w:bCs/>
          <w:color w:val="000000"/>
          <w:lang w:val="en-US" w:eastAsia="zh-CN"/>
        </w:rPr>
        <w:t>Pfluke JM</w:t>
      </w:r>
      <w:r w:rsidRPr="00475BD2">
        <w:rPr>
          <w:rFonts w:ascii="Book Antiqua" w:hAnsi="Book Antiqua" w:cs="SimSun"/>
          <w:color w:val="000000"/>
          <w:lang w:val="en-US" w:eastAsia="zh-CN"/>
        </w:rPr>
        <w:t>, Bowers SP. Laparoscopic intraoperative biliary ultrasonography: findings during laparoscopic cholecystectomy for acute disease. </w:t>
      </w:r>
      <w:r w:rsidRPr="00475BD2">
        <w:rPr>
          <w:rFonts w:ascii="Book Antiqua" w:hAnsi="Book Antiqua" w:cs="SimSun"/>
          <w:i/>
          <w:iCs/>
          <w:color w:val="000000"/>
          <w:lang w:val="en-US" w:eastAsia="zh-CN"/>
        </w:rPr>
        <w:t>J Laparoendosc Adv Surg Tech A</w:t>
      </w:r>
      <w:r w:rsidRPr="00475BD2">
        <w:rPr>
          <w:rFonts w:ascii="Book Antiqua" w:hAnsi="Book Antiqua" w:cs="SimSun"/>
          <w:color w:val="000000"/>
          <w:lang w:val="en-US" w:eastAsia="zh-CN"/>
        </w:rPr>
        <w:t> 2011; </w:t>
      </w:r>
      <w:r w:rsidRPr="00475BD2">
        <w:rPr>
          <w:rFonts w:ascii="Book Antiqua" w:hAnsi="Book Antiqua" w:cs="SimSun"/>
          <w:b/>
          <w:bCs/>
          <w:color w:val="000000"/>
          <w:lang w:val="en-US" w:eastAsia="zh-CN"/>
        </w:rPr>
        <w:t>21</w:t>
      </w:r>
      <w:r w:rsidRPr="00475BD2">
        <w:rPr>
          <w:rFonts w:ascii="Book Antiqua" w:hAnsi="Book Antiqua" w:cs="SimSun"/>
          <w:color w:val="000000"/>
          <w:lang w:val="en-US" w:eastAsia="zh-CN"/>
        </w:rPr>
        <w:t>: 505-509 [PMID: 21675861 DOI: 10.1089/lap.2010.0280]</w:t>
      </w:r>
    </w:p>
    <w:p w14:paraId="38395487"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48 </w:t>
      </w:r>
      <w:r w:rsidRPr="00475BD2">
        <w:rPr>
          <w:rFonts w:ascii="Book Antiqua" w:hAnsi="Book Antiqua" w:cs="SimSun"/>
          <w:b/>
          <w:bCs/>
          <w:color w:val="000000"/>
          <w:lang w:val="en-US" w:eastAsia="zh-CN"/>
        </w:rPr>
        <w:t>Hakamada K</w:t>
      </w:r>
      <w:r w:rsidRPr="00475BD2">
        <w:rPr>
          <w:rFonts w:ascii="Book Antiqua" w:hAnsi="Book Antiqua" w:cs="SimSun"/>
          <w:color w:val="000000"/>
          <w:lang w:val="en-US" w:eastAsia="zh-CN"/>
        </w:rPr>
        <w:t>, Narumi S, Toyoki Y, Nara M, Oohashi M, Miura T, Jin H, Yoshihara S, Sugai M, Sasaki M. Intraoperative ultrasound as an educational guide for laparoscopic biliary surgery. </w:t>
      </w:r>
      <w:r w:rsidRPr="00475BD2">
        <w:rPr>
          <w:rFonts w:ascii="Book Antiqua" w:hAnsi="Book Antiqua" w:cs="SimSun"/>
          <w:i/>
          <w:iCs/>
          <w:color w:val="000000"/>
          <w:lang w:val="en-US" w:eastAsia="zh-CN"/>
        </w:rPr>
        <w:t>World J Gastroenterol</w:t>
      </w:r>
      <w:r w:rsidRPr="00475BD2">
        <w:rPr>
          <w:rFonts w:ascii="Book Antiqua" w:hAnsi="Book Antiqua" w:cs="SimSun"/>
          <w:color w:val="000000"/>
          <w:lang w:val="en-US" w:eastAsia="zh-CN"/>
        </w:rPr>
        <w:t xml:space="preserve"> 2008; </w:t>
      </w:r>
      <w:r w:rsidRPr="00475BD2">
        <w:rPr>
          <w:rFonts w:ascii="Book Antiqua" w:hAnsi="Book Antiqua" w:cs="SimSun"/>
          <w:b/>
          <w:bCs/>
          <w:color w:val="000000"/>
          <w:lang w:val="en-US" w:eastAsia="zh-CN"/>
        </w:rPr>
        <w:t>14</w:t>
      </w:r>
      <w:r w:rsidRPr="00475BD2">
        <w:rPr>
          <w:rFonts w:ascii="Book Antiqua" w:hAnsi="Book Antiqua" w:cs="SimSun"/>
          <w:color w:val="000000"/>
          <w:lang w:val="en-US" w:eastAsia="zh-CN"/>
        </w:rPr>
        <w:t>: 2370-2376 [PMID: 18416464 DOI: 10.3748/wjg.14.2370]</w:t>
      </w:r>
    </w:p>
    <w:p w14:paraId="0A6C99A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49 </w:t>
      </w:r>
      <w:r w:rsidRPr="00475BD2">
        <w:rPr>
          <w:rFonts w:ascii="Book Antiqua" w:hAnsi="Book Antiqua" w:cs="SimSun"/>
          <w:b/>
          <w:bCs/>
          <w:color w:val="000000"/>
          <w:lang w:val="en-US" w:eastAsia="zh-CN"/>
        </w:rPr>
        <w:t>Li JW</w:t>
      </w:r>
      <w:r w:rsidRPr="00475BD2">
        <w:rPr>
          <w:rFonts w:ascii="Book Antiqua" w:hAnsi="Book Antiqua" w:cs="SimSun"/>
          <w:color w:val="000000"/>
          <w:lang w:val="en-US" w:eastAsia="zh-CN"/>
        </w:rPr>
        <w:t>, Feng B, Wu L, Wang ML, Lu AG, Zang L, Mao ZH, Dong F, Zheng MH. Intraoperative cholangiography in combination with laparoscopic ultrasonography for the detection of occult choledocholithiasis. </w:t>
      </w:r>
      <w:r w:rsidRPr="00475BD2">
        <w:rPr>
          <w:rFonts w:ascii="Book Antiqua" w:hAnsi="Book Antiqua" w:cs="SimSun"/>
          <w:i/>
          <w:iCs/>
          <w:color w:val="000000"/>
          <w:lang w:val="en-US" w:eastAsia="zh-CN"/>
        </w:rPr>
        <w:t>Med Sci Monit</w:t>
      </w:r>
      <w:r w:rsidRPr="00475BD2">
        <w:rPr>
          <w:rFonts w:ascii="Book Antiqua" w:hAnsi="Book Antiqua" w:cs="SimSun"/>
          <w:color w:val="000000"/>
          <w:lang w:val="en-US" w:eastAsia="zh-CN"/>
        </w:rPr>
        <w:t> 2009; </w:t>
      </w:r>
      <w:r w:rsidRPr="00475BD2">
        <w:rPr>
          <w:rFonts w:ascii="Book Antiqua" w:hAnsi="Book Antiqua" w:cs="SimSun"/>
          <w:b/>
          <w:bCs/>
          <w:color w:val="000000"/>
          <w:lang w:val="en-US" w:eastAsia="zh-CN"/>
        </w:rPr>
        <w:t>15</w:t>
      </w:r>
      <w:r w:rsidRPr="00475BD2">
        <w:rPr>
          <w:rFonts w:ascii="Book Antiqua" w:hAnsi="Book Antiqua" w:cs="SimSun"/>
          <w:color w:val="000000"/>
          <w:lang w:val="en-US" w:eastAsia="zh-CN"/>
        </w:rPr>
        <w:t>: MT126-MT130 [PMID: 19721408]</w:t>
      </w:r>
    </w:p>
    <w:p w14:paraId="034EA67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lastRenderedPageBreak/>
        <w:t>50 </w:t>
      </w:r>
      <w:r w:rsidRPr="00475BD2">
        <w:rPr>
          <w:rFonts w:ascii="Book Antiqua" w:hAnsi="Book Antiqua" w:cs="SimSun"/>
          <w:b/>
          <w:bCs/>
          <w:color w:val="000000"/>
          <w:lang w:val="en-US" w:eastAsia="zh-CN"/>
        </w:rPr>
        <w:t>Perry KA</w:t>
      </w:r>
      <w:r w:rsidRPr="00475BD2">
        <w:rPr>
          <w:rFonts w:ascii="Book Antiqua" w:hAnsi="Book Antiqua" w:cs="SimSun"/>
          <w:color w:val="000000"/>
          <w:lang w:val="en-US" w:eastAsia="zh-CN"/>
        </w:rPr>
        <w:t>, Myers JA, Deziel DJ. Laparoscopic ultrasound as the primary method for bile duct imaging during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xml:space="preserve"> 2008; </w:t>
      </w:r>
      <w:r w:rsidRPr="00475BD2">
        <w:rPr>
          <w:rFonts w:ascii="Book Antiqua" w:hAnsi="Book Antiqua" w:cs="SimSun"/>
          <w:b/>
          <w:bCs/>
          <w:color w:val="000000"/>
          <w:lang w:val="en-US" w:eastAsia="zh-CN"/>
        </w:rPr>
        <w:t>22</w:t>
      </w:r>
      <w:r w:rsidRPr="00475BD2">
        <w:rPr>
          <w:rFonts w:ascii="Book Antiqua" w:hAnsi="Book Antiqua" w:cs="SimSun"/>
          <w:color w:val="000000"/>
          <w:lang w:val="en-US" w:eastAsia="zh-CN"/>
        </w:rPr>
        <w:t>: 208-213 [PMID: 17721807 DOI: 10.1007/s00464-007-9558-4]</w:t>
      </w:r>
    </w:p>
    <w:p w14:paraId="7B559339"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51 </w:t>
      </w:r>
      <w:r w:rsidRPr="00475BD2">
        <w:rPr>
          <w:rFonts w:ascii="Book Antiqua" w:hAnsi="Book Antiqua" w:cs="SimSun"/>
          <w:b/>
          <w:bCs/>
          <w:color w:val="000000"/>
          <w:lang w:val="en-US" w:eastAsia="zh-CN"/>
        </w:rPr>
        <w:t>Machi J</w:t>
      </w:r>
      <w:r w:rsidRPr="00475BD2">
        <w:rPr>
          <w:rFonts w:ascii="Book Antiqua" w:hAnsi="Book Antiqua" w:cs="SimSun"/>
          <w:color w:val="000000"/>
          <w:lang w:val="en-US" w:eastAsia="zh-CN"/>
        </w:rPr>
        <w:t>, Oishi AJ, Tajiri T, Murayama KM, Furumoto NL, Oishi RH. Routine laparoscopic ultrasound can significantly reduce the need for selective intraoperative cholangiography during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2007; </w:t>
      </w:r>
      <w:r w:rsidRPr="00475BD2">
        <w:rPr>
          <w:rFonts w:ascii="Book Antiqua" w:hAnsi="Book Antiqua" w:cs="SimSun"/>
          <w:b/>
          <w:bCs/>
          <w:color w:val="000000"/>
          <w:lang w:val="en-US" w:eastAsia="zh-CN"/>
        </w:rPr>
        <w:t>21</w:t>
      </w:r>
      <w:r w:rsidRPr="00475BD2">
        <w:rPr>
          <w:rFonts w:ascii="Book Antiqua" w:hAnsi="Book Antiqua" w:cs="SimSun"/>
          <w:color w:val="000000"/>
          <w:lang w:val="en-US" w:eastAsia="zh-CN"/>
        </w:rPr>
        <w:t>: 270-274 [PMID: 17122981 DOI: 10.1007/s00464-005-0817-y]</w:t>
      </w:r>
    </w:p>
    <w:p w14:paraId="1CFDEA0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52 </w:t>
      </w:r>
      <w:r w:rsidRPr="00475BD2">
        <w:rPr>
          <w:rFonts w:ascii="Book Antiqua" w:hAnsi="Book Antiqua" w:cs="SimSun"/>
          <w:b/>
          <w:bCs/>
          <w:color w:val="000000"/>
          <w:lang w:val="en-US" w:eastAsia="zh-CN"/>
        </w:rPr>
        <w:t>Catheline JM</w:t>
      </w:r>
      <w:r w:rsidRPr="00475BD2">
        <w:rPr>
          <w:rFonts w:ascii="Book Antiqua" w:hAnsi="Book Antiqua" w:cs="SimSun"/>
          <w:color w:val="000000"/>
          <w:lang w:val="en-US" w:eastAsia="zh-CN"/>
        </w:rPr>
        <w:t>, Turner R, Rizk N, Barrat C, Buenos P, Champault G. Evaluation of the biliary tree during laparoscopic cholecystectomy: laparoscopic ultrasound versus intraoperative cholangiography: a prospective study of 150 cases. </w:t>
      </w:r>
      <w:r w:rsidRPr="00475BD2">
        <w:rPr>
          <w:rFonts w:ascii="Book Antiqua" w:hAnsi="Book Antiqua" w:cs="SimSun"/>
          <w:i/>
          <w:iCs/>
          <w:color w:val="000000"/>
          <w:lang w:val="en-US" w:eastAsia="zh-CN"/>
        </w:rPr>
        <w:t>Surg Laparosc Endosc</w:t>
      </w:r>
      <w:r w:rsidRPr="00475BD2">
        <w:rPr>
          <w:rFonts w:ascii="Book Antiqua" w:hAnsi="Book Antiqua" w:cs="SimSun"/>
          <w:color w:val="000000"/>
          <w:lang w:val="en-US" w:eastAsia="zh-CN"/>
        </w:rPr>
        <w:t> 1998; </w:t>
      </w:r>
      <w:r w:rsidRPr="00475BD2">
        <w:rPr>
          <w:rFonts w:ascii="Book Antiqua" w:hAnsi="Book Antiqua" w:cs="SimSun"/>
          <w:b/>
          <w:bCs/>
          <w:color w:val="000000"/>
          <w:lang w:val="en-US" w:eastAsia="zh-CN"/>
        </w:rPr>
        <w:t>8</w:t>
      </w:r>
      <w:r w:rsidRPr="00475BD2">
        <w:rPr>
          <w:rFonts w:ascii="Book Antiqua" w:hAnsi="Book Antiqua" w:cs="SimSun"/>
          <w:color w:val="000000"/>
          <w:lang w:val="en-US" w:eastAsia="zh-CN"/>
        </w:rPr>
        <w:t>: 85-91 [PMID: 9566558 DOI: 10.1097/00019509-199804000-00001]</w:t>
      </w:r>
    </w:p>
    <w:p w14:paraId="54088DD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53 </w:t>
      </w:r>
      <w:r w:rsidRPr="00475BD2">
        <w:rPr>
          <w:rFonts w:ascii="Book Antiqua" w:hAnsi="Book Antiqua" w:cs="SimSun"/>
          <w:b/>
          <w:bCs/>
          <w:color w:val="000000"/>
          <w:lang w:val="en-US" w:eastAsia="zh-CN"/>
        </w:rPr>
        <w:t>Gwinn EC</w:t>
      </w:r>
      <w:r w:rsidRPr="00475BD2">
        <w:rPr>
          <w:rFonts w:ascii="Book Antiqua" w:hAnsi="Book Antiqua" w:cs="SimSun"/>
          <w:color w:val="000000"/>
          <w:lang w:val="en-US" w:eastAsia="zh-CN"/>
        </w:rPr>
        <w:t xml:space="preserve">, Daly S, Deziel DJ. The use of laparoscopic ultrasound in difficult cholecystectomy cases significantly decreases morbidity. </w:t>
      </w:r>
      <w:r w:rsidRPr="00475BD2">
        <w:rPr>
          <w:rFonts w:ascii="Book Antiqua" w:hAnsi="Book Antiqua" w:cs="SimSun"/>
          <w:i/>
          <w:iCs/>
          <w:color w:val="000000"/>
          <w:lang w:val="en-US" w:eastAsia="zh-CN"/>
        </w:rPr>
        <w:t>Surgery</w:t>
      </w:r>
      <w:r w:rsidRPr="00475BD2">
        <w:rPr>
          <w:rFonts w:ascii="Book Antiqua" w:hAnsi="Book Antiqua" w:cs="SimSun"/>
          <w:color w:val="000000"/>
          <w:lang w:val="en-US" w:eastAsia="zh-CN"/>
        </w:rPr>
        <w:t xml:space="preserve"> 2013; </w:t>
      </w:r>
      <w:r w:rsidRPr="00475BD2">
        <w:rPr>
          <w:rFonts w:ascii="Book Antiqua" w:hAnsi="Book Antiqua" w:cs="SimSun"/>
          <w:b/>
          <w:bCs/>
          <w:color w:val="000000"/>
          <w:lang w:val="en-US" w:eastAsia="zh-CN"/>
        </w:rPr>
        <w:t>154</w:t>
      </w:r>
      <w:r w:rsidRPr="00475BD2">
        <w:rPr>
          <w:rFonts w:ascii="Book Antiqua" w:hAnsi="Book Antiqua" w:cs="SimSun"/>
          <w:color w:val="000000"/>
          <w:lang w:val="en-US" w:eastAsia="zh-CN"/>
        </w:rPr>
        <w:t>: 909-915; discussion 915-917 [PMID: 24074430 DOI: 10.1016/j.surg.2013.04.041]</w:t>
      </w:r>
    </w:p>
    <w:p w14:paraId="6735ABB8"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54 </w:t>
      </w:r>
      <w:r w:rsidRPr="00475BD2">
        <w:rPr>
          <w:rFonts w:ascii="Book Antiqua" w:hAnsi="Book Antiqua" w:cs="SimSun"/>
          <w:b/>
          <w:bCs/>
          <w:color w:val="000000"/>
          <w:lang w:val="en-US" w:eastAsia="zh-CN"/>
        </w:rPr>
        <w:t>Machi J</w:t>
      </w:r>
      <w:r w:rsidRPr="00475BD2">
        <w:rPr>
          <w:rFonts w:ascii="Book Antiqua" w:hAnsi="Book Antiqua" w:cs="SimSun"/>
          <w:color w:val="000000"/>
          <w:lang w:val="en-US" w:eastAsia="zh-CN"/>
        </w:rPr>
        <w:t xml:space="preserve">, Johnson JO, Deziel DJ, Soper NJ, Berber E, Siperstein A, Hata M, Patel A, Singh K, Arregui ME. The routine use of laparoscopic ultrasound decreases bile duct injury: a multicenter study.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2009; </w:t>
      </w:r>
      <w:r w:rsidRPr="00475BD2">
        <w:rPr>
          <w:rFonts w:ascii="Book Antiqua" w:hAnsi="Book Antiqua" w:cs="SimSun"/>
          <w:b/>
          <w:bCs/>
          <w:color w:val="000000"/>
          <w:lang w:val="en-US" w:eastAsia="zh-CN"/>
        </w:rPr>
        <w:t>23</w:t>
      </w:r>
      <w:r w:rsidRPr="00475BD2">
        <w:rPr>
          <w:rFonts w:ascii="Book Antiqua" w:hAnsi="Book Antiqua" w:cs="SimSun"/>
          <w:color w:val="000000"/>
          <w:lang w:val="en-US" w:eastAsia="zh-CN"/>
        </w:rPr>
        <w:t>: 384-388 [PMID: 18528611 DOI: 10.1007/s00464-008-9985-x]</w:t>
      </w:r>
    </w:p>
    <w:p w14:paraId="1109AA68"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55 </w:t>
      </w:r>
      <w:r w:rsidRPr="00475BD2">
        <w:rPr>
          <w:rFonts w:ascii="Book Antiqua" w:hAnsi="Book Antiqua" w:cs="SimSun"/>
          <w:b/>
          <w:bCs/>
          <w:color w:val="000000"/>
          <w:lang w:val="en-US" w:eastAsia="zh-CN"/>
        </w:rPr>
        <w:t>Biffl WL</w:t>
      </w:r>
      <w:r w:rsidRPr="00475BD2">
        <w:rPr>
          <w:rFonts w:ascii="Book Antiqua" w:hAnsi="Book Antiqua" w:cs="SimSun"/>
          <w:color w:val="000000"/>
          <w:lang w:val="en-US" w:eastAsia="zh-CN"/>
        </w:rPr>
        <w:t>, Moore EE, Offner PJ, Franciose RJ, Burch JM. Routine intraoperative laparoscopic ultrasonography with selective cholangiography reduces bile duct complications during laparoscopic cholecystectomy. </w:t>
      </w:r>
      <w:r w:rsidRPr="00475BD2">
        <w:rPr>
          <w:rFonts w:ascii="Book Antiqua" w:hAnsi="Book Antiqua" w:cs="SimSun"/>
          <w:i/>
          <w:iCs/>
          <w:color w:val="000000"/>
          <w:lang w:val="en-US" w:eastAsia="zh-CN"/>
        </w:rPr>
        <w:t>J Am Coll Surg</w:t>
      </w:r>
      <w:r w:rsidRPr="00475BD2">
        <w:rPr>
          <w:rFonts w:ascii="Book Antiqua" w:hAnsi="Book Antiqua" w:cs="SimSun"/>
          <w:color w:val="000000"/>
          <w:lang w:val="en-US" w:eastAsia="zh-CN"/>
        </w:rPr>
        <w:t> 2001; </w:t>
      </w:r>
      <w:r w:rsidRPr="00475BD2">
        <w:rPr>
          <w:rFonts w:ascii="Book Antiqua" w:hAnsi="Book Antiqua" w:cs="SimSun"/>
          <w:b/>
          <w:bCs/>
          <w:color w:val="000000"/>
          <w:lang w:val="en-US" w:eastAsia="zh-CN"/>
        </w:rPr>
        <w:t>193</w:t>
      </w:r>
      <w:r w:rsidRPr="00475BD2">
        <w:rPr>
          <w:rFonts w:ascii="Book Antiqua" w:hAnsi="Book Antiqua" w:cs="SimSun"/>
          <w:color w:val="000000"/>
          <w:lang w:val="en-US" w:eastAsia="zh-CN"/>
        </w:rPr>
        <w:t>: 272-280 [PMID: 11548797 DOI: 10.1016/S1072-7515(01)00991-7]</w:t>
      </w:r>
    </w:p>
    <w:p w14:paraId="3ADB1539"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56 </w:t>
      </w:r>
      <w:r w:rsidRPr="00475BD2">
        <w:rPr>
          <w:rFonts w:ascii="Book Antiqua" w:hAnsi="Book Antiqua" w:cs="SimSun"/>
          <w:b/>
          <w:bCs/>
          <w:color w:val="000000"/>
          <w:lang w:val="en-US" w:eastAsia="zh-CN"/>
        </w:rPr>
        <w:t>Deziel DJ</w:t>
      </w:r>
      <w:r w:rsidRPr="00475BD2">
        <w:rPr>
          <w:rFonts w:ascii="Book Antiqua" w:hAnsi="Book Antiqua" w:cs="SimSun"/>
          <w:color w:val="000000"/>
          <w:lang w:val="en-US" w:eastAsia="zh-CN"/>
        </w:rPr>
        <w:t>. Complications of cholecystectomy. Incidence, clinical manifestations, and diagnosis. </w:t>
      </w:r>
      <w:r w:rsidRPr="00475BD2">
        <w:rPr>
          <w:rFonts w:ascii="Book Antiqua" w:hAnsi="Book Antiqua" w:cs="SimSun"/>
          <w:i/>
          <w:iCs/>
          <w:color w:val="000000"/>
          <w:lang w:val="en-US" w:eastAsia="zh-CN"/>
        </w:rPr>
        <w:t>Surg Clin North Am</w:t>
      </w:r>
      <w:r w:rsidRPr="00475BD2">
        <w:rPr>
          <w:rFonts w:ascii="Book Antiqua" w:hAnsi="Book Antiqua" w:cs="SimSun"/>
          <w:color w:val="000000"/>
          <w:lang w:val="en-US" w:eastAsia="zh-CN"/>
        </w:rPr>
        <w:t> 1994; </w:t>
      </w:r>
      <w:r w:rsidRPr="00475BD2">
        <w:rPr>
          <w:rFonts w:ascii="Book Antiqua" w:hAnsi="Book Antiqua" w:cs="SimSun"/>
          <w:b/>
          <w:bCs/>
          <w:color w:val="000000"/>
          <w:lang w:val="en-US" w:eastAsia="zh-CN"/>
        </w:rPr>
        <w:t>74</w:t>
      </w:r>
      <w:r w:rsidRPr="00475BD2">
        <w:rPr>
          <w:rFonts w:ascii="Book Antiqua" w:hAnsi="Book Antiqua" w:cs="SimSun"/>
          <w:color w:val="000000"/>
          <w:lang w:val="en-US" w:eastAsia="zh-CN"/>
        </w:rPr>
        <w:t>: 809-823 [PMID: 8047943]</w:t>
      </w:r>
    </w:p>
    <w:p w14:paraId="01CA0374"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57 </w:t>
      </w:r>
      <w:r w:rsidRPr="00475BD2">
        <w:rPr>
          <w:rFonts w:ascii="Book Antiqua" w:hAnsi="Book Antiqua" w:cs="SimSun"/>
          <w:b/>
          <w:bCs/>
          <w:color w:val="000000"/>
          <w:lang w:val="en-US" w:eastAsia="zh-CN"/>
        </w:rPr>
        <w:t>Zha Y</w:t>
      </w:r>
      <w:r w:rsidRPr="00475BD2">
        <w:rPr>
          <w:rFonts w:ascii="Book Antiqua" w:hAnsi="Book Antiqua" w:cs="SimSun"/>
          <w:color w:val="000000"/>
          <w:lang w:val="en-US" w:eastAsia="zh-CN"/>
        </w:rPr>
        <w:t>, Chen XR, Luo D, Jin Y. The prevention of major bile duct injures in laparoscopic cholecystectomy: the experience with 13,000 patients in a single center. </w:t>
      </w:r>
      <w:r w:rsidRPr="00475BD2">
        <w:rPr>
          <w:rFonts w:ascii="Book Antiqua" w:hAnsi="Book Antiqua" w:cs="SimSun"/>
          <w:i/>
          <w:iCs/>
          <w:color w:val="000000"/>
          <w:lang w:val="en-US" w:eastAsia="zh-CN"/>
        </w:rPr>
        <w:t>Surg Laparosc Endosc Percutan Tech</w:t>
      </w:r>
      <w:r w:rsidRPr="00475BD2">
        <w:rPr>
          <w:rFonts w:ascii="Book Antiqua" w:hAnsi="Book Antiqua" w:cs="SimSun"/>
          <w:color w:val="000000"/>
          <w:lang w:val="en-US" w:eastAsia="zh-CN"/>
        </w:rPr>
        <w:t> 2010; </w:t>
      </w:r>
      <w:r w:rsidRPr="00475BD2">
        <w:rPr>
          <w:rFonts w:ascii="Book Antiqua" w:hAnsi="Book Antiqua" w:cs="SimSun"/>
          <w:b/>
          <w:bCs/>
          <w:color w:val="000000"/>
          <w:lang w:val="en-US" w:eastAsia="zh-CN"/>
        </w:rPr>
        <w:t>20</w:t>
      </w:r>
      <w:r w:rsidRPr="00475BD2">
        <w:rPr>
          <w:rFonts w:ascii="Book Antiqua" w:hAnsi="Book Antiqua" w:cs="SimSun"/>
          <w:color w:val="000000"/>
          <w:lang w:val="en-US" w:eastAsia="zh-CN"/>
        </w:rPr>
        <w:t>: 378-383 [PMID: 21150413 DOI: 10.1097/SLE.0b013e3182008efb]</w:t>
      </w:r>
    </w:p>
    <w:p w14:paraId="3DF32127"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58 </w:t>
      </w:r>
      <w:r w:rsidRPr="00475BD2">
        <w:rPr>
          <w:rFonts w:ascii="Book Antiqua" w:hAnsi="Book Antiqua" w:cs="SimSun"/>
          <w:b/>
          <w:bCs/>
          <w:color w:val="000000"/>
          <w:lang w:val="en-US" w:eastAsia="zh-CN"/>
        </w:rPr>
        <w:t>Hori T</w:t>
      </w:r>
      <w:r w:rsidRPr="00475BD2">
        <w:rPr>
          <w:rFonts w:ascii="Book Antiqua" w:hAnsi="Book Antiqua" w:cs="SimSun"/>
          <w:color w:val="000000"/>
          <w:lang w:val="en-US" w:eastAsia="zh-CN"/>
        </w:rPr>
        <w:t xml:space="preserve">, Oike F, Furuyama H, Machimoto T, Kadokawa Y, Hata T, Kato S, Yasukawa D, Aisu Y, Sasaki M, Kimura Y, Takamatsu Y, Naito M, Nakauchi M, Tanaka T, Gunji D, Nakamura K, Sato K, Mizuno M, Iida T, Yagi S, Uemoto S, </w:t>
      </w:r>
      <w:r w:rsidRPr="00475BD2">
        <w:rPr>
          <w:rFonts w:ascii="Book Antiqua" w:hAnsi="Book Antiqua" w:cs="SimSun"/>
          <w:color w:val="000000"/>
          <w:lang w:val="en-US" w:eastAsia="zh-CN"/>
        </w:rPr>
        <w:lastRenderedPageBreak/>
        <w:t>Yoshimura T. Protocol for laparoscopic cholecystectomy: Is it rocket science? </w:t>
      </w:r>
      <w:r w:rsidRPr="00475BD2">
        <w:rPr>
          <w:rFonts w:ascii="Book Antiqua" w:hAnsi="Book Antiqua" w:cs="SimSun"/>
          <w:i/>
          <w:iCs/>
          <w:color w:val="000000"/>
          <w:lang w:val="en-US" w:eastAsia="zh-CN"/>
        </w:rPr>
        <w:t>World J Gastroenterol</w:t>
      </w:r>
      <w:r w:rsidRPr="00475BD2">
        <w:rPr>
          <w:rFonts w:ascii="Book Antiqua" w:hAnsi="Book Antiqua" w:cs="SimSun"/>
          <w:color w:val="000000"/>
          <w:lang w:val="en-US" w:eastAsia="zh-CN"/>
        </w:rPr>
        <w:t> 2016; </w:t>
      </w:r>
      <w:r w:rsidRPr="00475BD2">
        <w:rPr>
          <w:rFonts w:ascii="Book Antiqua" w:hAnsi="Book Antiqua" w:cs="SimSun"/>
          <w:b/>
          <w:bCs/>
          <w:color w:val="000000"/>
          <w:lang w:val="en-US" w:eastAsia="zh-CN"/>
        </w:rPr>
        <w:t>22</w:t>
      </w:r>
      <w:r w:rsidRPr="00475BD2">
        <w:rPr>
          <w:rFonts w:ascii="Book Antiqua" w:hAnsi="Book Antiqua" w:cs="SimSun"/>
          <w:color w:val="000000"/>
          <w:lang w:val="en-US" w:eastAsia="zh-CN"/>
        </w:rPr>
        <w:t>: 10287-10303 [PMID: 28058010 DOI: 10.3748/wjg.v22.i47.10287]</w:t>
      </w:r>
    </w:p>
    <w:p w14:paraId="334BAED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59 </w:t>
      </w:r>
      <w:r w:rsidRPr="00475BD2">
        <w:rPr>
          <w:rFonts w:ascii="Book Antiqua" w:hAnsi="Book Antiqua" w:cs="SimSun"/>
          <w:b/>
          <w:bCs/>
          <w:color w:val="000000"/>
          <w:lang w:val="en-US" w:eastAsia="zh-CN"/>
        </w:rPr>
        <w:t>Avgerinos C</w:t>
      </w:r>
      <w:r w:rsidRPr="00475BD2">
        <w:rPr>
          <w:rFonts w:ascii="Book Antiqua" w:hAnsi="Book Antiqua" w:cs="SimSun"/>
          <w:color w:val="000000"/>
          <w:lang w:val="en-US" w:eastAsia="zh-CN"/>
        </w:rPr>
        <w:t>, Kelgiorgi D, Touloumis Z, Baltatzi L, Dervenis C. One thousand laparoscopic cholecystectomies in a single surgical unit using the "critical view of safety" technique. </w:t>
      </w:r>
      <w:r w:rsidRPr="00475BD2">
        <w:rPr>
          <w:rFonts w:ascii="Book Antiqua" w:hAnsi="Book Antiqua" w:cs="SimSun"/>
          <w:i/>
          <w:iCs/>
          <w:color w:val="000000"/>
          <w:lang w:val="en-US" w:eastAsia="zh-CN"/>
        </w:rPr>
        <w:t>J Gastrointest Surg</w:t>
      </w:r>
      <w:r w:rsidRPr="00475BD2">
        <w:rPr>
          <w:rFonts w:ascii="Book Antiqua" w:hAnsi="Book Antiqua" w:cs="SimSun"/>
          <w:color w:val="000000"/>
          <w:lang w:val="en-US" w:eastAsia="zh-CN"/>
        </w:rPr>
        <w:t xml:space="preserve"> 2009; </w:t>
      </w:r>
      <w:r w:rsidRPr="00475BD2">
        <w:rPr>
          <w:rFonts w:ascii="Book Antiqua" w:hAnsi="Book Antiqua" w:cs="SimSun"/>
          <w:b/>
          <w:bCs/>
          <w:color w:val="000000"/>
          <w:lang w:val="en-US" w:eastAsia="zh-CN"/>
        </w:rPr>
        <w:t>13</w:t>
      </w:r>
      <w:r w:rsidRPr="00475BD2">
        <w:rPr>
          <w:rFonts w:ascii="Book Antiqua" w:hAnsi="Book Antiqua" w:cs="SimSun"/>
          <w:color w:val="000000"/>
          <w:lang w:val="en-US" w:eastAsia="zh-CN"/>
        </w:rPr>
        <w:t>: 498-503 [PMID: 19009323 DOI: 10.1007/s11605-008-0748-8]</w:t>
      </w:r>
    </w:p>
    <w:p w14:paraId="798008A8"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 xml:space="preserve">60 </w:t>
      </w:r>
      <w:r w:rsidRPr="00475BD2">
        <w:rPr>
          <w:rFonts w:ascii="Book Antiqua" w:hAnsi="Book Antiqua" w:cs="SimSun"/>
          <w:b/>
          <w:color w:val="000000"/>
          <w:lang w:val="en-US" w:eastAsia="zh-CN"/>
        </w:rPr>
        <w:t>Sanjay P</w:t>
      </w:r>
      <w:r w:rsidRPr="00475BD2">
        <w:rPr>
          <w:rFonts w:ascii="Book Antiqua" w:hAnsi="Book Antiqua" w:cs="SimSun"/>
          <w:color w:val="000000"/>
          <w:lang w:val="en-US" w:eastAsia="zh-CN"/>
        </w:rPr>
        <w:t>, Fulke JL, Exon DJ. "Critical view of safety" as an alternative to routine intraoperative cholangiography during laparoscopic cholecystectomy for acute biliary pathology.</w:t>
      </w:r>
      <w:r w:rsidRPr="00475BD2">
        <w:rPr>
          <w:rFonts w:ascii="Book Antiqua" w:hAnsi="Book Antiqua" w:cs="SimSun"/>
          <w:i/>
          <w:color w:val="000000"/>
          <w:lang w:val="en-US" w:eastAsia="zh-CN"/>
        </w:rPr>
        <w:t xml:space="preserve"> J Gastrointest Surg</w:t>
      </w:r>
      <w:r w:rsidRPr="00475BD2">
        <w:rPr>
          <w:rFonts w:ascii="Book Antiqua" w:hAnsi="Book Antiqua" w:cs="SimSun"/>
          <w:color w:val="000000"/>
          <w:lang w:val="en-US" w:eastAsia="zh-CN"/>
        </w:rPr>
        <w:t xml:space="preserve"> 2010; </w:t>
      </w:r>
      <w:r w:rsidRPr="00475BD2">
        <w:rPr>
          <w:rFonts w:ascii="Book Antiqua" w:hAnsi="Book Antiqua" w:cs="SimSun"/>
          <w:b/>
          <w:color w:val="000000"/>
          <w:lang w:val="en-US" w:eastAsia="zh-CN"/>
        </w:rPr>
        <w:t>14</w:t>
      </w:r>
      <w:r w:rsidRPr="00475BD2">
        <w:rPr>
          <w:rFonts w:ascii="Book Antiqua" w:hAnsi="Book Antiqua" w:cs="SimSun"/>
          <w:color w:val="000000"/>
          <w:lang w:val="en-US" w:eastAsia="zh-CN"/>
        </w:rPr>
        <w:t>: 1280-1284 [PMID: 20535578 DOI: 10.1007/s11605-010-1251-6]</w:t>
      </w:r>
    </w:p>
    <w:p w14:paraId="3FD913F6"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61 </w:t>
      </w:r>
      <w:r w:rsidRPr="00475BD2">
        <w:rPr>
          <w:rFonts w:ascii="Book Antiqua" w:hAnsi="Book Antiqua" w:cs="SimSun"/>
          <w:b/>
          <w:bCs/>
          <w:color w:val="000000"/>
          <w:lang w:val="en-US" w:eastAsia="zh-CN"/>
        </w:rPr>
        <w:t>Strasberg SM</w:t>
      </w:r>
      <w:r w:rsidRPr="00475BD2">
        <w:rPr>
          <w:rFonts w:ascii="Book Antiqua" w:hAnsi="Book Antiqua" w:cs="SimSun"/>
          <w:color w:val="000000"/>
          <w:lang w:val="en-US" w:eastAsia="zh-CN"/>
        </w:rPr>
        <w:t>, Brunt LM. Rationale and use of the critical view of safety in laparoscopic cholecystectomy. </w:t>
      </w:r>
      <w:r w:rsidRPr="00475BD2">
        <w:rPr>
          <w:rFonts w:ascii="Book Antiqua" w:hAnsi="Book Antiqua" w:cs="SimSun"/>
          <w:i/>
          <w:iCs/>
          <w:color w:val="000000"/>
          <w:lang w:val="en-US" w:eastAsia="zh-CN"/>
        </w:rPr>
        <w:t>J Am Coll Surg</w:t>
      </w:r>
      <w:r w:rsidRPr="00475BD2">
        <w:rPr>
          <w:rFonts w:ascii="Book Antiqua" w:hAnsi="Book Antiqua" w:cs="SimSun"/>
          <w:color w:val="000000"/>
          <w:lang w:val="en-US" w:eastAsia="zh-CN"/>
        </w:rPr>
        <w:t> 2010; </w:t>
      </w:r>
      <w:r w:rsidRPr="00475BD2">
        <w:rPr>
          <w:rFonts w:ascii="Book Antiqua" w:hAnsi="Book Antiqua" w:cs="SimSun"/>
          <w:b/>
          <w:bCs/>
          <w:color w:val="000000"/>
          <w:lang w:val="en-US" w:eastAsia="zh-CN"/>
        </w:rPr>
        <w:t>211</w:t>
      </w:r>
      <w:r w:rsidRPr="00475BD2">
        <w:rPr>
          <w:rFonts w:ascii="Book Antiqua" w:hAnsi="Book Antiqua" w:cs="SimSun"/>
          <w:color w:val="000000"/>
          <w:lang w:val="en-US" w:eastAsia="zh-CN"/>
        </w:rPr>
        <w:t>: 132-138 [PMID: 20610259 DOI: 10.1016/j.jamcollsurg.2010.02.053]</w:t>
      </w:r>
    </w:p>
    <w:p w14:paraId="05DF92A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62 </w:t>
      </w:r>
      <w:r w:rsidRPr="00475BD2">
        <w:rPr>
          <w:rFonts w:ascii="Book Antiqua" w:hAnsi="Book Antiqua" w:cs="SimSun"/>
          <w:b/>
          <w:bCs/>
          <w:color w:val="000000"/>
          <w:lang w:val="en-US" w:eastAsia="zh-CN"/>
        </w:rPr>
        <w:t>Yamashita Y</w:t>
      </w:r>
      <w:r w:rsidRPr="00475BD2">
        <w:rPr>
          <w:rFonts w:ascii="Book Antiqua" w:hAnsi="Book Antiqua" w:cs="SimSun"/>
          <w:color w:val="000000"/>
          <w:lang w:val="en-US" w:eastAsia="zh-CN"/>
        </w:rPr>
        <w:t xml:space="preserve">, Kimura T, Matsumoto S. A safe laparoscopic cholecystectomy depends upon the establishment of a critical view of safety. </w:t>
      </w:r>
      <w:r w:rsidRPr="00475BD2">
        <w:rPr>
          <w:rFonts w:ascii="Book Antiqua" w:hAnsi="Book Antiqua" w:cs="SimSun"/>
          <w:i/>
          <w:iCs/>
          <w:color w:val="000000"/>
          <w:lang w:val="en-US" w:eastAsia="zh-CN"/>
        </w:rPr>
        <w:t>Surg Today</w:t>
      </w:r>
      <w:r w:rsidRPr="00475BD2">
        <w:rPr>
          <w:rFonts w:ascii="Book Antiqua" w:hAnsi="Book Antiqua" w:cs="SimSun"/>
          <w:color w:val="000000"/>
          <w:lang w:val="en-US" w:eastAsia="zh-CN"/>
        </w:rPr>
        <w:t xml:space="preserve"> 2010; </w:t>
      </w:r>
      <w:r w:rsidRPr="00475BD2">
        <w:rPr>
          <w:rFonts w:ascii="Book Antiqua" w:hAnsi="Book Antiqua" w:cs="SimSun"/>
          <w:b/>
          <w:bCs/>
          <w:color w:val="000000"/>
          <w:lang w:val="en-US" w:eastAsia="zh-CN"/>
        </w:rPr>
        <w:t>40</w:t>
      </w:r>
      <w:r w:rsidRPr="00475BD2">
        <w:rPr>
          <w:rFonts w:ascii="Book Antiqua" w:hAnsi="Book Antiqua" w:cs="SimSun"/>
          <w:color w:val="000000"/>
          <w:lang w:val="en-US" w:eastAsia="zh-CN"/>
        </w:rPr>
        <w:t>: 507-513 [PMID: 20496131 DOI: 10.1007/s00595-009-4218-z]</w:t>
      </w:r>
    </w:p>
    <w:p w14:paraId="6D0A7CD7"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63 </w:t>
      </w:r>
      <w:r w:rsidRPr="00475BD2">
        <w:rPr>
          <w:rFonts w:ascii="Book Antiqua" w:hAnsi="Book Antiqua" w:cs="SimSun"/>
          <w:b/>
          <w:bCs/>
          <w:color w:val="000000"/>
          <w:lang w:val="en-US" w:eastAsia="zh-CN"/>
        </w:rPr>
        <w:t>de Reuver PR</w:t>
      </w:r>
      <w:r w:rsidRPr="00475BD2">
        <w:rPr>
          <w:rFonts w:ascii="Book Antiqua" w:hAnsi="Book Antiqua" w:cs="SimSun"/>
          <w:color w:val="000000"/>
          <w:lang w:val="en-US" w:eastAsia="zh-CN"/>
        </w:rPr>
        <w:t>, Rauws EA, Bruno MJ, Lameris JS, Busch OR, van Gulik TM, Gouma DJ. Survival in bile duct injury patients after laparoscopic cholecystectomy: a multidisciplinary approach of gastroenterologists, radiologists, and surgeons. </w:t>
      </w:r>
      <w:r w:rsidRPr="00475BD2">
        <w:rPr>
          <w:rFonts w:ascii="Book Antiqua" w:hAnsi="Book Antiqua" w:cs="SimSun"/>
          <w:i/>
          <w:iCs/>
          <w:color w:val="000000"/>
          <w:lang w:val="en-US" w:eastAsia="zh-CN"/>
        </w:rPr>
        <w:t>Surgery</w:t>
      </w:r>
      <w:r w:rsidRPr="00475BD2">
        <w:rPr>
          <w:rFonts w:ascii="Book Antiqua" w:hAnsi="Book Antiqua" w:cs="SimSun"/>
          <w:color w:val="000000"/>
          <w:lang w:val="en-US" w:eastAsia="zh-CN"/>
        </w:rPr>
        <w:t> 2007; </w:t>
      </w:r>
      <w:r w:rsidRPr="00475BD2">
        <w:rPr>
          <w:rFonts w:ascii="Book Antiqua" w:hAnsi="Book Antiqua" w:cs="SimSun"/>
          <w:b/>
          <w:bCs/>
          <w:color w:val="000000"/>
          <w:lang w:val="en-US" w:eastAsia="zh-CN"/>
        </w:rPr>
        <w:t>142</w:t>
      </w:r>
      <w:r w:rsidRPr="00475BD2">
        <w:rPr>
          <w:rFonts w:ascii="Book Antiqua" w:hAnsi="Book Antiqua" w:cs="SimSun"/>
          <w:color w:val="000000"/>
          <w:lang w:val="en-US" w:eastAsia="zh-CN"/>
        </w:rPr>
        <w:t>: 1-9 [PMID: 17629994 DOI: 10.1016/j.surg.2007.03.004]</w:t>
      </w:r>
    </w:p>
    <w:p w14:paraId="4664325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64 </w:t>
      </w:r>
      <w:r w:rsidRPr="00475BD2">
        <w:rPr>
          <w:rFonts w:ascii="Book Antiqua" w:hAnsi="Book Antiqua" w:cs="SimSun"/>
          <w:b/>
          <w:bCs/>
          <w:color w:val="000000"/>
          <w:lang w:val="en-US" w:eastAsia="zh-CN"/>
        </w:rPr>
        <w:t>Sherman JL</w:t>
      </w:r>
      <w:r w:rsidRPr="00475BD2">
        <w:rPr>
          <w:rFonts w:ascii="Book Antiqua" w:hAnsi="Book Antiqua" w:cs="SimSun"/>
          <w:color w:val="000000"/>
          <w:lang w:val="en-US" w:eastAsia="zh-CN"/>
        </w:rPr>
        <w:t>, Shi EW, Ranasinghe NE, Sivasankaran MT, Prigoff JG, Divino CM. Validation and improvement of a proposed scoring system to detect retained common bile duct stones in gallstone pancreatitis. </w:t>
      </w:r>
      <w:r w:rsidRPr="00475BD2">
        <w:rPr>
          <w:rFonts w:ascii="Book Antiqua" w:hAnsi="Book Antiqua" w:cs="SimSun"/>
          <w:i/>
          <w:iCs/>
          <w:color w:val="000000"/>
          <w:lang w:val="en-US" w:eastAsia="zh-CN"/>
        </w:rPr>
        <w:t>Surgery</w:t>
      </w:r>
      <w:r w:rsidRPr="00475BD2">
        <w:rPr>
          <w:rFonts w:ascii="Book Antiqua" w:hAnsi="Book Antiqua" w:cs="SimSun"/>
          <w:color w:val="000000"/>
          <w:lang w:val="en-US" w:eastAsia="zh-CN"/>
        </w:rPr>
        <w:t> 2015; </w:t>
      </w:r>
      <w:r w:rsidRPr="00475BD2">
        <w:rPr>
          <w:rFonts w:ascii="Book Antiqua" w:hAnsi="Book Antiqua" w:cs="SimSun"/>
          <w:b/>
          <w:bCs/>
          <w:color w:val="000000"/>
          <w:lang w:val="en-US" w:eastAsia="zh-CN"/>
        </w:rPr>
        <w:t>157</w:t>
      </w:r>
      <w:r w:rsidRPr="00475BD2">
        <w:rPr>
          <w:rFonts w:ascii="Book Antiqua" w:hAnsi="Book Antiqua" w:cs="SimSun"/>
          <w:color w:val="000000"/>
          <w:lang w:val="en-US" w:eastAsia="zh-CN"/>
        </w:rPr>
        <w:t>: 1073-1079 [PMID: 25712200 DOI: 10.1016/j.surg.2015.01.005]</w:t>
      </w:r>
    </w:p>
    <w:p w14:paraId="0CEB7B7D"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65 </w:t>
      </w:r>
      <w:r w:rsidRPr="00475BD2">
        <w:rPr>
          <w:rFonts w:ascii="Book Antiqua" w:hAnsi="Book Antiqua" w:cs="SimSun"/>
          <w:b/>
          <w:bCs/>
          <w:color w:val="000000"/>
          <w:lang w:val="en-US" w:eastAsia="zh-CN"/>
        </w:rPr>
        <w:t>Yang MH</w:t>
      </w:r>
      <w:r w:rsidRPr="00475BD2">
        <w:rPr>
          <w:rFonts w:ascii="Book Antiqua" w:hAnsi="Book Antiqua" w:cs="SimSun"/>
          <w:color w:val="000000"/>
          <w:lang w:val="en-US" w:eastAsia="zh-CN"/>
        </w:rPr>
        <w:t>, Chen TH, Wang SE, Tsai YF, Su CH, Wu CW, Lui WY, Shyr YM. Biochemical predictors for absence of common bile duct stones in patients undergoing laparoscopic cholecystectomy.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2008; </w:t>
      </w:r>
      <w:r w:rsidRPr="00475BD2">
        <w:rPr>
          <w:rFonts w:ascii="Book Antiqua" w:hAnsi="Book Antiqua" w:cs="SimSun"/>
          <w:b/>
          <w:bCs/>
          <w:color w:val="000000"/>
          <w:lang w:val="en-US" w:eastAsia="zh-CN"/>
        </w:rPr>
        <w:t>22</w:t>
      </w:r>
      <w:r w:rsidRPr="00475BD2">
        <w:rPr>
          <w:rFonts w:ascii="Book Antiqua" w:hAnsi="Book Antiqua" w:cs="SimSun"/>
          <w:color w:val="000000"/>
          <w:lang w:val="en-US" w:eastAsia="zh-CN"/>
        </w:rPr>
        <w:t>: 1620-1624 [PMID: 18000708 DOI: 10.1007/s00464-007-9665-2]</w:t>
      </w:r>
    </w:p>
    <w:p w14:paraId="40ED1C0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66 </w:t>
      </w:r>
      <w:r w:rsidRPr="00475BD2">
        <w:rPr>
          <w:rFonts w:ascii="Book Antiqua" w:hAnsi="Book Antiqua" w:cs="SimSun"/>
          <w:b/>
          <w:bCs/>
          <w:color w:val="000000"/>
          <w:lang w:val="en-US" w:eastAsia="zh-CN"/>
        </w:rPr>
        <w:t>Tranter SE</w:t>
      </w:r>
      <w:r w:rsidRPr="00475BD2">
        <w:rPr>
          <w:rFonts w:ascii="Book Antiqua" w:hAnsi="Book Antiqua" w:cs="SimSun"/>
          <w:color w:val="000000"/>
          <w:lang w:val="en-US" w:eastAsia="zh-CN"/>
        </w:rPr>
        <w:t xml:space="preserve">, Thompson MH. A prospective single-blinded controlled study comparing laparoscopic ultrasound of the common bile duct with operative </w:t>
      </w:r>
      <w:r w:rsidRPr="00475BD2">
        <w:rPr>
          <w:rFonts w:ascii="Book Antiqua" w:hAnsi="Book Antiqua" w:cs="SimSun"/>
          <w:color w:val="000000"/>
          <w:lang w:val="en-US" w:eastAsia="zh-CN"/>
        </w:rPr>
        <w:lastRenderedPageBreak/>
        <w:t>cholangiography. </w:t>
      </w:r>
      <w:r w:rsidRPr="00475BD2">
        <w:rPr>
          <w:rFonts w:ascii="Book Antiqua" w:hAnsi="Book Antiqua" w:cs="SimSun"/>
          <w:i/>
          <w:iCs/>
          <w:color w:val="000000"/>
          <w:lang w:val="en-US" w:eastAsia="zh-CN"/>
        </w:rPr>
        <w:t>Surg Endosc</w:t>
      </w:r>
      <w:r w:rsidRPr="00475BD2">
        <w:rPr>
          <w:rFonts w:ascii="Book Antiqua" w:hAnsi="Book Antiqua" w:cs="SimSun"/>
          <w:color w:val="000000"/>
          <w:lang w:val="en-US" w:eastAsia="zh-CN"/>
        </w:rPr>
        <w:t> 2003; </w:t>
      </w:r>
      <w:r w:rsidRPr="00475BD2">
        <w:rPr>
          <w:rFonts w:ascii="Book Antiqua" w:hAnsi="Book Antiqua" w:cs="SimSun"/>
          <w:b/>
          <w:bCs/>
          <w:color w:val="000000"/>
          <w:lang w:val="en-US" w:eastAsia="zh-CN"/>
        </w:rPr>
        <w:t>17</w:t>
      </w:r>
      <w:r w:rsidRPr="00475BD2">
        <w:rPr>
          <w:rFonts w:ascii="Book Antiqua" w:hAnsi="Book Antiqua" w:cs="SimSun"/>
          <w:color w:val="000000"/>
          <w:lang w:val="en-US" w:eastAsia="zh-CN"/>
        </w:rPr>
        <w:t>: 216-219 [PMID: 12457223 DOI: 10.1007/s00464-002-8911-x]</w:t>
      </w:r>
    </w:p>
    <w:p w14:paraId="6358825E"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67 </w:t>
      </w:r>
      <w:r w:rsidRPr="00475BD2">
        <w:rPr>
          <w:rFonts w:ascii="Book Antiqua" w:hAnsi="Book Antiqua" w:cs="SimSun"/>
          <w:b/>
          <w:bCs/>
          <w:color w:val="000000"/>
          <w:lang w:val="en-US" w:eastAsia="zh-CN"/>
        </w:rPr>
        <w:t>Shaaban H</w:t>
      </w:r>
      <w:r w:rsidRPr="00475BD2">
        <w:rPr>
          <w:rFonts w:ascii="Book Antiqua" w:hAnsi="Book Antiqua" w:cs="SimSun"/>
          <w:color w:val="000000"/>
          <w:lang w:val="en-US" w:eastAsia="zh-CN"/>
        </w:rPr>
        <w:t>, Welch A, Rao S. Laparoscopic ultrasound for the diagnosis of choledocholithiasis: quick, safe, and effective. </w:t>
      </w:r>
      <w:r w:rsidRPr="00475BD2">
        <w:rPr>
          <w:rFonts w:ascii="Book Antiqua" w:hAnsi="Book Antiqua" w:cs="SimSun"/>
          <w:i/>
          <w:iCs/>
          <w:color w:val="000000"/>
          <w:lang w:val="en-US" w:eastAsia="zh-CN"/>
        </w:rPr>
        <w:t>Surg Laparosc Endosc Percutan Tech</w:t>
      </w:r>
      <w:r w:rsidRPr="00475BD2">
        <w:rPr>
          <w:rFonts w:ascii="Book Antiqua" w:hAnsi="Book Antiqua" w:cs="SimSun"/>
          <w:color w:val="000000"/>
          <w:lang w:val="en-US" w:eastAsia="zh-CN"/>
        </w:rPr>
        <w:t> 2014; </w:t>
      </w:r>
      <w:r w:rsidRPr="00475BD2">
        <w:rPr>
          <w:rFonts w:ascii="Book Antiqua" w:hAnsi="Book Antiqua" w:cs="SimSun"/>
          <w:b/>
          <w:bCs/>
          <w:color w:val="000000"/>
          <w:lang w:val="en-US" w:eastAsia="zh-CN"/>
        </w:rPr>
        <w:t>24</w:t>
      </w:r>
      <w:r w:rsidRPr="00475BD2">
        <w:rPr>
          <w:rFonts w:ascii="Book Antiqua" w:hAnsi="Book Antiqua" w:cs="SimSun"/>
          <w:color w:val="000000"/>
          <w:lang w:val="en-US" w:eastAsia="zh-CN"/>
        </w:rPr>
        <w:t>: 274-276 [PMID: 24710230 DOI: 10.1097/SLE.0b013e31828fa907]</w:t>
      </w:r>
    </w:p>
    <w:p w14:paraId="558E43D6"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68 </w:t>
      </w:r>
      <w:r w:rsidRPr="00475BD2">
        <w:rPr>
          <w:rFonts w:ascii="Book Antiqua" w:hAnsi="Book Antiqua" w:cs="SimSun"/>
          <w:b/>
          <w:bCs/>
          <w:color w:val="000000"/>
          <w:lang w:val="en-US" w:eastAsia="zh-CN"/>
        </w:rPr>
        <w:t>Tranter SE</w:t>
      </w:r>
      <w:r w:rsidRPr="00475BD2">
        <w:rPr>
          <w:rFonts w:ascii="Book Antiqua" w:hAnsi="Book Antiqua" w:cs="SimSun"/>
          <w:color w:val="000000"/>
          <w:lang w:val="en-US" w:eastAsia="zh-CN"/>
        </w:rPr>
        <w:t>, Thompson MH. Potential of laparoscopic ultrasonography as an alternative to operative cholangiography in the detection of bile duct stones. </w:t>
      </w:r>
      <w:r w:rsidRPr="00475BD2">
        <w:rPr>
          <w:rFonts w:ascii="Book Antiqua" w:hAnsi="Book Antiqua" w:cs="SimSun"/>
          <w:i/>
          <w:iCs/>
          <w:color w:val="000000"/>
          <w:lang w:val="en-US" w:eastAsia="zh-CN"/>
        </w:rPr>
        <w:t>Br J Surg</w:t>
      </w:r>
      <w:r w:rsidRPr="00475BD2">
        <w:rPr>
          <w:rFonts w:ascii="Book Antiqua" w:hAnsi="Book Antiqua" w:cs="SimSun"/>
          <w:color w:val="000000"/>
          <w:lang w:val="en-US" w:eastAsia="zh-CN"/>
        </w:rPr>
        <w:t> 2001; </w:t>
      </w:r>
      <w:r w:rsidRPr="00475BD2">
        <w:rPr>
          <w:rFonts w:ascii="Book Antiqua" w:hAnsi="Book Antiqua" w:cs="SimSun"/>
          <w:b/>
          <w:bCs/>
          <w:color w:val="000000"/>
          <w:lang w:val="en-US" w:eastAsia="zh-CN"/>
        </w:rPr>
        <w:t>88</w:t>
      </w:r>
      <w:r w:rsidRPr="00475BD2">
        <w:rPr>
          <w:rFonts w:ascii="Book Antiqua" w:hAnsi="Book Antiqua" w:cs="SimSun"/>
          <w:color w:val="000000"/>
          <w:lang w:val="en-US" w:eastAsia="zh-CN"/>
        </w:rPr>
        <w:t>: 65-69 [PMID: 11136312 DOI: 10.1046/j.1365-2168.2001.01622.x]</w:t>
      </w:r>
    </w:p>
    <w:p w14:paraId="4DCD53F7"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69 </w:t>
      </w:r>
      <w:r w:rsidRPr="00475BD2">
        <w:rPr>
          <w:rFonts w:ascii="Book Antiqua" w:hAnsi="Book Antiqua" w:cs="SimSun"/>
          <w:b/>
          <w:bCs/>
          <w:color w:val="000000"/>
          <w:lang w:val="en-US" w:eastAsia="zh-CN"/>
        </w:rPr>
        <w:t>Lee SP</w:t>
      </w:r>
      <w:r w:rsidRPr="00475BD2">
        <w:rPr>
          <w:rFonts w:ascii="Book Antiqua" w:hAnsi="Book Antiqua" w:cs="SimSun"/>
          <w:color w:val="000000"/>
          <w:lang w:val="en-US" w:eastAsia="zh-CN"/>
        </w:rPr>
        <w:t>, Nicholls JF, Park HZ. Biliary sludge as a cause of acute pancreatitis. </w:t>
      </w:r>
      <w:r w:rsidRPr="00475BD2">
        <w:rPr>
          <w:rFonts w:ascii="Book Antiqua" w:hAnsi="Book Antiqua" w:cs="SimSun"/>
          <w:i/>
          <w:iCs/>
          <w:color w:val="000000"/>
          <w:lang w:val="en-US" w:eastAsia="zh-CN"/>
        </w:rPr>
        <w:t>N Engl J Med</w:t>
      </w:r>
      <w:r w:rsidRPr="00475BD2">
        <w:rPr>
          <w:rFonts w:ascii="Book Antiqua" w:hAnsi="Book Antiqua" w:cs="SimSun"/>
          <w:color w:val="000000"/>
          <w:lang w:val="en-US" w:eastAsia="zh-CN"/>
        </w:rPr>
        <w:t> 1992; </w:t>
      </w:r>
      <w:r w:rsidRPr="00475BD2">
        <w:rPr>
          <w:rFonts w:ascii="Book Antiqua" w:hAnsi="Book Antiqua" w:cs="SimSun"/>
          <w:b/>
          <w:bCs/>
          <w:color w:val="000000"/>
          <w:lang w:val="en-US" w:eastAsia="zh-CN"/>
        </w:rPr>
        <w:t>326</w:t>
      </w:r>
      <w:r w:rsidRPr="00475BD2">
        <w:rPr>
          <w:rFonts w:ascii="Book Antiqua" w:hAnsi="Book Antiqua" w:cs="SimSun"/>
          <w:color w:val="000000"/>
          <w:lang w:val="en-US" w:eastAsia="zh-CN"/>
        </w:rPr>
        <w:t>: 589-593 [PMID: 1734248 DOI: 10.1056/NEJM199202273260902]</w:t>
      </w:r>
    </w:p>
    <w:p w14:paraId="591B01CC"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70 </w:t>
      </w:r>
      <w:r w:rsidRPr="00475BD2">
        <w:rPr>
          <w:rFonts w:ascii="Book Antiqua" w:hAnsi="Book Antiqua" w:cs="SimSun"/>
          <w:b/>
          <w:bCs/>
          <w:color w:val="000000"/>
          <w:lang w:val="en-US" w:eastAsia="zh-CN"/>
        </w:rPr>
        <w:t>Santambrogio R</w:t>
      </w:r>
      <w:r w:rsidRPr="00475BD2">
        <w:rPr>
          <w:rFonts w:ascii="Book Antiqua" w:hAnsi="Book Antiqua" w:cs="SimSun"/>
          <w:color w:val="000000"/>
          <w:lang w:val="en-US" w:eastAsia="zh-CN"/>
        </w:rPr>
        <w:t>, Bianchi P, Opocher E, Verga M, Montorsi M. Prevalence and laparoscopic ultrasound patterns of choledocholithiasis and biliary sludge during cholecystectomy. </w:t>
      </w:r>
      <w:r w:rsidRPr="00475BD2">
        <w:rPr>
          <w:rFonts w:ascii="Book Antiqua" w:hAnsi="Book Antiqua" w:cs="SimSun"/>
          <w:i/>
          <w:iCs/>
          <w:color w:val="000000"/>
          <w:lang w:val="en-US" w:eastAsia="zh-CN"/>
        </w:rPr>
        <w:t>Surg Laparosc Endosc Percutan Tech</w:t>
      </w:r>
      <w:r w:rsidRPr="00475BD2">
        <w:rPr>
          <w:rFonts w:ascii="Book Antiqua" w:hAnsi="Book Antiqua" w:cs="SimSun"/>
          <w:color w:val="000000"/>
          <w:lang w:val="en-US" w:eastAsia="zh-CN"/>
        </w:rPr>
        <w:t> 1999; </w:t>
      </w:r>
      <w:r w:rsidRPr="00475BD2">
        <w:rPr>
          <w:rFonts w:ascii="Book Antiqua" w:hAnsi="Book Antiqua" w:cs="SimSun"/>
          <w:b/>
          <w:bCs/>
          <w:color w:val="000000"/>
          <w:lang w:val="en-US" w:eastAsia="zh-CN"/>
        </w:rPr>
        <w:t>9</w:t>
      </w:r>
      <w:r w:rsidRPr="00475BD2">
        <w:rPr>
          <w:rFonts w:ascii="Book Antiqua" w:hAnsi="Book Antiqua" w:cs="SimSun"/>
          <w:color w:val="000000"/>
          <w:lang w:val="en-US" w:eastAsia="zh-CN"/>
        </w:rPr>
        <w:t>: 129-134 [PMID: 11757540 DOI: 10.1097/00129689-199904000-00010]</w:t>
      </w:r>
    </w:p>
    <w:p w14:paraId="7C20CB7E"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71 </w:t>
      </w:r>
      <w:r w:rsidRPr="00475BD2">
        <w:rPr>
          <w:rFonts w:ascii="Book Antiqua" w:hAnsi="Book Antiqua" w:cs="SimSun"/>
          <w:b/>
          <w:bCs/>
          <w:color w:val="000000"/>
          <w:lang w:val="en-US" w:eastAsia="zh-CN"/>
        </w:rPr>
        <w:t>Grier JF</w:t>
      </w:r>
      <w:r w:rsidRPr="00475BD2">
        <w:rPr>
          <w:rFonts w:ascii="Book Antiqua" w:hAnsi="Book Antiqua" w:cs="SimSun"/>
          <w:color w:val="000000"/>
          <w:lang w:val="en-US" w:eastAsia="zh-CN"/>
        </w:rPr>
        <w:t>, Cohen SW, Grafton WD, Gholson CF. Acute suppurative cholangitis associated with choledochal sludge. </w:t>
      </w:r>
      <w:r w:rsidRPr="00475BD2">
        <w:rPr>
          <w:rFonts w:ascii="Book Antiqua" w:hAnsi="Book Antiqua" w:cs="SimSun"/>
          <w:i/>
          <w:iCs/>
          <w:color w:val="000000"/>
          <w:lang w:val="en-US" w:eastAsia="zh-CN"/>
        </w:rPr>
        <w:t>Am J Gastroenterol</w:t>
      </w:r>
      <w:r w:rsidRPr="00475BD2">
        <w:rPr>
          <w:rFonts w:ascii="Book Antiqua" w:hAnsi="Book Antiqua" w:cs="SimSun"/>
          <w:color w:val="000000"/>
          <w:lang w:val="en-US" w:eastAsia="zh-CN"/>
        </w:rPr>
        <w:t> 1994; </w:t>
      </w:r>
      <w:r w:rsidRPr="00475BD2">
        <w:rPr>
          <w:rFonts w:ascii="Book Antiqua" w:hAnsi="Book Antiqua" w:cs="SimSun"/>
          <w:b/>
          <w:bCs/>
          <w:color w:val="000000"/>
          <w:lang w:val="en-US" w:eastAsia="zh-CN"/>
        </w:rPr>
        <w:t>89</w:t>
      </w:r>
      <w:r w:rsidRPr="00475BD2">
        <w:rPr>
          <w:rFonts w:ascii="Book Antiqua" w:hAnsi="Book Antiqua" w:cs="SimSun"/>
          <w:color w:val="000000"/>
          <w:lang w:val="en-US" w:eastAsia="zh-CN"/>
        </w:rPr>
        <w:t>: 617-619 [PMID: 8147369]</w:t>
      </w:r>
    </w:p>
    <w:p w14:paraId="112B9F8E"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72 </w:t>
      </w:r>
      <w:r w:rsidRPr="00475BD2">
        <w:rPr>
          <w:rFonts w:ascii="Book Antiqua" w:hAnsi="Book Antiqua" w:cs="SimSun"/>
          <w:b/>
          <w:bCs/>
          <w:color w:val="000000"/>
          <w:lang w:val="en-US" w:eastAsia="zh-CN"/>
        </w:rPr>
        <w:t>Mirbagheri SA</w:t>
      </w:r>
      <w:r w:rsidRPr="00475BD2">
        <w:rPr>
          <w:rFonts w:ascii="Book Antiqua" w:hAnsi="Book Antiqua" w:cs="SimSun"/>
          <w:color w:val="000000"/>
          <w:lang w:val="en-US" w:eastAsia="zh-CN"/>
        </w:rPr>
        <w:t>, Mohamadnejad M, Nasiri J, Vahid AA, Ghadimi R, Malekzadeh R. Prospective evaluation of endoscopic ultrasonography in the diagnosis of biliary microlithiasis in patients with normal transabdominal ultrasonography. </w:t>
      </w:r>
      <w:r w:rsidRPr="00475BD2">
        <w:rPr>
          <w:rFonts w:ascii="Book Antiqua" w:hAnsi="Book Antiqua" w:cs="SimSun"/>
          <w:i/>
          <w:iCs/>
          <w:color w:val="000000"/>
          <w:lang w:val="en-US" w:eastAsia="zh-CN"/>
        </w:rPr>
        <w:t>J Gastrointest Surg</w:t>
      </w:r>
      <w:r w:rsidRPr="00475BD2">
        <w:rPr>
          <w:rFonts w:ascii="Book Antiqua" w:hAnsi="Book Antiqua" w:cs="SimSun"/>
          <w:color w:val="000000"/>
          <w:lang w:val="en-US" w:eastAsia="zh-CN"/>
        </w:rPr>
        <w:t> 2005; </w:t>
      </w:r>
      <w:r w:rsidRPr="00475BD2">
        <w:rPr>
          <w:rFonts w:ascii="Book Antiqua" w:hAnsi="Book Antiqua" w:cs="SimSun"/>
          <w:b/>
          <w:bCs/>
          <w:color w:val="000000"/>
          <w:lang w:val="en-US" w:eastAsia="zh-CN"/>
        </w:rPr>
        <w:t>9</w:t>
      </w:r>
      <w:r w:rsidRPr="00475BD2">
        <w:rPr>
          <w:rFonts w:ascii="Book Antiqua" w:hAnsi="Book Antiqua" w:cs="SimSun"/>
          <w:color w:val="000000"/>
          <w:lang w:val="en-US" w:eastAsia="zh-CN"/>
        </w:rPr>
        <w:t>: 961-964 [PMID: 16137592 DOI: 10.1016/j.gassur.2005.03.002]</w:t>
      </w:r>
    </w:p>
    <w:p w14:paraId="5194CAF3"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73 </w:t>
      </w:r>
      <w:r w:rsidRPr="00475BD2">
        <w:rPr>
          <w:rFonts w:ascii="Book Antiqua" w:hAnsi="Book Antiqua" w:cs="SimSun"/>
          <w:b/>
          <w:bCs/>
          <w:color w:val="000000"/>
          <w:lang w:val="en-US" w:eastAsia="zh-CN"/>
        </w:rPr>
        <w:t>Catheline JM</w:t>
      </w:r>
      <w:r w:rsidRPr="00475BD2">
        <w:rPr>
          <w:rFonts w:ascii="Book Antiqua" w:hAnsi="Book Antiqua" w:cs="SimSun"/>
          <w:color w:val="000000"/>
          <w:lang w:val="en-US" w:eastAsia="zh-CN"/>
        </w:rPr>
        <w:t>, Turner R, Paries J. Laparoscopic ultrasonography is a complement to cholangiography for the detection of choledocholithiasis at laparoscopic cholecystectomy. </w:t>
      </w:r>
      <w:r w:rsidRPr="00475BD2">
        <w:rPr>
          <w:rFonts w:ascii="Book Antiqua" w:hAnsi="Book Antiqua" w:cs="SimSun"/>
          <w:i/>
          <w:iCs/>
          <w:color w:val="000000"/>
          <w:lang w:val="en-US" w:eastAsia="zh-CN"/>
        </w:rPr>
        <w:t>Br J Surg</w:t>
      </w:r>
      <w:r w:rsidRPr="00475BD2">
        <w:rPr>
          <w:rFonts w:ascii="Book Antiqua" w:hAnsi="Book Antiqua" w:cs="SimSun"/>
          <w:color w:val="000000"/>
          <w:lang w:val="en-US" w:eastAsia="zh-CN"/>
        </w:rPr>
        <w:t> 2002; </w:t>
      </w:r>
      <w:r w:rsidRPr="00475BD2">
        <w:rPr>
          <w:rFonts w:ascii="Book Antiqua" w:hAnsi="Book Antiqua" w:cs="SimSun"/>
          <w:b/>
          <w:bCs/>
          <w:color w:val="000000"/>
          <w:lang w:val="en-US" w:eastAsia="zh-CN"/>
        </w:rPr>
        <w:t>89</w:t>
      </w:r>
      <w:r w:rsidRPr="00475BD2">
        <w:rPr>
          <w:rFonts w:ascii="Book Antiqua" w:hAnsi="Book Antiqua" w:cs="SimSun"/>
          <w:color w:val="000000"/>
          <w:lang w:val="en-US" w:eastAsia="zh-CN"/>
        </w:rPr>
        <w:t>: 1235-1239 [PMID: 12296889 DOI: 10.1046/j.1365-2168.2002.02198.x]</w:t>
      </w:r>
    </w:p>
    <w:p w14:paraId="543AA73D"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74 </w:t>
      </w:r>
      <w:r w:rsidRPr="00475BD2">
        <w:rPr>
          <w:rFonts w:ascii="Book Antiqua" w:hAnsi="Book Antiqua" w:cs="SimSun"/>
          <w:b/>
          <w:bCs/>
          <w:color w:val="000000"/>
          <w:lang w:val="en-US" w:eastAsia="zh-CN"/>
        </w:rPr>
        <w:t>Kothari SN</w:t>
      </w:r>
      <w:r w:rsidRPr="00475BD2">
        <w:rPr>
          <w:rFonts w:ascii="Book Antiqua" w:hAnsi="Book Antiqua" w:cs="SimSun"/>
          <w:color w:val="000000"/>
          <w:lang w:val="en-US" w:eastAsia="zh-CN"/>
        </w:rPr>
        <w:t>, Obinwanne KM, Baker MT, Mathiason MA, Kallies KJ. A prospective, blinded comparison of laparoscopic ultrasound with transabdominal ultrasound for the detection of gallbladder pathology in morbidly obese patients. </w:t>
      </w:r>
      <w:r w:rsidRPr="00475BD2">
        <w:rPr>
          <w:rFonts w:ascii="Book Antiqua" w:hAnsi="Book Antiqua" w:cs="SimSun"/>
          <w:i/>
          <w:iCs/>
          <w:color w:val="000000"/>
          <w:lang w:val="en-US" w:eastAsia="zh-CN"/>
        </w:rPr>
        <w:t>J Am Coll Surg</w:t>
      </w:r>
      <w:r w:rsidRPr="00475BD2">
        <w:rPr>
          <w:rFonts w:ascii="Book Antiqua" w:hAnsi="Book Antiqua" w:cs="SimSun"/>
          <w:color w:val="000000"/>
          <w:lang w:val="en-US" w:eastAsia="zh-CN"/>
        </w:rPr>
        <w:t> 2013; </w:t>
      </w:r>
      <w:r w:rsidRPr="00475BD2">
        <w:rPr>
          <w:rFonts w:ascii="Book Antiqua" w:hAnsi="Book Antiqua" w:cs="SimSun"/>
          <w:b/>
          <w:bCs/>
          <w:color w:val="000000"/>
          <w:lang w:val="en-US" w:eastAsia="zh-CN"/>
        </w:rPr>
        <w:t>216</w:t>
      </w:r>
      <w:r w:rsidRPr="00475BD2">
        <w:rPr>
          <w:rFonts w:ascii="Book Antiqua" w:hAnsi="Book Antiqua" w:cs="SimSun"/>
          <w:color w:val="000000"/>
          <w:lang w:val="en-US" w:eastAsia="zh-CN"/>
        </w:rPr>
        <w:t>: 1057-1062 [PMID: 23571143 DOI: 10.1016/j.jamcollsurg.2013.02.009]</w:t>
      </w:r>
    </w:p>
    <w:p w14:paraId="692EBCA1" w14:textId="77777777"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75 </w:t>
      </w:r>
      <w:r w:rsidRPr="00475BD2">
        <w:rPr>
          <w:rFonts w:ascii="Book Antiqua" w:hAnsi="Book Antiqua" w:cs="SimSun"/>
          <w:b/>
          <w:bCs/>
          <w:color w:val="000000"/>
          <w:lang w:val="en-US" w:eastAsia="zh-CN"/>
        </w:rPr>
        <w:t>Nasu M</w:t>
      </w:r>
      <w:r w:rsidRPr="00475BD2">
        <w:rPr>
          <w:rFonts w:ascii="Book Antiqua" w:hAnsi="Book Antiqua" w:cs="SimSun"/>
          <w:color w:val="000000"/>
          <w:lang w:val="en-US" w:eastAsia="zh-CN"/>
        </w:rPr>
        <w:t xml:space="preserve">, Yoshimura S, Uomori T, Takehara K, Tanaka R, Miyano S, Machida M, Kitabatake T, Fujisawa M, Kojima K. The efficacy of intraoperative ultrasonography </w:t>
      </w:r>
      <w:r w:rsidRPr="00475BD2">
        <w:rPr>
          <w:rFonts w:ascii="Book Antiqua" w:hAnsi="Book Antiqua" w:cs="SimSun"/>
          <w:color w:val="000000"/>
          <w:lang w:val="en-US" w:eastAsia="zh-CN"/>
        </w:rPr>
        <w:lastRenderedPageBreak/>
        <w:t xml:space="preserve">during laparoscopic cholecystectomy. </w:t>
      </w:r>
      <w:r w:rsidRPr="00475BD2">
        <w:rPr>
          <w:rFonts w:ascii="Book Antiqua" w:hAnsi="Book Antiqua" w:cs="SimSun"/>
          <w:i/>
          <w:iCs/>
          <w:color w:val="000000"/>
          <w:lang w:val="en-US" w:eastAsia="zh-CN"/>
        </w:rPr>
        <w:t>Hepatogastroenterology</w:t>
      </w:r>
      <w:r w:rsidRPr="00475BD2">
        <w:rPr>
          <w:rFonts w:ascii="Book Antiqua" w:hAnsi="Book Antiqua" w:cs="SimSun"/>
          <w:color w:val="000000"/>
          <w:lang w:val="en-US" w:eastAsia="zh-CN"/>
        </w:rPr>
        <w:t xml:space="preserve"> 2012; </w:t>
      </w:r>
      <w:r w:rsidRPr="00475BD2">
        <w:rPr>
          <w:rFonts w:ascii="Book Antiqua" w:hAnsi="Book Antiqua" w:cs="SimSun"/>
          <w:b/>
          <w:bCs/>
          <w:color w:val="000000"/>
          <w:lang w:val="en-US" w:eastAsia="zh-CN"/>
        </w:rPr>
        <w:t>59</w:t>
      </w:r>
      <w:r w:rsidRPr="00475BD2">
        <w:rPr>
          <w:rFonts w:ascii="Book Antiqua" w:hAnsi="Book Antiqua" w:cs="SimSun"/>
          <w:color w:val="000000"/>
          <w:lang w:val="en-US" w:eastAsia="zh-CN"/>
        </w:rPr>
        <w:t>: 1003-1005 [PMID: 22580648]</w:t>
      </w:r>
    </w:p>
    <w:p w14:paraId="410754CA" w14:textId="0B2EDF9A" w:rsidR="00475BD2" w:rsidRPr="00475BD2" w:rsidRDefault="00475BD2" w:rsidP="00A94613">
      <w:pPr>
        <w:snapToGrid w:val="0"/>
        <w:spacing w:line="360" w:lineRule="auto"/>
        <w:jc w:val="both"/>
        <w:rPr>
          <w:rFonts w:ascii="Book Antiqua" w:hAnsi="Book Antiqua" w:cs="SimSun"/>
          <w:color w:val="000000"/>
          <w:lang w:val="en-US" w:eastAsia="zh-CN"/>
        </w:rPr>
      </w:pPr>
      <w:r w:rsidRPr="00475BD2">
        <w:rPr>
          <w:rFonts w:ascii="Book Antiqua" w:hAnsi="Book Antiqua" w:cs="SimSun"/>
          <w:color w:val="000000"/>
          <w:lang w:val="en-US" w:eastAsia="zh-CN"/>
        </w:rPr>
        <w:t>76 </w:t>
      </w:r>
      <w:r w:rsidRPr="00475BD2">
        <w:rPr>
          <w:rFonts w:ascii="Book Antiqua" w:hAnsi="Book Antiqua" w:cs="SimSun"/>
          <w:b/>
          <w:bCs/>
          <w:color w:val="000000"/>
          <w:lang w:val="en-US" w:eastAsia="zh-CN"/>
        </w:rPr>
        <w:t>Sun SX</w:t>
      </w:r>
      <w:r w:rsidRPr="00475BD2">
        <w:rPr>
          <w:rFonts w:ascii="Book Antiqua" w:hAnsi="Book Antiqua" w:cs="SimSun"/>
          <w:color w:val="000000"/>
          <w:lang w:val="en-US" w:eastAsia="zh-CN"/>
        </w:rPr>
        <w:t>, Kulaylat AN, Hollenbeak CS, Soybel DI. Cost-effective Decisions in Detecting Silent Common Bile Duct Gallstones During Laparoscopic Cholecystectomy.</w:t>
      </w:r>
      <w:r w:rsidRPr="00124E11">
        <w:rPr>
          <w:rFonts w:ascii="Book Antiqua" w:hAnsi="Book Antiqua" w:cs="SimSun"/>
          <w:color w:val="000000"/>
          <w:lang w:val="en-US" w:eastAsia="zh-CN"/>
        </w:rPr>
        <w:t xml:space="preserve"> </w:t>
      </w:r>
      <w:r w:rsidRPr="00475BD2">
        <w:rPr>
          <w:rFonts w:ascii="Book Antiqua" w:hAnsi="Book Antiqua" w:cs="SimSun"/>
          <w:i/>
          <w:iCs/>
          <w:color w:val="000000"/>
          <w:lang w:val="en-US" w:eastAsia="zh-CN"/>
        </w:rPr>
        <w:t>Ann Surg</w:t>
      </w:r>
      <w:r w:rsidRPr="00475BD2">
        <w:rPr>
          <w:rFonts w:ascii="Book Antiqua" w:hAnsi="Book Antiqua" w:cs="SimSun"/>
          <w:color w:val="000000"/>
          <w:lang w:val="en-US" w:eastAsia="zh-CN"/>
        </w:rPr>
        <w:t> 2016; </w:t>
      </w:r>
      <w:r w:rsidRPr="00475BD2">
        <w:rPr>
          <w:rFonts w:ascii="Book Antiqua" w:hAnsi="Book Antiqua" w:cs="SimSun"/>
          <w:b/>
          <w:bCs/>
          <w:color w:val="000000"/>
          <w:lang w:val="en-US" w:eastAsia="zh-CN"/>
        </w:rPr>
        <w:t>263</w:t>
      </w:r>
      <w:r w:rsidRPr="00475BD2">
        <w:rPr>
          <w:rFonts w:ascii="Book Antiqua" w:hAnsi="Book Antiqua" w:cs="SimSun"/>
          <w:color w:val="000000"/>
          <w:lang w:val="en-US" w:eastAsia="zh-CN"/>
        </w:rPr>
        <w:t>: 1164-1172 [PMID: 26575281 DOI: 10.1097/SLA.0000000000001348]</w:t>
      </w:r>
    </w:p>
    <w:p w14:paraId="514C9D3A" w14:textId="77777777" w:rsidR="00475BD2" w:rsidRPr="00475BD2" w:rsidRDefault="00475BD2" w:rsidP="005535C3">
      <w:pPr>
        <w:snapToGrid w:val="0"/>
        <w:spacing w:line="360" w:lineRule="auto"/>
        <w:jc w:val="right"/>
        <w:rPr>
          <w:rFonts w:ascii="Book Antiqua" w:hAnsi="Book Antiqua" w:cs="Times New Roman"/>
          <w:lang w:val="en-US" w:eastAsia="zh-CN"/>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bookmarkStart w:id="145" w:name="OLE_LINK1053"/>
      <w:bookmarkStart w:id="146" w:name="OLE_LINK1054"/>
      <w:r w:rsidRPr="00475BD2">
        <w:rPr>
          <w:rFonts w:ascii="Book Antiqua" w:hAnsi="Book Antiqua" w:cs="Times New Roman"/>
          <w:b/>
          <w:bCs/>
          <w:lang w:val="en-US" w:eastAsia="zh-CN"/>
        </w:rPr>
        <w:t xml:space="preserve">P-Reviewer: </w:t>
      </w:r>
      <w:r w:rsidRPr="00475BD2">
        <w:rPr>
          <w:rFonts w:ascii="Book Antiqua" w:hAnsi="Book Antiqua" w:cs="Times New Roman"/>
          <w:bCs/>
          <w:lang w:val="en-US" w:eastAsia="zh-CN"/>
        </w:rPr>
        <w:t xml:space="preserve">Chang YC, Kanat BH, Paduani GF </w:t>
      </w:r>
      <w:r w:rsidRPr="00475BD2">
        <w:rPr>
          <w:rFonts w:ascii="Book Antiqua" w:hAnsi="Book Antiqua" w:cs="Times New Roman"/>
          <w:b/>
          <w:bCs/>
          <w:lang w:val="en-US" w:eastAsia="zh-CN"/>
        </w:rPr>
        <w:t>S-Editor:</w:t>
      </w:r>
      <w:r w:rsidRPr="00475BD2">
        <w:rPr>
          <w:rFonts w:ascii="Book Antiqua" w:hAnsi="Book Antiqua" w:cs="Times New Roman"/>
          <w:lang w:val="en-US" w:eastAsia="zh-CN"/>
        </w:rPr>
        <w:t xml:space="preserve"> Gong ZM</w:t>
      </w:r>
    </w:p>
    <w:p w14:paraId="03389DBB" w14:textId="77777777" w:rsidR="00475BD2" w:rsidRPr="00475BD2" w:rsidRDefault="00475BD2" w:rsidP="005535C3">
      <w:pPr>
        <w:snapToGrid w:val="0"/>
        <w:spacing w:line="360" w:lineRule="auto"/>
        <w:jc w:val="right"/>
        <w:rPr>
          <w:rFonts w:ascii="Book Antiqua" w:hAnsi="Book Antiqua" w:cs="Times New Roman"/>
          <w:b/>
          <w:bCs/>
          <w:lang w:val="en-US" w:eastAsia="zh-CN"/>
        </w:rPr>
      </w:pPr>
      <w:r w:rsidRPr="00475BD2">
        <w:rPr>
          <w:rFonts w:ascii="Book Antiqua" w:hAnsi="Book Antiqua" w:cs="Times New Roman"/>
          <w:b/>
          <w:bCs/>
          <w:lang w:val="en-US" w:eastAsia="zh-CN"/>
        </w:rPr>
        <w:t>L-Editor:</w:t>
      </w:r>
      <w:r w:rsidRPr="00475BD2">
        <w:rPr>
          <w:rFonts w:ascii="Book Antiqua" w:hAnsi="Book Antiqua" w:cs="Times New Roman"/>
          <w:lang w:val="en-US" w:eastAsia="zh-CN"/>
        </w:rPr>
        <w:t xml:space="preserve"> </w:t>
      </w:r>
      <w:r w:rsidRPr="00475BD2">
        <w:rPr>
          <w:rFonts w:ascii="Book Antiqua" w:hAnsi="Book Antiqua" w:cs="Times New Roman"/>
          <w:b/>
          <w:bCs/>
          <w:lang w:val="en-US" w:eastAsia="zh-CN"/>
        </w:rPr>
        <w:t>E-Editor:</w:t>
      </w:r>
    </w:p>
    <w:p w14:paraId="2E07B260" w14:textId="77777777" w:rsidR="00475BD2" w:rsidRPr="00475BD2" w:rsidRDefault="00475BD2" w:rsidP="00A94613">
      <w:pPr>
        <w:shd w:val="clear" w:color="auto" w:fill="FFFFFF"/>
        <w:snapToGrid w:val="0"/>
        <w:spacing w:line="360" w:lineRule="auto"/>
        <w:jc w:val="both"/>
        <w:rPr>
          <w:rFonts w:ascii="Book Antiqua" w:hAnsi="Book Antiqua" w:cs="Helvetica"/>
          <w:b/>
          <w:lang w:val="en-US" w:eastAsia="zh-CN"/>
        </w:rPr>
      </w:pPr>
      <w:bookmarkStart w:id="147" w:name="OLE_LINK880"/>
      <w:bookmarkStart w:id="148" w:name="OLE_LINK881"/>
      <w:bookmarkStart w:id="149" w:name="OLE_LINK497"/>
      <w:bookmarkStart w:id="150" w:name="OLE_LINK81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75BD2">
        <w:rPr>
          <w:rFonts w:ascii="Book Antiqua" w:hAnsi="Book Antiqua" w:cs="Helvetica"/>
          <w:b/>
          <w:lang w:val="en-US" w:eastAsia="zh-CN"/>
        </w:rPr>
        <w:t xml:space="preserve">Specialty type: </w:t>
      </w:r>
      <w:r w:rsidRPr="00475BD2">
        <w:rPr>
          <w:rFonts w:ascii="Book Antiqua" w:hAnsi="Book Antiqua" w:cs="Helvetica"/>
          <w:lang w:val="en-US" w:eastAsia="zh-CN"/>
        </w:rPr>
        <w:t>Gastroenterology and hepatology</w:t>
      </w:r>
    </w:p>
    <w:p w14:paraId="7852E37E" w14:textId="77777777" w:rsidR="00475BD2" w:rsidRPr="00475BD2" w:rsidRDefault="00475BD2" w:rsidP="00A94613">
      <w:pPr>
        <w:shd w:val="clear" w:color="auto" w:fill="FFFFFF"/>
        <w:snapToGrid w:val="0"/>
        <w:spacing w:line="360" w:lineRule="auto"/>
        <w:jc w:val="both"/>
        <w:rPr>
          <w:rFonts w:ascii="Book Antiqua" w:hAnsi="Book Antiqua" w:cs="Helvetica"/>
          <w:b/>
          <w:lang w:val="en-US" w:eastAsia="zh-CN"/>
        </w:rPr>
      </w:pPr>
      <w:r w:rsidRPr="00475BD2">
        <w:rPr>
          <w:rFonts w:ascii="Book Antiqua" w:hAnsi="Book Antiqua" w:cs="Helvetica"/>
          <w:b/>
          <w:lang w:val="en-US" w:eastAsia="zh-CN"/>
        </w:rPr>
        <w:t xml:space="preserve">Country of origin: </w:t>
      </w:r>
      <w:r w:rsidRPr="00475BD2">
        <w:rPr>
          <w:rFonts w:ascii="Book Antiqua" w:hAnsi="Book Antiqua" w:cs="Helvetica"/>
          <w:lang w:val="en-CA" w:eastAsia="zh-CN"/>
        </w:rPr>
        <w:t>Belgium</w:t>
      </w:r>
    </w:p>
    <w:p w14:paraId="1EEE48B8" w14:textId="77777777" w:rsidR="00475BD2" w:rsidRPr="00475BD2" w:rsidRDefault="00475BD2" w:rsidP="00A94613">
      <w:pPr>
        <w:shd w:val="clear" w:color="auto" w:fill="FFFFFF"/>
        <w:snapToGrid w:val="0"/>
        <w:spacing w:line="360" w:lineRule="auto"/>
        <w:jc w:val="both"/>
        <w:rPr>
          <w:rFonts w:ascii="Book Antiqua" w:hAnsi="Book Antiqua" w:cs="Helvetica"/>
          <w:b/>
          <w:lang w:val="en-US" w:eastAsia="zh-CN"/>
        </w:rPr>
      </w:pPr>
      <w:r w:rsidRPr="00475BD2">
        <w:rPr>
          <w:rFonts w:ascii="Book Antiqua" w:hAnsi="Book Antiqua" w:cs="Helvetica"/>
          <w:b/>
          <w:lang w:val="en-US" w:eastAsia="zh-CN"/>
        </w:rPr>
        <w:t>Peer-review report classification</w:t>
      </w:r>
    </w:p>
    <w:p w14:paraId="36687C8F" w14:textId="77777777" w:rsidR="00475BD2" w:rsidRPr="00475BD2" w:rsidRDefault="00475BD2" w:rsidP="00A94613">
      <w:pPr>
        <w:shd w:val="clear" w:color="auto" w:fill="FFFFFF"/>
        <w:snapToGrid w:val="0"/>
        <w:spacing w:line="360" w:lineRule="auto"/>
        <w:jc w:val="both"/>
        <w:rPr>
          <w:rFonts w:ascii="Book Antiqua" w:hAnsi="Book Antiqua" w:cs="Helvetica"/>
          <w:lang w:val="en-US" w:eastAsia="zh-CN"/>
        </w:rPr>
      </w:pPr>
      <w:r w:rsidRPr="00475BD2">
        <w:rPr>
          <w:rFonts w:ascii="Book Antiqua" w:hAnsi="Book Antiqua" w:cs="Helvetica"/>
          <w:lang w:val="en-US" w:eastAsia="zh-CN"/>
        </w:rPr>
        <w:t>Grade A (Excellent): 0</w:t>
      </w:r>
    </w:p>
    <w:p w14:paraId="617F38E3" w14:textId="77777777" w:rsidR="00475BD2" w:rsidRPr="00475BD2" w:rsidRDefault="00475BD2" w:rsidP="00A94613">
      <w:pPr>
        <w:shd w:val="clear" w:color="auto" w:fill="FFFFFF"/>
        <w:snapToGrid w:val="0"/>
        <w:spacing w:line="360" w:lineRule="auto"/>
        <w:jc w:val="both"/>
        <w:rPr>
          <w:rFonts w:ascii="Book Antiqua" w:hAnsi="Book Antiqua" w:cs="Helvetica"/>
          <w:lang w:val="en-US" w:eastAsia="zh-CN"/>
        </w:rPr>
      </w:pPr>
      <w:r w:rsidRPr="00475BD2">
        <w:rPr>
          <w:rFonts w:ascii="Book Antiqua" w:hAnsi="Book Antiqua" w:cs="Helvetica"/>
          <w:lang w:val="en-US" w:eastAsia="zh-CN"/>
        </w:rPr>
        <w:t>Grade B (Very good): B</w:t>
      </w:r>
    </w:p>
    <w:p w14:paraId="68B64C7B" w14:textId="77777777" w:rsidR="00475BD2" w:rsidRPr="00475BD2" w:rsidRDefault="00475BD2" w:rsidP="00A94613">
      <w:pPr>
        <w:shd w:val="clear" w:color="auto" w:fill="FFFFFF"/>
        <w:snapToGrid w:val="0"/>
        <w:spacing w:line="360" w:lineRule="auto"/>
        <w:jc w:val="both"/>
        <w:rPr>
          <w:rFonts w:ascii="Book Antiqua" w:hAnsi="Book Antiqua" w:cs="Helvetica"/>
          <w:lang w:val="en-US" w:eastAsia="zh-CN"/>
        </w:rPr>
      </w:pPr>
      <w:r w:rsidRPr="00475BD2">
        <w:rPr>
          <w:rFonts w:ascii="Book Antiqua" w:hAnsi="Book Antiqua" w:cs="Helvetica"/>
          <w:lang w:val="en-US" w:eastAsia="zh-CN"/>
        </w:rPr>
        <w:t>Grade C (Good): C, C</w:t>
      </w:r>
    </w:p>
    <w:p w14:paraId="34A0F9BA" w14:textId="77777777" w:rsidR="00475BD2" w:rsidRPr="00475BD2" w:rsidRDefault="00475BD2" w:rsidP="00A94613">
      <w:pPr>
        <w:shd w:val="clear" w:color="auto" w:fill="FFFFFF"/>
        <w:snapToGrid w:val="0"/>
        <w:spacing w:line="360" w:lineRule="auto"/>
        <w:jc w:val="both"/>
        <w:rPr>
          <w:rFonts w:ascii="Book Antiqua" w:hAnsi="Book Antiqua" w:cs="Helvetica"/>
          <w:lang w:val="en-US" w:eastAsia="zh-CN"/>
        </w:rPr>
      </w:pPr>
      <w:r w:rsidRPr="00475BD2">
        <w:rPr>
          <w:rFonts w:ascii="Book Antiqua" w:hAnsi="Book Antiqua" w:cs="Helvetica"/>
          <w:lang w:val="en-US" w:eastAsia="zh-CN"/>
        </w:rPr>
        <w:t>Grade D (Fair): 0</w:t>
      </w:r>
    </w:p>
    <w:p w14:paraId="1E9935C1" w14:textId="77777777" w:rsidR="00475BD2" w:rsidRPr="00475BD2" w:rsidRDefault="00475BD2" w:rsidP="00A94613">
      <w:pPr>
        <w:shd w:val="clear" w:color="auto" w:fill="FFFFFF"/>
        <w:snapToGrid w:val="0"/>
        <w:spacing w:line="360" w:lineRule="auto"/>
        <w:jc w:val="both"/>
        <w:rPr>
          <w:rFonts w:ascii="Book Antiqua" w:hAnsi="Book Antiqua" w:cs="Helvetica"/>
          <w:lang w:val="en-US" w:eastAsia="zh-CN"/>
        </w:rPr>
      </w:pPr>
      <w:r w:rsidRPr="00475BD2">
        <w:rPr>
          <w:rFonts w:ascii="Book Antiqua" w:hAnsi="Book Antiqua" w:cs="Helvetica"/>
          <w:lang w:val="en-US" w:eastAsia="zh-CN"/>
        </w:rPr>
        <w:t>Grade E (Poor): 0</w:t>
      </w:r>
      <w:bookmarkEnd w:id="147"/>
      <w:bookmarkEnd w:id="148"/>
    </w:p>
    <w:bookmarkEnd w:id="145"/>
    <w:bookmarkEnd w:id="146"/>
    <w:bookmarkEnd w:id="149"/>
    <w:bookmarkEnd w:id="150"/>
    <w:p w14:paraId="6568ED7A" w14:textId="1A175CC9" w:rsidR="00E80BE8" w:rsidRPr="00124E11" w:rsidRDefault="00E80BE8" w:rsidP="00A94613">
      <w:pPr>
        <w:snapToGrid w:val="0"/>
        <w:spacing w:line="360" w:lineRule="auto"/>
        <w:jc w:val="both"/>
        <w:rPr>
          <w:rFonts w:ascii="Book Antiqua" w:hAnsi="Book Antiqua"/>
          <w:color w:val="000000" w:themeColor="text1"/>
          <w:lang w:val="en-US"/>
        </w:rPr>
      </w:pPr>
    </w:p>
    <w:p w14:paraId="0072A6EC" w14:textId="77777777" w:rsidR="00E80BE8" w:rsidRPr="00124E11" w:rsidRDefault="00E80BE8" w:rsidP="00A94613">
      <w:pPr>
        <w:snapToGrid w:val="0"/>
        <w:spacing w:line="360" w:lineRule="auto"/>
        <w:jc w:val="both"/>
        <w:rPr>
          <w:rFonts w:ascii="Book Antiqua" w:hAnsi="Book Antiqua"/>
          <w:color w:val="000000" w:themeColor="text1"/>
          <w:lang w:val="en-US"/>
        </w:rPr>
      </w:pPr>
      <w:r w:rsidRPr="00124E11">
        <w:rPr>
          <w:rFonts w:ascii="Book Antiqua" w:hAnsi="Book Antiqua"/>
          <w:color w:val="000000" w:themeColor="text1"/>
          <w:lang w:val="en-US"/>
        </w:rPr>
        <w:br w:type="page"/>
      </w:r>
    </w:p>
    <w:p w14:paraId="2B10535A" w14:textId="77777777" w:rsidR="00D46A20" w:rsidRPr="00124E11" w:rsidRDefault="00D46A20" w:rsidP="00A94613">
      <w:pPr>
        <w:snapToGrid w:val="0"/>
        <w:spacing w:line="360" w:lineRule="auto"/>
        <w:jc w:val="both"/>
        <w:rPr>
          <w:rFonts w:ascii="Book Antiqua" w:eastAsia="Times New Roman" w:hAnsi="Book Antiqua" w:cs="Arial"/>
          <w:b/>
          <w:bCs/>
          <w:color w:val="000000" w:themeColor="text1"/>
          <w:lang w:val="en-US"/>
        </w:rPr>
      </w:pPr>
      <w:r w:rsidRPr="00124E11">
        <w:rPr>
          <w:rFonts w:ascii="Book Antiqua" w:eastAsia="Times New Roman" w:hAnsi="Book Antiqua" w:cs="Arial"/>
          <w:b/>
          <w:bCs/>
          <w:noProof/>
          <w:color w:val="000000" w:themeColor="text1"/>
          <w:lang w:val="en-US" w:eastAsia="zh-CN"/>
        </w:rPr>
        <w:lastRenderedPageBreak/>
        <w:drawing>
          <wp:inline distT="0" distB="0" distL="0" distR="0" wp14:anchorId="5EBE81D9" wp14:editId="4D883C0C">
            <wp:extent cx="5749290" cy="3482340"/>
            <wp:effectExtent l="0" t="0" r="0" b="0"/>
            <wp:docPr id="3" name="Image 3" descr="/Users/claudebertrand/Dropbox/Captures d'écran/Capture d'écran 2017-04-06 19.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laudebertrand/Dropbox/Captures d'écran/Capture d'écran 2017-04-06 19.12.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3482340"/>
                    </a:xfrm>
                    <a:prstGeom prst="rect">
                      <a:avLst/>
                    </a:prstGeom>
                    <a:noFill/>
                    <a:ln>
                      <a:noFill/>
                    </a:ln>
                  </pic:spPr>
                </pic:pic>
              </a:graphicData>
            </a:graphic>
          </wp:inline>
        </w:drawing>
      </w:r>
    </w:p>
    <w:p w14:paraId="165A7C81" w14:textId="2B40A8E5" w:rsidR="00655722" w:rsidRPr="00655722" w:rsidRDefault="00655722" w:rsidP="00A94613">
      <w:pPr>
        <w:snapToGrid w:val="0"/>
        <w:spacing w:line="360" w:lineRule="auto"/>
        <w:jc w:val="both"/>
        <w:rPr>
          <w:rFonts w:ascii="Book Antiqua" w:eastAsia="Times New Roman" w:hAnsi="Book Antiqua" w:cs="Arial"/>
          <w:b/>
          <w:bCs/>
          <w:color w:val="000000" w:themeColor="text1"/>
          <w:lang w:val="en-US" w:eastAsia="zh-CN"/>
        </w:rPr>
      </w:pPr>
      <w:r w:rsidRPr="00124E11">
        <w:rPr>
          <w:rFonts w:ascii="Book Antiqua" w:eastAsia="Times New Roman" w:hAnsi="Book Antiqua" w:cs="Arial"/>
          <w:b/>
          <w:bCs/>
          <w:color w:val="000000" w:themeColor="text1"/>
          <w:lang w:val="en-US"/>
        </w:rPr>
        <w:t>Fig</w:t>
      </w:r>
      <w:r>
        <w:rPr>
          <w:rFonts w:ascii="Book Antiqua" w:hAnsi="Book Antiqua" w:cs="Arial" w:hint="eastAsia"/>
          <w:b/>
          <w:bCs/>
          <w:color w:val="000000" w:themeColor="text1"/>
          <w:lang w:val="en-US" w:eastAsia="zh-CN"/>
        </w:rPr>
        <w:t xml:space="preserve">ure </w:t>
      </w:r>
      <w:r w:rsidRPr="00124E11">
        <w:rPr>
          <w:rFonts w:ascii="Book Antiqua" w:eastAsia="Times New Roman" w:hAnsi="Book Antiqua" w:cs="Arial"/>
          <w:b/>
          <w:bCs/>
          <w:color w:val="000000" w:themeColor="text1"/>
          <w:lang w:val="en-US"/>
        </w:rPr>
        <w:t>1</w:t>
      </w:r>
      <w:r>
        <w:rPr>
          <w:rFonts w:ascii="Book Antiqua" w:hAnsi="Book Antiqua" w:cs="Arial" w:hint="eastAsia"/>
          <w:b/>
          <w:bCs/>
          <w:color w:val="000000" w:themeColor="text1"/>
          <w:lang w:val="en-US" w:eastAsia="zh-CN"/>
        </w:rPr>
        <w:t xml:space="preserve"> </w:t>
      </w:r>
      <w:r w:rsidRPr="00124E11">
        <w:rPr>
          <w:rFonts w:ascii="Book Antiqua" w:eastAsia="Times New Roman" w:hAnsi="Book Antiqua" w:cs="Arial"/>
          <w:b/>
          <w:bCs/>
          <w:color w:val="000000" w:themeColor="text1"/>
          <w:lang w:val="en-US"/>
        </w:rPr>
        <w:t>Laparosco</w:t>
      </w:r>
      <w:r>
        <w:rPr>
          <w:rFonts w:ascii="Book Antiqua" w:eastAsia="Times New Roman" w:hAnsi="Book Antiqua" w:cs="Arial"/>
          <w:b/>
          <w:bCs/>
          <w:color w:val="000000" w:themeColor="text1"/>
          <w:lang w:val="en-US"/>
        </w:rPr>
        <w:t>pic ultrasonography: technique.</w:t>
      </w:r>
      <w:r>
        <w:rPr>
          <w:rFonts w:ascii="Book Antiqua" w:hAnsi="Book Antiqua" w:cs="Arial" w:hint="eastAsia"/>
          <w:b/>
          <w:bCs/>
          <w:color w:val="000000" w:themeColor="text1"/>
          <w:lang w:val="en-US" w:eastAsia="zh-CN"/>
        </w:rPr>
        <w:t xml:space="preserve"> </w:t>
      </w:r>
      <w:r w:rsidR="00D46A20" w:rsidRPr="00124E11">
        <w:rPr>
          <w:rFonts w:ascii="Book Antiqua" w:hAnsi="Book Antiqua" w:cs="Arial"/>
          <w:color w:val="000000" w:themeColor="text1"/>
          <w:lang w:val="en-US"/>
        </w:rPr>
        <w:t>Transversal approach</w:t>
      </w:r>
      <w:r>
        <w:rPr>
          <w:rFonts w:ascii="Book Antiqua" w:hAnsi="Book Antiqua" w:cs="Arial" w:hint="eastAsia"/>
          <w:color w:val="000000" w:themeColor="text1"/>
          <w:lang w:val="en-US" w:eastAsia="zh-CN"/>
        </w:rPr>
        <w:t xml:space="preserve"> - </w:t>
      </w:r>
      <w:r w:rsidR="00D46A20" w:rsidRPr="00124E11">
        <w:rPr>
          <w:rFonts w:ascii="Book Antiqua" w:hAnsi="Book Antiqua" w:cs="Arial"/>
          <w:color w:val="000000" w:themeColor="text1"/>
          <w:lang w:val="en-US"/>
        </w:rPr>
        <w:t>A: through the liver</w:t>
      </w:r>
      <w:r>
        <w:rPr>
          <w:rFonts w:ascii="Book Antiqua" w:hAnsi="Book Antiqua" w:cs="Arial" w:hint="eastAsia"/>
          <w:color w:val="000000" w:themeColor="text1"/>
          <w:lang w:val="en-US" w:eastAsia="zh-CN"/>
        </w:rPr>
        <w:t xml:space="preserve">; </w:t>
      </w:r>
      <w:r w:rsidR="00D46A20" w:rsidRPr="00124E11">
        <w:rPr>
          <w:rFonts w:ascii="Book Antiqua" w:hAnsi="Book Antiqua" w:cs="Arial"/>
          <w:color w:val="000000" w:themeColor="text1"/>
          <w:lang w:val="en-US"/>
        </w:rPr>
        <w:t xml:space="preserve">B: </w:t>
      </w:r>
      <w:r w:rsidR="00D46A20" w:rsidRPr="00655722">
        <w:rPr>
          <w:rFonts w:ascii="Book Antiqua" w:hAnsi="Book Antiqua" w:cs="Arial"/>
          <w:caps/>
          <w:color w:val="000000" w:themeColor="text1"/>
          <w:lang w:val="en-US"/>
        </w:rPr>
        <w:t>d</w:t>
      </w:r>
      <w:r w:rsidR="00D46A20" w:rsidRPr="00124E11">
        <w:rPr>
          <w:rFonts w:ascii="Book Antiqua" w:hAnsi="Book Antiqua" w:cs="Arial"/>
          <w:color w:val="000000" w:themeColor="text1"/>
          <w:lang w:val="en-US"/>
        </w:rPr>
        <w:t>irectly on the hepatoduodenal pedicle. Longitudinal approach</w:t>
      </w:r>
      <w:r>
        <w:rPr>
          <w:rFonts w:ascii="Book Antiqua" w:hAnsi="Book Antiqua" w:cs="Arial" w:hint="eastAsia"/>
          <w:color w:val="000000" w:themeColor="text1"/>
          <w:lang w:val="en-US" w:eastAsia="zh-CN"/>
        </w:rPr>
        <w:t xml:space="preserve"> - </w:t>
      </w:r>
      <w:r w:rsidR="00D46A20" w:rsidRPr="00124E11">
        <w:rPr>
          <w:rFonts w:ascii="Book Antiqua" w:hAnsi="Book Antiqua" w:cs="Arial"/>
          <w:color w:val="000000" w:themeColor="text1"/>
          <w:lang w:val="en-US"/>
        </w:rPr>
        <w:t xml:space="preserve">C: </w:t>
      </w:r>
      <w:r w:rsidR="00D46A20" w:rsidRPr="00655722">
        <w:rPr>
          <w:rFonts w:ascii="Book Antiqua" w:hAnsi="Book Antiqua" w:cs="Arial"/>
          <w:caps/>
          <w:color w:val="000000" w:themeColor="text1"/>
          <w:lang w:val="en-US"/>
        </w:rPr>
        <w:t>t</w:t>
      </w:r>
      <w:r w:rsidR="00D46A20" w:rsidRPr="00124E11">
        <w:rPr>
          <w:rFonts w:ascii="Book Antiqua" w:hAnsi="Book Antiqua" w:cs="Arial"/>
          <w:color w:val="000000" w:themeColor="text1"/>
          <w:lang w:val="en-US"/>
        </w:rPr>
        <w:t>hrough the liver</w:t>
      </w:r>
      <w:r>
        <w:rPr>
          <w:rFonts w:ascii="Book Antiqua" w:hAnsi="Book Antiqua" w:cs="Arial" w:hint="eastAsia"/>
          <w:color w:val="000000" w:themeColor="text1"/>
          <w:lang w:val="en-US" w:eastAsia="zh-CN"/>
        </w:rPr>
        <w:t>;</w:t>
      </w:r>
      <w:r w:rsidR="00D46A20" w:rsidRPr="00124E11">
        <w:rPr>
          <w:rFonts w:ascii="Book Antiqua" w:hAnsi="Book Antiqua" w:cs="Arial"/>
          <w:color w:val="000000" w:themeColor="text1"/>
          <w:lang w:val="en-US"/>
        </w:rPr>
        <w:t xml:space="preserve"> D: </w:t>
      </w:r>
      <w:r w:rsidR="00D46A20" w:rsidRPr="00655722">
        <w:rPr>
          <w:rFonts w:ascii="Book Antiqua" w:hAnsi="Book Antiqua" w:cs="Arial"/>
          <w:caps/>
          <w:color w:val="000000" w:themeColor="text1"/>
          <w:lang w:val="en-US"/>
        </w:rPr>
        <w:t>d</w:t>
      </w:r>
      <w:r w:rsidR="00D46A20" w:rsidRPr="00124E11">
        <w:rPr>
          <w:rFonts w:ascii="Book Antiqua" w:hAnsi="Book Antiqua" w:cs="Arial"/>
          <w:color w:val="000000" w:themeColor="text1"/>
          <w:lang w:val="en-US"/>
        </w:rPr>
        <w:t xml:space="preserve">irectly on the hepatoduodenal pedicle (isotonic solution’s irrigation that improves acoustic coupling). CD: </w:t>
      </w:r>
      <w:r w:rsidR="00D46A20" w:rsidRPr="00655722">
        <w:rPr>
          <w:rFonts w:ascii="Book Antiqua" w:hAnsi="Book Antiqua" w:cs="Arial"/>
          <w:caps/>
          <w:color w:val="000000" w:themeColor="text1"/>
          <w:lang w:val="en-US"/>
        </w:rPr>
        <w:t>c</w:t>
      </w:r>
      <w:r w:rsidR="00D46A20" w:rsidRPr="00124E11">
        <w:rPr>
          <w:rFonts w:ascii="Book Antiqua" w:hAnsi="Book Antiqua" w:cs="Arial"/>
          <w:color w:val="000000" w:themeColor="text1"/>
          <w:lang w:val="en-US"/>
        </w:rPr>
        <w:t xml:space="preserve">ystic duct junction with the the common bile duct; CHD: </w:t>
      </w:r>
      <w:r w:rsidR="00D46A20" w:rsidRPr="00655722">
        <w:rPr>
          <w:rFonts w:ascii="Book Antiqua" w:hAnsi="Book Antiqua" w:cs="Arial"/>
          <w:caps/>
          <w:color w:val="000000" w:themeColor="text1"/>
          <w:lang w:val="en-US"/>
        </w:rPr>
        <w:t>c</w:t>
      </w:r>
      <w:r w:rsidR="00D46A20" w:rsidRPr="00124E11">
        <w:rPr>
          <w:rFonts w:ascii="Book Antiqua" w:hAnsi="Book Antiqua" w:cs="Arial"/>
          <w:color w:val="000000" w:themeColor="text1"/>
          <w:lang w:val="en-US"/>
        </w:rPr>
        <w:t xml:space="preserve">ommon hepatic duct; HA: </w:t>
      </w:r>
      <w:r w:rsidR="00D46A20" w:rsidRPr="00655722">
        <w:rPr>
          <w:rFonts w:ascii="Book Antiqua" w:hAnsi="Book Antiqua" w:cs="Arial"/>
          <w:caps/>
          <w:color w:val="000000" w:themeColor="text1"/>
          <w:lang w:val="en-US"/>
        </w:rPr>
        <w:t>h</w:t>
      </w:r>
      <w:r w:rsidR="00D46A20" w:rsidRPr="00124E11">
        <w:rPr>
          <w:rFonts w:ascii="Book Antiqua" w:hAnsi="Book Antiqua" w:cs="Arial"/>
          <w:color w:val="000000" w:themeColor="text1"/>
          <w:lang w:val="en-US"/>
        </w:rPr>
        <w:t xml:space="preserve">epatic artery; PV: </w:t>
      </w:r>
      <w:r w:rsidR="00D46A20" w:rsidRPr="00655722">
        <w:rPr>
          <w:rFonts w:ascii="Book Antiqua" w:hAnsi="Book Antiqua" w:cs="Arial"/>
          <w:caps/>
          <w:color w:val="000000" w:themeColor="text1"/>
          <w:lang w:val="en-US"/>
        </w:rPr>
        <w:t>p</w:t>
      </w:r>
      <w:r w:rsidR="00D46A20" w:rsidRPr="00124E11">
        <w:rPr>
          <w:rFonts w:ascii="Book Antiqua" w:hAnsi="Book Antiqua" w:cs="Arial"/>
          <w:color w:val="000000" w:themeColor="text1"/>
          <w:lang w:val="en-US"/>
        </w:rPr>
        <w:t>ortal vein</w:t>
      </w:r>
      <w:r>
        <w:rPr>
          <w:rFonts w:ascii="Book Antiqua" w:hAnsi="Book Antiqua" w:cs="Arial" w:hint="eastAsia"/>
          <w:color w:val="000000" w:themeColor="text1"/>
          <w:lang w:val="en-US" w:eastAsia="zh-CN"/>
        </w:rPr>
        <w:t xml:space="preserve">; </w:t>
      </w:r>
      <w:r w:rsidRPr="00124E11">
        <w:rPr>
          <w:rFonts w:ascii="Book Antiqua" w:hAnsi="Book Antiqua" w:cs="Arial"/>
          <w:color w:val="000000" w:themeColor="text1"/>
          <w:lang w:val="en-US"/>
        </w:rPr>
        <w:t xml:space="preserve">GB: </w:t>
      </w:r>
      <w:r w:rsidRPr="00655722">
        <w:rPr>
          <w:rFonts w:ascii="Book Antiqua" w:hAnsi="Book Antiqua" w:cs="Arial"/>
          <w:caps/>
          <w:color w:val="000000" w:themeColor="text1"/>
          <w:lang w:val="en-US"/>
        </w:rPr>
        <w:t>g</w:t>
      </w:r>
      <w:r w:rsidRPr="00124E11">
        <w:rPr>
          <w:rFonts w:ascii="Book Antiqua" w:hAnsi="Book Antiqua" w:cs="Arial"/>
          <w:color w:val="000000" w:themeColor="text1"/>
          <w:lang w:val="en-US"/>
        </w:rPr>
        <w:t>allbladder with macrolithiasis</w:t>
      </w:r>
      <w:r>
        <w:rPr>
          <w:rFonts w:ascii="Book Antiqua" w:hAnsi="Book Antiqua" w:cs="Arial" w:hint="eastAsia"/>
          <w:color w:val="000000" w:themeColor="text1"/>
          <w:lang w:val="en-US" w:eastAsia="zh-CN"/>
        </w:rPr>
        <w:t>.</w:t>
      </w:r>
    </w:p>
    <w:p w14:paraId="7BE1535E" w14:textId="77777777" w:rsidR="00D46A20" w:rsidRPr="00124E11" w:rsidRDefault="00D46A20" w:rsidP="00A94613">
      <w:pPr>
        <w:snapToGrid w:val="0"/>
        <w:spacing w:line="360" w:lineRule="auto"/>
        <w:jc w:val="both"/>
        <w:rPr>
          <w:rFonts w:ascii="Book Antiqua" w:eastAsia="Times New Roman" w:hAnsi="Book Antiqua" w:cs="Arial"/>
          <w:b/>
          <w:bCs/>
          <w:color w:val="000000" w:themeColor="text1"/>
          <w:lang w:val="en-US"/>
        </w:rPr>
      </w:pPr>
      <w:r w:rsidRPr="00124E11">
        <w:rPr>
          <w:rFonts w:ascii="Book Antiqua" w:eastAsia="Times New Roman" w:hAnsi="Book Antiqua" w:cs="Arial"/>
          <w:b/>
          <w:bCs/>
          <w:color w:val="000000" w:themeColor="text1"/>
          <w:lang w:val="en-US"/>
        </w:rPr>
        <w:br w:type="page"/>
      </w:r>
    </w:p>
    <w:p w14:paraId="6A230762" w14:textId="038CE088" w:rsidR="00D46A20" w:rsidRPr="00124E11" w:rsidRDefault="00D46A20" w:rsidP="00A94613">
      <w:pPr>
        <w:snapToGrid w:val="0"/>
        <w:spacing w:line="360" w:lineRule="auto"/>
        <w:jc w:val="both"/>
        <w:rPr>
          <w:rFonts w:ascii="Book Antiqua" w:eastAsia="Times New Roman" w:hAnsi="Book Antiqua" w:cs="Arial"/>
          <w:color w:val="000000" w:themeColor="text1"/>
          <w:lang w:val="en-US"/>
        </w:rPr>
      </w:pPr>
      <w:r w:rsidRPr="00124E11">
        <w:rPr>
          <w:rFonts w:ascii="Book Antiqua" w:eastAsia="Times New Roman" w:hAnsi="Book Antiqua" w:cs="Arial"/>
          <w:noProof/>
          <w:color w:val="000000" w:themeColor="text1"/>
          <w:lang w:val="en-US" w:eastAsia="zh-CN"/>
        </w:rPr>
        <w:lastRenderedPageBreak/>
        <w:drawing>
          <wp:inline distT="0" distB="0" distL="0" distR="0" wp14:anchorId="7E746682" wp14:editId="528D7460">
            <wp:extent cx="5739130" cy="4864100"/>
            <wp:effectExtent l="0" t="0" r="1270" b="12700"/>
            <wp:docPr id="5" name="Image 5" descr="/Users/claudebertrand/Dropbox/Captures d'écran/Capture d'écran 2017-04-06 20.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laudebertrand/Dropbox/Captures d'écran/Capture d'écran 2017-04-06 20.38.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130" cy="4864100"/>
                    </a:xfrm>
                    <a:prstGeom prst="rect">
                      <a:avLst/>
                    </a:prstGeom>
                    <a:noFill/>
                    <a:ln>
                      <a:noFill/>
                    </a:ln>
                  </pic:spPr>
                </pic:pic>
              </a:graphicData>
            </a:graphic>
          </wp:inline>
        </w:drawing>
      </w:r>
    </w:p>
    <w:p w14:paraId="79FF8C98" w14:textId="1697F28E" w:rsidR="00D46A20" w:rsidRPr="00F83CB3" w:rsidRDefault="00655722" w:rsidP="00A94613">
      <w:pPr>
        <w:snapToGrid w:val="0"/>
        <w:spacing w:line="360" w:lineRule="auto"/>
        <w:jc w:val="both"/>
        <w:rPr>
          <w:rFonts w:ascii="Book Antiqua" w:hAnsi="Book Antiqua" w:cs="Arial"/>
          <w:b/>
          <w:bCs/>
          <w:color w:val="000000" w:themeColor="text1"/>
          <w:lang w:val="en-US" w:eastAsia="zh-CN"/>
        </w:rPr>
      </w:pPr>
      <w:r w:rsidRPr="00124E11">
        <w:rPr>
          <w:rFonts w:ascii="Book Antiqua" w:eastAsia="Times New Roman" w:hAnsi="Book Antiqua" w:cs="Arial"/>
          <w:b/>
          <w:bCs/>
          <w:color w:val="000000" w:themeColor="text1"/>
          <w:lang w:val="en-US"/>
        </w:rPr>
        <w:t>Fig</w:t>
      </w:r>
      <w:r>
        <w:rPr>
          <w:rFonts w:ascii="Book Antiqua" w:hAnsi="Book Antiqua" w:cs="Arial" w:hint="eastAsia"/>
          <w:b/>
          <w:bCs/>
          <w:color w:val="000000" w:themeColor="text1"/>
          <w:lang w:val="en-US" w:eastAsia="zh-CN"/>
        </w:rPr>
        <w:t xml:space="preserve">ure </w:t>
      </w:r>
      <w:r w:rsidRPr="00124E11">
        <w:rPr>
          <w:rFonts w:ascii="Book Antiqua" w:eastAsia="Times New Roman" w:hAnsi="Book Antiqua" w:cs="Arial"/>
          <w:b/>
          <w:bCs/>
          <w:color w:val="000000" w:themeColor="text1"/>
          <w:lang w:val="en-US"/>
        </w:rPr>
        <w:t>2</w:t>
      </w:r>
      <w:r w:rsidR="00A94613">
        <w:rPr>
          <w:rFonts w:ascii="Book Antiqua" w:hAnsi="Book Antiqua" w:cs="Arial" w:hint="eastAsia"/>
          <w:b/>
          <w:bCs/>
          <w:color w:val="000000" w:themeColor="text1"/>
          <w:lang w:val="en-US" w:eastAsia="zh-CN"/>
        </w:rPr>
        <w:t xml:space="preserve"> </w:t>
      </w:r>
      <w:r w:rsidRPr="00124E11">
        <w:rPr>
          <w:rFonts w:ascii="Book Antiqua" w:eastAsia="Times New Roman" w:hAnsi="Book Antiqua" w:cs="Arial"/>
          <w:b/>
          <w:bCs/>
          <w:color w:val="000000" w:themeColor="text1"/>
          <w:lang w:val="en-US"/>
        </w:rPr>
        <w:t>Laparoscopic ultrasonography: bile duct anatomy.</w:t>
      </w:r>
      <w:r>
        <w:rPr>
          <w:rFonts w:ascii="Book Antiqua" w:hAnsi="Book Antiqua" w:cs="Arial" w:hint="eastAsia"/>
          <w:b/>
          <w:bCs/>
          <w:color w:val="000000" w:themeColor="text1"/>
          <w:lang w:val="en-US" w:eastAsia="zh-CN"/>
        </w:rPr>
        <w:t xml:space="preserve"> </w:t>
      </w:r>
      <w:r w:rsidRPr="00124E11">
        <w:rPr>
          <w:rFonts w:ascii="Book Antiqua" w:hAnsi="Book Antiqua" w:cs="Arial"/>
          <w:color w:val="000000" w:themeColor="text1"/>
          <w:lang w:val="en-US"/>
        </w:rPr>
        <w:t>A</w:t>
      </w:r>
      <w:r>
        <w:rPr>
          <w:rFonts w:ascii="Book Antiqua" w:hAnsi="Book Antiqua" w:cs="Arial" w:hint="eastAsia"/>
          <w:color w:val="000000" w:themeColor="text1"/>
          <w:lang w:val="en-US" w:eastAsia="zh-CN"/>
        </w:rPr>
        <w:t>-</w:t>
      </w:r>
      <w:r w:rsidRPr="00124E11">
        <w:rPr>
          <w:rFonts w:ascii="Book Antiqua" w:hAnsi="Book Antiqua" w:cs="Arial"/>
          <w:color w:val="000000" w:themeColor="text1"/>
          <w:lang w:val="en-US"/>
        </w:rPr>
        <w:t>C:</w:t>
      </w:r>
      <w:r>
        <w:rPr>
          <w:rFonts w:ascii="Book Antiqua" w:hAnsi="Book Antiqua" w:cs="Arial" w:hint="eastAsia"/>
          <w:color w:val="000000" w:themeColor="text1"/>
          <w:lang w:val="en-US" w:eastAsia="zh-CN"/>
        </w:rPr>
        <w:t xml:space="preserve"> </w:t>
      </w:r>
      <w:r>
        <w:rPr>
          <w:rFonts w:ascii="Book Antiqua" w:hAnsi="Book Antiqua" w:cs="Arial"/>
          <w:color w:val="000000" w:themeColor="text1"/>
          <w:lang w:val="en-US"/>
        </w:rPr>
        <w:t>Biliary convergence anatomy</w:t>
      </w:r>
      <w:r>
        <w:rPr>
          <w:rFonts w:ascii="Book Antiqua" w:hAnsi="Book Antiqua" w:cs="Arial" w:hint="eastAsia"/>
          <w:color w:val="000000" w:themeColor="text1"/>
          <w:lang w:val="en-US" w:eastAsia="zh-CN"/>
        </w:rPr>
        <w:t xml:space="preserve">; D-F: </w:t>
      </w:r>
      <w:r w:rsidRPr="00124E11">
        <w:rPr>
          <w:rFonts w:ascii="Book Antiqua" w:hAnsi="Book Antiqua" w:cs="Arial"/>
          <w:color w:val="000000" w:themeColor="text1"/>
          <w:lang w:val="en-US"/>
        </w:rPr>
        <w:t>Classical cystic duct junctio</w:t>
      </w:r>
      <w:r>
        <w:rPr>
          <w:rFonts w:ascii="Book Antiqua" w:hAnsi="Book Antiqua" w:cs="Arial"/>
          <w:color w:val="000000" w:themeColor="text1"/>
          <w:lang w:val="en-US"/>
        </w:rPr>
        <w:t>n with common bile ducts stones</w:t>
      </w:r>
      <w:r>
        <w:rPr>
          <w:rFonts w:ascii="Book Antiqua" w:hAnsi="Book Antiqua" w:cs="Arial" w:hint="eastAsia"/>
          <w:color w:val="000000" w:themeColor="text1"/>
          <w:lang w:val="en-US" w:eastAsia="zh-CN"/>
        </w:rPr>
        <w:t xml:space="preserve">; </w:t>
      </w:r>
      <w:r w:rsidRPr="00124E11">
        <w:rPr>
          <w:rFonts w:ascii="Book Antiqua" w:hAnsi="Book Antiqua" w:cs="Arial"/>
          <w:color w:val="000000" w:themeColor="text1"/>
          <w:lang w:val="en-US"/>
        </w:rPr>
        <w:t>G</w:t>
      </w:r>
      <w:r w:rsidR="00F83CB3">
        <w:rPr>
          <w:rFonts w:ascii="Book Antiqua" w:hAnsi="Book Antiqua" w:cs="Arial" w:hint="eastAsia"/>
          <w:color w:val="000000" w:themeColor="text1"/>
          <w:lang w:val="en-US" w:eastAsia="zh-CN"/>
        </w:rPr>
        <w:t xml:space="preserve"> and </w:t>
      </w:r>
      <w:r w:rsidRPr="00124E11">
        <w:rPr>
          <w:rFonts w:ascii="Book Antiqua" w:hAnsi="Book Antiqua" w:cs="Arial"/>
          <w:color w:val="000000" w:themeColor="text1"/>
          <w:lang w:val="en-US"/>
        </w:rPr>
        <w:t>H:</w:t>
      </w:r>
      <w:r>
        <w:rPr>
          <w:rFonts w:ascii="Book Antiqua" w:hAnsi="Book Antiqua" w:cs="Arial" w:hint="eastAsia"/>
          <w:color w:val="000000" w:themeColor="text1"/>
          <w:lang w:val="en-US" w:eastAsia="zh-CN"/>
        </w:rPr>
        <w:t xml:space="preserve"> </w:t>
      </w:r>
      <w:r w:rsidRPr="00124E11">
        <w:rPr>
          <w:rFonts w:ascii="Book Antiqua" w:hAnsi="Book Antiqua" w:cs="Arial"/>
          <w:color w:val="000000" w:themeColor="text1"/>
          <w:lang w:val="en-US"/>
        </w:rPr>
        <w:t>Intra-pancreatic bile duct.</w:t>
      </w:r>
      <w:r>
        <w:rPr>
          <w:rFonts w:ascii="Book Antiqua" w:hAnsi="Book Antiqua" w:cs="Arial" w:hint="eastAsia"/>
          <w:color w:val="000000" w:themeColor="text1"/>
          <w:lang w:val="en-US" w:eastAsia="zh-CN"/>
        </w:rPr>
        <w:t xml:space="preserve"> </w:t>
      </w:r>
      <w:r w:rsidR="00D46A20" w:rsidRPr="00124E11">
        <w:rPr>
          <w:rFonts w:ascii="Book Antiqua" w:hAnsi="Book Antiqua" w:cs="Arial"/>
          <w:color w:val="000000" w:themeColor="text1"/>
          <w:lang w:val="en-US"/>
        </w:rPr>
        <w:t xml:space="preserve">RAD: </w:t>
      </w:r>
      <w:r w:rsidR="00D46A20" w:rsidRPr="00F83CB3">
        <w:rPr>
          <w:rFonts w:ascii="Book Antiqua" w:hAnsi="Book Antiqua" w:cs="Arial"/>
          <w:caps/>
          <w:color w:val="000000" w:themeColor="text1"/>
          <w:lang w:val="en-US"/>
        </w:rPr>
        <w:t>r</w:t>
      </w:r>
      <w:r w:rsidR="00D46A20" w:rsidRPr="00124E11">
        <w:rPr>
          <w:rFonts w:ascii="Book Antiqua" w:hAnsi="Book Antiqua" w:cs="Arial"/>
          <w:color w:val="000000" w:themeColor="text1"/>
          <w:lang w:val="en-US"/>
        </w:rPr>
        <w:t xml:space="preserve">ight anterior sector duct; RPD: </w:t>
      </w:r>
      <w:r w:rsidR="00D46A20" w:rsidRPr="00F83CB3">
        <w:rPr>
          <w:rFonts w:ascii="Book Antiqua" w:hAnsi="Book Antiqua" w:cs="Arial"/>
          <w:caps/>
          <w:color w:val="000000" w:themeColor="text1"/>
          <w:lang w:val="en-US"/>
        </w:rPr>
        <w:t>r</w:t>
      </w:r>
      <w:r w:rsidR="00D46A20" w:rsidRPr="00124E11">
        <w:rPr>
          <w:rFonts w:ascii="Book Antiqua" w:hAnsi="Book Antiqua" w:cs="Arial"/>
          <w:color w:val="000000" w:themeColor="text1"/>
          <w:lang w:val="en-US"/>
        </w:rPr>
        <w:t xml:space="preserve">ight posterior sector duct; LHD: </w:t>
      </w:r>
      <w:r w:rsidR="00D46A20" w:rsidRPr="00F83CB3">
        <w:rPr>
          <w:rFonts w:ascii="Book Antiqua" w:hAnsi="Book Antiqua" w:cs="Arial"/>
          <w:caps/>
          <w:color w:val="000000" w:themeColor="text1"/>
          <w:lang w:val="en-US"/>
        </w:rPr>
        <w:t>l</w:t>
      </w:r>
      <w:r w:rsidR="00D46A20" w:rsidRPr="00124E11">
        <w:rPr>
          <w:rFonts w:ascii="Book Antiqua" w:hAnsi="Book Antiqua" w:cs="Arial"/>
          <w:color w:val="000000" w:themeColor="text1"/>
          <w:lang w:val="en-US"/>
        </w:rPr>
        <w:t>eft hepatic duct; LHD-rex</w:t>
      </w:r>
      <w:r w:rsidR="00F83CB3">
        <w:rPr>
          <w:rFonts w:ascii="Book Antiqua" w:hAnsi="Book Antiqua" w:cs="Arial" w:hint="eastAsia"/>
          <w:color w:val="000000" w:themeColor="text1"/>
          <w:lang w:val="en-US" w:eastAsia="zh-CN"/>
        </w:rPr>
        <w:t>:</w:t>
      </w:r>
      <w:r w:rsidR="00D46A20" w:rsidRPr="00124E11">
        <w:rPr>
          <w:rFonts w:ascii="Book Antiqua" w:hAnsi="Book Antiqua" w:cs="Arial"/>
          <w:color w:val="000000" w:themeColor="text1"/>
          <w:lang w:val="en-US"/>
        </w:rPr>
        <w:t xml:space="preserve"> </w:t>
      </w:r>
      <w:r w:rsidR="00D46A20" w:rsidRPr="00F83CB3">
        <w:rPr>
          <w:rFonts w:ascii="Book Antiqua" w:hAnsi="Book Antiqua" w:cs="Arial"/>
          <w:caps/>
          <w:color w:val="000000" w:themeColor="text1"/>
          <w:lang w:val="en-US"/>
        </w:rPr>
        <w:t>l</w:t>
      </w:r>
      <w:r w:rsidR="00D46A20" w:rsidRPr="00124E11">
        <w:rPr>
          <w:rFonts w:ascii="Book Antiqua" w:hAnsi="Book Antiqua" w:cs="Arial"/>
          <w:color w:val="000000" w:themeColor="text1"/>
          <w:lang w:val="en-US"/>
        </w:rPr>
        <w:t>eft hepatic duct at Rex recessus</w:t>
      </w:r>
      <w:r w:rsidR="00F83CB3">
        <w:rPr>
          <w:rFonts w:ascii="Book Antiqua" w:hAnsi="Book Antiqua" w:cs="Arial" w:hint="eastAsia"/>
          <w:color w:val="000000" w:themeColor="text1"/>
          <w:lang w:val="en-US" w:eastAsia="zh-CN"/>
        </w:rPr>
        <w:t xml:space="preserve">; </w:t>
      </w:r>
      <w:r w:rsidR="00D46A20" w:rsidRPr="00124E11">
        <w:rPr>
          <w:rFonts w:ascii="Book Antiqua" w:hAnsi="Book Antiqua" w:cs="Arial"/>
          <w:color w:val="000000" w:themeColor="text1"/>
          <w:lang w:val="en-US"/>
        </w:rPr>
        <w:t xml:space="preserve">CBDS: </w:t>
      </w:r>
      <w:r w:rsidR="00D46A20" w:rsidRPr="00F83CB3">
        <w:rPr>
          <w:rFonts w:ascii="Book Antiqua" w:hAnsi="Book Antiqua" w:cs="Arial"/>
          <w:caps/>
          <w:color w:val="000000" w:themeColor="text1"/>
          <w:lang w:val="en-US"/>
        </w:rPr>
        <w:t>c</w:t>
      </w:r>
      <w:r w:rsidR="00D46A20" w:rsidRPr="00124E11">
        <w:rPr>
          <w:rFonts w:ascii="Book Antiqua" w:hAnsi="Book Antiqua" w:cs="Arial"/>
          <w:color w:val="000000" w:themeColor="text1"/>
          <w:lang w:val="en-US"/>
        </w:rPr>
        <w:t>ommon bile duct stones; CD</w:t>
      </w:r>
      <w:r w:rsidR="00F83CB3">
        <w:rPr>
          <w:rFonts w:ascii="Book Antiqua" w:hAnsi="Book Antiqua" w:cs="Arial" w:hint="eastAsia"/>
          <w:color w:val="000000" w:themeColor="text1"/>
          <w:lang w:val="en-US" w:eastAsia="zh-CN"/>
        </w:rPr>
        <w:t xml:space="preserve"> (E)</w:t>
      </w:r>
      <w:r w:rsidR="00D46A20" w:rsidRPr="00124E11">
        <w:rPr>
          <w:rFonts w:ascii="Book Antiqua" w:hAnsi="Book Antiqua" w:cs="Arial"/>
          <w:color w:val="000000" w:themeColor="text1"/>
          <w:lang w:val="en-US"/>
        </w:rPr>
        <w:t xml:space="preserve">: </w:t>
      </w:r>
      <w:r w:rsidR="00D46A20" w:rsidRPr="00F83CB3">
        <w:rPr>
          <w:rFonts w:ascii="Book Antiqua" w:hAnsi="Book Antiqua" w:cs="Arial"/>
          <w:caps/>
          <w:color w:val="000000" w:themeColor="text1"/>
          <w:lang w:val="en-US"/>
        </w:rPr>
        <w:t>c</w:t>
      </w:r>
      <w:r w:rsidR="00D46A20" w:rsidRPr="00124E11">
        <w:rPr>
          <w:rFonts w:ascii="Book Antiqua" w:hAnsi="Book Antiqua" w:cs="Arial"/>
          <w:color w:val="000000" w:themeColor="text1"/>
          <w:lang w:val="en-US"/>
        </w:rPr>
        <w:t xml:space="preserve">ystic duct; CHD: </w:t>
      </w:r>
      <w:r w:rsidR="00D46A20" w:rsidRPr="00F83CB3">
        <w:rPr>
          <w:rFonts w:ascii="Book Antiqua" w:hAnsi="Book Antiqua" w:cs="Arial"/>
          <w:caps/>
          <w:color w:val="000000" w:themeColor="text1"/>
          <w:lang w:val="en-US"/>
        </w:rPr>
        <w:t>c</w:t>
      </w:r>
      <w:r w:rsidR="00D46A20" w:rsidRPr="00124E11">
        <w:rPr>
          <w:rFonts w:ascii="Book Antiqua" w:hAnsi="Book Antiqua" w:cs="Arial"/>
          <w:color w:val="000000" w:themeColor="text1"/>
          <w:lang w:val="en-US"/>
        </w:rPr>
        <w:t>ommon hepatic duct</w:t>
      </w:r>
      <w:r w:rsidR="00F83CB3">
        <w:rPr>
          <w:rFonts w:ascii="Book Antiqua" w:hAnsi="Book Antiqua" w:cs="Arial" w:hint="eastAsia"/>
          <w:color w:val="000000" w:themeColor="text1"/>
          <w:lang w:val="en-US" w:eastAsia="zh-CN"/>
        </w:rPr>
        <w:t>;</w:t>
      </w:r>
      <w:r w:rsidR="00822039">
        <w:rPr>
          <w:rFonts w:ascii="Book Antiqua" w:hAnsi="Book Antiqua" w:cs="Arial"/>
          <w:color w:val="000000" w:themeColor="text1"/>
          <w:lang w:val="en-US"/>
        </w:rPr>
        <w:t xml:space="preserve"> </w:t>
      </w:r>
      <w:r w:rsidR="00D46A20" w:rsidRPr="00124E11">
        <w:rPr>
          <w:rFonts w:ascii="Book Antiqua" w:hAnsi="Book Antiqua" w:cs="Arial"/>
          <w:color w:val="000000" w:themeColor="text1"/>
          <w:lang w:val="en-US"/>
        </w:rPr>
        <w:t>CBD:</w:t>
      </w:r>
      <w:r w:rsidR="00D46A20" w:rsidRPr="00F83CB3">
        <w:rPr>
          <w:rFonts w:ascii="Book Antiqua" w:hAnsi="Book Antiqua" w:cs="Arial"/>
          <w:caps/>
          <w:color w:val="000000" w:themeColor="text1"/>
          <w:lang w:val="en-US"/>
        </w:rPr>
        <w:t xml:space="preserve"> c</w:t>
      </w:r>
      <w:r w:rsidR="00D46A20" w:rsidRPr="00124E11">
        <w:rPr>
          <w:rFonts w:ascii="Book Antiqua" w:hAnsi="Book Antiqua" w:cs="Arial"/>
          <w:color w:val="000000" w:themeColor="text1"/>
          <w:lang w:val="en-US"/>
        </w:rPr>
        <w:t>ommon bile duct; CD</w:t>
      </w:r>
      <w:r w:rsidR="00F83CB3">
        <w:rPr>
          <w:rFonts w:ascii="Book Antiqua" w:hAnsi="Book Antiqua" w:cs="Arial" w:hint="eastAsia"/>
          <w:color w:val="000000" w:themeColor="text1"/>
          <w:lang w:val="en-US" w:eastAsia="zh-CN"/>
        </w:rPr>
        <w:t xml:space="preserve"> (G)</w:t>
      </w:r>
      <w:r w:rsidR="00D46A20" w:rsidRPr="00124E11">
        <w:rPr>
          <w:rFonts w:ascii="Book Antiqua" w:hAnsi="Book Antiqua" w:cs="Arial"/>
          <w:color w:val="000000" w:themeColor="text1"/>
          <w:lang w:val="en-US"/>
        </w:rPr>
        <w:t xml:space="preserve">: </w:t>
      </w:r>
      <w:r w:rsidR="00D46A20" w:rsidRPr="00F83CB3">
        <w:rPr>
          <w:rFonts w:ascii="Book Antiqua" w:hAnsi="Book Antiqua" w:cs="Arial"/>
          <w:caps/>
          <w:color w:val="000000" w:themeColor="text1"/>
          <w:lang w:val="en-US"/>
        </w:rPr>
        <w:t>c</w:t>
      </w:r>
      <w:r w:rsidR="00D46A20" w:rsidRPr="00124E11">
        <w:rPr>
          <w:rFonts w:ascii="Book Antiqua" w:hAnsi="Book Antiqua" w:cs="Arial"/>
          <w:color w:val="000000" w:themeColor="text1"/>
          <w:lang w:val="en-US"/>
        </w:rPr>
        <w:t>ystic duct</w:t>
      </w:r>
      <w:r w:rsidR="008B2B60" w:rsidRPr="00124E11">
        <w:rPr>
          <w:rFonts w:ascii="Book Antiqua" w:hAnsi="Book Antiqua" w:cs="Arial"/>
          <w:color w:val="000000" w:themeColor="text1"/>
          <w:lang w:val="en-US"/>
        </w:rPr>
        <w:t xml:space="preserve"> with low implantation in the common bile duct</w:t>
      </w:r>
      <w:r w:rsidR="00D46A20" w:rsidRPr="00124E11">
        <w:rPr>
          <w:rFonts w:ascii="Book Antiqua" w:hAnsi="Book Antiqua" w:cs="Arial"/>
          <w:color w:val="000000" w:themeColor="text1"/>
          <w:lang w:val="en-US"/>
        </w:rPr>
        <w:t xml:space="preserve">; PD: </w:t>
      </w:r>
      <w:r w:rsidR="00D46A20" w:rsidRPr="00F83CB3">
        <w:rPr>
          <w:rFonts w:ascii="Book Antiqua" w:hAnsi="Book Antiqua" w:cs="Arial"/>
          <w:caps/>
          <w:color w:val="000000" w:themeColor="text1"/>
          <w:lang w:val="en-US"/>
        </w:rPr>
        <w:t>p</w:t>
      </w:r>
      <w:r w:rsidR="00D46A20" w:rsidRPr="00124E11">
        <w:rPr>
          <w:rFonts w:ascii="Book Antiqua" w:hAnsi="Book Antiqua" w:cs="Arial"/>
          <w:color w:val="000000" w:themeColor="text1"/>
          <w:lang w:val="en-US"/>
        </w:rPr>
        <w:t xml:space="preserve">ancreatic duct; PH: </w:t>
      </w:r>
      <w:r w:rsidR="00D46A20" w:rsidRPr="00F83CB3">
        <w:rPr>
          <w:rFonts w:ascii="Book Antiqua" w:hAnsi="Book Antiqua" w:cs="Arial"/>
          <w:caps/>
          <w:color w:val="000000" w:themeColor="text1"/>
          <w:lang w:val="en-US"/>
        </w:rPr>
        <w:t>p</w:t>
      </w:r>
      <w:r w:rsidR="00D46A20" w:rsidRPr="00124E11">
        <w:rPr>
          <w:rFonts w:ascii="Book Antiqua" w:hAnsi="Book Antiqua" w:cs="Arial"/>
          <w:color w:val="000000" w:themeColor="text1"/>
          <w:lang w:val="en-US"/>
        </w:rPr>
        <w:t>ancreatic head.</w:t>
      </w:r>
    </w:p>
    <w:p w14:paraId="09A3C950" w14:textId="5443F7CC" w:rsidR="00F83CB3" w:rsidRDefault="00F83CB3" w:rsidP="00A94613">
      <w:pPr>
        <w:snapToGrid w:val="0"/>
        <w:spacing w:line="360" w:lineRule="auto"/>
        <w:jc w:val="both"/>
        <w:rPr>
          <w:rFonts w:ascii="Book Antiqua" w:hAnsi="Book Antiqua" w:cs="Arial"/>
          <w:color w:val="000000" w:themeColor="text1"/>
          <w:lang w:val="en-US" w:eastAsia="zh-CN"/>
        </w:rPr>
      </w:pPr>
    </w:p>
    <w:p w14:paraId="10570AE5" w14:textId="77777777" w:rsidR="00F83CB3" w:rsidRDefault="00F83CB3" w:rsidP="00A94613">
      <w:pPr>
        <w:spacing w:line="360" w:lineRule="auto"/>
        <w:rPr>
          <w:rFonts w:ascii="Book Antiqua" w:hAnsi="Book Antiqua" w:cs="Arial"/>
          <w:color w:val="000000" w:themeColor="text1"/>
          <w:lang w:val="en-US"/>
        </w:rPr>
      </w:pPr>
      <w:r>
        <w:rPr>
          <w:rFonts w:ascii="Book Antiqua" w:hAnsi="Book Antiqua" w:cs="Arial"/>
          <w:color w:val="000000" w:themeColor="text1"/>
          <w:lang w:val="en-US"/>
        </w:rPr>
        <w:br w:type="page"/>
      </w:r>
    </w:p>
    <w:p w14:paraId="5DA92122" w14:textId="77777777" w:rsidR="00A94613" w:rsidRDefault="00A94613" w:rsidP="00A94613">
      <w:pPr>
        <w:spacing w:line="360" w:lineRule="auto"/>
        <w:outlineLvl w:val="0"/>
        <w:rPr>
          <w:rFonts w:ascii="Book Antiqua" w:eastAsia="Times New Roman" w:hAnsi="Book Antiqua" w:cs="Arial"/>
          <w:b/>
          <w:bCs/>
        </w:rPr>
        <w:sectPr w:rsidR="00A94613" w:rsidSect="007A4B5F">
          <w:pgSz w:w="11900" w:h="16840"/>
          <w:pgMar w:top="1417" w:right="1417" w:bottom="1417" w:left="1417" w:header="708" w:footer="708" w:gutter="0"/>
          <w:cols w:space="708"/>
          <w:docGrid w:linePitch="360"/>
        </w:sectPr>
      </w:pPr>
    </w:p>
    <w:p w14:paraId="4955CD69" w14:textId="026451F7" w:rsidR="00A94613" w:rsidRPr="00A94613" w:rsidRDefault="00A94613" w:rsidP="00A94613">
      <w:pPr>
        <w:spacing w:line="360" w:lineRule="auto"/>
        <w:outlineLvl w:val="0"/>
        <w:rPr>
          <w:rFonts w:ascii="Book Antiqua" w:eastAsia="Times New Roman" w:hAnsi="Book Antiqua" w:cs="Arial"/>
          <w:b/>
          <w:bCs/>
        </w:rPr>
      </w:pPr>
      <w:r w:rsidRPr="00A94613">
        <w:rPr>
          <w:rFonts w:ascii="Book Antiqua" w:eastAsia="Times New Roman" w:hAnsi="Book Antiqua" w:cs="Arial"/>
          <w:b/>
          <w:bCs/>
        </w:rPr>
        <w:lastRenderedPageBreak/>
        <w:t>Table 1</w:t>
      </w:r>
      <w:r w:rsidRPr="00A94613">
        <w:rPr>
          <w:rFonts w:ascii="Book Antiqua" w:hAnsi="Book Antiqua" w:cs="Arial"/>
          <w:b/>
          <w:bCs/>
          <w:lang w:eastAsia="zh-CN"/>
        </w:rPr>
        <w:t xml:space="preserve"> </w:t>
      </w:r>
      <w:r w:rsidRPr="00A94613">
        <w:rPr>
          <w:rFonts w:ascii="Book Antiqua" w:eastAsia="Times New Roman" w:hAnsi="Book Antiqua" w:cs="Arial"/>
          <w:b/>
          <w:bCs/>
        </w:rPr>
        <w:t>Results of PubMed review</w:t>
      </w:r>
    </w:p>
    <w:tbl>
      <w:tblPr>
        <w:tblW w:w="15814" w:type="dxa"/>
        <w:tblLook w:val="04A0" w:firstRow="1" w:lastRow="0" w:firstColumn="1" w:lastColumn="0" w:noHBand="0" w:noVBand="1"/>
      </w:tblPr>
      <w:tblGrid>
        <w:gridCol w:w="1400"/>
        <w:gridCol w:w="1300"/>
        <w:gridCol w:w="1300"/>
        <w:gridCol w:w="1300"/>
        <w:gridCol w:w="1300"/>
        <w:gridCol w:w="1300"/>
        <w:gridCol w:w="1456"/>
        <w:gridCol w:w="1300"/>
        <w:gridCol w:w="3463"/>
        <w:gridCol w:w="579"/>
        <w:gridCol w:w="579"/>
        <w:gridCol w:w="579"/>
      </w:tblGrid>
      <w:tr w:rsidR="00A94613" w:rsidRPr="006A21E3" w14:paraId="39DEB310" w14:textId="77777777" w:rsidTr="00A94613">
        <w:trPr>
          <w:trHeight w:val="700"/>
        </w:trPr>
        <w:tc>
          <w:tcPr>
            <w:tcW w:w="1400" w:type="dxa"/>
            <w:tcBorders>
              <w:top w:val="single" w:sz="4" w:space="0" w:color="auto"/>
              <w:bottom w:val="single" w:sz="4" w:space="0" w:color="auto"/>
            </w:tcBorders>
            <w:shd w:val="clear" w:color="auto" w:fill="auto"/>
            <w:noWrap/>
            <w:vAlign w:val="bottom"/>
            <w:hideMark/>
          </w:tcPr>
          <w:p w14:paraId="3598AA89" w14:textId="77777777" w:rsidR="00A94613" w:rsidRPr="006A21E3" w:rsidRDefault="00A94613" w:rsidP="00A94613">
            <w:pPr>
              <w:spacing w:line="360" w:lineRule="auto"/>
              <w:rPr>
                <w:rFonts w:ascii="Book Antiqua" w:eastAsia="Times New Roman" w:hAnsi="Book Antiqua" w:cs="Arial"/>
                <w:b/>
                <w:color w:val="000000"/>
              </w:rPr>
            </w:pPr>
            <w:r w:rsidRPr="006A21E3">
              <w:rPr>
                <w:rFonts w:ascii="Book Antiqua" w:eastAsia="Times New Roman" w:hAnsi="Book Antiqua" w:cs="Arial"/>
                <w:b/>
                <w:color w:val="000000"/>
              </w:rPr>
              <w:t>Author</w:t>
            </w:r>
          </w:p>
        </w:tc>
        <w:tc>
          <w:tcPr>
            <w:tcW w:w="1300" w:type="dxa"/>
            <w:tcBorders>
              <w:top w:val="single" w:sz="4" w:space="0" w:color="auto"/>
              <w:bottom w:val="single" w:sz="4" w:space="0" w:color="auto"/>
            </w:tcBorders>
            <w:shd w:val="clear" w:color="auto" w:fill="auto"/>
            <w:noWrap/>
            <w:vAlign w:val="bottom"/>
            <w:hideMark/>
          </w:tcPr>
          <w:p w14:paraId="3CD32089" w14:textId="1F9C0B30" w:rsidR="00A94613" w:rsidRPr="006A21E3" w:rsidRDefault="00A94613" w:rsidP="00A94613">
            <w:pPr>
              <w:keepNext/>
              <w:keepLines/>
              <w:spacing w:before="200" w:line="360" w:lineRule="auto"/>
              <w:jc w:val="center"/>
              <w:outlineLvl w:val="6"/>
              <w:rPr>
                <w:rFonts w:ascii="Book Antiqua" w:eastAsia="Times New Roman" w:hAnsi="Book Antiqua" w:cs="Arial"/>
                <w:b/>
                <w:color w:val="000000"/>
              </w:rPr>
            </w:pPr>
            <w:r w:rsidRPr="006A21E3">
              <w:rPr>
                <w:rFonts w:ascii="Book Antiqua" w:eastAsia="Times New Roman" w:hAnsi="Book Antiqua" w:cs="Arial"/>
                <w:b/>
                <w:color w:val="000000"/>
              </w:rPr>
              <w:t>Year</w:t>
            </w:r>
          </w:p>
        </w:tc>
        <w:tc>
          <w:tcPr>
            <w:tcW w:w="1300" w:type="dxa"/>
            <w:tcBorders>
              <w:top w:val="single" w:sz="4" w:space="0" w:color="auto"/>
              <w:bottom w:val="single" w:sz="4" w:space="0" w:color="auto"/>
            </w:tcBorders>
            <w:shd w:val="clear" w:color="auto" w:fill="auto"/>
            <w:noWrap/>
            <w:vAlign w:val="bottom"/>
            <w:hideMark/>
          </w:tcPr>
          <w:p w14:paraId="0A940EA6" w14:textId="77777777" w:rsidR="00A94613" w:rsidRPr="006A21E3" w:rsidRDefault="00A94613" w:rsidP="00A94613">
            <w:pPr>
              <w:spacing w:line="360" w:lineRule="auto"/>
              <w:jc w:val="center"/>
              <w:rPr>
                <w:rFonts w:ascii="Book Antiqua" w:eastAsia="Times New Roman" w:hAnsi="Book Antiqua" w:cs="Arial"/>
                <w:b/>
                <w:color w:val="000000"/>
              </w:rPr>
            </w:pPr>
            <w:r w:rsidRPr="006A21E3">
              <w:rPr>
                <w:rFonts w:ascii="Book Antiqua" w:eastAsia="Times New Roman" w:hAnsi="Book Antiqua" w:cs="Arial"/>
                <w:b/>
                <w:color w:val="000000"/>
              </w:rPr>
              <w:t>Type of study</w:t>
            </w:r>
          </w:p>
        </w:tc>
        <w:tc>
          <w:tcPr>
            <w:tcW w:w="1300" w:type="dxa"/>
            <w:tcBorders>
              <w:top w:val="single" w:sz="4" w:space="0" w:color="auto"/>
              <w:bottom w:val="single" w:sz="4" w:space="0" w:color="auto"/>
            </w:tcBorders>
            <w:shd w:val="clear" w:color="auto" w:fill="auto"/>
            <w:noWrap/>
            <w:vAlign w:val="bottom"/>
            <w:hideMark/>
          </w:tcPr>
          <w:p w14:paraId="6D02B8D7" w14:textId="4065E377" w:rsidR="00A94613" w:rsidRPr="006A21E3" w:rsidRDefault="00A94613" w:rsidP="00A94613">
            <w:pPr>
              <w:keepNext/>
              <w:keepLines/>
              <w:spacing w:before="200" w:line="360" w:lineRule="auto"/>
              <w:jc w:val="center"/>
              <w:outlineLvl w:val="6"/>
              <w:rPr>
                <w:rFonts w:ascii="Book Antiqua" w:eastAsia="Times New Roman" w:hAnsi="Book Antiqua" w:cs="Arial"/>
                <w:b/>
                <w:color w:val="000000"/>
              </w:rPr>
            </w:pPr>
            <w:r w:rsidRPr="006A21E3">
              <w:rPr>
                <w:rFonts w:ascii="Book Antiqua" w:eastAsia="Times New Roman" w:hAnsi="Book Antiqua" w:cs="Arial"/>
                <w:b/>
                <w:color w:val="000000"/>
              </w:rPr>
              <w:t>Number of patients</w:t>
            </w:r>
          </w:p>
        </w:tc>
        <w:tc>
          <w:tcPr>
            <w:tcW w:w="1300" w:type="dxa"/>
            <w:tcBorders>
              <w:top w:val="single" w:sz="4" w:space="0" w:color="auto"/>
              <w:bottom w:val="single" w:sz="4" w:space="0" w:color="auto"/>
            </w:tcBorders>
            <w:shd w:val="clear" w:color="auto" w:fill="auto"/>
            <w:noWrap/>
            <w:vAlign w:val="bottom"/>
            <w:hideMark/>
          </w:tcPr>
          <w:p w14:paraId="1C79F556" w14:textId="77777777" w:rsidR="00A94613" w:rsidRPr="006A21E3" w:rsidRDefault="00A94613" w:rsidP="00A94613">
            <w:pPr>
              <w:keepNext/>
              <w:keepLines/>
              <w:spacing w:before="200" w:line="360" w:lineRule="auto"/>
              <w:jc w:val="center"/>
              <w:outlineLvl w:val="6"/>
              <w:rPr>
                <w:rFonts w:ascii="Book Antiqua" w:eastAsia="Times New Roman" w:hAnsi="Book Antiqua" w:cs="Arial"/>
                <w:b/>
              </w:rPr>
            </w:pPr>
            <w:r w:rsidRPr="006A21E3">
              <w:rPr>
                <w:rFonts w:ascii="Book Antiqua" w:eastAsia="Times New Roman" w:hAnsi="Book Antiqua" w:cs="Arial"/>
                <w:b/>
              </w:rPr>
              <w:t>Surgeon</w:t>
            </w:r>
          </w:p>
        </w:tc>
        <w:tc>
          <w:tcPr>
            <w:tcW w:w="1300" w:type="dxa"/>
            <w:tcBorders>
              <w:top w:val="single" w:sz="4" w:space="0" w:color="auto"/>
              <w:bottom w:val="single" w:sz="4" w:space="0" w:color="auto"/>
            </w:tcBorders>
            <w:shd w:val="clear" w:color="auto" w:fill="auto"/>
            <w:noWrap/>
            <w:vAlign w:val="bottom"/>
            <w:hideMark/>
          </w:tcPr>
          <w:p w14:paraId="0DC5A702" w14:textId="77777777" w:rsidR="00A94613" w:rsidRPr="006A21E3" w:rsidRDefault="00A94613" w:rsidP="00A94613">
            <w:pPr>
              <w:spacing w:line="360" w:lineRule="auto"/>
              <w:jc w:val="center"/>
              <w:rPr>
                <w:rFonts w:ascii="Book Antiqua" w:eastAsia="Times New Roman" w:hAnsi="Book Antiqua" w:cs="Arial"/>
                <w:b/>
              </w:rPr>
            </w:pPr>
            <w:r w:rsidRPr="006A21E3">
              <w:rPr>
                <w:rFonts w:ascii="Book Antiqua" w:eastAsia="Times New Roman" w:hAnsi="Book Antiqua" w:cs="Arial"/>
                <w:b/>
              </w:rPr>
              <w:t>Routine LUS use</w:t>
            </w:r>
          </w:p>
        </w:tc>
        <w:tc>
          <w:tcPr>
            <w:tcW w:w="1414" w:type="dxa"/>
            <w:tcBorders>
              <w:top w:val="single" w:sz="4" w:space="0" w:color="auto"/>
              <w:bottom w:val="single" w:sz="4" w:space="0" w:color="auto"/>
            </w:tcBorders>
            <w:shd w:val="clear" w:color="auto" w:fill="auto"/>
            <w:vAlign w:val="bottom"/>
            <w:hideMark/>
          </w:tcPr>
          <w:p w14:paraId="72A4A521" w14:textId="77777777" w:rsidR="00A94613" w:rsidRPr="006A21E3" w:rsidRDefault="00A94613" w:rsidP="00A94613">
            <w:pPr>
              <w:keepNext/>
              <w:keepLines/>
              <w:spacing w:before="200" w:line="360" w:lineRule="auto"/>
              <w:jc w:val="center"/>
              <w:outlineLvl w:val="6"/>
              <w:rPr>
                <w:rFonts w:ascii="Book Antiqua" w:eastAsia="Times New Roman" w:hAnsi="Book Antiqua" w:cs="Arial"/>
                <w:b/>
              </w:rPr>
            </w:pPr>
            <w:r w:rsidRPr="006A21E3">
              <w:rPr>
                <w:rFonts w:ascii="Book Antiqua" w:eastAsia="Times New Roman" w:hAnsi="Book Antiqua" w:cs="Arial"/>
                <w:b/>
              </w:rPr>
              <w:t>Detailed anatomical description</w:t>
            </w:r>
          </w:p>
        </w:tc>
        <w:tc>
          <w:tcPr>
            <w:tcW w:w="1300" w:type="dxa"/>
            <w:tcBorders>
              <w:top w:val="single" w:sz="4" w:space="0" w:color="auto"/>
              <w:bottom w:val="single" w:sz="4" w:space="0" w:color="auto"/>
            </w:tcBorders>
            <w:shd w:val="clear" w:color="auto" w:fill="auto"/>
            <w:noWrap/>
            <w:vAlign w:val="bottom"/>
            <w:hideMark/>
          </w:tcPr>
          <w:p w14:paraId="315FE60A" w14:textId="77777777" w:rsidR="00A94613" w:rsidRPr="006A21E3" w:rsidRDefault="00A94613" w:rsidP="00A94613">
            <w:pPr>
              <w:spacing w:line="360" w:lineRule="auto"/>
              <w:jc w:val="center"/>
              <w:rPr>
                <w:rFonts w:ascii="Book Antiqua" w:eastAsia="Times New Roman" w:hAnsi="Book Antiqua" w:cs="Arial"/>
                <w:b/>
              </w:rPr>
            </w:pPr>
            <w:r w:rsidRPr="006A21E3">
              <w:rPr>
                <w:rFonts w:ascii="Book Antiqua" w:eastAsia="Times New Roman" w:hAnsi="Book Antiqua" w:cs="Arial"/>
                <w:b/>
              </w:rPr>
              <w:t>CBDS report</w:t>
            </w:r>
          </w:p>
        </w:tc>
        <w:tc>
          <w:tcPr>
            <w:tcW w:w="5200" w:type="dxa"/>
            <w:gridSpan w:val="4"/>
            <w:tcBorders>
              <w:top w:val="single" w:sz="4" w:space="0" w:color="auto"/>
              <w:bottom w:val="single" w:sz="4" w:space="0" w:color="auto"/>
            </w:tcBorders>
            <w:shd w:val="clear" w:color="auto" w:fill="auto"/>
            <w:noWrap/>
            <w:vAlign w:val="bottom"/>
            <w:hideMark/>
          </w:tcPr>
          <w:p w14:paraId="4708DBA2" w14:textId="77777777" w:rsidR="00A94613" w:rsidRPr="006A21E3" w:rsidRDefault="00A94613" w:rsidP="00A94613">
            <w:pPr>
              <w:spacing w:line="360" w:lineRule="auto"/>
              <w:jc w:val="center"/>
              <w:rPr>
                <w:rFonts w:ascii="Book Antiqua" w:eastAsia="Times New Roman" w:hAnsi="Book Antiqua" w:cs="Arial"/>
                <w:b/>
              </w:rPr>
            </w:pPr>
            <w:r w:rsidRPr="006A21E3">
              <w:rPr>
                <w:rFonts w:ascii="Book Antiqua" w:eastAsia="Times New Roman" w:hAnsi="Book Antiqua" w:cs="Arial"/>
                <w:b/>
              </w:rPr>
              <w:t>Specific aims of the study other than LUS efficacy</w:t>
            </w:r>
          </w:p>
        </w:tc>
      </w:tr>
      <w:tr w:rsidR="00A94613" w:rsidRPr="006A21E3" w14:paraId="7A49DD36" w14:textId="77777777" w:rsidTr="00A94613">
        <w:trPr>
          <w:trHeight w:val="320"/>
        </w:trPr>
        <w:tc>
          <w:tcPr>
            <w:tcW w:w="1400" w:type="dxa"/>
            <w:tcBorders>
              <w:top w:val="single" w:sz="4" w:space="0" w:color="auto"/>
            </w:tcBorders>
            <w:shd w:val="clear" w:color="auto" w:fill="auto"/>
            <w:noWrap/>
            <w:vAlign w:val="bottom"/>
            <w:hideMark/>
          </w:tcPr>
          <w:p w14:paraId="2F884527"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Tranter</w:t>
            </w:r>
          </w:p>
        </w:tc>
        <w:tc>
          <w:tcPr>
            <w:tcW w:w="1300" w:type="dxa"/>
            <w:tcBorders>
              <w:top w:val="single" w:sz="4" w:space="0" w:color="auto"/>
            </w:tcBorders>
            <w:shd w:val="clear" w:color="auto" w:fill="auto"/>
            <w:noWrap/>
            <w:vAlign w:val="bottom"/>
            <w:hideMark/>
          </w:tcPr>
          <w:p w14:paraId="19D1C8EE"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2001</w:t>
            </w:r>
          </w:p>
        </w:tc>
        <w:tc>
          <w:tcPr>
            <w:tcW w:w="1300" w:type="dxa"/>
            <w:tcBorders>
              <w:top w:val="single" w:sz="4" w:space="0" w:color="auto"/>
            </w:tcBorders>
            <w:shd w:val="clear" w:color="auto" w:fill="auto"/>
            <w:noWrap/>
            <w:vAlign w:val="bottom"/>
            <w:hideMark/>
          </w:tcPr>
          <w:p w14:paraId="20160B2F"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tcBorders>
              <w:top w:val="single" w:sz="4" w:space="0" w:color="auto"/>
            </w:tcBorders>
            <w:shd w:val="clear" w:color="auto" w:fill="auto"/>
            <w:noWrap/>
            <w:vAlign w:val="bottom"/>
            <w:hideMark/>
          </w:tcPr>
          <w:p w14:paraId="08B7D0CF"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367</w:t>
            </w:r>
          </w:p>
        </w:tc>
        <w:tc>
          <w:tcPr>
            <w:tcW w:w="1300" w:type="dxa"/>
            <w:tcBorders>
              <w:top w:val="single" w:sz="4" w:space="0" w:color="auto"/>
            </w:tcBorders>
            <w:shd w:val="clear" w:color="auto" w:fill="auto"/>
            <w:noWrap/>
            <w:vAlign w:val="bottom"/>
            <w:hideMark/>
          </w:tcPr>
          <w:p w14:paraId="0ED25AA9"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tcBorders>
              <w:top w:val="single" w:sz="4" w:space="0" w:color="auto"/>
            </w:tcBorders>
            <w:shd w:val="clear" w:color="auto" w:fill="auto"/>
            <w:noWrap/>
            <w:vAlign w:val="bottom"/>
            <w:hideMark/>
          </w:tcPr>
          <w:p w14:paraId="36ECC77B"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tcBorders>
              <w:top w:val="single" w:sz="4" w:space="0" w:color="auto"/>
            </w:tcBorders>
            <w:shd w:val="clear" w:color="auto" w:fill="auto"/>
            <w:noWrap/>
            <w:vAlign w:val="bottom"/>
            <w:hideMark/>
          </w:tcPr>
          <w:p w14:paraId="34AD9B77"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Poor</w:t>
            </w:r>
          </w:p>
        </w:tc>
        <w:tc>
          <w:tcPr>
            <w:tcW w:w="1300" w:type="dxa"/>
            <w:tcBorders>
              <w:top w:val="single" w:sz="4" w:space="0" w:color="auto"/>
            </w:tcBorders>
            <w:shd w:val="clear" w:color="auto" w:fill="auto"/>
            <w:noWrap/>
            <w:vAlign w:val="bottom"/>
            <w:hideMark/>
          </w:tcPr>
          <w:p w14:paraId="0331FFA6"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tcBorders>
              <w:top w:val="single" w:sz="4" w:space="0" w:color="auto"/>
            </w:tcBorders>
            <w:shd w:val="clear" w:color="auto" w:fill="auto"/>
            <w:noWrap/>
            <w:vAlign w:val="bottom"/>
            <w:hideMark/>
          </w:tcPr>
          <w:p w14:paraId="3029277F" w14:textId="77777777" w:rsidR="00A94613" w:rsidRPr="006A21E3" w:rsidRDefault="00A94613" w:rsidP="00A94613">
            <w:pPr>
              <w:spacing w:line="360" w:lineRule="auto"/>
              <w:jc w:val="center"/>
              <w:rPr>
                <w:rFonts w:ascii="Book Antiqua" w:eastAsia="Times New Roman" w:hAnsi="Book Antiqua" w:cs="Arial"/>
              </w:rPr>
            </w:pPr>
          </w:p>
        </w:tc>
        <w:tc>
          <w:tcPr>
            <w:tcW w:w="579" w:type="dxa"/>
            <w:tcBorders>
              <w:top w:val="single" w:sz="4" w:space="0" w:color="auto"/>
            </w:tcBorders>
            <w:shd w:val="clear" w:color="auto" w:fill="auto"/>
            <w:noWrap/>
            <w:vAlign w:val="bottom"/>
            <w:hideMark/>
          </w:tcPr>
          <w:p w14:paraId="35DD02B7" w14:textId="77777777" w:rsidR="00A94613" w:rsidRPr="006A21E3" w:rsidRDefault="00A94613" w:rsidP="00A94613">
            <w:pPr>
              <w:spacing w:line="360" w:lineRule="auto"/>
              <w:jc w:val="center"/>
              <w:rPr>
                <w:rFonts w:ascii="Book Antiqua" w:eastAsia="Times New Roman" w:hAnsi="Book Antiqua" w:cs="Arial"/>
              </w:rPr>
            </w:pPr>
          </w:p>
        </w:tc>
        <w:tc>
          <w:tcPr>
            <w:tcW w:w="579" w:type="dxa"/>
            <w:tcBorders>
              <w:top w:val="single" w:sz="4" w:space="0" w:color="auto"/>
            </w:tcBorders>
            <w:shd w:val="clear" w:color="auto" w:fill="auto"/>
            <w:noWrap/>
            <w:vAlign w:val="bottom"/>
            <w:hideMark/>
          </w:tcPr>
          <w:p w14:paraId="7ABDED36" w14:textId="77777777" w:rsidR="00A94613" w:rsidRPr="006A21E3" w:rsidRDefault="00A94613" w:rsidP="00A94613">
            <w:pPr>
              <w:spacing w:line="360" w:lineRule="auto"/>
              <w:rPr>
                <w:rFonts w:ascii="Book Antiqua" w:eastAsia="Times New Roman" w:hAnsi="Book Antiqua" w:cs="Arial"/>
              </w:rPr>
            </w:pPr>
          </w:p>
        </w:tc>
        <w:tc>
          <w:tcPr>
            <w:tcW w:w="579" w:type="dxa"/>
            <w:tcBorders>
              <w:top w:val="single" w:sz="4" w:space="0" w:color="auto"/>
            </w:tcBorders>
            <w:shd w:val="clear" w:color="auto" w:fill="auto"/>
            <w:noWrap/>
            <w:vAlign w:val="bottom"/>
            <w:hideMark/>
          </w:tcPr>
          <w:p w14:paraId="63421C70"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0652F5B5" w14:textId="77777777" w:rsidTr="00A94613">
        <w:trPr>
          <w:trHeight w:val="320"/>
        </w:trPr>
        <w:tc>
          <w:tcPr>
            <w:tcW w:w="1400" w:type="dxa"/>
            <w:shd w:val="clear" w:color="auto" w:fill="auto"/>
            <w:noWrap/>
            <w:vAlign w:val="bottom"/>
            <w:hideMark/>
          </w:tcPr>
          <w:p w14:paraId="7EB8495D"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Biffl</w:t>
            </w:r>
          </w:p>
        </w:tc>
        <w:tc>
          <w:tcPr>
            <w:tcW w:w="1300" w:type="dxa"/>
            <w:shd w:val="clear" w:color="auto" w:fill="auto"/>
            <w:noWrap/>
            <w:vAlign w:val="bottom"/>
            <w:hideMark/>
          </w:tcPr>
          <w:p w14:paraId="7EE37270"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2001</w:t>
            </w:r>
          </w:p>
        </w:tc>
        <w:tc>
          <w:tcPr>
            <w:tcW w:w="1300" w:type="dxa"/>
            <w:shd w:val="clear" w:color="auto" w:fill="auto"/>
            <w:noWrap/>
            <w:vAlign w:val="bottom"/>
            <w:hideMark/>
          </w:tcPr>
          <w:p w14:paraId="76AA240D"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7836002E"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248</w:t>
            </w:r>
          </w:p>
        </w:tc>
        <w:tc>
          <w:tcPr>
            <w:tcW w:w="1300" w:type="dxa"/>
            <w:shd w:val="clear" w:color="auto" w:fill="auto"/>
            <w:noWrap/>
            <w:vAlign w:val="bottom"/>
            <w:hideMark/>
          </w:tcPr>
          <w:p w14:paraId="4AB1CF7C"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22719BBE"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7B709DBD"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No</w:t>
            </w:r>
          </w:p>
        </w:tc>
        <w:tc>
          <w:tcPr>
            <w:tcW w:w="1300" w:type="dxa"/>
            <w:shd w:val="clear" w:color="auto" w:fill="auto"/>
            <w:noWrap/>
            <w:vAlign w:val="bottom"/>
            <w:hideMark/>
          </w:tcPr>
          <w:p w14:paraId="2A605412"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4C860C7B"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CBDI</w:t>
            </w:r>
          </w:p>
        </w:tc>
        <w:tc>
          <w:tcPr>
            <w:tcW w:w="579" w:type="dxa"/>
            <w:shd w:val="clear" w:color="auto" w:fill="auto"/>
            <w:noWrap/>
            <w:vAlign w:val="bottom"/>
            <w:hideMark/>
          </w:tcPr>
          <w:p w14:paraId="4D99B1A2"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1C4083B9"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720A0AF3"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49FB4F14" w14:textId="77777777" w:rsidTr="00A94613">
        <w:trPr>
          <w:trHeight w:val="320"/>
        </w:trPr>
        <w:tc>
          <w:tcPr>
            <w:tcW w:w="1400" w:type="dxa"/>
            <w:shd w:val="clear" w:color="auto" w:fill="auto"/>
            <w:noWrap/>
            <w:vAlign w:val="bottom"/>
            <w:hideMark/>
          </w:tcPr>
          <w:p w14:paraId="37A8C3BF"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Halpin</w:t>
            </w:r>
          </w:p>
        </w:tc>
        <w:tc>
          <w:tcPr>
            <w:tcW w:w="1300" w:type="dxa"/>
            <w:shd w:val="clear" w:color="auto" w:fill="auto"/>
            <w:noWrap/>
            <w:vAlign w:val="bottom"/>
            <w:hideMark/>
          </w:tcPr>
          <w:p w14:paraId="606A498E"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2002</w:t>
            </w:r>
          </w:p>
        </w:tc>
        <w:tc>
          <w:tcPr>
            <w:tcW w:w="1300" w:type="dxa"/>
            <w:shd w:val="clear" w:color="auto" w:fill="auto"/>
            <w:noWrap/>
            <w:vAlign w:val="bottom"/>
            <w:hideMark/>
          </w:tcPr>
          <w:p w14:paraId="6894BE40"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2D538C25"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380</w:t>
            </w:r>
          </w:p>
        </w:tc>
        <w:tc>
          <w:tcPr>
            <w:tcW w:w="1300" w:type="dxa"/>
            <w:shd w:val="clear" w:color="auto" w:fill="auto"/>
            <w:noWrap/>
            <w:vAlign w:val="bottom"/>
            <w:hideMark/>
          </w:tcPr>
          <w:p w14:paraId="79343AAF"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Single</w:t>
            </w:r>
          </w:p>
        </w:tc>
        <w:tc>
          <w:tcPr>
            <w:tcW w:w="1300" w:type="dxa"/>
            <w:shd w:val="clear" w:color="auto" w:fill="auto"/>
            <w:noWrap/>
            <w:vAlign w:val="bottom"/>
            <w:hideMark/>
          </w:tcPr>
          <w:p w14:paraId="63BC4435"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48919007"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Yes</w:t>
            </w:r>
          </w:p>
        </w:tc>
        <w:tc>
          <w:tcPr>
            <w:tcW w:w="1300" w:type="dxa"/>
            <w:shd w:val="clear" w:color="auto" w:fill="auto"/>
            <w:noWrap/>
            <w:vAlign w:val="bottom"/>
            <w:hideMark/>
          </w:tcPr>
          <w:p w14:paraId="134F302A"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4042" w:type="dxa"/>
            <w:gridSpan w:val="2"/>
            <w:shd w:val="clear" w:color="auto" w:fill="auto"/>
            <w:noWrap/>
            <w:vAlign w:val="bottom"/>
            <w:hideMark/>
          </w:tcPr>
          <w:p w14:paraId="5FF78A01"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Comparison with IOC</w:t>
            </w:r>
          </w:p>
        </w:tc>
        <w:tc>
          <w:tcPr>
            <w:tcW w:w="579" w:type="dxa"/>
            <w:shd w:val="clear" w:color="auto" w:fill="auto"/>
            <w:noWrap/>
            <w:vAlign w:val="bottom"/>
            <w:hideMark/>
          </w:tcPr>
          <w:p w14:paraId="367644E5"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723DDAAF"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1DF1F7DD" w14:textId="77777777" w:rsidTr="00A94613">
        <w:trPr>
          <w:trHeight w:val="320"/>
        </w:trPr>
        <w:tc>
          <w:tcPr>
            <w:tcW w:w="1400" w:type="dxa"/>
            <w:shd w:val="clear" w:color="auto" w:fill="auto"/>
            <w:noWrap/>
            <w:vAlign w:val="bottom"/>
            <w:hideMark/>
          </w:tcPr>
          <w:p w14:paraId="4915947F" w14:textId="77777777" w:rsidR="00A94613" w:rsidRPr="006A21E3" w:rsidRDefault="00A94613" w:rsidP="00A94613">
            <w:pPr>
              <w:keepNext/>
              <w:keepLines/>
              <w:spacing w:before="200" w:line="360" w:lineRule="auto"/>
              <w:outlineLvl w:val="6"/>
              <w:rPr>
                <w:rFonts w:ascii="Book Antiqua" w:eastAsia="Times New Roman" w:hAnsi="Book Antiqua" w:cs="Arial"/>
                <w:color w:val="000000"/>
              </w:rPr>
            </w:pPr>
            <w:r w:rsidRPr="006A21E3">
              <w:rPr>
                <w:rFonts w:ascii="Book Antiqua" w:eastAsia="Times New Roman" w:hAnsi="Book Antiqua" w:cs="Arial"/>
                <w:color w:val="000000"/>
              </w:rPr>
              <w:t>Catheline</w:t>
            </w:r>
          </w:p>
        </w:tc>
        <w:tc>
          <w:tcPr>
            <w:tcW w:w="1300" w:type="dxa"/>
            <w:shd w:val="clear" w:color="auto" w:fill="auto"/>
            <w:noWrap/>
            <w:vAlign w:val="bottom"/>
            <w:hideMark/>
          </w:tcPr>
          <w:p w14:paraId="5BEEAAFF"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2002</w:t>
            </w:r>
          </w:p>
        </w:tc>
        <w:tc>
          <w:tcPr>
            <w:tcW w:w="1300" w:type="dxa"/>
            <w:shd w:val="clear" w:color="auto" w:fill="auto"/>
            <w:noWrap/>
            <w:vAlign w:val="bottom"/>
            <w:hideMark/>
          </w:tcPr>
          <w:p w14:paraId="6E22D0D3"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48B226D6"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900</w:t>
            </w:r>
          </w:p>
        </w:tc>
        <w:tc>
          <w:tcPr>
            <w:tcW w:w="1300" w:type="dxa"/>
            <w:shd w:val="clear" w:color="auto" w:fill="auto"/>
            <w:noWrap/>
            <w:vAlign w:val="bottom"/>
            <w:hideMark/>
          </w:tcPr>
          <w:p w14:paraId="7588C71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ni</w:t>
            </w:r>
          </w:p>
        </w:tc>
        <w:tc>
          <w:tcPr>
            <w:tcW w:w="1300" w:type="dxa"/>
            <w:shd w:val="clear" w:color="auto" w:fill="auto"/>
            <w:noWrap/>
            <w:vAlign w:val="bottom"/>
            <w:hideMark/>
          </w:tcPr>
          <w:p w14:paraId="1B49C386"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77DEB82E"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No</w:t>
            </w:r>
          </w:p>
        </w:tc>
        <w:tc>
          <w:tcPr>
            <w:tcW w:w="1300" w:type="dxa"/>
            <w:shd w:val="clear" w:color="auto" w:fill="auto"/>
            <w:noWrap/>
            <w:vAlign w:val="bottom"/>
            <w:hideMark/>
          </w:tcPr>
          <w:p w14:paraId="364CA802"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4042" w:type="dxa"/>
            <w:gridSpan w:val="2"/>
            <w:shd w:val="clear" w:color="auto" w:fill="auto"/>
            <w:noWrap/>
            <w:vAlign w:val="bottom"/>
            <w:hideMark/>
          </w:tcPr>
          <w:p w14:paraId="35D632C3"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Comparison with IOC</w:t>
            </w:r>
          </w:p>
        </w:tc>
        <w:tc>
          <w:tcPr>
            <w:tcW w:w="579" w:type="dxa"/>
            <w:shd w:val="clear" w:color="auto" w:fill="auto"/>
            <w:noWrap/>
            <w:vAlign w:val="bottom"/>
            <w:hideMark/>
          </w:tcPr>
          <w:p w14:paraId="75663B1A"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6DF65399"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6BB69E45" w14:textId="77777777" w:rsidTr="00A94613">
        <w:trPr>
          <w:trHeight w:val="320"/>
        </w:trPr>
        <w:tc>
          <w:tcPr>
            <w:tcW w:w="1400" w:type="dxa"/>
            <w:shd w:val="clear" w:color="auto" w:fill="auto"/>
            <w:noWrap/>
            <w:vAlign w:val="bottom"/>
            <w:hideMark/>
          </w:tcPr>
          <w:p w14:paraId="66BEA6AF"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Tranter</w:t>
            </w:r>
          </w:p>
        </w:tc>
        <w:tc>
          <w:tcPr>
            <w:tcW w:w="1300" w:type="dxa"/>
            <w:shd w:val="clear" w:color="auto" w:fill="auto"/>
            <w:noWrap/>
            <w:vAlign w:val="bottom"/>
            <w:hideMark/>
          </w:tcPr>
          <w:p w14:paraId="3B0D79C4"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2003</w:t>
            </w:r>
          </w:p>
        </w:tc>
        <w:tc>
          <w:tcPr>
            <w:tcW w:w="1300" w:type="dxa"/>
            <w:shd w:val="clear" w:color="auto" w:fill="auto"/>
            <w:noWrap/>
            <w:vAlign w:val="bottom"/>
            <w:hideMark/>
          </w:tcPr>
          <w:p w14:paraId="0F052727"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53BBB991"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135</w:t>
            </w:r>
          </w:p>
        </w:tc>
        <w:tc>
          <w:tcPr>
            <w:tcW w:w="1300" w:type="dxa"/>
            <w:shd w:val="clear" w:color="auto" w:fill="auto"/>
            <w:noWrap/>
            <w:vAlign w:val="bottom"/>
            <w:hideMark/>
          </w:tcPr>
          <w:p w14:paraId="63CAC491"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74E3E728"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6627ECBB"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No</w:t>
            </w:r>
          </w:p>
        </w:tc>
        <w:tc>
          <w:tcPr>
            <w:tcW w:w="1300" w:type="dxa"/>
            <w:shd w:val="clear" w:color="auto" w:fill="auto"/>
            <w:noWrap/>
            <w:vAlign w:val="bottom"/>
            <w:hideMark/>
          </w:tcPr>
          <w:p w14:paraId="24B19DDF"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5200" w:type="dxa"/>
            <w:gridSpan w:val="4"/>
            <w:shd w:val="clear" w:color="auto" w:fill="auto"/>
            <w:noWrap/>
            <w:vAlign w:val="bottom"/>
            <w:hideMark/>
          </w:tcPr>
          <w:p w14:paraId="4D0248FB"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Comparison with IOC, measurement of duct diameter</w:t>
            </w:r>
          </w:p>
        </w:tc>
      </w:tr>
      <w:tr w:rsidR="00A94613" w:rsidRPr="006A21E3" w14:paraId="11373511" w14:textId="77777777" w:rsidTr="00A94613">
        <w:trPr>
          <w:trHeight w:val="320"/>
        </w:trPr>
        <w:tc>
          <w:tcPr>
            <w:tcW w:w="1400" w:type="dxa"/>
            <w:shd w:val="clear" w:color="auto" w:fill="auto"/>
            <w:noWrap/>
            <w:vAlign w:val="bottom"/>
            <w:hideMark/>
          </w:tcPr>
          <w:p w14:paraId="57E2BC25"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Onders</w:t>
            </w:r>
          </w:p>
        </w:tc>
        <w:tc>
          <w:tcPr>
            <w:tcW w:w="1300" w:type="dxa"/>
            <w:shd w:val="clear" w:color="auto" w:fill="auto"/>
            <w:noWrap/>
            <w:vAlign w:val="bottom"/>
            <w:hideMark/>
          </w:tcPr>
          <w:p w14:paraId="3058B3AE"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2005</w:t>
            </w:r>
          </w:p>
        </w:tc>
        <w:tc>
          <w:tcPr>
            <w:tcW w:w="1300" w:type="dxa"/>
            <w:shd w:val="clear" w:color="auto" w:fill="auto"/>
            <w:noWrap/>
            <w:vAlign w:val="bottom"/>
            <w:hideMark/>
          </w:tcPr>
          <w:p w14:paraId="55F1E4B0"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3BDF22E8"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105</w:t>
            </w:r>
          </w:p>
        </w:tc>
        <w:tc>
          <w:tcPr>
            <w:tcW w:w="1300" w:type="dxa"/>
            <w:shd w:val="clear" w:color="auto" w:fill="auto"/>
            <w:noWrap/>
            <w:vAlign w:val="bottom"/>
            <w:hideMark/>
          </w:tcPr>
          <w:p w14:paraId="7A4AF87E"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Single</w:t>
            </w:r>
          </w:p>
        </w:tc>
        <w:tc>
          <w:tcPr>
            <w:tcW w:w="1300" w:type="dxa"/>
            <w:shd w:val="clear" w:color="auto" w:fill="auto"/>
            <w:noWrap/>
            <w:vAlign w:val="bottom"/>
            <w:hideMark/>
          </w:tcPr>
          <w:p w14:paraId="292BEE4A"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156151BF"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No</w:t>
            </w:r>
          </w:p>
        </w:tc>
        <w:tc>
          <w:tcPr>
            <w:tcW w:w="1300" w:type="dxa"/>
            <w:shd w:val="clear" w:color="auto" w:fill="auto"/>
            <w:noWrap/>
            <w:vAlign w:val="bottom"/>
            <w:hideMark/>
          </w:tcPr>
          <w:p w14:paraId="5189BD17"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2C27F7BE"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14580C71"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10E20B6B"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4ADCBC78"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787EEEB8" w14:textId="77777777" w:rsidTr="00A94613">
        <w:trPr>
          <w:trHeight w:val="320"/>
        </w:trPr>
        <w:tc>
          <w:tcPr>
            <w:tcW w:w="1400" w:type="dxa"/>
            <w:shd w:val="clear" w:color="auto" w:fill="auto"/>
            <w:noWrap/>
            <w:vAlign w:val="bottom"/>
            <w:hideMark/>
          </w:tcPr>
          <w:p w14:paraId="0DFB8F1E"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Perry</w:t>
            </w:r>
          </w:p>
        </w:tc>
        <w:tc>
          <w:tcPr>
            <w:tcW w:w="1300" w:type="dxa"/>
            <w:shd w:val="clear" w:color="auto" w:fill="auto"/>
            <w:noWrap/>
            <w:vAlign w:val="bottom"/>
            <w:hideMark/>
          </w:tcPr>
          <w:p w14:paraId="06AE1F62"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2007</w:t>
            </w:r>
          </w:p>
        </w:tc>
        <w:tc>
          <w:tcPr>
            <w:tcW w:w="1300" w:type="dxa"/>
            <w:shd w:val="clear" w:color="auto" w:fill="auto"/>
            <w:noWrap/>
            <w:vAlign w:val="bottom"/>
            <w:hideMark/>
          </w:tcPr>
          <w:p w14:paraId="60F6AFE4"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72C6ADFE"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236</w:t>
            </w:r>
          </w:p>
        </w:tc>
        <w:tc>
          <w:tcPr>
            <w:tcW w:w="1300" w:type="dxa"/>
            <w:shd w:val="clear" w:color="auto" w:fill="auto"/>
            <w:noWrap/>
            <w:vAlign w:val="bottom"/>
            <w:hideMark/>
          </w:tcPr>
          <w:p w14:paraId="4B0DE641"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Single</w:t>
            </w:r>
          </w:p>
        </w:tc>
        <w:tc>
          <w:tcPr>
            <w:tcW w:w="1300" w:type="dxa"/>
            <w:shd w:val="clear" w:color="auto" w:fill="auto"/>
            <w:noWrap/>
            <w:vAlign w:val="bottom"/>
            <w:hideMark/>
          </w:tcPr>
          <w:p w14:paraId="6F47248D"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1752265E"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Poor</w:t>
            </w:r>
          </w:p>
        </w:tc>
        <w:tc>
          <w:tcPr>
            <w:tcW w:w="1300" w:type="dxa"/>
            <w:shd w:val="clear" w:color="auto" w:fill="auto"/>
            <w:noWrap/>
            <w:vAlign w:val="bottom"/>
            <w:hideMark/>
          </w:tcPr>
          <w:p w14:paraId="4596A244"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4042" w:type="dxa"/>
            <w:gridSpan w:val="2"/>
            <w:shd w:val="clear" w:color="auto" w:fill="auto"/>
            <w:noWrap/>
            <w:vAlign w:val="bottom"/>
            <w:hideMark/>
          </w:tcPr>
          <w:p w14:paraId="3EDBD46F"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Comparison with IOC</w:t>
            </w:r>
          </w:p>
        </w:tc>
        <w:tc>
          <w:tcPr>
            <w:tcW w:w="579" w:type="dxa"/>
            <w:shd w:val="clear" w:color="auto" w:fill="auto"/>
            <w:noWrap/>
            <w:vAlign w:val="bottom"/>
            <w:hideMark/>
          </w:tcPr>
          <w:p w14:paraId="127175FA"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25C7AE85"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71953925" w14:textId="77777777" w:rsidTr="00A94613">
        <w:trPr>
          <w:trHeight w:val="320"/>
        </w:trPr>
        <w:tc>
          <w:tcPr>
            <w:tcW w:w="1400" w:type="dxa"/>
            <w:shd w:val="clear" w:color="auto" w:fill="auto"/>
            <w:noWrap/>
            <w:vAlign w:val="bottom"/>
            <w:hideMark/>
          </w:tcPr>
          <w:p w14:paraId="3898F0D8"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Machi</w:t>
            </w:r>
          </w:p>
        </w:tc>
        <w:tc>
          <w:tcPr>
            <w:tcW w:w="1300" w:type="dxa"/>
            <w:shd w:val="clear" w:color="auto" w:fill="auto"/>
            <w:noWrap/>
            <w:vAlign w:val="bottom"/>
            <w:hideMark/>
          </w:tcPr>
          <w:p w14:paraId="5E5C6CCD"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2007</w:t>
            </w:r>
          </w:p>
        </w:tc>
        <w:tc>
          <w:tcPr>
            <w:tcW w:w="1300" w:type="dxa"/>
            <w:shd w:val="clear" w:color="auto" w:fill="auto"/>
            <w:noWrap/>
            <w:vAlign w:val="bottom"/>
            <w:hideMark/>
          </w:tcPr>
          <w:p w14:paraId="1AC6E89D"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5BD69757"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w:t>
            </w:r>
          </w:p>
        </w:tc>
        <w:tc>
          <w:tcPr>
            <w:tcW w:w="1300" w:type="dxa"/>
            <w:shd w:val="clear" w:color="auto" w:fill="auto"/>
            <w:noWrap/>
            <w:vAlign w:val="bottom"/>
            <w:hideMark/>
          </w:tcPr>
          <w:p w14:paraId="5278C94F"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7ECFBA55"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022C3888"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Poor</w:t>
            </w:r>
          </w:p>
        </w:tc>
        <w:tc>
          <w:tcPr>
            <w:tcW w:w="1300" w:type="dxa"/>
            <w:shd w:val="clear" w:color="auto" w:fill="auto"/>
            <w:noWrap/>
            <w:vAlign w:val="bottom"/>
            <w:hideMark/>
          </w:tcPr>
          <w:p w14:paraId="7581713A"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01E1A447"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Cost</w:t>
            </w:r>
          </w:p>
        </w:tc>
        <w:tc>
          <w:tcPr>
            <w:tcW w:w="579" w:type="dxa"/>
            <w:shd w:val="clear" w:color="auto" w:fill="auto"/>
            <w:noWrap/>
            <w:vAlign w:val="bottom"/>
            <w:hideMark/>
          </w:tcPr>
          <w:p w14:paraId="4867F8E8"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57C4B034"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2FA89628"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4F17C6A2" w14:textId="77777777" w:rsidTr="00A94613">
        <w:trPr>
          <w:trHeight w:val="320"/>
        </w:trPr>
        <w:tc>
          <w:tcPr>
            <w:tcW w:w="1400" w:type="dxa"/>
            <w:shd w:val="clear" w:color="auto" w:fill="auto"/>
            <w:noWrap/>
            <w:vAlign w:val="bottom"/>
            <w:hideMark/>
          </w:tcPr>
          <w:p w14:paraId="04BE3EA0"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Hakamada</w:t>
            </w:r>
          </w:p>
        </w:tc>
        <w:tc>
          <w:tcPr>
            <w:tcW w:w="1300" w:type="dxa"/>
            <w:shd w:val="clear" w:color="auto" w:fill="auto"/>
            <w:noWrap/>
            <w:vAlign w:val="bottom"/>
            <w:hideMark/>
          </w:tcPr>
          <w:p w14:paraId="11752F1C"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2008</w:t>
            </w:r>
          </w:p>
        </w:tc>
        <w:tc>
          <w:tcPr>
            <w:tcW w:w="1300" w:type="dxa"/>
            <w:shd w:val="clear" w:color="auto" w:fill="auto"/>
            <w:noWrap/>
            <w:vAlign w:val="bottom"/>
            <w:hideMark/>
          </w:tcPr>
          <w:p w14:paraId="579CF460"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RSS</w:t>
            </w:r>
          </w:p>
        </w:tc>
        <w:tc>
          <w:tcPr>
            <w:tcW w:w="1300" w:type="dxa"/>
            <w:shd w:val="clear" w:color="auto" w:fill="auto"/>
            <w:noWrap/>
            <w:vAlign w:val="bottom"/>
            <w:hideMark/>
          </w:tcPr>
          <w:p w14:paraId="3B57F159"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299</w:t>
            </w:r>
          </w:p>
        </w:tc>
        <w:tc>
          <w:tcPr>
            <w:tcW w:w="1300" w:type="dxa"/>
            <w:shd w:val="clear" w:color="auto" w:fill="auto"/>
            <w:noWrap/>
            <w:vAlign w:val="bottom"/>
            <w:hideMark/>
          </w:tcPr>
          <w:p w14:paraId="37D2C171" w14:textId="77777777" w:rsidR="00A94613" w:rsidRPr="006A21E3" w:rsidRDefault="00A94613" w:rsidP="00A94613">
            <w:pPr>
              <w:keepNext/>
              <w:keepLines/>
              <w:spacing w:before="200" w:line="360" w:lineRule="auto"/>
              <w:jc w:val="center"/>
              <w:outlineLvl w:val="6"/>
              <w:rPr>
                <w:rFonts w:ascii="Book Antiqua" w:eastAsia="Times New Roman" w:hAnsi="Book Antiqua" w:cs="Arial"/>
                <w:color w:val="000000"/>
              </w:rPr>
            </w:pPr>
            <w:r w:rsidRPr="006A21E3">
              <w:rPr>
                <w:rFonts w:ascii="Book Antiqua" w:eastAsia="Times New Roman" w:hAnsi="Book Antiqua" w:cs="Arial"/>
                <w:color w:val="000000"/>
              </w:rPr>
              <w:t>Several</w:t>
            </w:r>
          </w:p>
        </w:tc>
        <w:tc>
          <w:tcPr>
            <w:tcW w:w="1300" w:type="dxa"/>
            <w:shd w:val="clear" w:color="auto" w:fill="auto"/>
            <w:noWrap/>
            <w:vAlign w:val="bottom"/>
            <w:hideMark/>
          </w:tcPr>
          <w:p w14:paraId="2B53EB49" w14:textId="791904A3" w:rsidR="00A94613" w:rsidRPr="006A21E3" w:rsidRDefault="00A94613" w:rsidP="00A94613">
            <w:pPr>
              <w:spacing w:line="360" w:lineRule="auto"/>
              <w:jc w:val="center"/>
              <w:rPr>
                <w:rFonts w:ascii="Book Antiqua" w:hAnsi="Book Antiqua" w:cs="Arial"/>
                <w:vertAlign w:val="superscript"/>
                <w:lang w:eastAsia="zh-CN"/>
              </w:rPr>
            </w:pPr>
            <w:r w:rsidRPr="006A21E3">
              <w:rPr>
                <w:rFonts w:ascii="Book Antiqua" w:hAnsi="Book Antiqua" w:cs="Arial"/>
                <w:vertAlign w:val="superscript"/>
                <w:lang w:eastAsia="zh-CN"/>
              </w:rPr>
              <w:t>1</w:t>
            </w:r>
          </w:p>
        </w:tc>
        <w:tc>
          <w:tcPr>
            <w:tcW w:w="1414" w:type="dxa"/>
            <w:shd w:val="clear" w:color="auto" w:fill="auto"/>
            <w:noWrap/>
            <w:vAlign w:val="bottom"/>
            <w:hideMark/>
          </w:tcPr>
          <w:p w14:paraId="4D762430"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Yes</w:t>
            </w:r>
          </w:p>
        </w:tc>
        <w:tc>
          <w:tcPr>
            <w:tcW w:w="1300" w:type="dxa"/>
            <w:shd w:val="clear" w:color="auto" w:fill="auto"/>
            <w:noWrap/>
            <w:vAlign w:val="bottom"/>
            <w:hideMark/>
          </w:tcPr>
          <w:p w14:paraId="48572904"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4042" w:type="dxa"/>
            <w:gridSpan w:val="2"/>
            <w:shd w:val="clear" w:color="auto" w:fill="auto"/>
            <w:noWrap/>
            <w:vAlign w:val="bottom"/>
            <w:hideMark/>
          </w:tcPr>
          <w:p w14:paraId="52CD67A7"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Educational program</w:t>
            </w:r>
          </w:p>
        </w:tc>
        <w:tc>
          <w:tcPr>
            <w:tcW w:w="579" w:type="dxa"/>
            <w:shd w:val="clear" w:color="auto" w:fill="auto"/>
            <w:noWrap/>
            <w:vAlign w:val="bottom"/>
            <w:hideMark/>
          </w:tcPr>
          <w:p w14:paraId="2D0E4C68"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18960A59"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2FDAF29B" w14:textId="77777777" w:rsidTr="00A94613">
        <w:trPr>
          <w:trHeight w:val="320"/>
        </w:trPr>
        <w:tc>
          <w:tcPr>
            <w:tcW w:w="1400" w:type="dxa"/>
            <w:shd w:val="clear" w:color="auto" w:fill="auto"/>
            <w:noWrap/>
            <w:vAlign w:val="bottom"/>
            <w:hideMark/>
          </w:tcPr>
          <w:p w14:paraId="5E2C0792"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Machi</w:t>
            </w:r>
          </w:p>
        </w:tc>
        <w:tc>
          <w:tcPr>
            <w:tcW w:w="1300" w:type="dxa"/>
            <w:shd w:val="clear" w:color="auto" w:fill="auto"/>
            <w:noWrap/>
            <w:vAlign w:val="bottom"/>
            <w:hideMark/>
          </w:tcPr>
          <w:p w14:paraId="5A2B5A42"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2009</w:t>
            </w:r>
          </w:p>
        </w:tc>
        <w:tc>
          <w:tcPr>
            <w:tcW w:w="1300" w:type="dxa"/>
            <w:shd w:val="clear" w:color="auto" w:fill="auto"/>
            <w:noWrap/>
            <w:vAlign w:val="bottom"/>
            <w:hideMark/>
          </w:tcPr>
          <w:p w14:paraId="4C32773C"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RMS</w:t>
            </w:r>
          </w:p>
        </w:tc>
        <w:tc>
          <w:tcPr>
            <w:tcW w:w="1300" w:type="dxa"/>
            <w:shd w:val="clear" w:color="auto" w:fill="auto"/>
            <w:noWrap/>
            <w:vAlign w:val="bottom"/>
            <w:hideMark/>
          </w:tcPr>
          <w:p w14:paraId="471509CB"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1352</w:t>
            </w:r>
          </w:p>
        </w:tc>
        <w:tc>
          <w:tcPr>
            <w:tcW w:w="1300" w:type="dxa"/>
            <w:shd w:val="clear" w:color="auto" w:fill="auto"/>
            <w:noWrap/>
            <w:vAlign w:val="bottom"/>
            <w:hideMark/>
          </w:tcPr>
          <w:p w14:paraId="0D259827"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764AB6C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2B51F8DC"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No</w:t>
            </w:r>
          </w:p>
        </w:tc>
        <w:tc>
          <w:tcPr>
            <w:tcW w:w="1300" w:type="dxa"/>
            <w:shd w:val="clear" w:color="auto" w:fill="auto"/>
            <w:noWrap/>
            <w:vAlign w:val="bottom"/>
            <w:hideMark/>
          </w:tcPr>
          <w:p w14:paraId="02C4D53C"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543512F2"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1324B7F1"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02B163DC"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6A509116"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39F2EE75" w14:textId="77777777" w:rsidTr="00A94613">
        <w:trPr>
          <w:trHeight w:val="320"/>
        </w:trPr>
        <w:tc>
          <w:tcPr>
            <w:tcW w:w="1400" w:type="dxa"/>
            <w:shd w:val="clear" w:color="auto" w:fill="auto"/>
            <w:noWrap/>
            <w:vAlign w:val="bottom"/>
            <w:hideMark/>
          </w:tcPr>
          <w:p w14:paraId="7D99E737"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Hublet</w:t>
            </w:r>
          </w:p>
        </w:tc>
        <w:tc>
          <w:tcPr>
            <w:tcW w:w="1300" w:type="dxa"/>
            <w:shd w:val="clear" w:color="auto" w:fill="auto"/>
            <w:noWrap/>
            <w:vAlign w:val="bottom"/>
            <w:hideMark/>
          </w:tcPr>
          <w:p w14:paraId="1448310E"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2009</w:t>
            </w:r>
          </w:p>
        </w:tc>
        <w:tc>
          <w:tcPr>
            <w:tcW w:w="1300" w:type="dxa"/>
            <w:shd w:val="clear" w:color="auto" w:fill="auto"/>
            <w:noWrap/>
            <w:vAlign w:val="bottom"/>
            <w:hideMark/>
          </w:tcPr>
          <w:p w14:paraId="308E942B"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68D7044B"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269</w:t>
            </w:r>
          </w:p>
        </w:tc>
        <w:tc>
          <w:tcPr>
            <w:tcW w:w="1300" w:type="dxa"/>
            <w:shd w:val="clear" w:color="auto" w:fill="auto"/>
            <w:noWrap/>
            <w:vAlign w:val="bottom"/>
            <w:hideMark/>
          </w:tcPr>
          <w:p w14:paraId="1BCCA6D0"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Single</w:t>
            </w:r>
          </w:p>
        </w:tc>
        <w:tc>
          <w:tcPr>
            <w:tcW w:w="1300" w:type="dxa"/>
            <w:shd w:val="clear" w:color="auto" w:fill="auto"/>
            <w:noWrap/>
            <w:vAlign w:val="bottom"/>
            <w:hideMark/>
          </w:tcPr>
          <w:p w14:paraId="15282CD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414C0AB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Poor</w:t>
            </w:r>
          </w:p>
        </w:tc>
        <w:tc>
          <w:tcPr>
            <w:tcW w:w="1300" w:type="dxa"/>
            <w:shd w:val="clear" w:color="auto" w:fill="auto"/>
            <w:noWrap/>
            <w:vAlign w:val="bottom"/>
            <w:hideMark/>
          </w:tcPr>
          <w:p w14:paraId="1D430E0E"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307EFC30"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129D93C2"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423A368B"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4E4B4DC2"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14D56B29" w14:textId="77777777" w:rsidTr="00A94613">
        <w:trPr>
          <w:trHeight w:val="320"/>
        </w:trPr>
        <w:tc>
          <w:tcPr>
            <w:tcW w:w="1400" w:type="dxa"/>
            <w:shd w:val="clear" w:color="auto" w:fill="auto"/>
            <w:noWrap/>
            <w:vAlign w:val="bottom"/>
            <w:hideMark/>
          </w:tcPr>
          <w:p w14:paraId="37B2D652"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Li</w:t>
            </w:r>
          </w:p>
        </w:tc>
        <w:tc>
          <w:tcPr>
            <w:tcW w:w="1300" w:type="dxa"/>
            <w:shd w:val="clear" w:color="auto" w:fill="auto"/>
            <w:noWrap/>
            <w:vAlign w:val="bottom"/>
            <w:hideMark/>
          </w:tcPr>
          <w:p w14:paraId="62D4DD2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2009</w:t>
            </w:r>
          </w:p>
        </w:tc>
        <w:tc>
          <w:tcPr>
            <w:tcW w:w="1300" w:type="dxa"/>
            <w:shd w:val="clear" w:color="auto" w:fill="auto"/>
            <w:noWrap/>
            <w:vAlign w:val="bottom"/>
            <w:hideMark/>
          </w:tcPr>
          <w:p w14:paraId="1B3436EC"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PRN</w:t>
            </w:r>
          </w:p>
        </w:tc>
        <w:tc>
          <w:tcPr>
            <w:tcW w:w="1300" w:type="dxa"/>
            <w:shd w:val="clear" w:color="auto" w:fill="auto"/>
            <w:noWrap/>
            <w:vAlign w:val="bottom"/>
            <w:hideMark/>
          </w:tcPr>
          <w:p w14:paraId="3D2BBFD8"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103</w:t>
            </w:r>
          </w:p>
        </w:tc>
        <w:tc>
          <w:tcPr>
            <w:tcW w:w="1300" w:type="dxa"/>
            <w:shd w:val="clear" w:color="auto" w:fill="auto"/>
            <w:noWrap/>
            <w:vAlign w:val="bottom"/>
            <w:hideMark/>
          </w:tcPr>
          <w:p w14:paraId="526B9F94"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05D5D00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769964AA"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Yes</w:t>
            </w:r>
          </w:p>
        </w:tc>
        <w:tc>
          <w:tcPr>
            <w:tcW w:w="1300" w:type="dxa"/>
            <w:shd w:val="clear" w:color="auto" w:fill="auto"/>
            <w:noWrap/>
            <w:vAlign w:val="bottom"/>
            <w:hideMark/>
          </w:tcPr>
          <w:p w14:paraId="75B7D7B3"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28DAD74E"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6E8286C0"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20787587"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48418699"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2383739F" w14:textId="77777777" w:rsidTr="00A94613">
        <w:trPr>
          <w:trHeight w:val="320"/>
        </w:trPr>
        <w:tc>
          <w:tcPr>
            <w:tcW w:w="1400" w:type="dxa"/>
            <w:shd w:val="clear" w:color="auto" w:fill="auto"/>
            <w:noWrap/>
            <w:vAlign w:val="bottom"/>
            <w:hideMark/>
          </w:tcPr>
          <w:p w14:paraId="5A7CB39F"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Hashimoto</w:t>
            </w:r>
          </w:p>
        </w:tc>
        <w:tc>
          <w:tcPr>
            <w:tcW w:w="1300" w:type="dxa"/>
            <w:shd w:val="clear" w:color="auto" w:fill="auto"/>
            <w:noWrap/>
            <w:vAlign w:val="bottom"/>
            <w:hideMark/>
          </w:tcPr>
          <w:p w14:paraId="7D03CFA5"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2010</w:t>
            </w:r>
          </w:p>
        </w:tc>
        <w:tc>
          <w:tcPr>
            <w:tcW w:w="1300" w:type="dxa"/>
            <w:shd w:val="clear" w:color="auto" w:fill="auto"/>
            <w:noWrap/>
            <w:vAlign w:val="bottom"/>
            <w:hideMark/>
          </w:tcPr>
          <w:p w14:paraId="1641FAEF"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RMS</w:t>
            </w:r>
          </w:p>
        </w:tc>
        <w:tc>
          <w:tcPr>
            <w:tcW w:w="1300" w:type="dxa"/>
            <w:shd w:val="clear" w:color="auto" w:fill="auto"/>
            <w:noWrap/>
            <w:vAlign w:val="bottom"/>
            <w:hideMark/>
          </w:tcPr>
          <w:p w14:paraId="7C445E64"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220</w:t>
            </w:r>
          </w:p>
        </w:tc>
        <w:tc>
          <w:tcPr>
            <w:tcW w:w="1300" w:type="dxa"/>
            <w:shd w:val="clear" w:color="auto" w:fill="auto"/>
            <w:noWrap/>
            <w:vAlign w:val="bottom"/>
            <w:hideMark/>
          </w:tcPr>
          <w:p w14:paraId="65E60BAD"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455AD486"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4897E901" w14:textId="0C455C90" w:rsidR="00A94613" w:rsidRPr="006A21E3" w:rsidRDefault="00A94613" w:rsidP="00A94613">
            <w:pPr>
              <w:keepNext/>
              <w:keepLines/>
              <w:spacing w:before="200" w:line="360" w:lineRule="auto"/>
              <w:jc w:val="center"/>
              <w:outlineLvl w:val="6"/>
              <w:rPr>
                <w:rFonts w:ascii="Book Antiqua" w:hAnsi="Book Antiqua" w:cs="Arial"/>
                <w:lang w:eastAsia="zh-CN"/>
              </w:rPr>
            </w:pPr>
            <w:r w:rsidRPr="006A21E3">
              <w:rPr>
                <w:rFonts w:ascii="Book Antiqua" w:eastAsia="Times New Roman" w:hAnsi="Book Antiqua" w:cs="Arial"/>
              </w:rPr>
              <w:t>Yes</w:t>
            </w:r>
            <w:r w:rsidRPr="006A21E3">
              <w:rPr>
                <w:rFonts w:ascii="Book Antiqua" w:hAnsi="Book Antiqua" w:cs="Arial"/>
                <w:vertAlign w:val="superscript"/>
                <w:lang w:eastAsia="zh-CN"/>
              </w:rPr>
              <w:t>2</w:t>
            </w:r>
          </w:p>
        </w:tc>
        <w:tc>
          <w:tcPr>
            <w:tcW w:w="1300" w:type="dxa"/>
            <w:shd w:val="clear" w:color="auto" w:fill="auto"/>
            <w:noWrap/>
            <w:vAlign w:val="bottom"/>
            <w:hideMark/>
          </w:tcPr>
          <w:p w14:paraId="06D29A6B"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587AA02F"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CBDI</w:t>
            </w:r>
          </w:p>
        </w:tc>
        <w:tc>
          <w:tcPr>
            <w:tcW w:w="579" w:type="dxa"/>
            <w:shd w:val="clear" w:color="auto" w:fill="auto"/>
            <w:noWrap/>
            <w:vAlign w:val="bottom"/>
            <w:hideMark/>
          </w:tcPr>
          <w:p w14:paraId="73601672"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4849F86B"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58CBF504"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59B4DA65" w14:textId="77777777" w:rsidTr="00A94613">
        <w:trPr>
          <w:trHeight w:val="320"/>
        </w:trPr>
        <w:tc>
          <w:tcPr>
            <w:tcW w:w="1400" w:type="dxa"/>
            <w:shd w:val="clear" w:color="auto" w:fill="auto"/>
            <w:noWrap/>
            <w:vAlign w:val="bottom"/>
            <w:hideMark/>
          </w:tcPr>
          <w:p w14:paraId="04F75416"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Pfluke</w:t>
            </w:r>
          </w:p>
        </w:tc>
        <w:tc>
          <w:tcPr>
            <w:tcW w:w="1300" w:type="dxa"/>
            <w:shd w:val="clear" w:color="auto" w:fill="auto"/>
            <w:noWrap/>
            <w:vAlign w:val="bottom"/>
            <w:hideMark/>
          </w:tcPr>
          <w:p w14:paraId="1F6181BF"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2011</w:t>
            </w:r>
          </w:p>
        </w:tc>
        <w:tc>
          <w:tcPr>
            <w:tcW w:w="1300" w:type="dxa"/>
            <w:shd w:val="clear" w:color="auto" w:fill="auto"/>
            <w:noWrap/>
            <w:vAlign w:val="bottom"/>
            <w:hideMark/>
          </w:tcPr>
          <w:p w14:paraId="7ABB473D"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RSS</w:t>
            </w:r>
          </w:p>
        </w:tc>
        <w:tc>
          <w:tcPr>
            <w:tcW w:w="1300" w:type="dxa"/>
            <w:shd w:val="clear" w:color="auto" w:fill="auto"/>
            <w:noWrap/>
            <w:vAlign w:val="bottom"/>
            <w:hideMark/>
          </w:tcPr>
          <w:p w14:paraId="7DA8DA9B"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50</w:t>
            </w:r>
          </w:p>
        </w:tc>
        <w:tc>
          <w:tcPr>
            <w:tcW w:w="1300" w:type="dxa"/>
            <w:shd w:val="clear" w:color="auto" w:fill="auto"/>
            <w:noWrap/>
            <w:vAlign w:val="bottom"/>
            <w:hideMark/>
          </w:tcPr>
          <w:p w14:paraId="51D75848" w14:textId="77777777" w:rsidR="00A94613" w:rsidRPr="006A21E3" w:rsidRDefault="00A94613" w:rsidP="00A94613">
            <w:pPr>
              <w:keepNext/>
              <w:keepLines/>
              <w:spacing w:before="200" w:line="360" w:lineRule="auto"/>
              <w:jc w:val="center"/>
              <w:outlineLvl w:val="6"/>
              <w:rPr>
                <w:rFonts w:ascii="Book Antiqua" w:eastAsia="Times New Roman" w:hAnsi="Book Antiqua" w:cs="Arial"/>
                <w:color w:val="000000"/>
              </w:rPr>
            </w:pPr>
            <w:r w:rsidRPr="006A21E3">
              <w:rPr>
                <w:rFonts w:ascii="Book Antiqua" w:eastAsia="Times New Roman" w:hAnsi="Book Antiqua" w:cs="Arial"/>
                <w:color w:val="000000"/>
              </w:rPr>
              <w:t>Several</w:t>
            </w:r>
          </w:p>
        </w:tc>
        <w:tc>
          <w:tcPr>
            <w:tcW w:w="1300" w:type="dxa"/>
            <w:shd w:val="clear" w:color="auto" w:fill="auto"/>
            <w:noWrap/>
            <w:vAlign w:val="bottom"/>
            <w:hideMark/>
          </w:tcPr>
          <w:p w14:paraId="4D62924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5991A81F"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Yes</w:t>
            </w:r>
          </w:p>
        </w:tc>
        <w:tc>
          <w:tcPr>
            <w:tcW w:w="1300" w:type="dxa"/>
            <w:shd w:val="clear" w:color="auto" w:fill="auto"/>
            <w:noWrap/>
            <w:vAlign w:val="bottom"/>
            <w:hideMark/>
          </w:tcPr>
          <w:p w14:paraId="43EB854D"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3D65C539"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044BE4EA"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6E99AA3D"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1824E012"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62BD6F3F" w14:textId="77777777" w:rsidTr="00A94613">
        <w:trPr>
          <w:trHeight w:val="320"/>
        </w:trPr>
        <w:tc>
          <w:tcPr>
            <w:tcW w:w="1400" w:type="dxa"/>
            <w:shd w:val="clear" w:color="auto" w:fill="auto"/>
            <w:noWrap/>
            <w:vAlign w:val="bottom"/>
            <w:hideMark/>
          </w:tcPr>
          <w:p w14:paraId="0A2B35F4"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Nasu</w:t>
            </w:r>
          </w:p>
        </w:tc>
        <w:tc>
          <w:tcPr>
            <w:tcW w:w="1300" w:type="dxa"/>
            <w:shd w:val="clear" w:color="auto" w:fill="auto"/>
            <w:noWrap/>
            <w:vAlign w:val="bottom"/>
            <w:hideMark/>
          </w:tcPr>
          <w:p w14:paraId="36C17C47"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2012</w:t>
            </w:r>
          </w:p>
        </w:tc>
        <w:tc>
          <w:tcPr>
            <w:tcW w:w="1300" w:type="dxa"/>
            <w:shd w:val="clear" w:color="auto" w:fill="auto"/>
            <w:noWrap/>
            <w:vAlign w:val="bottom"/>
            <w:hideMark/>
          </w:tcPr>
          <w:p w14:paraId="37C970D5"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45FA6855"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71</w:t>
            </w:r>
          </w:p>
        </w:tc>
        <w:tc>
          <w:tcPr>
            <w:tcW w:w="1300" w:type="dxa"/>
            <w:shd w:val="clear" w:color="auto" w:fill="auto"/>
            <w:noWrap/>
            <w:vAlign w:val="bottom"/>
            <w:hideMark/>
          </w:tcPr>
          <w:p w14:paraId="32814D43"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ni</w:t>
            </w:r>
          </w:p>
        </w:tc>
        <w:tc>
          <w:tcPr>
            <w:tcW w:w="1300" w:type="dxa"/>
            <w:shd w:val="clear" w:color="auto" w:fill="auto"/>
            <w:noWrap/>
            <w:vAlign w:val="bottom"/>
            <w:hideMark/>
          </w:tcPr>
          <w:p w14:paraId="257DC8A7"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658762D1"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Poor</w:t>
            </w:r>
          </w:p>
        </w:tc>
        <w:tc>
          <w:tcPr>
            <w:tcW w:w="1300" w:type="dxa"/>
            <w:shd w:val="clear" w:color="auto" w:fill="auto"/>
            <w:noWrap/>
            <w:vAlign w:val="bottom"/>
            <w:hideMark/>
          </w:tcPr>
          <w:p w14:paraId="15E6D5F4"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53AAA5F1"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54ACE026"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071FE43B"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6D83576A"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6CF581CB" w14:textId="77777777" w:rsidTr="00A94613">
        <w:trPr>
          <w:trHeight w:val="320"/>
        </w:trPr>
        <w:tc>
          <w:tcPr>
            <w:tcW w:w="1400" w:type="dxa"/>
            <w:shd w:val="clear" w:color="auto" w:fill="auto"/>
            <w:noWrap/>
            <w:vAlign w:val="bottom"/>
            <w:hideMark/>
          </w:tcPr>
          <w:p w14:paraId="1861B9C0"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Kothari</w:t>
            </w:r>
          </w:p>
        </w:tc>
        <w:tc>
          <w:tcPr>
            <w:tcW w:w="1300" w:type="dxa"/>
            <w:shd w:val="clear" w:color="auto" w:fill="auto"/>
            <w:noWrap/>
            <w:vAlign w:val="bottom"/>
            <w:hideMark/>
          </w:tcPr>
          <w:p w14:paraId="781FC9DF"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2013</w:t>
            </w:r>
          </w:p>
        </w:tc>
        <w:tc>
          <w:tcPr>
            <w:tcW w:w="1300" w:type="dxa"/>
            <w:shd w:val="clear" w:color="auto" w:fill="auto"/>
            <w:noWrap/>
            <w:vAlign w:val="bottom"/>
            <w:hideMark/>
          </w:tcPr>
          <w:p w14:paraId="76906905"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PNR</w:t>
            </w:r>
          </w:p>
        </w:tc>
        <w:tc>
          <w:tcPr>
            <w:tcW w:w="1300" w:type="dxa"/>
            <w:shd w:val="clear" w:color="auto" w:fill="auto"/>
            <w:noWrap/>
            <w:vAlign w:val="bottom"/>
            <w:hideMark/>
          </w:tcPr>
          <w:p w14:paraId="1D19CC25"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253</w:t>
            </w:r>
          </w:p>
        </w:tc>
        <w:tc>
          <w:tcPr>
            <w:tcW w:w="1300" w:type="dxa"/>
            <w:shd w:val="clear" w:color="auto" w:fill="auto"/>
            <w:noWrap/>
            <w:vAlign w:val="bottom"/>
            <w:hideMark/>
          </w:tcPr>
          <w:p w14:paraId="01B96D81"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41AA9AF8"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49080346"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Poor</w:t>
            </w:r>
          </w:p>
        </w:tc>
        <w:tc>
          <w:tcPr>
            <w:tcW w:w="1300" w:type="dxa"/>
            <w:shd w:val="clear" w:color="auto" w:fill="auto"/>
            <w:noWrap/>
            <w:vAlign w:val="bottom"/>
            <w:hideMark/>
          </w:tcPr>
          <w:p w14:paraId="5372637A"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5200" w:type="dxa"/>
            <w:gridSpan w:val="4"/>
            <w:shd w:val="clear" w:color="auto" w:fill="auto"/>
            <w:noWrap/>
            <w:vAlign w:val="bottom"/>
            <w:hideMark/>
          </w:tcPr>
          <w:p w14:paraId="665F315C"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Comparison with trans-abdominal US in obese patients</w:t>
            </w:r>
          </w:p>
        </w:tc>
      </w:tr>
      <w:tr w:rsidR="00A94613" w:rsidRPr="006A21E3" w14:paraId="4E097DEE" w14:textId="77777777" w:rsidTr="00A94613">
        <w:trPr>
          <w:trHeight w:val="320"/>
        </w:trPr>
        <w:tc>
          <w:tcPr>
            <w:tcW w:w="1400" w:type="dxa"/>
            <w:shd w:val="clear" w:color="auto" w:fill="auto"/>
            <w:noWrap/>
            <w:vAlign w:val="bottom"/>
            <w:hideMark/>
          </w:tcPr>
          <w:p w14:paraId="21812DC0"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Gwinn</w:t>
            </w:r>
          </w:p>
        </w:tc>
        <w:tc>
          <w:tcPr>
            <w:tcW w:w="1300" w:type="dxa"/>
            <w:shd w:val="clear" w:color="auto" w:fill="auto"/>
            <w:noWrap/>
            <w:vAlign w:val="bottom"/>
            <w:hideMark/>
          </w:tcPr>
          <w:p w14:paraId="73C4F2E4"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2013</w:t>
            </w:r>
          </w:p>
        </w:tc>
        <w:tc>
          <w:tcPr>
            <w:tcW w:w="1300" w:type="dxa"/>
            <w:shd w:val="clear" w:color="auto" w:fill="auto"/>
            <w:noWrap/>
            <w:vAlign w:val="bottom"/>
            <w:hideMark/>
          </w:tcPr>
          <w:p w14:paraId="65A7145B"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PNR</w:t>
            </w:r>
          </w:p>
        </w:tc>
        <w:tc>
          <w:tcPr>
            <w:tcW w:w="1300" w:type="dxa"/>
            <w:shd w:val="clear" w:color="auto" w:fill="auto"/>
            <w:noWrap/>
            <w:vAlign w:val="bottom"/>
            <w:hideMark/>
          </w:tcPr>
          <w:p w14:paraId="55C4C6BE"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44</w:t>
            </w:r>
          </w:p>
        </w:tc>
        <w:tc>
          <w:tcPr>
            <w:tcW w:w="1300" w:type="dxa"/>
            <w:shd w:val="clear" w:color="auto" w:fill="auto"/>
            <w:noWrap/>
            <w:vAlign w:val="bottom"/>
            <w:hideMark/>
          </w:tcPr>
          <w:p w14:paraId="79093F23"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Several</w:t>
            </w:r>
          </w:p>
        </w:tc>
        <w:tc>
          <w:tcPr>
            <w:tcW w:w="1300" w:type="dxa"/>
            <w:shd w:val="clear" w:color="auto" w:fill="auto"/>
            <w:noWrap/>
            <w:vAlign w:val="bottom"/>
            <w:hideMark/>
          </w:tcPr>
          <w:p w14:paraId="72C812EE"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008B1FFD"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Poor</w:t>
            </w:r>
          </w:p>
        </w:tc>
        <w:tc>
          <w:tcPr>
            <w:tcW w:w="1300" w:type="dxa"/>
            <w:shd w:val="clear" w:color="auto" w:fill="auto"/>
            <w:noWrap/>
            <w:vAlign w:val="bottom"/>
            <w:hideMark/>
          </w:tcPr>
          <w:p w14:paraId="7456D332"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4621" w:type="dxa"/>
            <w:gridSpan w:val="3"/>
            <w:shd w:val="clear" w:color="auto" w:fill="auto"/>
            <w:noWrap/>
            <w:vAlign w:val="bottom"/>
            <w:hideMark/>
          </w:tcPr>
          <w:p w14:paraId="41F11E66"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Impact of inflammatory disease</w:t>
            </w:r>
          </w:p>
        </w:tc>
        <w:tc>
          <w:tcPr>
            <w:tcW w:w="579" w:type="dxa"/>
            <w:shd w:val="clear" w:color="auto" w:fill="auto"/>
            <w:noWrap/>
            <w:vAlign w:val="bottom"/>
            <w:hideMark/>
          </w:tcPr>
          <w:p w14:paraId="5A281063"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49D52E4F" w14:textId="77777777" w:rsidTr="00A94613">
        <w:trPr>
          <w:trHeight w:val="320"/>
        </w:trPr>
        <w:tc>
          <w:tcPr>
            <w:tcW w:w="1400" w:type="dxa"/>
            <w:shd w:val="clear" w:color="auto" w:fill="auto"/>
            <w:noWrap/>
            <w:vAlign w:val="bottom"/>
            <w:hideMark/>
          </w:tcPr>
          <w:p w14:paraId="5D30F6BD"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lastRenderedPageBreak/>
              <w:t>Shaaban</w:t>
            </w:r>
          </w:p>
        </w:tc>
        <w:tc>
          <w:tcPr>
            <w:tcW w:w="1300" w:type="dxa"/>
            <w:shd w:val="clear" w:color="auto" w:fill="auto"/>
            <w:noWrap/>
            <w:vAlign w:val="bottom"/>
            <w:hideMark/>
          </w:tcPr>
          <w:p w14:paraId="3A76A45A"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2014</w:t>
            </w:r>
          </w:p>
        </w:tc>
        <w:tc>
          <w:tcPr>
            <w:tcW w:w="1300" w:type="dxa"/>
            <w:shd w:val="clear" w:color="auto" w:fill="auto"/>
            <w:noWrap/>
            <w:vAlign w:val="bottom"/>
            <w:hideMark/>
          </w:tcPr>
          <w:p w14:paraId="748BD58D"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RSS</w:t>
            </w:r>
          </w:p>
        </w:tc>
        <w:tc>
          <w:tcPr>
            <w:tcW w:w="1300" w:type="dxa"/>
            <w:shd w:val="clear" w:color="auto" w:fill="auto"/>
            <w:noWrap/>
            <w:vAlign w:val="bottom"/>
            <w:hideMark/>
          </w:tcPr>
          <w:p w14:paraId="338C7FA7" w14:textId="77777777" w:rsidR="00A94613" w:rsidRPr="006A21E3" w:rsidRDefault="00A94613" w:rsidP="00A94613">
            <w:pPr>
              <w:spacing w:line="360" w:lineRule="auto"/>
              <w:jc w:val="center"/>
              <w:rPr>
                <w:rFonts w:ascii="Book Antiqua" w:eastAsia="Times New Roman" w:hAnsi="Book Antiqua" w:cs="Arial"/>
                <w:color w:val="000000"/>
              </w:rPr>
            </w:pPr>
            <w:r w:rsidRPr="006A21E3">
              <w:rPr>
                <w:rFonts w:ascii="Book Antiqua" w:eastAsia="Times New Roman" w:hAnsi="Book Antiqua" w:cs="Arial"/>
                <w:color w:val="000000"/>
              </w:rPr>
              <w:t>70</w:t>
            </w:r>
          </w:p>
        </w:tc>
        <w:tc>
          <w:tcPr>
            <w:tcW w:w="1300" w:type="dxa"/>
            <w:shd w:val="clear" w:color="auto" w:fill="auto"/>
            <w:noWrap/>
            <w:vAlign w:val="bottom"/>
            <w:hideMark/>
          </w:tcPr>
          <w:p w14:paraId="300A060E"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Single</w:t>
            </w:r>
          </w:p>
        </w:tc>
        <w:tc>
          <w:tcPr>
            <w:tcW w:w="1300" w:type="dxa"/>
            <w:shd w:val="clear" w:color="auto" w:fill="auto"/>
            <w:noWrap/>
            <w:vAlign w:val="bottom"/>
            <w:hideMark/>
          </w:tcPr>
          <w:p w14:paraId="0B971F8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1414" w:type="dxa"/>
            <w:shd w:val="clear" w:color="auto" w:fill="auto"/>
            <w:noWrap/>
            <w:vAlign w:val="bottom"/>
            <w:hideMark/>
          </w:tcPr>
          <w:p w14:paraId="3FA0583A" w14:textId="77777777" w:rsidR="00A94613" w:rsidRPr="006A21E3" w:rsidRDefault="00A94613" w:rsidP="00A94613">
            <w:pPr>
              <w:keepNext/>
              <w:keepLines/>
              <w:spacing w:before="200" w:line="360" w:lineRule="auto"/>
              <w:jc w:val="center"/>
              <w:outlineLvl w:val="6"/>
              <w:rPr>
                <w:rFonts w:ascii="Book Antiqua" w:eastAsia="Times New Roman" w:hAnsi="Book Antiqua" w:cs="Arial"/>
              </w:rPr>
            </w:pPr>
            <w:r w:rsidRPr="006A21E3">
              <w:rPr>
                <w:rFonts w:ascii="Book Antiqua" w:eastAsia="Times New Roman" w:hAnsi="Book Antiqua" w:cs="Arial"/>
              </w:rPr>
              <w:t>No</w:t>
            </w:r>
          </w:p>
        </w:tc>
        <w:tc>
          <w:tcPr>
            <w:tcW w:w="1300" w:type="dxa"/>
            <w:shd w:val="clear" w:color="auto" w:fill="auto"/>
            <w:noWrap/>
            <w:vAlign w:val="bottom"/>
            <w:hideMark/>
          </w:tcPr>
          <w:p w14:paraId="0565840A"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w:t>
            </w:r>
          </w:p>
        </w:tc>
        <w:tc>
          <w:tcPr>
            <w:tcW w:w="3463" w:type="dxa"/>
            <w:shd w:val="clear" w:color="auto" w:fill="auto"/>
            <w:noWrap/>
            <w:vAlign w:val="bottom"/>
            <w:hideMark/>
          </w:tcPr>
          <w:p w14:paraId="22871461"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33258F2D" w14:textId="77777777" w:rsidR="00A94613" w:rsidRPr="006A21E3" w:rsidRDefault="00A94613" w:rsidP="00A94613">
            <w:pPr>
              <w:spacing w:line="360" w:lineRule="auto"/>
              <w:jc w:val="center"/>
              <w:rPr>
                <w:rFonts w:ascii="Book Antiqua" w:eastAsia="Times New Roman" w:hAnsi="Book Antiqua" w:cs="Arial"/>
              </w:rPr>
            </w:pPr>
          </w:p>
        </w:tc>
        <w:tc>
          <w:tcPr>
            <w:tcW w:w="579" w:type="dxa"/>
            <w:shd w:val="clear" w:color="auto" w:fill="auto"/>
            <w:noWrap/>
            <w:vAlign w:val="bottom"/>
            <w:hideMark/>
          </w:tcPr>
          <w:p w14:paraId="42F28531"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6CEC8C74"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4DED6BF8" w14:textId="77777777" w:rsidTr="00A94613">
        <w:trPr>
          <w:trHeight w:val="320"/>
        </w:trPr>
        <w:tc>
          <w:tcPr>
            <w:tcW w:w="2700" w:type="dxa"/>
            <w:gridSpan w:val="2"/>
            <w:shd w:val="clear" w:color="auto" w:fill="auto"/>
            <w:noWrap/>
            <w:vAlign w:val="bottom"/>
            <w:hideMark/>
          </w:tcPr>
          <w:p w14:paraId="125E6365"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Meta-analysis</w:t>
            </w:r>
          </w:p>
        </w:tc>
        <w:tc>
          <w:tcPr>
            <w:tcW w:w="1300" w:type="dxa"/>
            <w:shd w:val="clear" w:color="auto" w:fill="auto"/>
            <w:noWrap/>
            <w:vAlign w:val="bottom"/>
            <w:hideMark/>
          </w:tcPr>
          <w:p w14:paraId="4A17D33C"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0F0F91D2"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6359E3C7"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0A8435DE" w14:textId="77777777" w:rsidR="00A94613" w:rsidRPr="006A21E3" w:rsidRDefault="00A94613" w:rsidP="00A94613">
            <w:pPr>
              <w:spacing w:line="360" w:lineRule="auto"/>
              <w:rPr>
                <w:rFonts w:ascii="Book Antiqua" w:eastAsia="Times New Roman" w:hAnsi="Book Antiqua" w:cs="Arial"/>
              </w:rPr>
            </w:pPr>
          </w:p>
        </w:tc>
        <w:tc>
          <w:tcPr>
            <w:tcW w:w="1414" w:type="dxa"/>
            <w:shd w:val="clear" w:color="auto" w:fill="auto"/>
            <w:noWrap/>
            <w:vAlign w:val="bottom"/>
            <w:hideMark/>
          </w:tcPr>
          <w:p w14:paraId="0D1340B2"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36A5A53C" w14:textId="77777777" w:rsidR="00A94613" w:rsidRPr="006A21E3" w:rsidRDefault="00A94613" w:rsidP="00A94613">
            <w:pPr>
              <w:spacing w:line="360" w:lineRule="auto"/>
              <w:rPr>
                <w:rFonts w:ascii="Book Antiqua" w:eastAsia="Times New Roman" w:hAnsi="Book Antiqua" w:cs="Arial"/>
              </w:rPr>
            </w:pPr>
          </w:p>
        </w:tc>
        <w:tc>
          <w:tcPr>
            <w:tcW w:w="3463" w:type="dxa"/>
            <w:shd w:val="clear" w:color="auto" w:fill="auto"/>
            <w:noWrap/>
            <w:vAlign w:val="bottom"/>
            <w:hideMark/>
          </w:tcPr>
          <w:p w14:paraId="0BC0CDF6"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7EA9FDB3"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5A76CA17"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1A33BD2F"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02F98E9E" w14:textId="77777777" w:rsidTr="00A94613">
        <w:trPr>
          <w:trHeight w:val="320"/>
        </w:trPr>
        <w:tc>
          <w:tcPr>
            <w:tcW w:w="1400" w:type="dxa"/>
            <w:shd w:val="clear" w:color="auto" w:fill="auto"/>
            <w:noWrap/>
            <w:vAlign w:val="bottom"/>
            <w:hideMark/>
          </w:tcPr>
          <w:p w14:paraId="2853F644"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Aziz</w:t>
            </w:r>
          </w:p>
        </w:tc>
        <w:tc>
          <w:tcPr>
            <w:tcW w:w="1300" w:type="dxa"/>
            <w:shd w:val="clear" w:color="auto" w:fill="auto"/>
            <w:noWrap/>
            <w:vAlign w:val="bottom"/>
            <w:hideMark/>
          </w:tcPr>
          <w:p w14:paraId="381B5B21"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2014</w:t>
            </w:r>
          </w:p>
        </w:tc>
        <w:tc>
          <w:tcPr>
            <w:tcW w:w="1300" w:type="dxa"/>
            <w:shd w:val="clear" w:color="auto" w:fill="auto"/>
            <w:noWrap/>
            <w:vAlign w:val="bottom"/>
            <w:hideMark/>
          </w:tcPr>
          <w:p w14:paraId="0C83E552"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MA</w:t>
            </w:r>
          </w:p>
        </w:tc>
        <w:tc>
          <w:tcPr>
            <w:tcW w:w="1300" w:type="dxa"/>
            <w:shd w:val="clear" w:color="auto" w:fill="auto"/>
            <w:noWrap/>
            <w:vAlign w:val="bottom"/>
            <w:hideMark/>
          </w:tcPr>
          <w:p w14:paraId="3B013695"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3897CA05"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322DFE21" w14:textId="77777777" w:rsidR="00A94613" w:rsidRPr="006A21E3" w:rsidRDefault="00A94613" w:rsidP="00A94613">
            <w:pPr>
              <w:spacing w:line="360" w:lineRule="auto"/>
              <w:rPr>
                <w:rFonts w:ascii="Book Antiqua" w:eastAsia="Times New Roman" w:hAnsi="Book Antiqua" w:cs="Arial"/>
              </w:rPr>
            </w:pPr>
          </w:p>
        </w:tc>
        <w:tc>
          <w:tcPr>
            <w:tcW w:w="1414" w:type="dxa"/>
            <w:shd w:val="clear" w:color="auto" w:fill="auto"/>
            <w:noWrap/>
            <w:vAlign w:val="bottom"/>
            <w:hideMark/>
          </w:tcPr>
          <w:p w14:paraId="297B0970" w14:textId="77777777" w:rsidR="00A94613" w:rsidRPr="006A21E3" w:rsidRDefault="00A94613" w:rsidP="00A94613">
            <w:pPr>
              <w:spacing w:line="360" w:lineRule="auto"/>
              <w:rPr>
                <w:rFonts w:ascii="Book Antiqua" w:eastAsia="Times New Roman" w:hAnsi="Book Antiqua" w:cs="Arial"/>
              </w:rPr>
            </w:pPr>
          </w:p>
        </w:tc>
        <w:tc>
          <w:tcPr>
            <w:tcW w:w="1300" w:type="dxa"/>
            <w:shd w:val="clear" w:color="auto" w:fill="auto"/>
            <w:noWrap/>
            <w:vAlign w:val="bottom"/>
            <w:hideMark/>
          </w:tcPr>
          <w:p w14:paraId="7025D22B" w14:textId="77777777" w:rsidR="00A94613" w:rsidRPr="006A21E3" w:rsidRDefault="00A94613" w:rsidP="00A94613">
            <w:pPr>
              <w:spacing w:line="360" w:lineRule="auto"/>
              <w:rPr>
                <w:rFonts w:ascii="Book Antiqua" w:eastAsia="Times New Roman" w:hAnsi="Book Antiqua" w:cs="Arial"/>
              </w:rPr>
            </w:pPr>
          </w:p>
        </w:tc>
        <w:tc>
          <w:tcPr>
            <w:tcW w:w="3463" w:type="dxa"/>
            <w:shd w:val="clear" w:color="auto" w:fill="auto"/>
            <w:noWrap/>
            <w:vAlign w:val="bottom"/>
            <w:hideMark/>
          </w:tcPr>
          <w:p w14:paraId="75FCBC92"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7BDB1E1A"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201ECF65" w14:textId="77777777" w:rsidR="00A94613" w:rsidRPr="006A21E3" w:rsidRDefault="00A94613" w:rsidP="00A94613">
            <w:pPr>
              <w:spacing w:line="360" w:lineRule="auto"/>
              <w:rPr>
                <w:rFonts w:ascii="Book Antiqua" w:eastAsia="Times New Roman" w:hAnsi="Book Antiqua" w:cs="Arial"/>
              </w:rPr>
            </w:pPr>
          </w:p>
        </w:tc>
        <w:tc>
          <w:tcPr>
            <w:tcW w:w="579" w:type="dxa"/>
            <w:shd w:val="clear" w:color="auto" w:fill="auto"/>
            <w:noWrap/>
            <w:vAlign w:val="bottom"/>
            <w:hideMark/>
          </w:tcPr>
          <w:p w14:paraId="59072A95"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r w:rsidR="00A94613" w:rsidRPr="006A21E3" w14:paraId="0A088450" w14:textId="77777777" w:rsidTr="00A94613">
        <w:trPr>
          <w:trHeight w:val="340"/>
        </w:trPr>
        <w:tc>
          <w:tcPr>
            <w:tcW w:w="1400" w:type="dxa"/>
            <w:tcBorders>
              <w:bottom w:val="single" w:sz="4" w:space="0" w:color="auto"/>
            </w:tcBorders>
            <w:shd w:val="clear" w:color="auto" w:fill="auto"/>
            <w:noWrap/>
            <w:vAlign w:val="bottom"/>
            <w:hideMark/>
          </w:tcPr>
          <w:p w14:paraId="3AE0F9DF"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Jamal</w:t>
            </w:r>
          </w:p>
        </w:tc>
        <w:tc>
          <w:tcPr>
            <w:tcW w:w="1300" w:type="dxa"/>
            <w:tcBorders>
              <w:bottom w:val="single" w:sz="4" w:space="0" w:color="auto"/>
            </w:tcBorders>
            <w:shd w:val="clear" w:color="auto" w:fill="auto"/>
            <w:noWrap/>
            <w:vAlign w:val="bottom"/>
            <w:hideMark/>
          </w:tcPr>
          <w:p w14:paraId="63DEBBE0"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2015</w:t>
            </w:r>
          </w:p>
        </w:tc>
        <w:tc>
          <w:tcPr>
            <w:tcW w:w="1300" w:type="dxa"/>
            <w:tcBorders>
              <w:bottom w:val="single" w:sz="4" w:space="0" w:color="auto"/>
            </w:tcBorders>
            <w:shd w:val="clear" w:color="auto" w:fill="auto"/>
            <w:noWrap/>
            <w:vAlign w:val="bottom"/>
            <w:hideMark/>
          </w:tcPr>
          <w:p w14:paraId="72DA6560" w14:textId="77777777" w:rsidR="00A94613" w:rsidRPr="006A21E3" w:rsidRDefault="00A94613" w:rsidP="00A94613">
            <w:pPr>
              <w:spacing w:line="360" w:lineRule="auto"/>
              <w:jc w:val="center"/>
              <w:rPr>
                <w:rFonts w:ascii="Book Antiqua" w:eastAsia="Times New Roman" w:hAnsi="Book Antiqua" w:cs="Arial"/>
              </w:rPr>
            </w:pPr>
            <w:r w:rsidRPr="006A21E3">
              <w:rPr>
                <w:rFonts w:ascii="Book Antiqua" w:eastAsia="Times New Roman" w:hAnsi="Book Antiqua" w:cs="Arial"/>
              </w:rPr>
              <w:t>MA</w:t>
            </w:r>
          </w:p>
        </w:tc>
        <w:tc>
          <w:tcPr>
            <w:tcW w:w="1300" w:type="dxa"/>
            <w:tcBorders>
              <w:bottom w:val="single" w:sz="4" w:space="0" w:color="auto"/>
            </w:tcBorders>
            <w:shd w:val="clear" w:color="auto" w:fill="auto"/>
            <w:noWrap/>
            <w:vAlign w:val="bottom"/>
            <w:hideMark/>
          </w:tcPr>
          <w:p w14:paraId="3F700E62"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 </w:t>
            </w:r>
          </w:p>
        </w:tc>
        <w:tc>
          <w:tcPr>
            <w:tcW w:w="1300" w:type="dxa"/>
            <w:tcBorders>
              <w:bottom w:val="single" w:sz="4" w:space="0" w:color="auto"/>
            </w:tcBorders>
            <w:shd w:val="clear" w:color="auto" w:fill="auto"/>
            <w:noWrap/>
            <w:vAlign w:val="bottom"/>
            <w:hideMark/>
          </w:tcPr>
          <w:p w14:paraId="48E49ED7"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 </w:t>
            </w:r>
          </w:p>
        </w:tc>
        <w:tc>
          <w:tcPr>
            <w:tcW w:w="1300" w:type="dxa"/>
            <w:tcBorders>
              <w:bottom w:val="single" w:sz="4" w:space="0" w:color="auto"/>
            </w:tcBorders>
            <w:shd w:val="clear" w:color="auto" w:fill="auto"/>
            <w:noWrap/>
            <w:vAlign w:val="bottom"/>
            <w:hideMark/>
          </w:tcPr>
          <w:p w14:paraId="05AE84C3"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 </w:t>
            </w:r>
          </w:p>
        </w:tc>
        <w:tc>
          <w:tcPr>
            <w:tcW w:w="1414" w:type="dxa"/>
            <w:tcBorders>
              <w:bottom w:val="single" w:sz="4" w:space="0" w:color="auto"/>
            </w:tcBorders>
            <w:shd w:val="clear" w:color="auto" w:fill="auto"/>
            <w:noWrap/>
            <w:vAlign w:val="bottom"/>
            <w:hideMark/>
          </w:tcPr>
          <w:p w14:paraId="1327DA79"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c>
          <w:tcPr>
            <w:tcW w:w="1300" w:type="dxa"/>
            <w:tcBorders>
              <w:bottom w:val="single" w:sz="4" w:space="0" w:color="auto"/>
            </w:tcBorders>
            <w:shd w:val="clear" w:color="auto" w:fill="auto"/>
            <w:noWrap/>
            <w:vAlign w:val="bottom"/>
            <w:hideMark/>
          </w:tcPr>
          <w:p w14:paraId="7AF51F2F"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 </w:t>
            </w:r>
          </w:p>
        </w:tc>
        <w:tc>
          <w:tcPr>
            <w:tcW w:w="3463" w:type="dxa"/>
            <w:tcBorders>
              <w:bottom w:val="single" w:sz="4" w:space="0" w:color="auto"/>
            </w:tcBorders>
            <w:shd w:val="clear" w:color="auto" w:fill="auto"/>
            <w:noWrap/>
            <w:vAlign w:val="bottom"/>
            <w:hideMark/>
          </w:tcPr>
          <w:p w14:paraId="28BA3600" w14:textId="77777777" w:rsidR="00A94613" w:rsidRPr="006A21E3" w:rsidRDefault="00A94613" w:rsidP="00A94613">
            <w:pPr>
              <w:spacing w:line="360" w:lineRule="auto"/>
              <w:rPr>
                <w:rFonts w:ascii="Book Antiqua" w:eastAsia="Times New Roman" w:hAnsi="Book Antiqua" w:cs="Arial"/>
              </w:rPr>
            </w:pPr>
            <w:r w:rsidRPr="006A21E3">
              <w:rPr>
                <w:rFonts w:ascii="Book Antiqua" w:eastAsia="Times New Roman" w:hAnsi="Book Antiqua" w:cs="Arial"/>
              </w:rPr>
              <w:t> </w:t>
            </w:r>
          </w:p>
        </w:tc>
        <w:tc>
          <w:tcPr>
            <w:tcW w:w="579" w:type="dxa"/>
            <w:tcBorders>
              <w:bottom w:val="single" w:sz="4" w:space="0" w:color="auto"/>
            </w:tcBorders>
            <w:shd w:val="clear" w:color="auto" w:fill="auto"/>
            <w:noWrap/>
            <w:vAlign w:val="bottom"/>
            <w:hideMark/>
          </w:tcPr>
          <w:p w14:paraId="0AB67572"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c>
          <w:tcPr>
            <w:tcW w:w="579" w:type="dxa"/>
            <w:tcBorders>
              <w:bottom w:val="single" w:sz="4" w:space="0" w:color="auto"/>
            </w:tcBorders>
            <w:shd w:val="clear" w:color="auto" w:fill="auto"/>
            <w:noWrap/>
            <w:vAlign w:val="bottom"/>
            <w:hideMark/>
          </w:tcPr>
          <w:p w14:paraId="14C448EB"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c>
          <w:tcPr>
            <w:tcW w:w="579" w:type="dxa"/>
            <w:tcBorders>
              <w:bottom w:val="single" w:sz="4" w:space="0" w:color="auto"/>
            </w:tcBorders>
            <w:shd w:val="clear" w:color="auto" w:fill="auto"/>
            <w:noWrap/>
            <w:vAlign w:val="bottom"/>
            <w:hideMark/>
          </w:tcPr>
          <w:p w14:paraId="492E232E" w14:textId="77777777" w:rsidR="00A94613" w:rsidRPr="006A21E3" w:rsidRDefault="00A94613" w:rsidP="00A94613">
            <w:pPr>
              <w:spacing w:line="360" w:lineRule="auto"/>
              <w:rPr>
                <w:rFonts w:ascii="Book Antiqua" w:eastAsia="Times New Roman" w:hAnsi="Book Antiqua" w:cs="Arial"/>
                <w:color w:val="000000"/>
              </w:rPr>
            </w:pPr>
            <w:r w:rsidRPr="006A21E3">
              <w:rPr>
                <w:rFonts w:ascii="Book Antiqua" w:eastAsia="Times New Roman" w:hAnsi="Book Antiqua" w:cs="Arial"/>
                <w:color w:val="000000"/>
              </w:rPr>
              <w:t> </w:t>
            </w:r>
          </w:p>
        </w:tc>
      </w:tr>
    </w:tbl>
    <w:p w14:paraId="0F27F638" w14:textId="61AA54FA" w:rsidR="00A94613" w:rsidRPr="00A45A3B" w:rsidRDefault="00A94613" w:rsidP="00A94613">
      <w:pPr>
        <w:spacing w:line="360" w:lineRule="auto"/>
        <w:jc w:val="both"/>
        <w:rPr>
          <w:rFonts w:ascii="Book Antiqua" w:hAnsi="Book Antiqua" w:cs="Arial"/>
          <w:color w:val="000000"/>
          <w:lang w:eastAsia="zh-CN"/>
        </w:rPr>
      </w:pPr>
      <w:r w:rsidRPr="00A94613">
        <w:rPr>
          <w:rFonts w:ascii="Book Antiqua" w:hAnsi="Book Antiqua" w:cs="Arial" w:hint="eastAsia"/>
          <w:color w:val="000000"/>
          <w:vertAlign w:val="superscript"/>
          <w:lang w:eastAsia="zh-CN"/>
        </w:rPr>
        <w:t>1</w:t>
      </w:r>
      <w:r w:rsidRPr="00A94613">
        <w:rPr>
          <w:rFonts w:ascii="Book Antiqua" w:eastAsia="Times New Roman" w:hAnsi="Book Antiqua" w:cs="Arial"/>
          <w:color w:val="000000"/>
        </w:rPr>
        <w:t>Since instigation as part of an educational program</w:t>
      </w:r>
      <w:r>
        <w:rPr>
          <w:rFonts w:ascii="Book Antiqua" w:eastAsia="Times New Roman" w:hAnsi="Book Antiqua" w:cs="Arial"/>
          <w:color w:val="000000"/>
        </w:rPr>
        <w:t> </w:t>
      </w:r>
      <w:r>
        <w:rPr>
          <w:rFonts w:ascii="Book Antiqua" w:hAnsi="Book Antiqua" w:cs="Arial" w:hint="eastAsia"/>
          <w:color w:val="000000"/>
          <w:lang w:eastAsia="zh-CN"/>
        </w:rPr>
        <w:t xml:space="preserve">; </w:t>
      </w:r>
      <w:r w:rsidRPr="00A94613">
        <w:rPr>
          <w:rFonts w:ascii="Book Antiqua" w:hAnsi="Book Antiqua" w:cs="Arial" w:hint="eastAsia"/>
          <w:color w:val="000000"/>
          <w:vertAlign w:val="superscript"/>
          <w:lang w:eastAsia="zh-CN"/>
        </w:rPr>
        <w:t>2</w:t>
      </w:r>
      <w:r w:rsidRPr="00A94613">
        <w:rPr>
          <w:rFonts w:ascii="Book Antiqua" w:eastAsia="Times New Roman" w:hAnsi="Book Antiqua" w:cs="Arial"/>
          <w:color w:val="000000"/>
        </w:rPr>
        <w:t>Focus on cystic duct-CBD junction</w:t>
      </w:r>
      <w:r>
        <w:rPr>
          <w:rFonts w:ascii="Book Antiqua" w:hAnsi="Book Antiqua" w:cs="Arial" w:hint="eastAsia"/>
          <w:color w:val="000000"/>
          <w:lang w:eastAsia="zh-CN"/>
        </w:rPr>
        <w:t xml:space="preserve">. </w:t>
      </w:r>
      <w:r w:rsidRPr="00A94613">
        <w:rPr>
          <w:rFonts w:ascii="Book Antiqua" w:eastAsia="Times New Roman" w:hAnsi="Book Antiqua" w:cs="Arial"/>
          <w:color w:val="000000"/>
        </w:rPr>
        <w:t>RSS:</w:t>
      </w:r>
      <w:r w:rsidRPr="00A94613">
        <w:rPr>
          <w:rFonts w:ascii="Book Antiqua" w:eastAsia="Times New Roman" w:hAnsi="Book Antiqua" w:cs="Arial"/>
          <w:caps/>
          <w:color w:val="000000"/>
        </w:rPr>
        <w:t xml:space="preserve"> r</w:t>
      </w:r>
      <w:r w:rsidRPr="00A94613">
        <w:rPr>
          <w:rFonts w:ascii="Book Antiqua" w:eastAsia="Times New Roman" w:hAnsi="Book Antiqua" w:cs="Arial"/>
          <w:color w:val="000000"/>
        </w:rPr>
        <w:t xml:space="preserve">etrospective single center study; RMS: </w:t>
      </w:r>
      <w:r w:rsidRPr="00A94613">
        <w:rPr>
          <w:rFonts w:ascii="Book Antiqua" w:eastAsia="Times New Roman" w:hAnsi="Book Antiqua" w:cs="Arial"/>
          <w:caps/>
          <w:color w:val="000000"/>
        </w:rPr>
        <w:t>r</w:t>
      </w:r>
      <w:r w:rsidRPr="00A94613">
        <w:rPr>
          <w:rFonts w:ascii="Book Antiqua" w:eastAsia="Times New Roman" w:hAnsi="Book Antiqua" w:cs="Arial"/>
          <w:color w:val="000000"/>
        </w:rPr>
        <w:t xml:space="preserve">etrospective multicenter study; PNR: </w:t>
      </w:r>
      <w:r w:rsidRPr="00A94613">
        <w:rPr>
          <w:rFonts w:ascii="Book Antiqua" w:eastAsia="Times New Roman" w:hAnsi="Book Antiqua" w:cs="Arial"/>
          <w:caps/>
          <w:color w:val="000000"/>
        </w:rPr>
        <w:t>p</w:t>
      </w:r>
      <w:r w:rsidRPr="00A94613">
        <w:rPr>
          <w:rFonts w:ascii="Book Antiqua" w:eastAsia="Times New Roman" w:hAnsi="Book Antiqua" w:cs="Arial"/>
          <w:color w:val="000000"/>
        </w:rPr>
        <w:t xml:space="preserve">rospective non-randomized study; MA: </w:t>
      </w:r>
      <w:r w:rsidRPr="00A94613">
        <w:rPr>
          <w:rFonts w:ascii="Book Antiqua" w:eastAsia="Times New Roman" w:hAnsi="Book Antiqua" w:cs="Arial"/>
          <w:caps/>
          <w:color w:val="000000"/>
        </w:rPr>
        <w:t>m</w:t>
      </w:r>
      <w:r w:rsidRPr="00A94613">
        <w:rPr>
          <w:rFonts w:ascii="Book Antiqua" w:eastAsia="Times New Roman" w:hAnsi="Book Antiqua" w:cs="Arial"/>
          <w:color w:val="000000"/>
        </w:rPr>
        <w:t xml:space="preserve">eta-analysis; ni: </w:t>
      </w:r>
      <w:r w:rsidRPr="00A94613">
        <w:rPr>
          <w:rFonts w:ascii="Book Antiqua" w:eastAsia="Times New Roman" w:hAnsi="Book Antiqua" w:cs="Arial"/>
          <w:caps/>
          <w:color w:val="000000"/>
        </w:rPr>
        <w:t>n</w:t>
      </w:r>
      <w:r w:rsidRPr="00A94613">
        <w:rPr>
          <w:rFonts w:ascii="Book Antiqua" w:eastAsia="Times New Roman" w:hAnsi="Book Antiqua" w:cs="Arial"/>
          <w:color w:val="000000"/>
        </w:rPr>
        <w:t>o information</w:t>
      </w:r>
      <w:r w:rsidR="00A45A3B">
        <w:rPr>
          <w:rFonts w:ascii="Book Antiqua" w:hAnsi="Book Antiqua" w:cs="Arial" w:hint="eastAsia"/>
          <w:color w:val="000000"/>
          <w:lang w:eastAsia="zh-CN"/>
        </w:rPr>
        <w:t xml:space="preserve">; </w:t>
      </w:r>
      <w:r w:rsidR="004A14D4" w:rsidRPr="00A45A3B">
        <w:rPr>
          <w:rFonts w:ascii="Book Antiqua" w:eastAsia="Times New Roman" w:hAnsi="Book Antiqua" w:cs="Arial"/>
        </w:rPr>
        <w:t>CBDS</w:t>
      </w:r>
      <w:r w:rsidR="004A14D4" w:rsidRPr="00A45A3B">
        <w:rPr>
          <w:rFonts w:ascii="Book Antiqua" w:hAnsi="Book Antiqua" w:cs="Arial" w:hint="eastAsia"/>
          <w:lang w:eastAsia="zh-CN"/>
        </w:rPr>
        <w:t xml:space="preserve">: </w:t>
      </w:r>
      <w:r w:rsidR="004A14D4" w:rsidRPr="00A45A3B">
        <w:rPr>
          <w:rFonts w:ascii="Book Antiqua" w:hAnsi="Book Antiqua" w:cs="Arial"/>
          <w:caps/>
          <w:lang w:val="en-US" w:eastAsia="zh-CN"/>
        </w:rPr>
        <w:t>c</w:t>
      </w:r>
      <w:r w:rsidR="004A14D4" w:rsidRPr="00A45A3B">
        <w:rPr>
          <w:rFonts w:ascii="Book Antiqua" w:hAnsi="Book Antiqua" w:cs="Arial"/>
          <w:lang w:val="en-US" w:eastAsia="zh-CN"/>
        </w:rPr>
        <w:t>ommon bile duct stones</w:t>
      </w:r>
      <w:r w:rsidR="004A14D4" w:rsidRPr="00A45A3B">
        <w:rPr>
          <w:rFonts w:ascii="Book Antiqua" w:hAnsi="Book Antiqua" w:cs="Arial" w:hint="eastAsia"/>
          <w:lang w:val="en-US" w:eastAsia="zh-CN"/>
        </w:rPr>
        <w:t xml:space="preserve">; </w:t>
      </w:r>
      <w:r w:rsidR="004A14D4" w:rsidRPr="00A45A3B">
        <w:rPr>
          <w:rFonts w:ascii="Book Antiqua" w:hAnsi="Book Antiqua" w:cs="Helvetica"/>
          <w:color w:val="000000" w:themeColor="text1"/>
          <w:lang w:val="en-US"/>
        </w:rPr>
        <w:t>LUS</w:t>
      </w:r>
      <w:r w:rsidR="004A14D4" w:rsidRPr="00A45A3B">
        <w:rPr>
          <w:rFonts w:ascii="Book Antiqua" w:hAnsi="Book Antiqua" w:cs="Helvetica" w:hint="eastAsia"/>
          <w:color w:val="000000" w:themeColor="text1"/>
          <w:lang w:val="en-US" w:eastAsia="zh-CN"/>
        </w:rPr>
        <w:t xml:space="preserve">: </w:t>
      </w:r>
      <w:r w:rsidR="004A14D4" w:rsidRPr="00A45A3B">
        <w:rPr>
          <w:rFonts w:ascii="Book Antiqua" w:hAnsi="Book Antiqua" w:cs="Helvetica"/>
          <w:caps/>
          <w:color w:val="000000" w:themeColor="text1"/>
          <w:lang w:val="en-US"/>
        </w:rPr>
        <w:t>l</w:t>
      </w:r>
      <w:r w:rsidR="004A14D4" w:rsidRPr="00A45A3B">
        <w:rPr>
          <w:rFonts w:ascii="Book Antiqua" w:hAnsi="Book Antiqua" w:cs="Helvetica"/>
          <w:color w:val="000000" w:themeColor="text1"/>
          <w:lang w:val="en-US"/>
        </w:rPr>
        <w:t>aparoscopic ultrasound</w:t>
      </w:r>
      <w:r w:rsidR="004A14D4" w:rsidRPr="00A45A3B">
        <w:rPr>
          <w:rFonts w:ascii="Book Antiqua" w:hAnsi="Book Antiqua" w:cs="Helvetica" w:hint="eastAsia"/>
          <w:color w:val="000000" w:themeColor="text1"/>
          <w:lang w:val="en-US" w:eastAsia="zh-CN"/>
        </w:rPr>
        <w:t>;</w:t>
      </w:r>
      <w:r w:rsidR="004A14D4" w:rsidRPr="00A45A3B">
        <w:rPr>
          <w:rFonts w:ascii="Book Antiqua" w:hAnsi="Book Antiqua" w:cs="Helvetica"/>
          <w:color w:val="000000" w:themeColor="text1"/>
          <w:lang w:val="en-US"/>
        </w:rPr>
        <w:t xml:space="preserve"> IOC</w:t>
      </w:r>
      <w:r w:rsidR="004A14D4" w:rsidRPr="00A45A3B">
        <w:rPr>
          <w:rFonts w:ascii="Book Antiqua" w:hAnsi="Book Antiqua" w:cs="Helvetica" w:hint="eastAsia"/>
          <w:color w:val="000000" w:themeColor="text1"/>
          <w:lang w:val="en-US" w:eastAsia="zh-CN"/>
        </w:rPr>
        <w:t xml:space="preserve">: </w:t>
      </w:r>
      <w:r w:rsidR="004A14D4" w:rsidRPr="00A45A3B">
        <w:rPr>
          <w:rFonts w:ascii="Book Antiqua" w:hAnsi="Book Antiqua" w:cs="Helvetica"/>
          <w:caps/>
          <w:color w:val="000000" w:themeColor="text1"/>
          <w:lang w:val="en-US"/>
        </w:rPr>
        <w:t>i</w:t>
      </w:r>
      <w:r w:rsidR="004A14D4" w:rsidRPr="00A45A3B">
        <w:rPr>
          <w:rFonts w:ascii="Book Antiqua" w:hAnsi="Book Antiqua" w:cs="Helvetica"/>
          <w:color w:val="000000" w:themeColor="text1"/>
          <w:lang w:val="en-US"/>
        </w:rPr>
        <w:t>ntraoperative cholangiography</w:t>
      </w:r>
      <w:r w:rsidR="004A14D4" w:rsidRPr="00A45A3B">
        <w:rPr>
          <w:rFonts w:ascii="Book Antiqua" w:hAnsi="Book Antiqua" w:cs="Helvetica" w:hint="eastAsia"/>
          <w:color w:val="000000" w:themeColor="text1"/>
          <w:lang w:val="en-US" w:eastAsia="zh-CN"/>
        </w:rPr>
        <w:t>.</w:t>
      </w:r>
    </w:p>
    <w:p w14:paraId="24E6C25E" w14:textId="1E4C2D0E" w:rsidR="00B56E98" w:rsidRDefault="00B56E98">
      <w:pPr>
        <w:rPr>
          <w:rFonts w:ascii="Book Antiqua" w:hAnsi="Book Antiqua"/>
          <w:color w:val="000000" w:themeColor="text1"/>
        </w:rPr>
      </w:pPr>
      <w:r>
        <w:rPr>
          <w:rFonts w:ascii="Book Antiqua" w:hAnsi="Book Antiqua"/>
          <w:color w:val="000000" w:themeColor="text1"/>
        </w:rPr>
        <w:br w:type="page"/>
      </w:r>
    </w:p>
    <w:p w14:paraId="15473EB1" w14:textId="3A626777" w:rsidR="00B56E98" w:rsidRPr="00B56E98" w:rsidRDefault="00B56E98" w:rsidP="00B56E98">
      <w:pPr>
        <w:snapToGrid w:val="0"/>
        <w:spacing w:line="360" w:lineRule="auto"/>
        <w:jc w:val="both"/>
        <w:rPr>
          <w:rFonts w:ascii="Book Antiqua" w:hAnsi="Book Antiqua"/>
          <w:b/>
          <w:color w:val="000000" w:themeColor="text1"/>
        </w:rPr>
      </w:pPr>
      <w:r w:rsidRPr="00B56E98">
        <w:rPr>
          <w:rFonts w:ascii="Book Antiqua" w:hAnsi="Book Antiqua"/>
          <w:b/>
          <w:color w:val="000000" w:themeColor="text1"/>
        </w:rPr>
        <w:lastRenderedPageBreak/>
        <w:t>Table 2</w:t>
      </w:r>
      <w:r w:rsidRPr="00B56E98">
        <w:rPr>
          <w:rFonts w:ascii="Book Antiqua" w:hAnsi="Book Antiqua" w:hint="eastAsia"/>
          <w:b/>
          <w:color w:val="000000" w:themeColor="text1"/>
          <w:lang w:eastAsia="zh-CN"/>
        </w:rPr>
        <w:t xml:space="preserve"> </w:t>
      </w:r>
      <w:r w:rsidRPr="00B56E98">
        <w:rPr>
          <w:rFonts w:ascii="Book Antiqua" w:hAnsi="Book Antiqua" w:cs="Helvetica"/>
          <w:b/>
          <w:caps/>
          <w:color w:val="000000" w:themeColor="text1"/>
          <w:lang w:val="en-US"/>
        </w:rPr>
        <w:t>l</w:t>
      </w:r>
      <w:r w:rsidRPr="00B56E98">
        <w:rPr>
          <w:rFonts w:ascii="Book Antiqua" w:hAnsi="Book Antiqua" w:cs="Helvetica"/>
          <w:b/>
          <w:color w:val="000000" w:themeColor="text1"/>
          <w:lang w:val="en-US"/>
        </w:rPr>
        <w:t>aparoscopic ultrasound</w:t>
      </w:r>
      <w:r w:rsidRPr="00B56E98">
        <w:rPr>
          <w:rFonts w:ascii="Book Antiqua" w:hAnsi="Book Antiqua"/>
          <w:b/>
          <w:color w:val="000000" w:themeColor="text1"/>
        </w:rPr>
        <w:t xml:space="preserve"> performed pre- or post- dissection</w:t>
      </w:r>
    </w:p>
    <w:tbl>
      <w:tblPr>
        <w:tblW w:w="14142" w:type="dxa"/>
        <w:tblBorders>
          <w:top w:val="single" w:sz="4" w:space="0" w:color="auto"/>
          <w:bottom w:val="single" w:sz="4" w:space="0" w:color="auto"/>
        </w:tblBorders>
        <w:tblLook w:val="04A0" w:firstRow="1" w:lastRow="0" w:firstColumn="1" w:lastColumn="0" w:noHBand="0" w:noVBand="1"/>
      </w:tblPr>
      <w:tblGrid>
        <w:gridCol w:w="1668"/>
        <w:gridCol w:w="1559"/>
        <w:gridCol w:w="2410"/>
        <w:gridCol w:w="2541"/>
        <w:gridCol w:w="2747"/>
        <w:gridCol w:w="3217"/>
      </w:tblGrid>
      <w:tr w:rsidR="00B56E98" w:rsidRPr="00B56E98" w14:paraId="43D9511E" w14:textId="77777777" w:rsidTr="00A21107">
        <w:trPr>
          <w:trHeight w:val="298"/>
        </w:trPr>
        <w:tc>
          <w:tcPr>
            <w:tcW w:w="1668" w:type="dxa"/>
            <w:tcBorders>
              <w:top w:val="single" w:sz="4" w:space="0" w:color="auto"/>
              <w:bottom w:val="single" w:sz="4" w:space="0" w:color="auto"/>
            </w:tcBorders>
            <w:shd w:val="clear" w:color="auto" w:fill="auto"/>
            <w:noWrap/>
            <w:vAlign w:val="bottom"/>
            <w:hideMark/>
          </w:tcPr>
          <w:p w14:paraId="5C48136F" w14:textId="77777777" w:rsidR="00B56E98" w:rsidRPr="00B56E98" w:rsidRDefault="00B56E98" w:rsidP="00B56E98">
            <w:pPr>
              <w:snapToGrid w:val="0"/>
              <w:spacing w:line="360" w:lineRule="auto"/>
              <w:rPr>
                <w:rFonts w:ascii="Book Antiqua" w:hAnsi="Book Antiqua"/>
                <w:b/>
                <w:color w:val="000000" w:themeColor="text1"/>
              </w:rPr>
            </w:pPr>
            <w:r w:rsidRPr="00B56E98">
              <w:rPr>
                <w:rFonts w:ascii="Book Antiqua" w:hAnsi="Book Antiqua"/>
                <w:b/>
                <w:color w:val="000000" w:themeColor="text1"/>
              </w:rPr>
              <w:t>Author</w:t>
            </w:r>
          </w:p>
        </w:tc>
        <w:tc>
          <w:tcPr>
            <w:tcW w:w="1559" w:type="dxa"/>
            <w:tcBorders>
              <w:top w:val="single" w:sz="4" w:space="0" w:color="auto"/>
              <w:bottom w:val="single" w:sz="4" w:space="0" w:color="auto"/>
            </w:tcBorders>
            <w:shd w:val="clear" w:color="auto" w:fill="auto"/>
            <w:noWrap/>
            <w:vAlign w:val="bottom"/>
            <w:hideMark/>
          </w:tcPr>
          <w:p w14:paraId="541E809C" w14:textId="0EF863A1" w:rsidR="00B56E98" w:rsidRPr="00B56E98" w:rsidRDefault="00B56E98" w:rsidP="00B56E98">
            <w:pPr>
              <w:snapToGrid w:val="0"/>
              <w:spacing w:line="360" w:lineRule="auto"/>
              <w:jc w:val="center"/>
              <w:rPr>
                <w:rFonts w:ascii="Book Antiqua" w:hAnsi="Book Antiqua"/>
                <w:b/>
                <w:color w:val="000000" w:themeColor="text1"/>
              </w:rPr>
            </w:pPr>
            <w:r w:rsidRPr="00B56E98">
              <w:rPr>
                <w:rFonts w:ascii="Book Antiqua" w:hAnsi="Book Antiqua"/>
                <w:b/>
                <w:color w:val="000000" w:themeColor="text1"/>
              </w:rPr>
              <w:t>Year</w:t>
            </w:r>
          </w:p>
        </w:tc>
        <w:tc>
          <w:tcPr>
            <w:tcW w:w="2410" w:type="dxa"/>
            <w:tcBorders>
              <w:top w:val="single" w:sz="4" w:space="0" w:color="auto"/>
              <w:bottom w:val="single" w:sz="4" w:space="0" w:color="auto"/>
            </w:tcBorders>
            <w:shd w:val="clear" w:color="auto" w:fill="auto"/>
            <w:noWrap/>
            <w:vAlign w:val="bottom"/>
            <w:hideMark/>
          </w:tcPr>
          <w:p w14:paraId="3138C11B" w14:textId="6A12C917" w:rsidR="00B56E98" w:rsidRPr="00B56E98" w:rsidRDefault="00B56E98" w:rsidP="00B56E98">
            <w:pPr>
              <w:snapToGrid w:val="0"/>
              <w:spacing w:line="360" w:lineRule="auto"/>
              <w:jc w:val="center"/>
              <w:rPr>
                <w:rFonts w:ascii="Book Antiqua" w:hAnsi="Book Antiqua"/>
                <w:b/>
                <w:color w:val="000000" w:themeColor="text1"/>
              </w:rPr>
            </w:pPr>
            <w:r w:rsidRPr="00B56E98">
              <w:rPr>
                <w:rFonts w:ascii="Book Antiqua" w:hAnsi="Book Antiqua"/>
                <w:b/>
                <w:color w:val="000000" w:themeColor="text1"/>
              </w:rPr>
              <w:t>Number of patients</w:t>
            </w:r>
          </w:p>
        </w:tc>
        <w:tc>
          <w:tcPr>
            <w:tcW w:w="2541" w:type="dxa"/>
            <w:tcBorders>
              <w:top w:val="single" w:sz="4" w:space="0" w:color="auto"/>
              <w:bottom w:val="single" w:sz="4" w:space="0" w:color="auto"/>
            </w:tcBorders>
            <w:shd w:val="clear" w:color="auto" w:fill="auto"/>
            <w:noWrap/>
            <w:vAlign w:val="bottom"/>
            <w:hideMark/>
          </w:tcPr>
          <w:p w14:paraId="6954F9E1" w14:textId="2C7E97A0" w:rsidR="00B56E98" w:rsidRPr="00B56E98" w:rsidRDefault="004B0CB3" w:rsidP="00B56E98">
            <w:pPr>
              <w:snapToGrid w:val="0"/>
              <w:spacing w:line="360" w:lineRule="auto"/>
              <w:jc w:val="center"/>
              <w:rPr>
                <w:rFonts w:ascii="Book Antiqua" w:hAnsi="Book Antiqua"/>
                <w:b/>
                <w:color w:val="000000" w:themeColor="text1"/>
              </w:rPr>
            </w:pPr>
            <w:r>
              <w:rPr>
                <w:rFonts w:ascii="Book Antiqua" w:hAnsi="Book Antiqua"/>
                <w:b/>
                <w:color w:val="000000" w:themeColor="text1"/>
              </w:rPr>
              <w:t>LUS pre-</w:t>
            </w:r>
            <w:r w:rsidR="00B56E98" w:rsidRPr="00B56E98">
              <w:rPr>
                <w:rFonts w:ascii="Book Antiqua" w:hAnsi="Book Antiqua"/>
                <w:b/>
                <w:color w:val="000000" w:themeColor="text1"/>
              </w:rPr>
              <w:t>dissection</w:t>
            </w:r>
          </w:p>
        </w:tc>
        <w:tc>
          <w:tcPr>
            <w:tcW w:w="2747" w:type="dxa"/>
            <w:tcBorders>
              <w:top w:val="single" w:sz="4" w:space="0" w:color="auto"/>
              <w:bottom w:val="single" w:sz="4" w:space="0" w:color="auto"/>
            </w:tcBorders>
            <w:shd w:val="clear" w:color="auto" w:fill="auto"/>
            <w:noWrap/>
            <w:vAlign w:val="bottom"/>
            <w:hideMark/>
          </w:tcPr>
          <w:p w14:paraId="7C031B1B" w14:textId="77777777" w:rsidR="00B56E98" w:rsidRPr="00B56E98" w:rsidRDefault="00B56E98" w:rsidP="00B56E98">
            <w:pPr>
              <w:snapToGrid w:val="0"/>
              <w:spacing w:line="360" w:lineRule="auto"/>
              <w:jc w:val="center"/>
              <w:rPr>
                <w:rFonts w:ascii="Book Antiqua" w:hAnsi="Book Antiqua"/>
                <w:b/>
                <w:color w:val="000000" w:themeColor="text1"/>
              </w:rPr>
            </w:pPr>
            <w:r w:rsidRPr="00B56E98">
              <w:rPr>
                <w:rFonts w:ascii="Book Antiqua" w:hAnsi="Book Antiqua"/>
                <w:b/>
                <w:color w:val="000000" w:themeColor="text1"/>
              </w:rPr>
              <w:t>LUS post- dissection</w:t>
            </w:r>
          </w:p>
        </w:tc>
        <w:tc>
          <w:tcPr>
            <w:tcW w:w="3217" w:type="dxa"/>
            <w:tcBorders>
              <w:top w:val="single" w:sz="4" w:space="0" w:color="auto"/>
              <w:bottom w:val="single" w:sz="4" w:space="0" w:color="auto"/>
            </w:tcBorders>
          </w:tcPr>
          <w:p w14:paraId="1E33CA01" w14:textId="77777777" w:rsidR="00B56E98" w:rsidRPr="00B56E98" w:rsidRDefault="00B56E98" w:rsidP="00B56E98">
            <w:pPr>
              <w:snapToGrid w:val="0"/>
              <w:spacing w:line="360" w:lineRule="auto"/>
              <w:jc w:val="center"/>
              <w:rPr>
                <w:rFonts w:ascii="Book Antiqua" w:hAnsi="Book Antiqua"/>
                <w:b/>
                <w:color w:val="000000" w:themeColor="text1"/>
              </w:rPr>
            </w:pPr>
          </w:p>
        </w:tc>
      </w:tr>
      <w:tr w:rsidR="00B56E98" w:rsidRPr="00B56E98" w14:paraId="08A17375" w14:textId="77777777" w:rsidTr="00A21107">
        <w:trPr>
          <w:trHeight w:val="304"/>
        </w:trPr>
        <w:tc>
          <w:tcPr>
            <w:tcW w:w="1668" w:type="dxa"/>
            <w:tcBorders>
              <w:top w:val="single" w:sz="4" w:space="0" w:color="auto"/>
            </w:tcBorders>
            <w:shd w:val="clear" w:color="auto" w:fill="auto"/>
            <w:noWrap/>
            <w:vAlign w:val="bottom"/>
          </w:tcPr>
          <w:p w14:paraId="0309D40E"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 xml:space="preserve">Tranter                   </w:t>
            </w:r>
          </w:p>
        </w:tc>
        <w:tc>
          <w:tcPr>
            <w:tcW w:w="1559" w:type="dxa"/>
            <w:tcBorders>
              <w:top w:val="single" w:sz="4" w:space="0" w:color="auto"/>
            </w:tcBorders>
            <w:shd w:val="clear" w:color="auto" w:fill="auto"/>
            <w:noWrap/>
            <w:vAlign w:val="bottom"/>
          </w:tcPr>
          <w:p w14:paraId="2B18BCA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2001</w:t>
            </w:r>
          </w:p>
        </w:tc>
        <w:tc>
          <w:tcPr>
            <w:tcW w:w="2410" w:type="dxa"/>
            <w:tcBorders>
              <w:top w:val="single" w:sz="4" w:space="0" w:color="auto"/>
            </w:tcBorders>
            <w:shd w:val="clear" w:color="auto" w:fill="auto"/>
            <w:noWrap/>
            <w:vAlign w:val="bottom"/>
          </w:tcPr>
          <w:p w14:paraId="6F095863"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367</w:t>
            </w:r>
          </w:p>
        </w:tc>
        <w:tc>
          <w:tcPr>
            <w:tcW w:w="2541" w:type="dxa"/>
            <w:tcBorders>
              <w:top w:val="single" w:sz="4" w:space="0" w:color="auto"/>
            </w:tcBorders>
            <w:shd w:val="clear" w:color="auto" w:fill="auto"/>
            <w:noWrap/>
            <w:vAlign w:val="bottom"/>
          </w:tcPr>
          <w:p w14:paraId="5490AE06"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tcBorders>
              <w:top w:val="single" w:sz="4" w:space="0" w:color="auto"/>
            </w:tcBorders>
            <w:shd w:val="clear" w:color="auto" w:fill="auto"/>
            <w:noWrap/>
            <w:vAlign w:val="bottom"/>
          </w:tcPr>
          <w:p w14:paraId="4D70F0C6" w14:textId="2E3DF32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Borders>
              <w:top w:val="single" w:sz="4" w:space="0" w:color="auto"/>
            </w:tcBorders>
          </w:tcPr>
          <w:p w14:paraId="00D1B88C"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202DCA15" w14:textId="77777777" w:rsidTr="00A21107">
        <w:trPr>
          <w:trHeight w:val="298"/>
        </w:trPr>
        <w:tc>
          <w:tcPr>
            <w:tcW w:w="1668" w:type="dxa"/>
            <w:shd w:val="clear" w:color="auto" w:fill="auto"/>
            <w:noWrap/>
            <w:vAlign w:val="bottom"/>
            <w:hideMark/>
          </w:tcPr>
          <w:p w14:paraId="34D70382"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Biffl</w:t>
            </w:r>
          </w:p>
        </w:tc>
        <w:tc>
          <w:tcPr>
            <w:tcW w:w="1559" w:type="dxa"/>
            <w:shd w:val="clear" w:color="auto" w:fill="auto"/>
            <w:noWrap/>
            <w:vAlign w:val="bottom"/>
            <w:hideMark/>
          </w:tcPr>
          <w:p w14:paraId="37AE5374"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2001</w:t>
            </w:r>
          </w:p>
        </w:tc>
        <w:tc>
          <w:tcPr>
            <w:tcW w:w="2410" w:type="dxa"/>
            <w:shd w:val="clear" w:color="auto" w:fill="auto"/>
            <w:noWrap/>
            <w:vAlign w:val="bottom"/>
            <w:hideMark/>
          </w:tcPr>
          <w:p w14:paraId="35C4545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248</w:t>
            </w:r>
          </w:p>
        </w:tc>
        <w:tc>
          <w:tcPr>
            <w:tcW w:w="2541" w:type="dxa"/>
            <w:shd w:val="clear" w:color="auto" w:fill="auto"/>
            <w:noWrap/>
            <w:vAlign w:val="bottom"/>
            <w:hideMark/>
          </w:tcPr>
          <w:p w14:paraId="47E4122D"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hideMark/>
          </w:tcPr>
          <w:p w14:paraId="139A2543"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1B9437CF"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4EF1459B" w14:textId="77777777" w:rsidTr="00A21107">
        <w:trPr>
          <w:trHeight w:val="298"/>
        </w:trPr>
        <w:tc>
          <w:tcPr>
            <w:tcW w:w="1668" w:type="dxa"/>
            <w:shd w:val="clear" w:color="auto" w:fill="auto"/>
            <w:noWrap/>
            <w:vAlign w:val="bottom"/>
          </w:tcPr>
          <w:p w14:paraId="17AE3EDB"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Catheline</w:t>
            </w:r>
          </w:p>
        </w:tc>
        <w:tc>
          <w:tcPr>
            <w:tcW w:w="1559" w:type="dxa"/>
            <w:shd w:val="clear" w:color="auto" w:fill="auto"/>
            <w:noWrap/>
            <w:vAlign w:val="bottom"/>
          </w:tcPr>
          <w:p w14:paraId="12AE0604"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2002</w:t>
            </w:r>
          </w:p>
        </w:tc>
        <w:tc>
          <w:tcPr>
            <w:tcW w:w="2410" w:type="dxa"/>
            <w:shd w:val="clear" w:color="auto" w:fill="auto"/>
            <w:noWrap/>
            <w:vAlign w:val="bottom"/>
          </w:tcPr>
          <w:p w14:paraId="3929929B"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900</w:t>
            </w:r>
          </w:p>
        </w:tc>
        <w:tc>
          <w:tcPr>
            <w:tcW w:w="2541" w:type="dxa"/>
            <w:shd w:val="clear" w:color="auto" w:fill="auto"/>
            <w:noWrap/>
            <w:vAlign w:val="bottom"/>
          </w:tcPr>
          <w:p w14:paraId="0AEA254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53A47D31"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68639252"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2DE5D903" w14:textId="77777777" w:rsidTr="00A21107">
        <w:trPr>
          <w:trHeight w:val="298"/>
        </w:trPr>
        <w:tc>
          <w:tcPr>
            <w:tcW w:w="1668" w:type="dxa"/>
            <w:shd w:val="clear" w:color="auto" w:fill="auto"/>
            <w:noWrap/>
            <w:vAlign w:val="bottom"/>
          </w:tcPr>
          <w:p w14:paraId="190821C7"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Halpin</w:t>
            </w:r>
          </w:p>
        </w:tc>
        <w:tc>
          <w:tcPr>
            <w:tcW w:w="1559" w:type="dxa"/>
            <w:shd w:val="clear" w:color="auto" w:fill="auto"/>
            <w:noWrap/>
            <w:vAlign w:val="bottom"/>
          </w:tcPr>
          <w:p w14:paraId="68049A4B"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2002</w:t>
            </w:r>
          </w:p>
        </w:tc>
        <w:tc>
          <w:tcPr>
            <w:tcW w:w="2410" w:type="dxa"/>
            <w:shd w:val="clear" w:color="auto" w:fill="auto"/>
            <w:noWrap/>
            <w:vAlign w:val="bottom"/>
          </w:tcPr>
          <w:p w14:paraId="13A028A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380</w:t>
            </w:r>
          </w:p>
        </w:tc>
        <w:tc>
          <w:tcPr>
            <w:tcW w:w="2541" w:type="dxa"/>
            <w:shd w:val="clear" w:color="auto" w:fill="auto"/>
            <w:noWrap/>
            <w:vAlign w:val="bottom"/>
          </w:tcPr>
          <w:p w14:paraId="02438C3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7467111D"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31087E66"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072FBF7F" w14:textId="77777777" w:rsidTr="00A21107">
        <w:trPr>
          <w:trHeight w:val="298"/>
        </w:trPr>
        <w:tc>
          <w:tcPr>
            <w:tcW w:w="1668" w:type="dxa"/>
            <w:shd w:val="clear" w:color="auto" w:fill="auto"/>
            <w:noWrap/>
            <w:vAlign w:val="bottom"/>
          </w:tcPr>
          <w:p w14:paraId="65C30647"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Tranter</w:t>
            </w:r>
          </w:p>
        </w:tc>
        <w:tc>
          <w:tcPr>
            <w:tcW w:w="1559" w:type="dxa"/>
            <w:shd w:val="clear" w:color="auto" w:fill="auto"/>
            <w:noWrap/>
            <w:vAlign w:val="bottom"/>
          </w:tcPr>
          <w:p w14:paraId="05D4C8DC"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2003</w:t>
            </w:r>
          </w:p>
        </w:tc>
        <w:tc>
          <w:tcPr>
            <w:tcW w:w="2410" w:type="dxa"/>
            <w:shd w:val="clear" w:color="auto" w:fill="auto"/>
            <w:noWrap/>
            <w:vAlign w:val="bottom"/>
          </w:tcPr>
          <w:p w14:paraId="4F2A4516"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135</w:t>
            </w:r>
          </w:p>
        </w:tc>
        <w:tc>
          <w:tcPr>
            <w:tcW w:w="2541" w:type="dxa"/>
            <w:shd w:val="clear" w:color="auto" w:fill="auto"/>
            <w:noWrap/>
            <w:vAlign w:val="bottom"/>
          </w:tcPr>
          <w:p w14:paraId="23A93A6E"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2E3354D8"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024AB5DE"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3C8F3489" w14:textId="77777777" w:rsidTr="00A21107">
        <w:trPr>
          <w:trHeight w:val="286"/>
        </w:trPr>
        <w:tc>
          <w:tcPr>
            <w:tcW w:w="1668" w:type="dxa"/>
            <w:shd w:val="clear" w:color="auto" w:fill="auto"/>
            <w:noWrap/>
            <w:vAlign w:val="bottom"/>
          </w:tcPr>
          <w:p w14:paraId="4DD2274E"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Onders</w:t>
            </w:r>
          </w:p>
        </w:tc>
        <w:tc>
          <w:tcPr>
            <w:tcW w:w="1559" w:type="dxa"/>
            <w:shd w:val="clear" w:color="auto" w:fill="auto"/>
            <w:noWrap/>
            <w:vAlign w:val="bottom"/>
          </w:tcPr>
          <w:p w14:paraId="123AC6B4"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2005</w:t>
            </w:r>
          </w:p>
        </w:tc>
        <w:tc>
          <w:tcPr>
            <w:tcW w:w="2410" w:type="dxa"/>
            <w:shd w:val="clear" w:color="auto" w:fill="auto"/>
            <w:noWrap/>
            <w:vAlign w:val="bottom"/>
          </w:tcPr>
          <w:p w14:paraId="73E596BE"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105</w:t>
            </w:r>
          </w:p>
        </w:tc>
        <w:tc>
          <w:tcPr>
            <w:tcW w:w="2541" w:type="dxa"/>
            <w:shd w:val="clear" w:color="auto" w:fill="auto"/>
            <w:noWrap/>
            <w:vAlign w:val="bottom"/>
          </w:tcPr>
          <w:p w14:paraId="49D4EF6F"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08F24B4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523E56A7"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4318638A" w14:textId="77777777" w:rsidTr="00A21107">
        <w:trPr>
          <w:trHeight w:val="273"/>
        </w:trPr>
        <w:tc>
          <w:tcPr>
            <w:tcW w:w="1668" w:type="dxa"/>
            <w:shd w:val="clear" w:color="auto" w:fill="auto"/>
            <w:noWrap/>
            <w:vAlign w:val="bottom"/>
          </w:tcPr>
          <w:p w14:paraId="5CDF4CE0"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Machi</w:t>
            </w:r>
          </w:p>
        </w:tc>
        <w:tc>
          <w:tcPr>
            <w:tcW w:w="1559" w:type="dxa"/>
            <w:shd w:val="clear" w:color="auto" w:fill="auto"/>
            <w:noWrap/>
            <w:vAlign w:val="bottom"/>
          </w:tcPr>
          <w:p w14:paraId="7D9516CC"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2007</w:t>
            </w:r>
          </w:p>
        </w:tc>
        <w:tc>
          <w:tcPr>
            <w:tcW w:w="2410" w:type="dxa"/>
            <w:shd w:val="clear" w:color="auto" w:fill="auto"/>
            <w:noWrap/>
            <w:vAlign w:val="bottom"/>
          </w:tcPr>
          <w:p w14:paraId="5B987FC0"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w:t>
            </w:r>
          </w:p>
        </w:tc>
        <w:tc>
          <w:tcPr>
            <w:tcW w:w="2541" w:type="dxa"/>
            <w:shd w:val="clear" w:color="auto" w:fill="auto"/>
            <w:noWrap/>
            <w:vAlign w:val="bottom"/>
          </w:tcPr>
          <w:p w14:paraId="0469DB5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6C0F81D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29F5505A"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5DA1D8B8" w14:textId="77777777" w:rsidTr="00A21107">
        <w:trPr>
          <w:trHeight w:val="352"/>
        </w:trPr>
        <w:tc>
          <w:tcPr>
            <w:tcW w:w="1668" w:type="dxa"/>
            <w:shd w:val="clear" w:color="auto" w:fill="auto"/>
            <w:noWrap/>
            <w:vAlign w:val="bottom"/>
          </w:tcPr>
          <w:p w14:paraId="19AF6C9E"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Perry</w:t>
            </w:r>
          </w:p>
        </w:tc>
        <w:tc>
          <w:tcPr>
            <w:tcW w:w="1559" w:type="dxa"/>
            <w:shd w:val="clear" w:color="auto" w:fill="auto"/>
            <w:noWrap/>
            <w:vAlign w:val="bottom"/>
          </w:tcPr>
          <w:p w14:paraId="79E6A7CF"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2007</w:t>
            </w:r>
          </w:p>
        </w:tc>
        <w:tc>
          <w:tcPr>
            <w:tcW w:w="2410" w:type="dxa"/>
            <w:shd w:val="clear" w:color="auto" w:fill="auto"/>
            <w:noWrap/>
            <w:vAlign w:val="bottom"/>
          </w:tcPr>
          <w:p w14:paraId="20C0BC2B"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236</w:t>
            </w:r>
          </w:p>
        </w:tc>
        <w:tc>
          <w:tcPr>
            <w:tcW w:w="2541" w:type="dxa"/>
            <w:shd w:val="clear" w:color="auto" w:fill="auto"/>
            <w:noWrap/>
            <w:vAlign w:val="bottom"/>
          </w:tcPr>
          <w:p w14:paraId="1CFF7CCA"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1063099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4273557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According to the situation</w:t>
            </w:r>
          </w:p>
        </w:tc>
      </w:tr>
      <w:tr w:rsidR="00B56E98" w:rsidRPr="00B56E98" w14:paraId="22E5A60D" w14:textId="77777777" w:rsidTr="00A21107">
        <w:trPr>
          <w:trHeight w:val="221"/>
        </w:trPr>
        <w:tc>
          <w:tcPr>
            <w:tcW w:w="1668" w:type="dxa"/>
            <w:shd w:val="clear" w:color="auto" w:fill="auto"/>
            <w:noWrap/>
            <w:vAlign w:val="bottom"/>
          </w:tcPr>
          <w:p w14:paraId="2503F0AC"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Hakamada</w:t>
            </w:r>
          </w:p>
        </w:tc>
        <w:tc>
          <w:tcPr>
            <w:tcW w:w="1559" w:type="dxa"/>
            <w:shd w:val="clear" w:color="auto" w:fill="auto"/>
            <w:noWrap/>
            <w:vAlign w:val="bottom"/>
          </w:tcPr>
          <w:p w14:paraId="2334CA8E"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2008</w:t>
            </w:r>
          </w:p>
        </w:tc>
        <w:tc>
          <w:tcPr>
            <w:tcW w:w="2410" w:type="dxa"/>
            <w:shd w:val="clear" w:color="auto" w:fill="auto"/>
            <w:noWrap/>
            <w:vAlign w:val="bottom"/>
          </w:tcPr>
          <w:p w14:paraId="3B4B7BC8"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299</w:t>
            </w:r>
          </w:p>
        </w:tc>
        <w:tc>
          <w:tcPr>
            <w:tcW w:w="2541" w:type="dxa"/>
            <w:shd w:val="clear" w:color="auto" w:fill="auto"/>
            <w:noWrap/>
            <w:vAlign w:val="bottom"/>
          </w:tcPr>
          <w:p w14:paraId="59D88B76"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636B059B"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1BC3000D"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After if necessary</w:t>
            </w:r>
          </w:p>
        </w:tc>
      </w:tr>
      <w:tr w:rsidR="00B56E98" w:rsidRPr="00B56E98" w14:paraId="437132BE" w14:textId="77777777" w:rsidTr="00A21107">
        <w:trPr>
          <w:trHeight w:val="298"/>
        </w:trPr>
        <w:tc>
          <w:tcPr>
            <w:tcW w:w="1668" w:type="dxa"/>
            <w:shd w:val="clear" w:color="auto" w:fill="auto"/>
            <w:noWrap/>
            <w:vAlign w:val="bottom"/>
          </w:tcPr>
          <w:p w14:paraId="5F200475"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Hublet</w:t>
            </w:r>
          </w:p>
        </w:tc>
        <w:tc>
          <w:tcPr>
            <w:tcW w:w="1559" w:type="dxa"/>
            <w:shd w:val="clear" w:color="auto" w:fill="auto"/>
            <w:noWrap/>
            <w:vAlign w:val="bottom"/>
          </w:tcPr>
          <w:p w14:paraId="6A57DE2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2009</w:t>
            </w:r>
          </w:p>
        </w:tc>
        <w:tc>
          <w:tcPr>
            <w:tcW w:w="2410" w:type="dxa"/>
            <w:shd w:val="clear" w:color="auto" w:fill="auto"/>
            <w:noWrap/>
            <w:vAlign w:val="bottom"/>
          </w:tcPr>
          <w:p w14:paraId="47F1B231"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269</w:t>
            </w:r>
          </w:p>
        </w:tc>
        <w:tc>
          <w:tcPr>
            <w:tcW w:w="2541" w:type="dxa"/>
            <w:shd w:val="clear" w:color="auto" w:fill="auto"/>
            <w:noWrap/>
            <w:vAlign w:val="bottom"/>
          </w:tcPr>
          <w:p w14:paraId="1E4DD49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2AE1C06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319F32EB"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6427189E" w14:textId="77777777" w:rsidTr="00A21107">
        <w:trPr>
          <w:trHeight w:val="247"/>
        </w:trPr>
        <w:tc>
          <w:tcPr>
            <w:tcW w:w="1668" w:type="dxa"/>
            <w:shd w:val="clear" w:color="auto" w:fill="auto"/>
            <w:noWrap/>
            <w:vAlign w:val="bottom"/>
          </w:tcPr>
          <w:p w14:paraId="68B486E7"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Li</w:t>
            </w:r>
          </w:p>
        </w:tc>
        <w:tc>
          <w:tcPr>
            <w:tcW w:w="1559" w:type="dxa"/>
            <w:shd w:val="clear" w:color="auto" w:fill="auto"/>
            <w:noWrap/>
            <w:vAlign w:val="bottom"/>
          </w:tcPr>
          <w:p w14:paraId="70A82AA0"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2009</w:t>
            </w:r>
          </w:p>
        </w:tc>
        <w:tc>
          <w:tcPr>
            <w:tcW w:w="2410" w:type="dxa"/>
            <w:shd w:val="clear" w:color="auto" w:fill="auto"/>
            <w:noWrap/>
            <w:vAlign w:val="bottom"/>
          </w:tcPr>
          <w:p w14:paraId="7E782CBD"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103</w:t>
            </w:r>
          </w:p>
        </w:tc>
        <w:tc>
          <w:tcPr>
            <w:tcW w:w="2541" w:type="dxa"/>
            <w:shd w:val="clear" w:color="auto" w:fill="auto"/>
            <w:noWrap/>
            <w:vAlign w:val="bottom"/>
          </w:tcPr>
          <w:p w14:paraId="63594F2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743EC583"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272C28D4"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71019AFA" w14:textId="77777777" w:rsidTr="00A21107">
        <w:trPr>
          <w:trHeight w:val="247"/>
        </w:trPr>
        <w:tc>
          <w:tcPr>
            <w:tcW w:w="1668" w:type="dxa"/>
            <w:shd w:val="clear" w:color="auto" w:fill="auto"/>
            <w:noWrap/>
            <w:vAlign w:val="bottom"/>
          </w:tcPr>
          <w:p w14:paraId="4AE849CD"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Machi</w:t>
            </w:r>
          </w:p>
        </w:tc>
        <w:tc>
          <w:tcPr>
            <w:tcW w:w="1559" w:type="dxa"/>
            <w:shd w:val="clear" w:color="auto" w:fill="auto"/>
            <w:noWrap/>
            <w:vAlign w:val="bottom"/>
          </w:tcPr>
          <w:p w14:paraId="4C64269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2009</w:t>
            </w:r>
          </w:p>
        </w:tc>
        <w:tc>
          <w:tcPr>
            <w:tcW w:w="2410" w:type="dxa"/>
            <w:shd w:val="clear" w:color="auto" w:fill="auto"/>
            <w:noWrap/>
            <w:vAlign w:val="bottom"/>
          </w:tcPr>
          <w:p w14:paraId="39298F5A"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1352</w:t>
            </w:r>
          </w:p>
        </w:tc>
        <w:tc>
          <w:tcPr>
            <w:tcW w:w="2541" w:type="dxa"/>
            <w:shd w:val="clear" w:color="auto" w:fill="auto"/>
            <w:noWrap/>
            <w:vAlign w:val="bottom"/>
          </w:tcPr>
          <w:p w14:paraId="0A6D4C63"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1E181988"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1D98264A"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After if necessary</w:t>
            </w:r>
          </w:p>
        </w:tc>
      </w:tr>
      <w:tr w:rsidR="00B56E98" w:rsidRPr="00B56E98" w14:paraId="12A0F83F" w14:textId="77777777" w:rsidTr="00A21107">
        <w:trPr>
          <w:trHeight w:val="221"/>
        </w:trPr>
        <w:tc>
          <w:tcPr>
            <w:tcW w:w="1668" w:type="dxa"/>
            <w:shd w:val="clear" w:color="auto" w:fill="auto"/>
            <w:noWrap/>
            <w:vAlign w:val="bottom"/>
          </w:tcPr>
          <w:p w14:paraId="65A36E91"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Hashimoto</w:t>
            </w:r>
          </w:p>
        </w:tc>
        <w:tc>
          <w:tcPr>
            <w:tcW w:w="1559" w:type="dxa"/>
            <w:shd w:val="clear" w:color="auto" w:fill="auto"/>
            <w:noWrap/>
            <w:vAlign w:val="bottom"/>
          </w:tcPr>
          <w:p w14:paraId="49D5935B"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2010</w:t>
            </w:r>
          </w:p>
        </w:tc>
        <w:tc>
          <w:tcPr>
            <w:tcW w:w="2410" w:type="dxa"/>
            <w:shd w:val="clear" w:color="auto" w:fill="auto"/>
            <w:noWrap/>
            <w:vAlign w:val="bottom"/>
          </w:tcPr>
          <w:p w14:paraId="2182EC5E"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220</w:t>
            </w:r>
          </w:p>
        </w:tc>
        <w:tc>
          <w:tcPr>
            <w:tcW w:w="2541" w:type="dxa"/>
            <w:shd w:val="clear" w:color="auto" w:fill="auto"/>
            <w:noWrap/>
            <w:vAlign w:val="bottom"/>
          </w:tcPr>
          <w:p w14:paraId="36B2919D"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7B89081A"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5308C601"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3120B142" w14:textId="77777777" w:rsidTr="00A21107">
        <w:trPr>
          <w:trHeight w:val="221"/>
        </w:trPr>
        <w:tc>
          <w:tcPr>
            <w:tcW w:w="1668" w:type="dxa"/>
            <w:shd w:val="clear" w:color="auto" w:fill="auto"/>
            <w:noWrap/>
            <w:vAlign w:val="bottom"/>
          </w:tcPr>
          <w:p w14:paraId="4460413C"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Pfluke</w:t>
            </w:r>
          </w:p>
        </w:tc>
        <w:tc>
          <w:tcPr>
            <w:tcW w:w="1559" w:type="dxa"/>
            <w:shd w:val="clear" w:color="auto" w:fill="auto"/>
            <w:noWrap/>
            <w:vAlign w:val="bottom"/>
          </w:tcPr>
          <w:p w14:paraId="3BB3650D"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2011</w:t>
            </w:r>
          </w:p>
        </w:tc>
        <w:tc>
          <w:tcPr>
            <w:tcW w:w="2410" w:type="dxa"/>
            <w:shd w:val="clear" w:color="auto" w:fill="auto"/>
            <w:noWrap/>
            <w:vAlign w:val="bottom"/>
          </w:tcPr>
          <w:p w14:paraId="6C387DC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50</w:t>
            </w:r>
          </w:p>
        </w:tc>
        <w:tc>
          <w:tcPr>
            <w:tcW w:w="2541" w:type="dxa"/>
            <w:shd w:val="clear" w:color="auto" w:fill="auto"/>
            <w:noWrap/>
            <w:vAlign w:val="bottom"/>
          </w:tcPr>
          <w:p w14:paraId="4E3E6E99"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4C25B0AF"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5CF7FFE4"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35B24098" w14:textId="77777777" w:rsidTr="00A21107">
        <w:trPr>
          <w:trHeight w:val="221"/>
        </w:trPr>
        <w:tc>
          <w:tcPr>
            <w:tcW w:w="1668" w:type="dxa"/>
            <w:shd w:val="clear" w:color="auto" w:fill="auto"/>
            <w:noWrap/>
            <w:vAlign w:val="bottom"/>
          </w:tcPr>
          <w:p w14:paraId="4E3D0C3D"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Nasu</w:t>
            </w:r>
          </w:p>
        </w:tc>
        <w:tc>
          <w:tcPr>
            <w:tcW w:w="1559" w:type="dxa"/>
            <w:shd w:val="clear" w:color="auto" w:fill="auto"/>
            <w:noWrap/>
            <w:vAlign w:val="bottom"/>
          </w:tcPr>
          <w:p w14:paraId="170B632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2012</w:t>
            </w:r>
          </w:p>
        </w:tc>
        <w:tc>
          <w:tcPr>
            <w:tcW w:w="2410" w:type="dxa"/>
            <w:shd w:val="clear" w:color="auto" w:fill="auto"/>
            <w:noWrap/>
            <w:vAlign w:val="bottom"/>
          </w:tcPr>
          <w:p w14:paraId="2AE733E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71</w:t>
            </w:r>
          </w:p>
        </w:tc>
        <w:tc>
          <w:tcPr>
            <w:tcW w:w="2541" w:type="dxa"/>
            <w:shd w:val="clear" w:color="auto" w:fill="auto"/>
            <w:noWrap/>
            <w:vAlign w:val="bottom"/>
          </w:tcPr>
          <w:p w14:paraId="02BEAD8A"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68143656"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6A756BB7"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405B6B24" w14:textId="77777777" w:rsidTr="00A21107">
        <w:trPr>
          <w:trHeight w:val="221"/>
        </w:trPr>
        <w:tc>
          <w:tcPr>
            <w:tcW w:w="1668" w:type="dxa"/>
            <w:shd w:val="clear" w:color="auto" w:fill="auto"/>
            <w:noWrap/>
            <w:vAlign w:val="bottom"/>
          </w:tcPr>
          <w:p w14:paraId="1264DD64"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Gwinn</w:t>
            </w:r>
          </w:p>
        </w:tc>
        <w:tc>
          <w:tcPr>
            <w:tcW w:w="1559" w:type="dxa"/>
            <w:shd w:val="clear" w:color="auto" w:fill="auto"/>
            <w:noWrap/>
            <w:vAlign w:val="bottom"/>
          </w:tcPr>
          <w:p w14:paraId="428DF47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2013</w:t>
            </w:r>
          </w:p>
        </w:tc>
        <w:tc>
          <w:tcPr>
            <w:tcW w:w="2410" w:type="dxa"/>
            <w:shd w:val="clear" w:color="auto" w:fill="auto"/>
            <w:noWrap/>
            <w:vAlign w:val="bottom"/>
          </w:tcPr>
          <w:p w14:paraId="5AE8100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44</w:t>
            </w:r>
          </w:p>
        </w:tc>
        <w:tc>
          <w:tcPr>
            <w:tcW w:w="2541" w:type="dxa"/>
            <w:shd w:val="clear" w:color="auto" w:fill="auto"/>
            <w:noWrap/>
            <w:vAlign w:val="bottom"/>
          </w:tcPr>
          <w:p w14:paraId="13BAFEF6"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07D3DBDE"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65A68579"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7017A988" w14:textId="77777777" w:rsidTr="00A21107">
        <w:trPr>
          <w:trHeight w:val="221"/>
        </w:trPr>
        <w:tc>
          <w:tcPr>
            <w:tcW w:w="1668" w:type="dxa"/>
            <w:shd w:val="clear" w:color="auto" w:fill="auto"/>
            <w:noWrap/>
            <w:vAlign w:val="bottom"/>
          </w:tcPr>
          <w:p w14:paraId="0E2A2B68"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Kothari</w:t>
            </w:r>
          </w:p>
        </w:tc>
        <w:tc>
          <w:tcPr>
            <w:tcW w:w="1559" w:type="dxa"/>
            <w:shd w:val="clear" w:color="auto" w:fill="auto"/>
            <w:noWrap/>
            <w:vAlign w:val="bottom"/>
          </w:tcPr>
          <w:p w14:paraId="02CFFAC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2013</w:t>
            </w:r>
          </w:p>
        </w:tc>
        <w:tc>
          <w:tcPr>
            <w:tcW w:w="2410" w:type="dxa"/>
            <w:shd w:val="clear" w:color="auto" w:fill="auto"/>
            <w:noWrap/>
            <w:vAlign w:val="bottom"/>
          </w:tcPr>
          <w:p w14:paraId="7FD3FDB4"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253</w:t>
            </w:r>
          </w:p>
        </w:tc>
        <w:tc>
          <w:tcPr>
            <w:tcW w:w="2541" w:type="dxa"/>
            <w:shd w:val="clear" w:color="auto" w:fill="auto"/>
            <w:noWrap/>
            <w:vAlign w:val="bottom"/>
          </w:tcPr>
          <w:p w14:paraId="02B8CDB2"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06B7CDE8"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5462DF26" w14:textId="77777777" w:rsidR="00B56E98" w:rsidRPr="00B56E98" w:rsidRDefault="00B56E98" w:rsidP="00B56E98">
            <w:pPr>
              <w:snapToGrid w:val="0"/>
              <w:spacing w:line="360" w:lineRule="auto"/>
              <w:jc w:val="center"/>
              <w:rPr>
                <w:rFonts w:ascii="Book Antiqua" w:hAnsi="Book Antiqua"/>
                <w:color w:val="000000" w:themeColor="text1"/>
              </w:rPr>
            </w:pPr>
          </w:p>
        </w:tc>
      </w:tr>
      <w:tr w:rsidR="00B56E98" w:rsidRPr="00B56E98" w14:paraId="343BD092" w14:textId="77777777" w:rsidTr="00A21107">
        <w:trPr>
          <w:trHeight w:val="221"/>
        </w:trPr>
        <w:tc>
          <w:tcPr>
            <w:tcW w:w="1668" w:type="dxa"/>
            <w:shd w:val="clear" w:color="auto" w:fill="auto"/>
            <w:noWrap/>
            <w:vAlign w:val="bottom"/>
          </w:tcPr>
          <w:p w14:paraId="56CFB72C" w14:textId="77777777" w:rsidR="00B56E98" w:rsidRPr="00B56E98" w:rsidRDefault="00B56E98" w:rsidP="00B56E98">
            <w:pPr>
              <w:snapToGrid w:val="0"/>
              <w:spacing w:line="360" w:lineRule="auto"/>
              <w:rPr>
                <w:rFonts w:ascii="Book Antiqua" w:hAnsi="Book Antiqua"/>
                <w:color w:val="000000" w:themeColor="text1"/>
              </w:rPr>
            </w:pPr>
            <w:r w:rsidRPr="00B56E98">
              <w:rPr>
                <w:rFonts w:ascii="Book Antiqua" w:hAnsi="Book Antiqua"/>
                <w:color w:val="000000" w:themeColor="text1"/>
              </w:rPr>
              <w:t xml:space="preserve"> Shaaban</w:t>
            </w:r>
          </w:p>
        </w:tc>
        <w:tc>
          <w:tcPr>
            <w:tcW w:w="1559" w:type="dxa"/>
            <w:shd w:val="clear" w:color="auto" w:fill="auto"/>
            <w:noWrap/>
            <w:vAlign w:val="bottom"/>
          </w:tcPr>
          <w:p w14:paraId="79B2FB0E"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2014</w:t>
            </w:r>
          </w:p>
        </w:tc>
        <w:tc>
          <w:tcPr>
            <w:tcW w:w="2410" w:type="dxa"/>
            <w:shd w:val="clear" w:color="auto" w:fill="auto"/>
            <w:noWrap/>
            <w:vAlign w:val="bottom"/>
          </w:tcPr>
          <w:p w14:paraId="625653C0"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70</w:t>
            </w:r>
          </w:p>
        </w:tc>
        <w:tc>
          <w:tcPr>
            <w:tcW w:w="2541" w:type="dxa"/>
            <w:shd w:val="clear" w:color="auto" w:fill="auto"/>
            <w:noWrap/>
            <w:vAlign w:val="bottom"/>
          </w:tcPr>
          <w:p w14:paraId="24D7DCC5" w14:textId="77777777"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2747" w:type="dxa"/>
            <w:shd w:val="clear" w:color="auto" w:fill="auto"/>
            <w:noWrap/>
            <w:vAlign w:val="bottom"/>
          </w:tcPr>
          <w:p w14:paraId="083D3A40" w14:textId="6DB95AA2" w:rsidR="00B56E98" w:rsidRPr="00B56E98" w:rsidRDefault="00B56E98" w:rsidP="00B56E98">
            <w:pPr>
              <w:snapToGrid w:val="0"/>
              <w:spacing w:line="360" w:lineRule="auto"/>
              <w:jc w:val="center"/>
              <w:rPr>
                <w:rFonts w:ascii="Book Antiqua" w:hAnsi="Book Antiqua"/>
                <w:color w:val="000000" w:themeColor="text1"/>
              </w:rPr>
            </w:pPr>
            <w:r w:rsidRPr="00B56E98">
              <w:rPr>
                <w:rFonts w:ascii="Book Antiqua" w:hAnsi="Book Antiqua"/>
                <w:color w:val="000000" w:themeColor="text1"/>
              </w:rPr>
              <w:t>+</w:t>
            </w:r>
          </w:p>
        </w:tc>
        <w:tc>
          <w:tcPr>
            <w:tcW w:w="3217" w:type="dxa"/>
          </w:tcPr>
          <w:p w14:paraId="2FF06412" w14:textId="77777777" w:rsidR="00B56E98" w:rsidRPr="00B56E98" w:rsidRDefault="00B56E98" w:rsidP="00B56E98">
            <w:pPr>
              <w:snapToGrid w:val="0"/>
              <w:spacing w:line="360" w:lineRule="auto"/>
              <w:jc w:val="center"/>
              <w:rPr>
                <w:rFonts w:ascii="Book Antiqua" w:hAnsi="Book Antiqua"/>
                <w:color w:val="000000" w:themeColor="text1"/>
              </w:rPr>
            </w:pPr>
          </w:p>
        </w:tc>
      </w:tr>
    </w:tbl>
    <w:p w14:paraId="6B694421" w14:textId="1DE0CA7A" w:rsidR="00977B8F" w:rsidRDefault="00D5223D" w:rsidP="00A94613">
      <w:pPr>
        <w:snapToGrid w:val="0"/>
        <w:spacing w:line="360" w:lineRule="auto"/>
        <w:jc w:val="both"/>
        <w:rPr>
          <w:rFonts w:ascii="Book Antiqua" w:hAnsi="Book Antiqua" w:cs="Helvetica"/>
          <w:color w:val="000000" w:themeColor="text1"/>
          <w:lang w:val="en-US" w:eastAsia="zh-CN"/>
        </w:rPr>
      </w:pPr>
      <w:r w:rsidRPr="00A45A3B">
        <w:rPr>
          <w:rFonts w:ascii="Book Antiqua" w:hAnsi="Book Antiqua" w:cs="Helvetica"/>
          <w:color w:val="000000" w:themeColor="text1"/>
          <w:lang w:val="en-US"/>
        </w:rPr>
        <w:t>LUS</w:t>
      </w:r>
      <w:r w:rsidRPr="00A45A3B">
        <w:rPr>
          <w:rFonts w:ascii="Book Antiqua" w:hAnsi="Book Antiqua" w:cs="Helvetica" w:hint="eastAsia"/>
          <w:color w:val="000000" w:themeColor="text1"/>
          <w:lang w:val="en-US" w:eastAsia="zh-CN"/>
        </w:rPr>
        <w:t xml:space="preserve">: </w:t>
      </w:r>
      <w:r w:rsidRPr="00A45A3B">
        <w:rPr>
          <w:rFonts w:ascii="Book Antiqua" w:hAnsi="Book Antiqua" w:cs="Helvetica"/>
          <w:caps/>
          <w:color w:val="000000" w:themeColor="text1"/>
          <w:lang w:val="en-US"/>
        </w:rPr>
        <w:t>l</w:t>
      </w:r>
      <w:r w:rsidRPr="00A45A3B">
        <w:rPr>
          <w:rFonts w:ascii="Book Antiqua" w:hAnsi="Book Antiqua" w:cs="Helvetica"/>
          <w:color w:val="000000" w:themeColor="text1"/>
          <w:lang w:val="en-US"/>
        </w:rPr>
        <w:t>aparoscopic ultrasound</w:t>
      </w:r>
      <w:r>
        <w:rPr>
          <w:rFonts w:ascii="Book Antiqua" w:hAnsi="Book Antiqua" w:cs="Helvetica" w:hint="eastAsia"/>
          <w:color w:val="000000" w:themeColor="text1"/>
          <w:lang w:val="en-US" w:eastAsia="zh-CN"/>
        </w:rPr>
        <w:t>.</w:t>
      </w:r>
    </w:p>
    <w:p w14:paraId="53C47B8B" w14:textId="77777777" w:rsidR="00977B8F" w:rsidRDefault="00977B8F">
      <w:pPr>
        <w:rPr>
          <w:rFonts w:ascii="Book Antiqua" w:hAnsi="Book Antiqua" w:cs="Helvetica"/>
          <w:color w:val="000000" w:themeColor="text1"/>
          <w:lang w:val="en-US" w:eastAsia="zh-CN"/>
        </w:rPr>
      </w:pPr>
      <w:r>
        <w:rPr>
          <w:rFonts w:ascii="Book Antiqua" w:hAnsi="Book Antiqua" w:cs="Helvetica"/>
          <w:color w:val="000000" w:themeColor="text1"/>
          <w:lang w:val="en-US" w:eastAsia="zh-CN"/>
        </w:rPr>
        <w:br w:type="page"/>
      </w:r>
    </w:p>
    <w:p w14:paraId="62D848EA" w14:textId="2867FAB7" w:rsidR="00977B8F" w:rsidRPr="00977B8F" w:rsidRDefault="00977B8F" w:rsidP="00977B8F">
      <w:pPr>
        <w:snapToGrid w:val="0"/>
        <w:spacing w:line="360" w:lineRule="auto"/>
        <w:jc w:val="both"/>
        <w:rPr>
          <w:rFonts w:ascii="Book Antiqua" w:hAnsi="Book Antiqua"/>
          <w:b/>
          <w:bCs/>
          <w:color w:val="000000" w:themeColor="text1"/>
          <w:lang w:val="en-US" w:eastAsia="zh-CN"/>
        </w:rPr>
      </w:pPr>
      <w:r w:rsidRPr="00977B8F">
        <w:rPr>
          <w:rFonts w:ascii="Book Antiqua" w:hAnsi="Book Antiqua"/>
          <w:b/>
          <w:bCs/>
          <w:color w:val="000000" w:themeColor="text1"/>
          <w:lang w:val="en-US" w:eastAsia="zh-CN"/>
        </w:rPr>
        <w:lastRenderedPageBreak/>
        <w:t>Table 3</w:t>
      </w:r>
      <w:r>
        <w:rPr>
          <w:rFonts w:ascii="Book Antiqua" w:hAnsi="Book Antiqua" w:hint="eastAsia"/>
          <w:b/>
          <w:bCs/>
          <w:color w:val="000000" w:themeColor="text1"/>
          <w:lang w:val="en-US" w:eastAsia="zh-CN"/>
        </w:rPr>
        <w:t xml:space="preserve"> </w:t>
      </w:r>
      <w:r w:rsidRPr="00977B8F">
        <w:rPr>
          <w:rFonts w:ascii="Book Antiqua" w:hAnsi="Book Antiqua"/>
          <w:b/>
          <w:bCs/>
          <w:color w:val="000000" w:themeColor="text1"/>
          <w:lang w:val="en-US" w:eastAsia="zh-CN"/>
        </w:rPr>
        <w:t>Identification of biliary anatomy and variations</w:t>
      </w:r>
    </w:p>
    <w:tbl>
      <w:tblPr>
        <w:tblpPr w:leftFromText="141" w:rightFromText="141" w:vertAnchor="text" w:tblpY="1"/>
        <w:tblOverlap w:val="never"/>
        <w:tblW w:w="22352" w:type="dxa"/>
        <w:tblBorders>
          <w:top w:val="single" w:sz="4" w:space="0" w:color="auto"/>
          <w:bottom w:val="single" w:sz="4" w:space="0" w:color="auto"/>
        </w:tblBorders>
        <w:tblLayout w:type="fixed"/>
        <w:tblLook w:val="04A0" w:firstRow="1" w:lastRow="0" w:firstColumn="1" w:lastColumn="0" w:noHBand="0" w:noVBand="1"/>
      </w:tblPr>
      <w:tblGrid>
        <w:gridCol w:w="1526"/>
        <w:gridCol w:w="992"/>
        <w:gridCol w:w="1304"/>
        <w:gridCol w:w="1140"/>
        <w:gridCol w:w="1134"/>
        <w:gridCol w:w="816"/>
        <w:gridCol w:w="851"/>
        <w:gridCol w:w="1417"/>
        <w:gridCol w:w="885"/>
        <w:gridCol w:w="1134"/>
        <w:gridCol w:w="1242"/>
        <w:gridCol w:w="1451"/>
        <w:gridCol w:w="1134"/>
        <w:gridCol w:w="1276"/>
        <w:gridCol w:w="1134"/>
        <w:gridCol w:w="4057"/>
        <w:gridCol w:w="859"/>
      </w:tblGrid>
      <w:tr w:rsidR="00086171" w:rsidRPr="004D2F50" w14:paraId="7AF73D7C" w14:textId="77777777" w:rsidTr="00086171">
        <w:trPr>
          <w:gridAfter w:val="2"/>
          <w:wAfter w:w="4916" w:type="dxa"/>
          <w:trHeight w:val="838"/>
        </w:trPr>
        <w:tc>
          <w:tcPr>
            <w:tcW w:w="1526" w:type="dxa"/>
            <w:tcBorders>
              <w:top w:val="single" w:sz="4" w:space="0" w:color="auto"/>
              <w:bottom w:val="single" w:sz="4" w:space="0" w:color="auto"/>
            </w:tcBorders>
            <w:shd w:val="clear" w:color="auto" w:fill="auto"/>
            <w:noWrap/>
            <w:vAlign w:val="bottom"/>
            <w:hideMark/>
          </w:tcPr>
          <w:p w14:paraId="3348FDD2" w14:textId="77777777" w:rsidR="004D2F50" w:rsidRPr="00086171" w:rsidRDefault="004D2F50" w:rsidP="004D2F50">
            <w:pPr>
              <w:spacing w:line="360" w:lineRule="auto"/>
              <w:rPr>
                <w:rFonts w:ascii="Book Antiqua" w:eastAsia="Times New Roman" w:hAnsi="Book Antiqua" w:cs="Arial"/>
                <w:b/>
                <w:color w:val="000000"/>
              </w:rPr>
            </w:pPr>
            <w:r w:rsidRPr="00086171">
              <w:rPr>
                <w:rFonts w:ascii="Book Antiqua" w:eastAsia="Times New Roman" w:hAnsi="Book Antiqua" w:cs="Arial"/>
                <w:b/>
                <w:color w:val="000000"/>
              </w:rPr>
              <w:t>Author</w:t>
            </w:r>
          </w:p>
        </w:tc>
        <w:tc>
          <w:tcPr>
            <w:tcW w:w="992" w:type="dxa"/>
            <w:tcBorders>
              <w:top w:val="single" w:sz="4" w:space="0" w:color="auto"/>
              <w:bottom w:val="single" w:sz="4" w:space="0" w:color="auto"/>
            </w:tcBorders>
            <w:shd w:val="clear" w:color="auto" w:fill="auto"/>
            <w:noWrap/>
            <w:vAlign w:val="bottom"/>
            <w:hideMark/>
          </w:tcPr>
          <w:p w14:paraId="123E2733" w14:textId="640616C6"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Year</w:t>
            </w:r>
          </w:p>
        </w:tc>
        <w:tc>
          <w:tcPr>
            <w:tcW w:w="1304" w:type="dxa"/>
            <w:tcBorders>
              <w:top w:val="single" w:sz="4" w:space="0" w:color="auto"/>
              <w:bottom w:val="single" w:sz="4" w:space="0" w:color="auto"/>
            </w:tcBorders>
            <w:shd w:val="clear" w:color="auto" w:fill="auto"/>
            <w:noWrap/>
            <w:vAlign w:val="bottom"/>
            <w:hideMark/>
          </w:tcPr>
          <w:p w14:paraId="7572950F" w14:textId="58A48843"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Number of Patients</w:t>
            </w:r>
          </w:p>
        </w:tc>
        <w:tc>
          <w:tcPr>
            <w:tcW w:w="1140" w:type="dxa"/>
            <w:tcBorders>
              <w:top w:val="single" w:sz="4" w:space="0" w:color="auto"/>
              <w:bottom w:val="single" w:sz="4" w:space="0" w:color="auto"/>
            </w:tcBorders>
            <w:shd w:val="clear" w:color="auto" w:fill="auto"/>
            <w:noWrap/>
            <w:vAlign w:val="bottom"/>
            <w:hideMark/>
          </w:tcPr>
          <w:p w14:paraId="47CD4FDE"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"Complete observation"</w:t>
            </w:r>
          </w:p>
        </w:tc>
        <w:tc>
          <w:tcPr>
            <w:tcW w:w="1134" w:type="dxa"/>
            <w:tcBorders>
              <w:top w:val="single" w:sz="4" w:space="0" w:color="auto"/>
              <w:bottom w:val="single" w:sz="4" w:space="0" w:color="auto"/>
            </w:tcBorders>
            <w:shd w:val="clear" w:color="auto" w:fill="auto"/>
            <w:noWrap/>
            <w:vAlign w:val="bottom"/>
            <w:hideMark/>
          </w:tcPr>
          <w:p w14:paraId="2A7DD563" w14:textId="77777777" w:rsidR="004D2F50" w:rsidRPr="00086171" w:rsidRDefault="004D2F50" w:rsidP="00086171">
            <w:pPr>
              <w:spacing w:line="360" w:lineRule="auto"/>
              <w:ind w:right="-69"/>
              <w:jc w:val="center"/>
              <w:rPr>
                <w:rFonts w:ascii="Book Antiqua" w:eastAsia="Times New Roman" w:hAnsi="Book Antiqua" w:cs="Arial"/>
                <w:b/>
                <w:color w:val="000000"/>
              </w:rPr>
            </w:pPr>
            <w:r w:rsidRPr="00086171">
              <w:rPr>
                <w:rFonts w:ascii="Book Antiqua" w:eastAsia="Times New Roman" w:hAnsi="Book Antiqua" w:cs="Arial"/>
                <w:b/>
                <w:color w:val="000000"/>
              </w:rPr>
              <w:t>Intrahepatic BD</w:t>
            </w:r>
          </w:p>
        </w:tc>
        <w:tc>
          <w:tcPr>
            <w:tcW w:w="816" w:type="dxa"/>
            <w:tcBorders>
              <w:top w:val="single" w:sz="4" w:space="0" w:color="auto"/>
              <w:bottom w:val="single" w:sz="4" w:space="0" w:color="auto"/>
            </w:tcBorders>
            <w:shd w:val="clear" w:color="auto" w:fill="auto"/>
            <w:noWrap/>
            <w:vAlign w:val="bottom"/>
            <w:hideMark/>
          </w:tcPr>
          <w:p w14:paraId="386FF35C"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Bifurcation</w:t>
            </w:r>
          </w:p>
        </w:tc>
        <w:tc>
          <w:tcPr>
            <w:tcW w:w="851" w:type="dxa"/>
            <w:tcBorders>
              <w:top w:val="single" w:sz="4" w:space="0" w:color="auto"/>
              <w:bottom w:val="single" w:sz="4" w:space="0" w:color="auto"/>
            </w:tcBorders>
            <w:shd w:val="clear" w:color="auto" w:fill="auto"/>
            <w:noWrap/>
            <w:vAlign w:val="bottom"/>
            <w:hideMark/>
          </w:tcPr>
          <w:p w14:paraId="39D7D355" w14:textId="3B0C667B" w:rsidR="004D2F50" w:rsidRPr="00086171" w:rsidRDefault="004D2F50" w:rsidP="00086171">
            <w:pPr>
              <w:spacing w:line="360" w:lineRule="auto"/>
              <w:jc w:val="center"/>
              <w:rPr>
                <w:rFonts w:ascii="Book Antiqua" w:eastAsia="Times New Roman" w:hAnsi="Book Antiqua" w:cs="Arial"/>
                <w:b/>
              </w:rPr>
            </w:pPr>
            <w:r w:rsidRPr="00086171">
              <w:rPr>
                <w:rFonts w:ascii="Book Antiqua" w:eastAsia="Times New Roman" w:hAnsi="Book Antiqua" w:cs="Arial"/>
                <w:b/>
              </w:rPr>
              <w:t>CHD</w:t>
            </w:r>
          </w:p>
        </w:tc>
        <w:tc>
          <w:tcPr>
            <w:tcW w:w="1417" w:type="dxa"/>
            <w:tcBorders>
              <w:top w:val="single" w:sz="4" w:space="0" w:color="auto"/>
              <w:bottom w:val="single" w:sz="4" w:space="0" w:color="auto"/>
            </w:tcBorders>
            <w:shd w:val="clear" w:color="auto" w:fill="auto"/>
            <w:noWrap/>
            <w:vAlign w:val="bottom"/>
            <w:hideMark/>
          </w:tcPr>
          <w:p w14:paraId="27D34596" w14:textId="65C444FD" w:rsidR="004D2F50" w:rsidRPr="00086171" w:rsidRDefault="004D2F50" w:rsidP="00086171">
            <w:pPr>
              <w:spacing w:line="360" w:lineRule="auto"/>
              <w:rPr>
                <w:rFonts w:ascii="Book Antiqua" w:eastAsia="Times New Roman" w:hAnsi="Book Antiqua" w:cs="Arial"/>
                <w:b/>
                <w:color w:val="000000"/>
              </w:rPr>
            </w:pPr>
            <w:r w:rsidRPr="00086171">
              <w:rPr>
                <w:rFonts w:ascii="Book Antiqua" w:eastAsia="Times New Roman" w:hAnsi="Book Antiqua" w:cs="Arial"/>
                <w:b/>
                <w:color w:val="000000"/>
              </w:rPr>
              <w:t>CBD</w:t>
            </w:r>
          </w:p>
        </w:tc>
        <w:tc>
          <w:tcPr>
            <w:tcW w:w="885" w:type="dxa"/>
            <w:tcBorders>
              <w:top w:val="single" w:sz="4" w:space="0" w:color="auto"/>
              <w:bottom w:val="single" w:sz="4" w:space="0" w:color="auto"/>
            </w:tcBorders>
            <w:shd w:val="clear" w:color="auto" w:fill="auto"/>
            <w:vAlign w:val="bottom"/>
            <w:hideMark/>
          </w:tcPr>
          <w:p w14:paraId="6F215FEF"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CD-CBD junction</w:t>
            </w:r>
          </w:p>
        </w:tc>
        <w:tc>
          <w:tcPr>
            <w:tcW w:w="1134" w:type="dxa"/>
            <w:tcBorders>
              <w:top w:val="single" w:sz="4" w:space="0" w:color="auto"/>
              <w:bottom w:val="single" w:sz="4" w:space="0" w:color="auto"/>
            </w:tcBorders>
            <w:shd w:val="clear" w:color="auto" w:fill="auto"/>
            <w:vAlign w:val="bottom"/>
            <w:hideMark/>
          </w:tcPr>
          <w:p w14:paraId="6E6A48DC"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Intra-pancreatic BD</w:t>
            </w:r>
          </w:p>
        </w:tc>
        <w:tc>
          <w:tcPr>
            <w:tcW w:w="1242" w:type="dxa"/>
            <w:tcBorders>
              <w:top w:val="single" w:sz="4" w:space="0" w:color="auto"/>
              <w:bottom w:val="single" w:sz="4" w:space="0" w:color="auto"/>
            </w:tcBorders>
            <w:shd w:val="clear" w:color="auto" w:fill="auto"/>
            <w:vAlign w:val="bottom"/>
            <w:hideMark/>
          </w:tcPr>
          <w:p w14:paraId="7E7A157B"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Vascular visualization</w:t>
            </w:r>
          </w:p>
        </w:tc>
        <w:tc>
          <w:tcPr>
            <w:tcW w:w="1451" w:type="dxa"/>
            <w:tcBorders>
              <w:top w:val="single" w:sz="4" w:space="0" w:color="auto"/>
              <w:bottom w:val="single" w:sz="4" w:space="0" w:color="auto"/>
            </w:tcBorders>
            <w:shd w:val="clear" w:color="auto" w:fill="auto"/>
            <w:vAlign w:val="bottom"/>
            <w:hideMark/>
          </w:tcPr>
          <w:p w14:paraId="2C970FBD"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Biliary anomalies</w:t>
            </w:r>
          </w:p>
        </w:tc>
        <w:tc>
          <w:tcPr>
            <w:tcW w:w="1134" w:type="dxa"/>
            <w:tcBorders>
              <w:top w:val="single" w:sz="4" w:space="0" w:color="auto"/>
              <w:bottom w:val="single" w:sz="4" w:space="0" w:color="auto"/>
            </w:tcBorders>
            <w:shd w:val="clear" w:color="auto" w:fill="auto"/>
            <w:vAlign w:val="bottom"/>
            <w:hideMark/>
          </w:tcPr>
          <w:p w14:paraId="3A438979" w14:textId="09AFB383"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Foreshortened cystic duct        (&lt; 1</w:t>
            </w:r>
            <w:r w:rsidRPr="00086171">
              <w:rPr>
                <w:rFonts w:ascii="Book Antiqua" w:hAnsi="Book Antiqua" w:cs="Arial" w:hint="eastAsia"/>
                <w:b/>
                <w:color w:val="000000"/>
                <w:lang w:eastAsia="zh-CN"/>
              </w:rPr>
              <w:t xml:space="preserve"> </w:t>
            </w:r>
            <w:r w:rsidRPr="00086171">
              <w:rPr>
                <w:rFonts w:ascii="Book Antiqua" w:eastAsia="Times New Roman" w:hAnsi="Book Antiqua" w:cs="Arial"/>
                <w:b/>
                <w:color w:val="000000"/>
              </w:rPr>
              <w:t>cm)</w:t>
            </w:r>
          </w:p>
        </w:tc>
        <w:tc>
          <w:tcPr>
            <w:tcW w:w="1276" w:type="dxa"/>
            <w:tcBorders>
              <w:top w:val="single" w:sz="4" w:space="0" w:color="auto"/>
              <w:bottom w:val="single" w:sz="4" w:space="0" w:color="auto"/>
            </w:tcBorders>
            <w:shd w:val="clear" w:color="auto" w:fill="auto"/>
            <w:vAlign w:val="bottom"/>
            <w:hideMark/>
          </w:tcPr>
          <w:p w14:paraId="4BFDA931"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Abnormal cystic duct anatomy</w:t>
            </w:r>
          </w:p>
        </w:tc>
        <w:tc>
          <w:tcPr>
            <w:tcW w:w="1134" w:type="dxa"/>
            <w:tcBorders>
              <w:top w:val="single" w:sz="4" w:space="0" w:color="auto"/>
              <w:bottom w:val="single" w:sz="4" w:space="0" w:color="auto"/>
            </w:tcBorders>
            <w:shd w:val="clear" w:color="auto" w:fill="auto"/>
            <w:vAlign w:val="bottom"/>
            <w:hideMark/>
          </w:tcPr>
          <w:p w14:paraId="5D50AC84" w14:textId="77777777" w:rsidR="004D2F50" w:rsidRPr="00086171" w:rsidRDefault="004D2F50" w:rsidP="00086171">
            <w:pPr>
              <w:spacing w:line="360" w:lineRule="auto"/>
              <w:jc w:val="center"/>
              <w:rPr>
                <w:rFonts w:ascii="Book Antiqua" w:eastAsia="Times New Roman" w:hAnsi="Book Antiqua" w:cs="Arial"/>
                <w:b/>
                <w:color w:val="000000"/>
              </w:rPr>
            </w:pPr>
            <w:r w:rsidRPr="00086171">
              <w:rPr>
                <w:rFonts w:ascii="Book Antiqua" w:eastAsia="Times New Roman" w:hAnsi="Book Antiqua" w:cs="Arial"/>
                <w:b/>
                <w:color w:val="000000"/>
              </w:rPr>
              <w:t>Aberrant vascular anatomy</w:t>
            </w:r>
          </w:p>
        </w:tc>
      </w:tr>
      <w:tr w:rsidR="00086171" w:rsidRPr="004D2F50" w14:paraId="6D5BD22A" w14:textId="77777777" w:rsidTr="00086171">
        <w:trPr>
          <w:gridAfter w:val="2"/>
          <w:wAfter w:w="4916" w:type="dxa"/>
          <w:trHeight w:val="286"/>
        </w:trPr>
        <w:tc>
          <w:tcPr>
            <w:tcW w:w="1526" w:type="dxa"/>
            <w:tcBorders>
              <w:top w:val="single" w:sz="4" w:space="0" w:color="auto"/>
              <w:bottom w:val="nil"/>
            </w:tcBorders>
            <w:shd w:val="clear" w:color="auto" w:fill="auto"/>
            <w:noWrap/>
            <w:vAlign w:val="bottom"/>
            <w:hideMark/>
          </w:tcPr>
          <w:p w14:paraId="79FEAFB6"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color w:val="000000"/>
              </w:rPr>
              <w:t>Tranter</w:t>
            </w:r>
          </w:p>
        </w:tc>
        <w:tc>
          <w:tcPr>
            <w:tcW w:w="992" w:type="dxa"/>
            <w:tcBorders>
              <w:top w:val="single" w:sz="4" w:space="0" w:color="auto"/>
              <w:bottom w:val="nil"/>
            </w:tcBorders>
            <w:shd w:val="clear" w:color="auto" w:fill="auto"/>
            <w:noWrap/>
            <w:vAlign w:val="bottom"/>
            <w:hideMark/>
          </w:tcPr>
          <w:p w14:paraId="3AA7C816"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2001</w:t>
            </w:r>
          </w:p>
        </w:tc>
        <w:tc>
          <w:tcPr>
            <w:tcW w:w="1304" w:type="dxa"/>
            <w:tcBorders>
              <w:top w:val="single" w:sz="4" w:space="0" w:color="auto"/>
              <w:bottom w:val="nil"/>
            </w:tcBorders>
            <w:shd w:val="clear" w:color="auto" w:fill="auto"/>
            <w:noWrap/>
            <w:vAlign w:val="bottom"/>
            <w:hideMark/>
          </w:tcPr>
          <w:p w14:paraId="51B3CE48"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367</w:t>
            </w:r>
          </w:p>
        </w:tc>
        <w:tc>
          <w:tcPr>
            <w:tcW w:w="1140" w:type="dxa"/>
            <w:tcBorders>
              <w:top w:val="single" w:sz="4" w:space="0" w:color="auto"/>
              <w:bottom w:val="nil"/>
            </w:tcBorders>
            <w:shd w:val="clear" w:color="auto" w:fill="auto"/>
            <w:noWrap/>
            <w:vAlign w:val="bottom"/>
            <w:hideMark/>
          </w:tcPr>
          <w:p w14:paraId="79FD7546"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92%</w:t>
            </w:r>
          </w:p>
        </w:tc>
        <w:tc>
          <w:tcPr>
            <w:tcW w:w="1134" w:type="dxa"/>
            <w:tcBorders>
              <w:top w:val="single" w:sz="4" w:space="0" w:color="auto"/>
              <w:bottom w:val="nil"/>
            </w:tcBorders>
            <w:shd w:val="clear" w:color="auto" w:fill="auto"/>
            <w:noWrap/>
            <w:vAlign w:val="bottom"/>
            <w:hideMark/>
          </w:tcPr>
          <w:p w14:paraId="0B88E576" w14:textId="77777777" w:rsidR="004D2F50" w:rsidRPr="004D2F50" w:rsidRDefault="004D2F50" w:rsidP="00086171">
            <w:pPr>
              <w:spacing w:line="360" w:lineRule="auto"/>
              <w:jc w:val="center"/>
              <w:rPr>
                <w:rFonts w:ascii="Book Antiqua" w:eastAsia="Times New Roman" w:hAnsi="Book Antiqua" w:cs="Arial"/>
                <w:color w:val="000000"/>
              </w:rPr>
            </w:pPr>
          </w:p>
        </w:tc>
        <w:tc>
          <w:tcPr>
            <w:tcW w:w="816" w:type="dxa"/>
            <w:tcBorders>
              <w:top w:val="single" w:sz="4" w:space="0" w:color="auto"/>
              <w:bottom w:val="nil"/>
            </w:tcBorders>
            <w:shd w:val="clear" w:color="auto" w:fill="auto"/>
            <w:noWrap/>
            <w:vAlign w:val="bottom"/>
            <w:hideMark/>
          </w:tcPr>
          <w:p w14:paraId="1DD78A0E" w14:textId="77777777" w:rsidR="004D2F50" w:rsidRPr="004D2F50" w:rsidRDefault="004D2F50" w:rsidP="00086171">
            <w:pPr>
              <w:spacing w:line="360" w:lineRule="auto"/>
              <w:jc w:val="center"/>
              <w:rPr>
                <w:rFonts w:ascii="Book Antiqua" w:eastAsia="Times New Roman" w:hAnsi="Book Antiqua" w:cs="Arial"/>
                <w:color w:val="000000"/>
              </w:rPr>
            </w:pPr>
          </w:p>
        </w:tc>
        <w:tc>
          <w:tcPr>
            <w:tcW w:w="851" w:type="dxa"/>
            <w:tcBorders>
              <w:top w:val="single" w:sz="4" w:space="0" w:color="auto"/>
              <w:bottom w:val="nil"/>
            </w:tcBorders>
            <w:shd w:val="clear" w:color="auto" w:fill="auto"/>
            <w:noWrap/>
            <w:vAlign w:val="bottom"/>
            <w:hideMark/>
          </w:tcPr>
          <w:p w14:paraId="70D7F8AD"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92%</w:t>
            </w:r>
          </w:p>
        </w:tc>
        <w:tc>
          <w:tcPr>
            <w:tcW w:w="1417" w:type="dxa"/>
            <w:tcBorders>
              <w:top w:val="single" w:sz="4" w:space="0" w:color="auto"/>
              <w:bottom w:val="nil"/>
            </w:tcBorders>
            <w:shd w:val="clear" w:color="auto" w:fill="auto"/>
            <w:noWrap/>
            <w:vAlign w:val="bottom"/>
            <w:hideMark/>
          </w:tcPr>
          <w:p w14:paraId="286BEA87" w14:textId="77777777" w:rsidR="004D2F50" w:rsidRPr="00086171" w:rsidRDefault="004D2F50" w:rsidP="00086171">
            <w:pPr>
              <w:spacing w:line="360" w:lineRule="auto"/>
              <w:ind w:right="866"/>
              <w:jc w:val="center"/>
              <w:rPr>
                <w:rFonts w:ascii="Book Antiqua" w:hAnsi="Book Antiqua" w:cs="Arial"/>
                <w:color w:val="000000"/>
                <w:lang w:eastAsia="zh-CN"/>
              </w:rPr>
            </w:pPr>
            <w:r w:rsidRPr="004D2F50">
              <w:rPr>
                <w:rFonts w:ascii="Book Antiqua" w:eastAsia="Times New Roman" w:hAnsi="Book Antiqua" w:cs="Arial"/>
                <w:color w:val="000000"/>
              </w:rPr>
              <w:t>99%</w:t>
            </w:r>
          </w:p>
        </w:tc>
        <w:tc>
          <w:tcPr>
            <w:tcW w:w="885" w:type="dxa"/>
            <w:tcBorders>
              <w:top w:val="single" w:sz="4" w:space="0" w:color="auto"/>
              <w:bottom w:val="nil"/>
            </w:tcBorders>
            <w:shd w:val="clear" w:color="auto" w:fill="auto"/>
            <w:noWrap/>
            <w:vAlign w:val="bottom"/>
            <w:hideMark/>
          </w:tcPr>
          <w:p w14:paraId="4F110340"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single" w:sz="4" w:space="0" w:color="auto"/>
              <w:bottom w:val="nil"/>
            </w:tcBorders>
            <w:shd w:val="clear" w:color="auto" w:fill="auto"/>
            <w:noWrap/>
            <w:vAlign w:val="bottom"/>
            <w:hideMark/>
          </w:tcPr>
          <w:p w14:paraId="5AB68FA8" w14:textId="77777777" w:rsidR="004D2F50" w:rsidRPr="004D2F50" w:rsidRDefault="004D2F50" w:rsidP="00086171">
            <w:pPr>
              <w:spacing w:line="360" w:lineRule="auto"/>
              <w:jc w:val="center"/>
              <w:rPr>
                <w:rFonts w:ascii="Book Antiqua" w:eastAsia="Times New Roman" w:hAnsi="Book Antiqua" w:cs="Arial"/>
                <w:color w:val="000000"/>
              </w:rPr>
            </w:pPr>
          </w:p>
        </w:tc>
        <w:tc>
          <w:tcPr>
            <w:tcW w:w="1242" w:type="dxa"/>
            <w:tcBorders>
              <w:top w:val="single" w:sz="4" w:space="0" w:color="auto"/>
              <w:bottom w:val="nil"/>
            </w:tcBorders>
            <w:shd w:val="clear" w:color="auto" w:fill="auto"/>
            <w:noWrap/>
            <w:vAlign w:val="bottom"/>
            <w:hideMark/>
          </w:tcPr>
          <w:p w14:paraId="28B1FEF8" w14:textId="77777777" w:rsidR="004D2F50" w:rsidRPr="004D2F50" w:rsidRDefault="004D2F50" w:rsidP="00086171">
            <w:pPr>
              <w:spacing w:line="360" w:lineRule="auto"/>
              <w:jc w:val="center"/>
              <w:rPr>
                <w:rFonts w:ascii="Book Antiqua" w:eastAsia="Times New Roman" w:hAnsi="Book Antiqua" w:cs="Arial"/>
                <w:color w:val="000000"/>
              </w:rPr>
            </w:pPr>
          </w:p>
        </w:tc>
        <w:tc>
          <w:tcPr>
            <w:tcW w:w="1451" w:type="dxa"/>
            <w:tcBorders>
              <w:top w:val="single" w:sz="4" w:space="0" w:color="auto"/>
              <w:bottom w:val="nil"/>
            </w:tcBorders>
            <w:shd w:val="clear" w:color="auto" w:fill="auto"/>
            <w:noWrap/>
            <w:vAlign w:val="bottom"/>
            <w:hideMark/>
          </w:tcPr>
          <w:p w14:paraId="4F8F28E4"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single" w:sz="4" w:space="0" w:color="auto"/>
              <w:bottom w:val="nil"/>
            </w:tcBorders>
            <w:shd w:val="clear" w:color="auto" w:fill="auto"/>
            <w:noWrap/>
            <w:vAlign w:val="bottom"/>
            <w:hideMark/>
          </w:tcPr>
          <w:p w14:paraId="42208087" w14:textId="77777777" w:rsidR="004D2F50" w:rsidRPr="004D2F50" w:rsidRDefault="004D2F50" w:rsidP="00086171">
            <w:pPr>
              <w:spacing w:line="360" w:lineRule="auto"/>
              <w:jc w:val="center"/>
              <w:rPr>
                <w:rFonts w:ascii="Book Antiqua" w:eastAsia="Times New Roman" w:hAnsi="Book Antiqua" w:cs="Arial"/>
                <w:color w:val="000000"/>
              </w:rPr>
            </w:pPr>
          </w:p>
        </w:tc>
        <w:tc>
          <w:tcPr>
            <w:tcW w:w="1276" w:type="dxa"/>
            <w:tcBorders>
              <w:top w:val="single" w:sz="4" w:space="0" w:color="auto"/>
              <w:bottom w:val="nil"/>
            </w:tcBorders>
            <w:shd w:val="clear" w:color="auto" w:fill="auto"/>
            <w:noWrap/>
            <w:vAlign w:val="bottom"/>
            <w:hideMark/>
          </w:tcPr>
          <w:p w14:paraId="73EFA2BE"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single" w:sz="4" w:space="0" w:color="auto"/>
              <w:bottom w:val="nil"/>
            </w:tcBorders>
            <w:shd w:val="clear" w:color="auto" w:fill="auto"/>
            <w:noWrap/>
            <w:vAlign w:val="bottom"/>
            <w:hideMark/>
          </w:tcPr>
          <w:p w14:paraId="4B433BD9" w14:textId="3597829D" w:rsidR="004D2F50" w:rsidRPr="004D2F50" w:rsidRDefault="004D2F50" w:rsidP="00086171">
            <w:pPr>
              <w:spacing w:line="360" w:lineRule="auto"/>
              <w:jc w:val="center"/>
              <w:rPr>
                <w:rFonts w:ascii="Book Antiqua" w:hAnsi="Book Antiqua"/>
              </w:rPr>
            </w:pPr>
          </w:p>
        </w:tc>
      </w:tr>
      <w:tr w:rsidR="00086171" w:rsidRPr="004D2F50" w14:paraId="3F1178A4" w14:textId="77777777" w:rsidTr="00086171">
        <w:trPr>
          <w:gridAfter w:val="2"/>
          <w:wAfter w:w="4916" w:type="dxa"/>
          <w:trHeight w:val="263"/>
        </w:trPr>
        <w:tc>
          <w:tcPr>
            <w:tcW w:w="1526" w:type="dxa"/>
            <w:tcBorders>
              <w:top w:val="nil"/>
              <w:bottom w:val="nil"/>
            </w:tcBorders>
            <w:shd w:val="clear" w:color="auto" w:fill="auto"/>
            <w:noWrap/>
            <w:vAlign w:val="bottom"/>
            <w:hideMark/>
          </w:tcPr>
          <w:p w14:paraId="769A8965"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color w:val="000000"/>
              </w:rPr>
              <w:t>Halpin</w:t>
            </w:r>
          </w:p>
        </w:tc>
        <w:tc>
          <w:tcPr>
            <w:tcW w:w="992" w:type="dxa"/>
            <w:tcBorders>
              <w:top w:val="nil"/>
              <w:bottom w:val="nil"/>
            </w:tcBorders>
            <w:shd w:val="clear" w:color="auto" w:fill="auto"/>
            <w:noWrap/>
            <w:vAlign w:val="bottom"/>
            <w:hideMark/>
          </w:tcPr>
          <w:p w14:paraId="2195D65D"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2002</w:t>
            </w:r>
          </w:p>
        </w:tc>
        <w:tc>
          <w:tcPr>
            <w:tcW w:w="1304" w:type="dxa"/>
            <w:tcBorders>
              <w:top w:val="nil"/>
              <w:bottom w:val="nil"/>
            </w:tcBorders>
            <w:shd w:val="clear" w:color="auto" w:fill="auto"/>
            <w:noWrap/>
            <w:vAlign w:val="bottom"/>
            <w:hideMark/>
          </w:tcPr>
          <w:p w14:paraId="0C4D6C34"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380</w:t>
            </w:r>
          </w:p>
        </w:tc>
        <w:tc>
          <w:tcPr>
            <w:tcW w:w="1140" w:type="dxa"/>
            <w:tcBorders>
              <w:top w:val="nil"/>
              <w:bottom w:val="nil"/>
            </w:tcBorders>
            <w:shd w:val="clear" w:color="auto" w:fill="auto"/>
            <w:noWrap/>
            <w:vAlign w:val="bottom"/>
            <w:hideMark/>
          </w:tcPr>
          <w:p w14:paraId="113CC622"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90%</w:t>
            </w:r>
          </w:p>
        </w:tc>
        <w:tc>
          <w:tcPr>
            <w:tcW w:w="1134" w:type="dxa"/>
            <w:tcBorders>
              <w:top w:val="nil"/>
              <w:bottom w:val="nil"/>
            </w:tcBorders>
            <w:shd w:val="clear" w:color="auto" w:fill="auto"/>
            <w:noWrap/>
            <w:vAlign w:val="bottom"/>
            <w:hideMark/>
          </w:tcPr>
          <w:p w14:paraId="6389C584" w14:textId="77777777" w:rsidR="004D2F50" w:rsidRPr="004D2F50" w:rsidRDefault="004D2F50" w:rsidP="00086171">
            <w:pPr>
              <w:spacing w:line="360" w:lineRule="auto"/>
              <w:jc w:val="center"/>
              <w:rPr>
                <w:rFonts w:ascii="Book Antiqua" w:eastAsia="Times New Roman" w:hAnsi="Book Antiqua" w:cs="Arial"/>
                <w:color w:val="000000"/>
              </w:rPr>
            </w:pPr>
          </w:p>
        </w:tc>
        <w:tc>
          <w:tcPr>
            <w:tcW w:w="816" w:type="dxa"/>
            <w:tcBorders>
              <w:top w:val="nil"/>
              <w:bottom w:val="nil"/>
            </w:tcBorders>
            <w:shd w:val="clear" w:color="auto" w:fill="auto"/>
            <w:noWrap/>
            <w:vAlign w:val="bottom"/>
            <w:hideMark/>
          </w:tcPr>
          <w:p w14:paraId="376B3783"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hideMark/>
          </w:tcPr>
          <w:p w14:paraId="273D7F46"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hideMark/>
          </w:tcPr>
          <w:p w14:paraId="7D485C5E" w14:textId="77777777" w:rsidR="004D2F50" w:rsidRPr="004D2F50" w:rsidRDefault="004D2F50" w:rsidP="00086171">
            <w:pPr>
              <w:spacing w:line="360" w:lineRule="auto"/>
              <w:ind w:right="756"/>
              <w:jc w:val="center"/>
              <w:rPr>
                <w:rFonts w:ascii="Book Antiqua" w:eastAsia="Times New Roman" w:hAnsi="Book Antiqua" w:cs="Arial"/>
                <w:color w:val="000000"/>
              </w:rPr>
            </w:pPr>
            <w:r w:rsidRPr="004D2F50">
              <w:rPr>
                <w:rFonts w:ascii="Book Antiqua" w:eastAsia="Times New Roman" w:hAnsi="Book Antiqua" w:cs="Arial"/>
                <w:color w:val="000000"/>
              </w:rPr>
              <w:t>95%</w:t>
            </w:r>
          </w:p>
        </w:tc>
        <w:tc>
          <w:tcPr>
            <w:tcW w:w="885" w:type="dxa"/>
            <w:tcBorders>
              <w:top w:val="nil"/>
              <w:bottom w:val="nil"/>
            </w:tcBorders>
            <w:shd w:val="clear" w:color="auto" w:fill="auto"/>
            <w:noWrap/>
            <w:vAlign w:val="bottom"/>
            <w:hideMark/>
          </w:tcPr>
          <w:p w14:paraId="5C0C8E56"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nil"/>
              <w:bottom w:val="nil"/>
            </w:tcBorders>
            <w:shd w:val="clear" w:color="auto" w:fill="auto"/>
            <w:noWrap/>
            <w:vAlign w:val="bottom"/>
            <w:hideMark/>
          </w:tcPr>
          <w:p w14:paraId="68BD73BF" w14:textId="107A9FAC"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94%</w:t>
            </w:r>
          </w:p>
        </w:tc>
        <w:tc>
          <w:tcPr>
            <w:tcW w:w="1242" w:type="dxa"/>
            <w:tcBorders>
              <w:top w:val="nil"/>
              <w:bottom w:val="nil"/>
            </w:tcBorders>
            <w:shd w:val="clear" w:color="auto" w:fill="auto"/>
            <w:noWrap/>
            <w:vAlign w:val="bottom"/>
          </w:tcPr>
          <w:p w14:paraId="470E65EA" w14:textId="77777777" w:rsidR="004D2F50" w:rsidRPr="004D2F50" w:rsidRDefault="004D2F50" w:rsidP="00086171">
            <w:pPr>
              <w:spacing w:line="360" w:lineRule="auto"/>
              <w:jc w:val="center"/>
              <w:rPr>
                <w:rFonts w:ascii="Book Antiqua" w:eastAsia="Times New Roman" w:hAnsi="Book Antiqua" w:cs="Arial"/>
                <w:color w:val="000000"/>
              </w:rPr>
            </w:pPr>
          </w:p>
        </w:tc>
        <w:tc>
          <w:tcPr>
            <w:tcW w:w="1451" w:type="dxa"/>
            <w:tcBorders>
              <w:top w:val="nil"/>
              <w:bottom w:val="nil"/>
            </w:tcBorders>
            <w:shd w:val="clear" w:color="auto" w:fill="auto"/>
            <w:noWrap/>
            <w:vAlign w:val="bottom"/>
          </w:tcPr>
          <w:p w14:paraId="0E68A1B2"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nil"/>
              <w:bottom w:val="nil"/>
            </w:tcBorders>
            <w:shd w:val="clear" w:color="auto" w:fill="auto"/>
            <w:noWrap/>
            <w:vAlign w:val="bottom"/>
            <w:hideMark/>
          </w:tcPr>
          <w:p w14:paraId="5F0FDB6A"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hideMark/>
          </w:tcPr>
          <w:p w14:paraId="7E6162B9"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79153EA7" w14:textId="4B4C4CC5" w:rsidR="004D2F50" w:rsidRPr="004D2F50" w:rsidRDefault="004D2F50" w:rsidP="00086171">
            <w:pPr>
              <w:spacing w:line="360" w:lineRule="auto"/>
              <w:jc w:val="center"/>
              <w:rPr>
                <w:rFonts w:ascii="Book Antiqua" w:eastAsia="Times New Roman" w:hAnsi="Book Antiqua" w:cs="Arial"/>
              </w:rPr>
            </w:pPr>
          </w:p>
        </w:tc>
      </w:tr>
      <w:tr w:rsidR="00086171" w:rsidRPr="004D2F50" w14:paraId="11E93604" w14:textId="77777777" w:rsidTr="00086171">
        <w:trPr>
          <w:gridAfter w:val="2"/>
          <w:wAfter w:w="4916" w:type="dxa"/>
          <w:trHeight w:val="286"/>
        </w:trPr>
        <w:tc>
          <w:tcPr>
            <w:tcW w:w="1526" w:type="dxa"/>
            <w:tcBorders>
              <w:top w:val="nil"/>
              <w:bottom w:val="nil"/>
            </w:tcBorders>
            <w:shd w:val="clear" w:color="auto" w:fill="auto"/>
            <w:noWrap/>
            <w:vAlign w:val="bottom"/>
            <w:hideMark/>
          </w:tcPr>
          <w:p w14:paraId="1C4DFBAE"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iCs/>
                <w:color w:val="000000"/>
              </w:rPr>
              <w:t>Tranter</w:t>
            </w:r>
          </w:p>
        </w:tc>
        <w:tc>
          <w:tcPr>
            <w:tcW w:w="992" w:type="dxa"/>
            <w:tcBorders>
              <w:top w:val="nil"/>
              <w:bottom w:val="nil"/>
            </w:tcBorders>
            <w:shd w:val="clear" w:color="auto" w:fill="auto"/>
            <w:noWrap/>
            <w:vAlign w:val="bottom"/>
            <w:hideMark/>
          </w:tcPr>
          <w:p w14:paraId="76BCFC5A"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iCs/>
                <w:color w:val="000000"/>
              </w:rPr>
              <w:t>2003</w:t>
            </w:r>
          </w:p>
        </w:tc>
        <w:tc>
          <w:tcPr>
            <w:tcW w:w="1304" w:type="dxa"/>
            <w:tcBorders>
              <w:top w:val="nil"/>
              <w:bottom w:val="nil"/>
            </w:tcBorders>
            <w:shd w:val="clear" w:color="auto" w:fill="auto"/>
            <w:noWrap/>
            <w:vAlign w:val="bottom"/>
            <w:hideMark/>
          </w:tcPr>
          <w:p w14:paraId="4B2A0719"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iCs/>
                <w:color w:val="000000"/>
              </w:rPr>
              <w:t>135</w:t>
            </w:r>
          </w:p>
        </w:tc>
        <w:tc>
          <w:tcPr>
            <w:tcW w:w="1140" w:type="dxa"/>
            <w:tcBorders>
              <w:top w:val="nil"/>
              <w:bottom w:val="nil"/>
            </w:tcBorders>
            <w:shd w:val="clear" w:color="auto" w:fill="auto"/>
            <w:noWrap/>
            <w:vAlign w:val="bottom"/>
            <w:hideMark/>
          </w:tcPr>
          <w:p w14:paraId="265F3468"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iCs/>
                <w:color w:val="000000"/>
              </w:rPr>
              <w:t>97.7%</w:t>
            </w:r>
          </w:p>
        </w:tc>
        <w:tc>
          <w:tcPr>
            <w:tcW w:w="1134" w:type="dxa"/>
            <w:tcBorders>
              <w:top w:val="nil"/>
              <w:bottom w:val="nil"/>
            </w:tcBorders>
            <w:shd w:val="clear" w:color="auto" w:fill="auto"/>
            <w:noWrap/>
            <w:vAlign w:val="bottom"/>
            <w:hideMark/>
          </w:tcPr>
          <w:p w14:paraId="2D6A49F5" w14:textId="77777777" w:rsidR="004D2F50" w:rsidRPr="004D2F50" w:rsidRDefault="004D2F50" w:rsidP="00086171">
            <w:pPr>
              <w:spacing w:line="360" w:lineRule="auto"/>
              <w:jc w:val="center"/>
              <w:rPr>
                <w:rFonts w:ascii="Book Antiqua" w:eastAsia="Times New Roman" w:hAnsi="Book Antiqua" w:cs="Arial"/>
                <w:color w:val="000000"/>
              </w:rPr>
            </w:pPr>
          </w:p>
        </w:tc>
        <w:tc>
          <w:tcPr>
            <w:tcW w:w="816" w:type="dxa"/>
            <w:tcBorders>
              <w:top w:val="nil"/>
              <w:bottom w:val="nil"/>
            </w:tcBorders>
            <w:shd w:val="clear" w:color="auto" w:fill="auto"/>
            <w:noWrap/>
            <w:vAlign w:val="bottom"/>
            <w:hideMark/>
          </w:tcPr>
          <w:p w14:paraId="61A3FD1D"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hideMark/>
          </w:tcPr>
          <w:p w14:paraId="6B323BD1"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tcPr>
          <w:p w14:paraId="012DAB8E" w14:textId="77777777" w:rsidR="004D2F50" w:rsidRPr="004D2F50" w:rsidRDefault="004D2F50" w:rsidP="00086171">
            <w:pPr>
              <w:spacing w:line="360" w:lineRule="auto"/>
              <w:ind w:right="396"/>
              <w:jc w:val="center"/>
              <w:rPr>
                <w:rFonts w:ascii="Book Antiqua" w:eastAsia="Times New Roman" w:hAnsi="Book Antiqua" w:cs="Arial"/>
                <w:color w:val="000000"/>
              </w:rPr>
            </w:pPr>
          </w:p>
        </w:tc>
        <w:tc>
          <w:tcPr>
            <w:tcW w:w="885" w:type="dxa"/>
            <w:tcBorders>
              <w:top w:val="nil"/>
              <w:bottom w:val="nil"/>
            </w:tcBorders>
            <w:shd w:val="clear" w:color="auto" w:fill="auto"/>
            <w:noWrap/>
            <w:vAlign w:val="bottom"/>
          </w:tcPr>
          <w:p w14:paraId="501B05FB"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37C14C25" w14:textId="77777777" w:rsidR="004D2F50" w:rsidRPr="004D2F50" w:rsidRDefault="004D2F50" w:rsidP="00086171">
            <w:pPr>
              <w:spacing w:line="360" w:lineRule="auto"/>
              <w:jc w:val="center"/>
              <w:rPr>
                <w:rFonts w:ascii="Book Antiqua" w:eastAsia="Times New Roman" w:hAnsi="Book Antiqua" w:cs="Arial"/>
                <w:color w:val="000000"/>
              </w:rPr>
            </w:pPr>
          </w:p>
        </w:tc>
        <w:tc>
          <w:tcPr>
            <w:tcW w:w="1242" w:type="dxa"/>
            <w:tcBorders>
              <w:top w:val="nil"/>
              <w:bottom w:val="nil"/>
            </w:tcBorders>
            <w:shd w:val="clear" w:color="auto" w:fill="auto"/>
            <w:noWrap/>
            <w:vAlign w:val="bottom"/>
          </w:tcPr>
          <w:p w14:paraId="0D930435" w14:textId="77777777" w:rsidR="004D2F50" w:rsidRPr="004D2F50" w:rsidRDefault="004D2F50" w:rsidP="00086171">
            <w:pPr>
              <w:spacing w:line="360" w:lineRule="auto"/>
              <w:jc w:val="center"/>
              <w:rPr>
                <w:rFonts w:ascii="Book Antiqua" w:eastAsia="Times New Roman" w:hAnsi="Book Antiqua" w:cs="Arial"/>
                <w:color w:val="000000"/>
              </w:rPr>
            </w:pPr>
          </w:p>
        </w:tc>
        <w:tc>
          <w:tcPr>
            <w:tcW w:w="1451" w:type="dxa"/>
            <w:tcBorders>
              <w:top w:val="nil"/>
              <w:bottom w:val="nil"/>
            </w:tcBorders>
            <w:shd w:val="clear" w:color="auto" w:fill="auto"/>
            <w:noWrap/>
            <w:vAlign w:val="bottom"/>
          </w:tcPr>
          <w:p w14:paraId="5C1513C8"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nil"/>
              <w:bottom w:val="nil"/>
            </w:tcBorders>
            <w:shd w:val="clear" w:color="auto" w:fill="auto"/>
            <w:noWrap/>
            <w:vAlign w:val="bottom"/>
            <w:hideMark/>
          </w:tcPr>
          <w:p w14:paraId="2FA4D824" w14:textId="77777777" w:rsidR="004D2F50" w:rsidRPr="004D2F50" w:rsidRDefault="004D2F50" w:rsidP="00086171">
            <w:pPr>
              <w:spacing w:line="360" w:lineRule="auto"/>
              <w:jc w:val="center"/>
              <w:rPr>
                <w:rFonts w:ascii="Book Antiqua" w:eastAsia="Times New Roman" w:hAnsi="Book Antiqua" w:cs="Arial"/>
                <w:color w:val="000000"/>
              </w:rPr>
            </w:pPr>
          </w:p>
        </w:tc>
        <w:tc>
          <w:tcPr>
            <w:tcW w:w="1276" w:type="dxa"/>
            <w:tcBorders>
              <w:top w:val="nil"/>
              <w:bottom w:val="nil"/>
            </w:tcBorders>
            <w:shd w:val="clear" w:color="auto" w:fill="auto"/>
            <w:noWrap/>
            <w:vAlign w:val="bottom"/>
            <w:hideMark/>
          </w:tcPr>
          <w:p w14:paraId="6204B9EA"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6A5D21DE" w14:textId="4929FFC0" w:rsidR="004D2F50" w:rsidRPr="004D2F50" w:rsidRDefault="004D2F50" w:rsidP="00086171">
            <w:pPr>
              <w:spacing w:line="360" w:lineRule="auto"/>
              <w:jc w:val="center"/>
              <w:rPr>
                <w:rFonts w:ascii="Book Antiqua" w:eastAsia="Times New Roman" w:hAnsi="Book Antiqua" w:cs="Arial"/>
              </w:rPr>
            </w:pPr>
          </w:p>
        </w:tc>
      </w:tr>
      <w:tr w:rsidR="00086171" w:rsidRPr="004D2F50" w14:paraId="0A1DA9E6" w14:textId="77777777" w:rsidTr="00086171">
        <w:trPr>
          <w:gridAfter w:val="2"/>
          <w:wAfter w:w="4916" w:type="dxa"/>
          <w:trHeight w:val="286"/>
        </w:trPr>
        <w:tc>
          <w:tcPr>
            <w:tcW w:w="1526" w:type="dxa"/>
            <w:tcBorders>
              <w:top w:val="nil"/>
              <w:bottom w:val="nil"/>
            </w:tcBorders>
            <w:shd w:val="clear" w:color="auto" w:fill="auto"/>
            <w:noWrap/>
            <w:vAlign w:val="bottom"/>
            <w:hideMark/>
          </w:tcPr>
          <w:p w14:paraId="3AC9EE4D"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color w:val="000000"/>
              </w:rPr>
              <w:t>Machi</w:t>
            </w:r>
          </w:p>
        </w:tc>
        <w:tc>
          <w:tcPr>
            <w:tcW w:w="992" w:type="dxa"/>
            <w:tcBorders>
              <w:top w:val="nil"/>
              <w:bottom w:val="nil"/>
            </w:tcBorders>
            <w:shd w:val="clear" w:color="auto" w:fill="auto"/>
            <w:noWrap/>
            <w:vAlign w:val="bottom"/>
            <w:hideMark/>
          </w:tcPr>
          <w:p w14:paraId="6FC7D84F"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2007</w:t>
            </w:r>
          </w:p>
        </w:tc>
        <w:tc>
          <w:tcPr>
            <w:tcW w:w="1304" w:type="dxa"/>
            <w:tcBorders>
              <w:top w:val="nil"/>
              <w:bottom w:val="nil"/>
            </w:tcBorders>
            <w:shd w:val="clear" w:color="auto" w:fill="auto"/>
            <w:noWrap/>
            <w:vAlign w:val="bottom"/>
            <w:hideMark/>
          </w:tcPr>
          <w:p w14:paraId="60C254D2"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200</w:t>
            </w:r>
          </w:p>
        </w:tc>
        <w:tc>
          <w:tcPr>
            <w:tcW w:w="1140" w:type="dxa"/>
            <w:tcBorders>
              <w:top w:val="nil"/>
              <w:bottom w:val="nil"/>
            </w:tcBorders>
            <w:shd w:val="clear" w:color="auto" w:fill="auto"/>
            <w:noWrap/>
            <w:vAlign w:val="bottom"/>
            <w:hideMark/>
          </w:tcPr>
          <w:p w14:paraId="1A3CDB60"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96.5%</w:t>
            </w:r>
          </w:p>
        </w:tc>
        <w:tc>
          <w:tcPr>
            <w:tcW w:w="1134" w:type="dxa"/>
            <w:tcBorders>
              <w:top w:val="nil"/>
              <w:bottom w:val="nil"/>
            </w:tcBorders>
            <w:shd w:val="clear" w:color="auto" w:fill="auto"/>
            <w:noWrap/>
            <w:vAlign w:val="bottom"/>
            <w:hideMark/>
          </w:tcPr>
          <w:p w14:paraId="2BB8B89C" w14:textId="77777777" w:rsidR="004D2F50" w:rsidRPr="004D2F50" w:rsidRDefault="004D2F50" w:rsidP="00086171">
            <w:pPr>
              <w:spacing w:line="360" w:lineRule="auto"/>
              <w:jc w:val="center"/>
              <w:rPr>
                <w:rFonts w:ascii="Book Antiqua" w:eastAsia="Times New Roman" w:hAnsi="Book Antiqua" w:cs="Arial"/>
                <w:color w:val="000000"/>
              </w:rPr>
            </w:pPr>
          </w:p>
        </w:tc>
        <w:tc>
          <w:tcPr>
            <w:tcW w:w="816" w:type="dxa"/>
            <w:tcBorders>
              <w:top w:val="nil"/>
              <w:bottom w:val="nil"/>
            </w:tcBorders>
            <w:shd w:val="clear" w:color="auto" w:fill="auto"/>
            <w:noWrap/>
            <w:vAlign w:val="bottom"/>
            <w:hideMark/>
          </w:tcPr>
          <w:p w14:paraId="688EFE21"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hideMark/>
          </w:tcPr>
          <w:p w14:paraId="50B82070"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hideMark/>
          </w:tcPr>
          <w:p w14:paraId="42C14A78" w14:textId="77777777" w:rsidR="004D2F50" w:rsidRPr="004D2F50" w:rsidRDefault="004D2F50" w:rsidP="00086171">
            <w:pPr>
              <w:spacing w:line="360" w:lineRule="auto"/>
              <w:ind w:right="396"/>
              <w:jc w:val="center"/>
              <w:rPr>
                <w:rFonts w:ascii="Book Antiqua" w:eastAsia="Times New Roman" w:hAnsi="Book Antiqua" w:cs="Arial"/>
                <w:color w:val="000000"/>
              </w:rPr>
            </w:pPr>
          </w:p>
        </w:tc>
        <w:tc>
          <w:tcPr>
            <w:tcW w:w="885" w:type="dxa"/>
            <w:tcBorders>
              <w:top w:val="nil"/>
              <w:bottom w:val="nil"/>
            </w:tcBorders>
            <w:shd w:val="clear" w:color="auto" w:fill="auto"/>
            <w:noWrap/>
            <w:vAlign w:val="bottom"/>
            <w:hideMark/>
          </w:tcPr>
          <w:p w14:paraId="0C52B902"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5C904C47" w14:textId="77777777" w:rsidR="004D2F50" w:rsidRPr="004D2F50" w:rsidRDefault="004D2F50" w:rsidP="00086171">
            <w:pPr>
              <w:spacing w:line="360" w:lineRule="auto"/>
              <w:jc w:val="center"/>
              <w:rPr>
                <w:rFonts w:ascii="Book Antiqua" w:eastAsia="Times New Roman" w:hAnsi="Book Antiqua" w:cs="Arial"/>
              </w:rPr>
            </w:pPr>
          </w:p>
        </w:tc>
        <w:tc>
          <w:tcPr>
            <w:tcW w:w="1242" w:type="dxa"/>
            <w:tcBorders>
              <w:top w:val="nil"/>
              <w:bottom w:val="nil"/>
            </w:tcBorders>
            <w:shd w:val="clear" w:color="auto" w:fill="auto"/>
            <w:noWrap/>
            <w:vAlign w:val="bottom"/>
            <w:hideMark/>
          </w:tcPr>
          <w:p w14:paraId="26CB35BB"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hideMark/>
          </w:tcPr>
          <w:p w14:paraId="5CD91D06"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103B6412"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hideMark/>
          </w:tcPr>
          <w:p w14:paraId="517AC7CD"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6E4FE554" w14:textId="6B454EF3" w:rsidR="004D2F50" w:rsidRPr="004D2F50" w:rsidRDefault="004D2F50" w:rsidP="00086171">
            <w:pPr>
              <w:spacing w:line="360" w:lineRule="auto"/>
              <w:jc w:val="center"/>
              <w:rPr>
                <w:rFonts w:ascii="Book Antiqua" w:eastAsia="Times New Roman" w:hAnsi="Book Antiqua" w:cs="Arial"/>
              </w:rPr>
            </w:pPr>
          </w:p>
        </w:tc>
      </w:tr>
      <w:tr w:rsidR="00086171" w:rsidRPr="004D2F50" w14:paraId="22A19FD9" w14:textId="77777777" w:rsidTr="00086171">
        <w:trPr>
          <w:gridAfter w:val="2"/>
          <w:wAfter w:w="4916" w:type="dxa"/>
          <w:trHeight w:val="64"/>
        </w:trPr>
        <w:tc>
          <w:tcPr>
            <w:tcW w:w="1526" w:type="dxa"/>
            <w:tcBorders>
              <w:top w:val="nil"/>
              <w:bottom w:val="nil"/>
            </w:tcBorders>
            <w:shd w:val="clear" w:color="auto" w:fill="auto"/>
            <w:noWrap/>
            <w:vAlign w:val="bottom"/>
            <w:hideMark/>
          </w:tcPr>
          <w:p w14:paraId="2F0BA310" w14:textId="77777777" w:rsidR="004D2F50" w:rsidRPr="004D2F50" w:rsidRDefault="004D2F50" w:rsidP="004D2F50">
            <w:pPr>
              <w:spacing w:line="360" w:lineRule="auto"/>
              <w:rPr>
                <w:rFonts w:ascii="Book Antiqua" w:eastAsia="Times New Roman" w:hAnsi="Book Antiqua" w:cs="Arial"/>
                <w:iCs/>
                <w:color w:val="000000"/>
              </w:rPr>
            </w:pPr>
            <w:r w:rsidRPr="004D2F50">
              <w:rPr>
                <w:rFonts w:ascii="Book Antiqua" w:eastAsia="Times New Roman" w:hAnsi="Book Antiqua" w:cs="Arial"/>
                <w:color w:val="000000"/>
              </w:rPr>
              <w:t>Perry</w:t>
            </w:r>
          </w:p>
        </w:tc>
        <w:tc>
          <w:tcPr>
            <w:tcW w:w="992" w:type="dxa"/>
            <w:tcBorders>
              <w:top w:val="nil"/>
              <w:bottom w:val="nil"/>
            </w:tcBorders>
            <w:shd w:val="clear" w:color="auto" w:fill="auto"/>
            <w:noWrap/>
            <w:vAlign w:val="bottom"/>
            <w:hideMark/>
          </w:tcPr>
          <w:p w14:paraId="6C7B73BA" w14:textId="77777777" w:rsidR="004D2F50" w:rsidRPr="004D2F50" w:rsidRDefault="004D2F50" w:rsidP="00086171">
            <w:pPr>
              <w:spacing w:line="360" w:lineRule="auto"/>
              <w:jc w:val="center"/>
              <w:rPr>
                <w:rFonts w:ascii="Book Antiqua" w:eastAsia="Times New Roman" w:hAnsi="Book Antiqua" w:cs="Arial"/>
                <w:iCs/>
                <w:color w:val="000000"/>
              </w:rPr>
            </w:pPr>
            <w:r w:rsidRPr="004D2F50">
              <w:rPr>
                <w:rFonts w:ascii="Book Antiqua" w:eastAsia="Times New Roman" w:hAnsi="Book Antiqua" w:cs="Arial"/>
                <w:color w:val="000000"/>
              </w:rPr>
              <w:t>2007</w:t>
            </w:r>
          </w:p>
        </w:tc>
        <w:tc>
          <w:tcPr>
            <w:tcW w:w="1304" w:type="dxa"/>
            <w:tcBorders>
              <w:top w:val="nil"/>
              <w:bottom w:val="nil"/>
            </w:tcBorders>
            <w:shd w:val="clear" w:color="auto" w:fill="auto"/>
            <w:noWrap/>
            <w:vAlign w:val="bottom"/>
            <w:hideMark/>
          </w:tcPr>
          <w:p w14:paraId="57139B62" w14:textId="77777777" w:rsidR="004D2F50" w:rsidRPr="004D2F50" w:rsidRDefault="004D2F50" w:rsidP="00086171">
            <w:pPr>
              <w:spacing w:line="360" w:lineRule="auto"/>
              <w:jc w:val="center"/>
              <w:rPr>
                <w:rFonts w:ascii="Book Antiqua" w:eastAsia="Times New Roman" w:hAnsi="Book Antiqua" w:cs="Arial"/>
                <w:iCs/>
                <w:color w:val="000000"/>
              </w:rPr>
            </w:pPr>
            <w:r w:rsidRPr="004D2F50">
              <w:rPr>
                <w:rFonts w:ascii="Book Antiqua" w:eastAsia="Times New Roman" w:hAnsi="Book Antiqua" w:cs="Arial"/>
                <w:color w:val="000000"/>
              </w:rPr>
              <w:t>236</w:t>
            </w:r>
          </w:p>
        </w:tc>
        <w:tc>
          <w:tcPr>
            <w:tcW w:w="1140" w:type="dxa"/>
            <w:tcBorders>
              <w:top w:val="nil"/>
              <w:bottom w:val="nil"/>
            </w:tcBorders>
            <w:shd w:val="clear" w:color="auto" w:fill="auto"/>
            <w:noWrap/>
            <w:vAlign w:val="bottom"/>
            <w:hideMark/>
          </w:tcPr>
          <w:p w14:paraId="263CDF56" w14:textId="77777777" w:rsidR="004D2F50" w:rsidRPr="004D2F50" w:rsidRDefault="004D2F50" w:rsidP="00086171">
            <w:pPr>
              <w:spacing w:line="360" w:lineRule="auto"/>
              <w:jc w:val="center"/>
              <w:rPr>
                <w:rFonts w:ascii="Book Antiqua" w:eastAsia="Times New Roman" w:hAnsi="Book Antiqua" w:cs="Arial"/>
                <w:iCs/>
                <w:color w:val="000000"/>
              </w:rPr>
            </w:pPr>
            <w:r w:rsidRPr="004D2F50">
              <w:rPr>
                <w:rFonts w:ascii="Book Antiqua" w:eastAsia="Times New Roman" w:hAnsi="Book Antiqua" w:cs="Arial"/>
                <w:color w:val="000000"/>
              </w:rPr>
              <w:t>95.3%</w:t>
            </w:r>
          </w:p>
        </w:tc>
        <w:tc>
          <w:tcPr>
            <w:tcW w:w="1134" w:type="dxa"/>
            <w:tcBorders>
              <w:top w:val="nil"/>
              <w:bottom w:val="nil"/>
            </w:tcBorders>
            <w:shd w:val="clear" w:color="auto" w:fill="auto"/>
            <w:noWrap/>
            <w:vAlign w:val="bottom"/>
            <w:hideMark/>
          </w:tcPr>
          <w:p w14:paraId="0850ACD4" w14:textId="77777777" w:rsidR="004D2F50" w:rsidRPr="004D2F50" w:rsidRDefault="004D2F50" w:rsidP="00086171">
            <w:pPr>
              <w:spacing w:line="360" w:lineRule="auto"/>
              <w:jc w:val="center"/>
              <w:rPr>
                <w:rFonts w:ascii="Book Antiqua" w:eastAsia="Times New Roman" w:hAnsi="Book Antiqua" w:cs="Arial"/>
                <w:i/>
                <w:iCs/>
                <w:color w:val="000000"/>
              </w:rPr>
            </w:pPr>
          </w:p>
        </w:tc>
        <w:tc>
          <w:tcPr>
            <w:tcW w:w="816" w:type="dxa"/>
            <w:tcBorders>
              <w:top w:val="nil"/>
              <w:bottom w:val="nil"/>
            </w:tcBorders>
            <w:shd w:val="clear" w:color="auto" w:fill="auto"/>
            <w:noWrap/>
            <w:vAlign w:val="bottom"/>
            <w:hideMark/>
          </w:tcPr>
          <w:p w14:paraId="1A02F88A"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hideMark/>
          </w:tcPr>
          <w:p w14:paraId="7F059075"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hideMark/>
          </w:tcPr>
          <w:p w14:paraId="1383DFE7" w14:textId="77777777" w:rsidR="004D2F50" w:rsidRPr="004D2F50" w:rsidRDefault="004D2F50" w:rsidP="00086171">
            <w:pPr>
              <w:spacing w:line="360" w:lineRule="auto"/>
              <w:ind w:right="396"/>
              <w:rPr>
                <w:rFonts w:ascii="Book Antiqua" w:eastAsia="Times New Roman" w:hAnsi="Book Antiqua" w:cs="Arial"/>
              </w:rPr>
            </w:pPr>
            <w:r w:rsidRPr="004D2F50">
              <w:rPr>
                <w:rFonts w:ascii="Book Antiqua" w:eastAsia="Times New Roman" w:hAnsi="Book Antiqua" w:cs="Arial"/>
              </w:rPr>
              <w:t>98.5%</w:t>
            </w:r>
          </w:p>
        </w:tc>
        <w:tc>
          <w:tcPr>
            <w:tcW w:w="885" w:type="dxa"/>
            <w:tcBorders>
              <w:top w:val="nil"/>
              <w:bottom w:val="nil"/>
            </w:tcBorders>
            <w:shd w:val="clear" w:color="auto" w:fill="auto"/>
            <w:noWrap/>
            <w:vAlign w:val="bottom"/>
            <w:hideMark/>
          </w:tcPr>
          <w:p w14:paraId="45315D16"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11CCE95D" w14:textId="77777777" w:rsidR="004D2F50" w:rsidRPr="004D2F50" w:rsidRDefault="004D2F50" w:rsidP="00086171">
            <w:pPr>
              <w:spacing w:line="360" w:lineRule="auto"/>
              <w:jc w:val="center"/>
              <w:rPr>
                <w:rFonts w:ascii="Book Antiqua" w:eastAsia="Times New Roman" w:hAnsi="Book Antiqua" w:cs="Arial"/>
              </w:rPr>
            </w:pPr>
          </w:p>
        </w:tc>
        <w:tc>
          <w:tcPr>
            <w:tcW w:w="1242" w:type="dxa"/>
            <w:tcBorders>
              <w:top w:val="nil"/>
              <w:bottom w:val="nil"/>
            </w:tcBorders>
            <w:shd w:val="clear" w:color="auto" w:fill="auto"/>
            <w:noWrap/>
            <w:vAlign w:val="bottom"/>
            <w:hideMark/>
          </w:tcPr>
          <w:p w14:paraId="7D215C7D"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hideMark/>
          </w:tcPr>
          <w:p w14:paraId="03E62119"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2E906EF6"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hideMark/>
          </w:tcPr>
          <w:p w14:paraId="75FD93A7"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1C166807" w14:textId="77777777" w:rsidR="004D2F50" w:rsidRPr="004D2F50" w:rsidRDefault="004D2F50" w:rsidP="00086171">
            <w:pPr>
              <w:spacing w:line="360" w:lineRule="auto"/>
              <w:jc w:val="center"/>
              <w:rPr>
                <w:rFonts w:ascii="Book Antiqua" w:eastAsia="Times New Roman" w:hAnsi="Book Antiqua" w:cs="Arial"/>
                <w:i/>
                <w:iCs/>
              </w:rPr>
            </w:pPr>
            <w:r w:rsidRPr="004D2F50">
              <w:rPr>
                <w:rFonts w:ascii="Book Antiqua" w:eastAsia="Times New Roman" w:hAnsi="Book Antiqua" w:cs="Arial"/>
                <w:color w:val="000000"/>
              </w:rPr>
              <w:t>6.40%</w:t>
            </w:r>
          </w:p>
        </w:tc>
      </w:tr>
      <w:tr w:rsidR="00086171" w:rsidRPr="004D2F50" w14:paraId="64D577C6" w14:textId="77777777" w:rsidTr="00086171">
        <w:trPr>
          <w:gridAfter w:val="2"/>
          <w:wAfter w:w="4916" w:type="dxa"/>
          <w:trHeight w:val="286"/>
        </w:trPr>
        <w:tc>
          <w:tcPr>
            <w:tcW w:w="1526" w:type="dxa"/>
            <w:tcBorders>
              <w:top w:val="nil"/>
              <w:bottom w:val="nil"/>
            </w:tcBorders>
            <w:shd w:val="clear" w:color="auto" w:fill="auto"/>
            <w:noWrap/>
            <w:vAlign w:val="bottom"/>
          </w:tcPr>
          <w:p w14:paraId="2D7E105D"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color w:val="000000"/>
              </w:rPr>
              <w:t>Hakamada</w:t>
            </w:r>
          </w:p>
        </w:tc>
        <w:tc>
          <w:tcPr>
            <w:tcW w:w="992" w:type="dxa"/>
            <w:tcBorders>
              <w:top w:val="nil"/>
              <w:bottom w:val="nil"/>
            </w:tcBorders>
            <w:shd w:val="clear" w:color="auto" w:fill="auto"/>
            <w:noWrap/>
            <w:vAlign w:val="bottom"/>
          </w:tcPr>
          <w:p w14:paraId="58469308"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2008</w:t>
            </w:r>
          </w:p>
        </w:tc>
        <w:tc>
          <w:tcPr>
            <w:tcW w:w="1304" w:type="dxa"/>
            <w:tcBorders>
              <w:top w:val="nil"/>
              <w:bottom w:val="nil"/>
            </w:tcBorders>
            <w:shd w:val="clear" w:color="auto" w:fill="auto"/>
            <w:noWrap/>
            <w:vAlign w:val="bottom"/>
          </w:tcPr>
          <w:p w14:paraId="26836C2E"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299</w:t>
            </w:r>
          </w:p>
        </w:tc>
        <w:tc>
          <w:tcPr>
            <w:tcW w:w="1140" w:type="dxa"/>
            <w:tcBorders>
              <w:top w:val="nil"/>
              <w:bottom w:val="nil"/>
            </w:tcBorders>
            <w:shd w:val="clear" w:color="auto" w:fill="auto"/>
            <w:noWrap/>
            <w:vAlign w:val="bottom"/>
          </w:tcPr>
          <w:p w14:paraId="1AD9E520"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100%</w:t>
            </w:r>
          </w:p>
        </w:tc>
        <w:tc>
          <w:tcPr>
            <w:tcW w:w="1134" w:type="dxa"/>
            <w:tcBorders>
              <w:top w:val="nil"/>
              <w:bottom w:val="nil"/>
            </w:tcBorders>
            <w:shd w:val="clear" w:color="auto" w:fill="auto"/>
            <w:noWrap/>
            <w:vAlign w:val="bottom"/>
          </w:tcPr>
          <w:p w14:paraId="3437A9E2" w14:textId="22D5B6EA"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100%</w:t>
            </w:r>
            <w:r w:rsidR="00086171" w:rsidRPr="00086171">
              <w:rPr>
                <w:rFonts w:ascii="Book Antiqua" w:hAnsi="Book Antiqua" w:hint="eastAsia"/>
                <w:color w:val="000000" w:themeColor="text1"/>
                <w:vertAlign w:val="superscript"/>
                <w:lang w:val="en-US" w:eastAsia="zh-CN"/>
              </w:rPr>
              <w:t>1</w:t>
            </w:r>
          </w:p>
        </w:tc>
        <w:tc>
          <w:tcPr>
            <w:tcW w:w="816" w:type="dxa"/>
            <w:tcBorders>
              <w:top w:val="nil"/>
              <w:bottom w:val="nil"/>
            </w:tcBorders>
            <w:shd w:val="clear" w:color="auto" w:fill="auto"/>
            <w:noWrap/>
            <w:vAlign w:val="bottom"/>
          </w:tcPr>
          <w:p w14:paraId="567D11DA" w14:textId="465DEE88" w:rsidR="004D2F50" w:rsidRPr="004D2F50" w:rsidRDefault="004D2F50" w:rsidP="00086171">
            <w:pPr>
              <w:spacing w:line="360" w:lineRule="auto"/>
              <w:ind w:right="120"/>
              <w:jc w:val="center"/>
              <w:rPr>
                <w:rFonts w:ascii="Book Antiqua" w:eastAsia="Times New Roman" w:hAnsi="Book Antiqua" w:cs="Arial"/>
              </w:rPr>
            </w:pPr>
            <w:r w:rsidRPr="004D2F50">
              <w:rPr>
                <w:rFonts w:ascii="Book Antiqua" w:eastAsia="Times New Roman" w:hAnsi="Book Antiqua" w:cs="Arial"/>
              </w:rPr>
              <w:t>88.6%-97.1</w:t>
            </w:r>
            <w:r w:rsidR="00086171" w:rsidRPr="004D2F50">
              <w:rPr>
                <w:rFonts w:ascii="Book Antiqua" w:eastAsia="Times New Roman" w:hAnsi="Book Antiqua" w:cs="Arial"/>
              </w:rPr>
              <w:t>%</w:t>
            </w:r>
            <w:r w:rsidR="00086171" w:rsidRPr="00086171">
              <w:rPr>
                <w:rFonts w:ascii="Book Antiqua" w:hAnsi="Book Antiqua" w:hint="eastAsia"/>
                <w:color w:val="000000" w:themeColor="text1"/>
                <w:vertAlign w:val="superscript"/>
                <w:lang w:val="en-US" w:eastAsia="zh-CN"/>
              </w:rPr>
              <w:t>2</w:t>
            </w:r>
          </w:p>
        </w:tc>
        <w:tc>
          <w:tcPr>
            <w:tcW w:w="851" w:type="dxa"/>
            <w:tcBorders>
              <w:top w:val="nil"/>
              <w:bottom w:val="nil"/>
            </w:tcBorders>
            <w:shd w:val="clear" w:color="auto" w:fill="auto"/>
            <w:noWrap/>
            <w:vAlign w:val="bottom"/>
          </w:tcPr>
          <w:p w14:paraId="1722AE5E"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tcPr>
          <w:p w14:paraId="2887FB48" w14:textId="6D481A8D" w:rsidR="004D2F50" w:rsidRPr="004D2F50" w:rsidRDefault="004D2F50" w:rsidP="00086171">
            <w:pPr>
              <w:spacing w:line="360" w:lineRule="auto"/>
              <w:ind w:right="396"/>
              <w:rPr>
                <w:rFonts w:ascii="Book Antiqua" w:eastAsia="Times New Roman" w:hAnsi="Book Antiqua" w:cs="Arial"/>
              </w:rPr>
            </w:pPr>
            <w:r w:rsidRPr="004D2F50">
              <w:rPr>
                <w:rFonts w:ascii="Book Antiqua" w:eastAsia="Times New Roman" w:hAnsi="Book Antiqua" w:cs="Arial"/>
                <w:color w:val="000000"/>
              </w:rPr>
              <w:t>88.6</w:t>
            </w:r>
            <w:r w:rsidR="00086171" w:rsidRPr="004D2F50">
              <w:rPr>
                <w:rFonts w:ascii="Book Antiqua" w:eastAsia="Times New Roman" w:hAnsi="Book Antiqua" w:cs="Arial"/>
                <w:color w:val="000000"/>
              </w:rPr>
              <w:t>%</w:t>
            </w:r>
            <w:r w:rsidR="00086171">
              <w:rPr>
                <w:rFonts w:ascii="Book Antiqua" w:hAnsi="Book Antiqua" w:cs="Arial" w:hint="eastAsia"/>
                <w:color w:val="000000"/>
                <w:lang w:eastAsia="zh-CN"/>
              </w:rPr>
              <w:t>-</w:t>
            </w:r>
            <w:r w:rsidRPr="004D2F50">
              <w:rPr>
                <w:rFonts w:ascii="Book Antiqua" w:eastAsia="Times New Roman" w:hAnsi="Book Antiqua" w:cs="Arial"/>
                <w:color w:val="000000"/>
              </w:rPr>
              <w:t>99.4%</w:t>
            </w:r>
            <w:r w:rsidR="00086171" w:rsidRPr="00086171">
              <w:rPr>
                <w:rFonts w:ascii="Book Antiqua" w:hAnsi="Book Antiqua" w:hint="eastAsia"/>
                <w:color w:val="000000" w:themeColor="text1"/>
                <w:vertAlign w:val="superscript"/>
                <w:lang w:val="en-US" w:eastAsia="zh-CN"/>
              </w:rPr>
              <w:t>2</w:t>
            </w:r>
          </w:p>
        </w:tc>
        <w:tc>
          <w:tcPr>
            <w:tcW w:w="885" w:type="dxa"/>
            <w:tcBorders>
              <w:top w:val="nil"/>
              <w:bottom w:val="nil"/>
            </w:tcBorders>
            <w:shd w:val="clear" w:color="auto" w:fill="auto"/>
            <w:noWrap/>
            <w:vAlign w:val="bottom"/>
          </w:tcPr>
          <w:p w14:paraId="03BFB64D" w14:textId="1C94A2B6"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color w:val="000000"/>
              </w:rPr>
              <w:t>91.4</w:t>
            </w:r>
            <w:r w:rsidR="00086171" w:rsidRPr="004D2F50">
              <w:rPr>
                <w:rFonts w:ascii="Book Antiqua" w:eastAsia="Times New Roman" w:hAnsi="Book Antiqua" w:cs="Arial"/>
              </w:rPr>
              <w:t>%</w:t>
            </w:r>
            <w:r w:rsidRPr="004D2F50">
              <w:rPr>
                <w:rFonts w:ascii="Book Antiqua" w:eastAsia="Times New Roman" w:hAnsi="Book Antiqua" w:cs="Arial"/>
                <w:color w:val="000000"/>
              </w:rPr>
              <w:t>-100%</w:t>
            </w:r>
            <w:r w:rsidR="00086171" w:rsidRPr="00086171">
              <w:rPr>
                <w:rFonts w:ascii="Book Antiqua" w:hAnsi="Book Antiqua" w:hint="eastAsia"/>
                <w:color w:val="000000" w:themeColor="text1"/>
                <w:vertAlign w:val="superscript"/>
                <w:lang w:val="en-US" w:eastAsia="zh-CN"/>
              </w:rPr>
              <w:t>2</w:t>
            </w:r>
          </w:p>
        </w:tc>
        <w:tc>
          <w:tcPr>
            <w:tcW w:w="1134" w:type="dxa"/>
            <w:tcBorders>
              <w:top w:val="nil"/>
              <w:bottom w:val="nil"/>
            </w:tcBorders>
            <w:shd w:val="clear" w:color="auto" w:fill="auto"/>
            <w:noWrap/>
            <w:vAlign w:val="bottom"/>
          </w:tcPr>
          <w:p w14:paraId="6CC163D7" w14:textId="1F819C7B" w:rsidR="004D2F50" w:rsidRPr="004D2F50" w:rsidRDefault="004D2F50" w:rsidP="00086171">
            <w:pPr>
              <w:spacing w:line="360" w:lineRule="auto"/>
              <w:ind w:right="480"/>
              <w:jc w:val="center"/>
              <w:rPr>
                <w:rFonts w:ascii="Book Antiqua" w:eastAsia="Times New Roman" w:hAnsi="Book Antiqua" w:cs="Arial"/>
              </w:rPr>
            </w:pPr>
            <w:r w:rsidRPr="004D2F50">
              <w:rPr>
                <w:rFonts w:ascii="Book Antiqua" w:eastAsia="Times New Roman" w:hAnsi="Book Antiqua" w:cs="Arial"/>
                <w:color w:val="000000"/>
              </w:rPr>
              <w:t>88.6</w:t>
            </w:r>
            <w:r w:rsidR="00086171" w:rsidRPr="004D2F50">
              <w:rPr>
                <w:rFonts w:ascii="Book Antiqua" w:eastAsia="Times New Roman" w:hAnsi="Book Antiqua" w:cs="Arial"/>
              </w:rPr>
              <w:t>%</w:t>
            </w:r>
            <w:r w:rsidRPr="004D2F50">
              <w:rPr>
                <w:rFonts w:ascii="Book Antiqua" w:eastAsia="Times New Roman" w:hAnsi="Book Antiqua" w:cs="Arial"/>
                <w:color w:val="000000"/>
              </w:rPr>
              <w:t>-98.3%</w:t>
            </w:r>
            <w:r w:rsidR="00086171" w:rsidRPr="00086171">
              <w:rPr>
                <w:rFonts w:ascii="Book Antiqua" w:hAnsi="Book Antiqua" w:hint="eastAsia"/>
                <w:color w:val="000000" w:themeColor="text1"/>
                <w:vertAlign w:val="superscript"/>
                <w:lang w:val="en-US" w:eastAsia="zh-CN"/>
              </w:rPr>
              <w:t>2</w:t>
            </w:r>
          </w:p>
        </w:tc>
        <w:tc>
          <w:tcPr>
            <w:tcW w:w="1242" w:type="dxa"/>
            <w:tcBorders>
              <w:top w:val="nil"/>
              <w:bottom w:val="nil"/>
            </w:tcBorders>
            <w:shd w:val="clear" w:color="auto" w:fill="auto"/>
            <w:noWrap/>
            <w:vAlign w:val="bottom"/>
          </w:tcPr>
          <w:p w14:paraId="52200DF7" w14:textId="4A5CE96F" w:rsidR="004D2F50" w:rsidRPr="004D2F50" w:rsidRDefault="004D2F50" w:rsidP="00086171">
            <w:pPr>
              <w:spacing w:line="360" w:lineRule="auto"/>
              <w:ind w:right="480"/>
              <w:jc w:val="center"/>
              <w:rPr>
                <w:rFonts w:ascii="Book Antiqua" w:eastAsia="Times New Roman" w:hAnsi="Book Antiqua" w:cs="Arial"/>
              </w:rPr>
            </w:pPr>
            <w:r w:rsidRPr="004D2F50">
              <w:rPr>
                <w:rFonts w:ascii="Book Antiqua" w:eastAsia="Times New Roman" w:hAnsi="Book Antiqua" w:cs="Arial"/>
                <w:color w:val="000000"/>
              </w:rPr>
              <w:t>89.3</w:t>
            </w:r>
            <w:r w:rsidR="00086171" w:rsidRPr="004D2F50">
              <w:rPr>
                <w:rFonts w:ascii="Book Antiqua" w:eastAsia="Times New Roman" w:hAnsi="Book Antiqua" w:cs="Arial"/>
              </w:rPr>
              <w:t>%</w:t>
            </w:r>
            <w:r w:rsidRPr="004D2F50">
              <w:rPr>
                <w:rFonts w:ascii="Book Antiqua" w:eastAsia="Times New Roman" w:hAnsi="Book Antiqua" w:cs="Arial"/>
                <w:color w:val="000000"/>
              </w:rPr>
              <w:t>-100%</w:t>
            </w:r>
            <w:r w:rsidR="00086171" w:rsidRPr="00086171">
              <w:rPr>
                <w:rFonts w:ascii="Book Antiqua" w:hAnsi="Book Antiqua" w:hint="eastAsia"/>
                <w:color w:val="000000" w:themeColor="text1"/>
                <w:vertAlign w:val="superscript"/>
                <w:lang w:val="en-US" w:eastAsia="zh-CN"/>
              </w:rPr>
              <w:t>2</w:t>
            </w:r>
          </w:p>
        </w:tc>
        <w:tc>
          <w:tcPr>
            <w:tcW w:w="1451" w:type="dxa"/>
            <w:tcBorders>
              <w:top w:val="nil"/>
              <w:bottom w:val="nil"/>
            </w:tcBorders>
            <w:shd w:val="clear" w:color="auto" w:fill="auto"/>
            <w:noWrap/>
            <w:vAlign w:val="bottom"/>
          </w:tcPr>
          <w:p w14:paraId="32C494EC"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3A91F38F"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tcPr>
          <w:p w14:paraId="0C3975EA"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136D57FE" w14:textId="77777777" w:rsidR="004D2F50" w:rsidRPr="004D2F50" w:rsidRDefault="004D2F50" w:rsidP="00086171">
            <w:pPr>
              <w:spacing w:line="360" w:lineRule="auto"/>
              <w:jc w:val="center"/>
              <w:rPr>
                <w:rFonts w:ascii="Book Antiqua" w:eastAsia="Times New Roman" w:hAnsi="Book Antiqua" w:cs="Arial"/>
                <w:color w:val="000000"/>
              </w:rPr>
            </w:pPr>
          </w:p>
        </w:tc>
      </w:tr>
      <w:tr w:rsidR="00086171" w:rsidRPr="004D2F50" w14:paraId="044DC017" w14:textId="77777777" w:rsidTr="00086171">
        <w:trPr>
          <w:gridAfter w:val="2"/>
          <w:wAfter w:w="4916" w:type="dxa"/>
          <w:trHeight w:val="286"/>
        </w:trPr>
        <w:tc>
          <w:tcPr>
            <w:tcW w:w="1526" w:type="dxa"/>
            <w:tcBorders>
              <w:top w:val="nil"/>
              <w:bottom w:val="nil"/>
            </w:tcBorders>
            <w:shd w:val="clear" w:color="auto" w:fill="auto"/>
            <w:noWrap/>
            <w:vAlign w:val="bottom"/>
          </w:tcPr>
          <w:p w14:paraId="6C60D23A"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iCs/>
              </w:rPr>
              <w:t>Hublet</w:t>
            </w:r>
          </w:p>
        </w:tc>
        <w:tc>
          <w:tcPr>
            <w:tcW w:w="992" w:type="dxa"/>
            <w:tcBorders>
              <w:top w:val="nil"/>
              <w:bottom w:val="nil"/>
            </w:tcBorders>
            <w:shd w:val="clear" w:color="auto" w:fill="auto"/>
            <w:noWrap/>
            <w:vAlign w:val="bottom"/>
          </w:tcPr>
          <w:p w14:paraId="596DD91B"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iCs/>
              </w:rPr>
              <w:t>2009</w:t>
            </w:r>
          </w:p>
        </w:tc>
        <w:tc>
          <w:tcPr>
            <w:tcW w:w="1304" w:type="dxa"/>
            <w:tcBorders>
              <w:top w:val="nil"/>
              <w:bottom w:val="nil"/>
            </w:tcBorders>
            <w:shd w:val="clear" w:color="auto" w:fill="auto"/>
            <w:noWrap/>
            <w:vAlign w:val="bottom"/>
          </w:tcPr>
          <w:p w14:paraId="662EB926"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iCs/>
              </w:rPr>
              <w:t>269</w:t>
            </w:r>
          </w:p>
        </w:tc>
        <w:tc>
          <w:tcPr>
            <w:tcW w:w="1140" w:type="dxa"/>
            <w:tcBorders>
              <w:top w:val="nil"/>
              <w:bottom w:val="nil"/>
            </w:tcBorders>
            <w:shd w:val="clear" w:color="auto" w:fill="auto"/>
            <w:noWrap/>
            <w:vAlign w:val="bottom"/>
          </w:tcPr>
          <w:p w14:paraId="2981C691"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iCs/>
              </w:rPr>
              <w:t>99%</w:t>
            </w:r>
          </w:p>
        </w:tc>
        <w:tc>
          <w:tcPr>
            <w:tcW w:w="1134" w:type="dxa"/>
            <w:tcBorders>
              <w:top w:val="nil"/>
              <w:bottom w:val="nil"/>
            </w:tcBorders>
            <w:shd w:val="clear" w:color="auto" w:fill="auto"/>
            <w:noWrap/>
            <w:vAlign w:val="bottom"/>
          </w:tcPr>
          <w:p w14:paraId="72AB6165" w14:textId="77777777" w:rsidR="004D2F50" w:rsidRPr="004D2F50" w:rsidRDefault="004D2F50" w:rsidP="00086171">
            <w:pPr>
              <w:spacing w:line="360" w:lineRule="auto"/>
              <w:jc w:val="center"/>
              <w:rPr>
                <w:rFonts w:ascii="Book Antiqua" w:eastAsia="Times New Roman" w:hAnsi="Book Antiqua" w:cs="Arial"/>
                <w:color w:val="000000"/>
              </w:rPr>
            </w:pPr>
          </w:p>
        </w:tc>
        <w:tc>
          <w:tcPr>
            <w:tcW w:w="816" w:type="dxa"/>
            <w:tcBorders>
              <w:top w:val="nil"/>
              <w:bottom w:val="nil"/>
            </w:tcBorders>
            <w:shd w:val="clear" w:color="auto" w:fill="auto"/>
            <w:noWrap/>
            <w:vAlign w:val="bottom"/>
          </w:tcPr>
          <w:p w14:paraId="33C44CCA"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tcPr>
          <w:p w14:paraId="0CC2A6D8"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tcPr>
          <w:p w14:paraId="22876E8F" w14:textId="77777777" w:rsidR="004D2F50" w:rsidRPr="004D2F50" w:rsidRDefault="004D2F50" w:rsidP="00086171">
            <w:pPr>
              <w:spacing w:line="360" w:lineRule="auto"/>
              <w:ind w:right="396"/>
              <w:jc w:val="center"/>
              <w:rPr>
                <w:rFonts w:ascii="Book Antiqua" w:eastAsia="Times New Roman" w:hAnsi="Book Antiqua" w:cs="Arial"/>
              </w:rPr>
            </w:pPr>
          </w:p>
        </w:tc>
        <w:tc>
          <w:tcPr>
            <w:tcW w:w="885" w:type="dxa"/>
            <w:tcBorders>
              <w:top w:val="nil"/>
              <w:bottom w:val="nil"/>
            </w:tcBorders>
            <w:shd w:val="clear" w:color="auto" w:fill="auto"/>
            <w:noWrap/>
            <w:vAlign w:val="bottom"/>
          </w:tcPr>
          <w:p w14:paraId="40A91F5E"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33253490" w14:textId="77777777" w:rsidR="004D2F50" w:rsidRPr="004D2F50" w:rsidRDefault="004D2F50" w:rsidP="00086171">
            <w:pPr>
              <w:spacing w:line="360" w:lineRule="auto"/>
              <w:jc w:val="center"/>
              <w:rPr>
                <w:rFonts w:ascii="Book Antiqua" w:eastAsia="Times New Roman" w:hAnsi="Book Antiqua" w:cs="Arial"/>
              </w:rPr>
            </w:pPr>
          </w:p>
        </w:tc>
        <w:tc>
          <w:tcPr>
            <w:tcW w:w="1242" w:type="dxa"/>
            <w:tcBorders>
              <w:top w:val="nil"/>
              <w:bottom w:val="nil"/>
            </w:tcBorders>
            <w:shd w:val="clear" w:color="auto" w:fill="auto"/>
            <w:noWrap/>
            <w:vAlign w:val="bottom"/>
          </w:tcPr>
          <w:p w14:paraId="355E42DE"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tcPr>
          <w:p w14:paraId="7C380E38"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0D8676CE"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tcPr>
          <w:p w14:paraId="7A886512"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5D9A5222" w14:textId="5CF2B730" w:rsidR="004D2F50" w:rsidRPr="004D2F50" w:rsidRDefault="004D2F50" w:rsidP="00086171">
            <w:pPr>
              <w:spacing w:line="360" w:lineRule="auto"/>
              <w:jc w:val="center"/>
              <w:rPr>
                <w:rFonts w:ascii="Book Antiqua" w:eastAsia="Times New Roman" w:hAnsi="Book Antiqua" w:cs="Arial"/>
              </w:rPr>
            </w:pPr>
          </w:p>
        </w:tc>
      </w:tr>
      <w:tr w:rsidR="00086171" w:rsidRPr="004D2F50" w14:paraId="240CA145" w14:textId="77777777" w:rsidTr="00086171">
        <w:trPr>
          <w:gridAfter w:val="2"/>
          <w:wAfter w:w="4916" w:type="dxa"/>
          <w:trHeight w:val="286"/>
        </w:trPr>
        <w:tc>
          <w:tcPr>
            <w:tcW w:w="1526" w:type="dxa"/>
            <w:tcBorders>
              <w:top w:val="nil"/>
              <w:bottom w:val="nil"/>
            </w:tcBorders>
            <w:shd w:val="clear" w:color="auto" w:fill="auto"/>
            <w:noWrap/>
            <w:vAlign w:val="bottom"/>
            <w:hideMark/>
          </w:tcPr>
          <w:p w14:paraId="35CEEEC0"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rPr>
              <w:t>Li</w:t>
            </w:r>
          </w:p>
        </w:tc>
        <w:tc>
          <w:tcPr>
            <w:tcW w:w="992" w:type="dxa"/>
            <w:tcBorders>
              <w:top w:val="nil"/>
              <w:bottom w:val="nil"/>
            </w:tcBorders>
            <w:shd w:val="clear" w:color="auto" w:fill="auto"/>
            <w:noWrap/>
            <w:vAlign w:val="bottom"/>
            <w:hideMark/>
          </w:tcPr>
          <w:p w14:paraId="5EA9FEA9"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rPr>
              <w:t>2009</w:t>
            </w:r>
          </w:p>
        </w:tc>
        <w:tc>
          <w:tcPr>
            <w:tcW w:w="1304" w:type="dxa"/>
            <w:tcBorders>
              <w:top w:val="nil"/>
              <w:bottom w:val="nil"/>
            </w:tcBorders>
            <w:shd w:val="clear" w:color="auto" w:fill="auto"/>
            <w:noWrap/>
            <w:vAlign w:val="bottom"/>
            <w:hideMark/>
          </w:tcPr>
          <w:p w14:paraId="3A9B7B1A"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rPr>
              <w:t>103</w:t>
            </w:r>
          </w:p>
        </w:tc>
        <w:tc>
          <w:tcPr>
            <w:tcW w:w="1140" w:type="dxa"/>
            <w:tcBorders>
              <w:top w:val="nil"/>
              <w:bottom w:val="nil"/>
            </w:tcBorders>
            <w:shd w:val="clear" w:color="auto" w:fill="auto"/>
            <w:noWrap/>
            <w:vAlign w:val="bottom"/>
            <w:hideMark/>
          </w:tcPr>
          <w:p w14:paraId="79CE68E3" w14:textId="77777777" w:rsidR="004D2F50" w:rsidRPr="004D2F50" w:rsidRDefault="004D2F50" w:rsidP="00086171">
            <w:pPr>
              <w:spacing w:line="360" w:lineRule="auto"/>
              <w:jc w:val="center"/>
              <w:rPr>
                <w:rFonts w:ascii="Book Antiqua" w:eastAsia="Times New Roman" w:hAnsi="Book Antiqua" w:cs="Arial"/>
                <w:color w:val="000000"/>
              </w:rPr>
            </w:pPr>
          </w:p>
        </w:tc>
        <w:tc>
          <w:tcPr>
            <w:tcW w:w="1134" w:type="dxa"/>
            <w:tcBorders>
              <w:top w:val="nil"/>
              <w:bottom w:val="nil"/>
            </w:tcBorders>
            <w:shd w:val="clear" w:color="auto" w:fill="auto"/>
            <w:noWrap/>
            <w:vAlign w:val="bottom"/>
            <w:hideMark/>
          </w:tcPr>
          <w:p w14:paraId="7E9AC180"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rPr>
              <w:t>95.7%</w:t>
            </w:r>
          </w:p>
        </w:tc>
        <w:tc>
          <w:tcPr>
            <w:tcW w:w="816" w:type="dxa"/>
            <w:tcBorders>
              <w:top w:val="nil"/>
              <w:bottom w:val="nil"/>
            </w:tcBorders>
            <w:shd w:val="clear" w:color="auto" w:fill="auto"/>
            <w:noWrap/>
            <w:vAlign w:val="bottom"/>
            <w:hideMark/>
          </w:tcPr>
          <w:p w14:paraId="11FE4111"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hideMark/>
          </w:tcPr>
          <w:p w14:paraId="6212DC80"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98.9</w:t>
            </w:r>
          </w:p>
        </w:tc>
        <w:tc>
          <w:tcPr>
            <w:tcW w:w="1417" w:type="dxa"/>
            <w:tcBorders>
              <w:top w:val="nil"/>
              <w:bottom w:val="nil"/>
            </w:tcBorders>
            <w:shd w:val="clear" w:color="auto" w:fill="auto"/>
            <w:noWrap/>
            <w:vAlign w:val="bottom"/>
            <w:hideMark/>
          </w:tcPr>
          <w:p w14:paraId="08A2049A" w14:textId="77777777" w:rsidR="004D2F50" w:rsidRPr="004D2F50" w:rsidRDefault="004D2F50" w:rsidP="00086171">
            <w:pPr>
              <w:spacing w:line="360" w:lineRule="auto"/>
              <w:ind w:right="396"/>
              <w:jc w:val="center"/>
              <w:rPr>
                <w:rFonts w:ascii="Book Antiqua" w:eastAsia="Times New Roman" w:hAnsi="Book Antiqua" w:cs="Arial"/>
              </w:rPr>
            </w:pPr>
            <w:r w:rsidRPr="004D2F50">
              <w:rPr>
                <w:rFonts w:ascii="Book Antiqua" w:eastAsia="Times New Roman" w:hAnsi="Book Antiqua" w:cs="Arial"/>
              </w:rPr>
              <w:t>98.9%</w:t>
            </w:r>
          </w:p>
        </w:tc>
        <w:tc>
          <w:tcPr>
            <w:tcW w:w="885" w:type="dxa"/>
            <w:tcBorders>
              <w:top w:val="nil"/>
              <w:bottom w:val="nil"/>
            </w:tcBorders>
            <w:shd w:val="clear" w:color="auto" w:fill="auto"/>
            <w:noWrap/>
            <w:vAlign w:val="bottom"/>
            <w:hideMark/>
          </w:tcPr>
          <w:p w14:paraId="4A974337"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27FA6275"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73.8%</w:t>
            </w:r>
          </w:p>
        </w:tc>
        <w:tc>
          <w:tcPr>
            <w:tcW w:w="1242" w:type="dxa"/>
            <w:tcBorders>
              <w:top w:val="nil"/>
              <w:bottom w:val="nil"/>
            </w:tcBorders>
            <w:shd w:val="clear" w:color="auto" w:fill="auto"/>
            <w:noWrap/>
            <w:vAlign w:val="bottom"/>
            <w:hideMark/>
          </w:tcPr>
          <w:p w14:paraId="4B9FF54D"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hideMark/>
          </w:tcPr>
          <w:p w14:paraId="529259CC"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538BC43F"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hideMark/>
          </w:tcPr>
          <w:p w14:paraId="33F47643"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hideMark/>
          </w:tcPr>
          <w:p w14:paraId="4469A5DB" w14:textId="666A9077" w:rsidR="004D2F50" w:rsidRPr="004D2F50" w:rsidRDefault="004D2F50" w:rsidP="00086171">
            <w:pPr>
              <w:spacing w:line="360" w:lineRule="auto"/>
              <w:jc w:val="center"/>
              <w:rPr>
                <w:rFonts w:ascii="Book Antiqua" w:eastAsia="Times New Roman" w:hAnsi="Book Antiqua" w:cs="Arial"/>
                <w:color w:val="000000"/>
              </w:rPr>
            </w:pPr>
          </w:p>
        </w:tc>
      </w:tr>
      <w:tr w:rsidR="00086171" w:rsidRPr="004D2F50" w14:paraId="6291920A" w14:textId="77777777" w:rsidTr="00086171">
        <w:trPr>
          <w:gridAfter w:val="2"/>
          <w:wAfter w:w="4916" w:type="dxa"/>
          <w:trHeight w:val="286"/>
        </w:trPr>
        <w:tc>
          <w:tcPr>
            <w:tcW w:w="1526" w:type="dxa"/>
            <w:tcBorders>
              <w:top w:val="nil"/>
              <w:bottom w:val="nil"/>
            </w:tcBorders>
            <w:shd w:val="clear" w:color="auto" w:fill="auto"/>
            <w:noWrap/>
            <w:vAlign w:val="bottom"/>
          </w:tcPr>
          <w:p w14:paraId="13939E53" w14:textId="77777777" w:rsidR="004D2F50" w:rsidRPr="004D2F50" w:rsidRDefault="004D2F50" w:rsidP="004D2F50">
            <w:pPr>
              <w:spacing w:line="360" w:lineRule="auto"/>
              <w:rPr>
                <w:rFonts w:ascii="Book Antiqua" w:eastAsia="Times New Roman" w:hAnsi="Book Antiqua" w:cs="Arial"/>
                <w:iCs/>
              </w:rPr>
            </w:pPr>
            <w:r w:rsidRPr="004D2F50">
              <w:rPr>
                <w:rFonts w:ascii="Book Antiqua" w:eastAsia="Times New Roman" w:hAnsi="Book Antiqua" w:cs="Arial"/>
                <w:color w:val="000000"/>
              </w:rPr>
              <w:t>Machi</w:t>
            </w:r>
          </w:p>
        </w:tc>
        <w:tc>
          <w:tcPr>
            <w:tcW w:w="992" w:type="dxa"/>
            <w:tcBorders>
              <w:top w:val="nil"/>
              <w:bottom w:val="nil"/>
            </w:tcBorders>
            <w:shd w:val="clear" w:color="auto" w:fill="auto"/>
            <w:noWrap/>
            <w:vAlign w:val="bottom"/>
          </w:tcPr>
          <w:p w14:paraId="212D89DB" w14:textId="77777777" w:rsidR="004D2F50" w:rsidRPr="004D2F50" w:rsidRDefault="004D2F50" w:rsidP="00086171">
            <w:pPr>
              <w:spacing w:line="360" w:lineRule="auto"/>
              <w:jc w:val="center"/>
              <w:rPr>
                <w:rFonts w:ascii="Book Antiqua" w:eastAsia="Times New Roman" w:hAnsi="Book Antiqua" w:cs="Arial"/>
                <w:iCs/>
              </w:rPr>
            </w:pPr>
            <w:r w:rsidRPr="004D2F50">
              <w:rPr>
                <w:rFonts w:ascii="Book Antiqua" w:eastAsia="Times New Roman" w:hAnsi="Book Antiqua" w:cs="Arial"/>
                <w:color w:val="000000"/>
              </w:rPr>
              <w:t>2009</w:t>
            </w:r>
          </w:p>
        </w:tc>
        <w:tc>
          <w:tcPr>
            <w:tcW w:w="1304" w:type="dxa"/>
            <w:tcBorders>
              <w:top w:val="nil"/>
              <w:bottom w:val="nil"/>
            </w:tcBorders>
            <w:shd w:val="clear" w:color="auto" w:fill="auto"/>
            <w:noWrap/>
            <w:vAlign w:val="bottom"/>
          </w:tcPr>
          <w:p w14:paraId="6B0E56C5" w14:textId="77777777" w:rsidR="004D2F50" w:rsidRPr="004D2F50" w:rsidRDefault="004D2F50" w:rsidP="00086171">
            <w:pPr>
              <w:spacing w:line="360" w:lineRule="auto"/>
              <w:jc w:val="center"/>
              <w:rPr>
                <w:rFonts w:ascii="Book Antiqua" w:eastAsia="Times New Roman" w:hAnsi="Book Antiqua" w:cs="Arial"/>
                <w:iCs/>
              </w:rPr>
            </w:pPr>
            <w:r w:rsidRPr="004D2F50">
              <w:rPr>
                <w:rFonts w:ascii="Book Antiqua" w:eastAsia="Times New Roman" w:hAnsi="Book Antiqua" w:cs="Arial"/>
                <w:color w:val="000000"/>
              </w:rPr>
              <w:t>1352</w:t>
            </w:r>
          </w:p>
        </w:tc>
        <w:tc>
          <w:tcPr>
            <w:tcW w:w="1140" w:type="dxa"/>
            <w:tcBorders>
              <w:top w:val="nil"/>
              <w:bottom w:val="nil"/>
            </w:tcBorders>
            <w:shd w:val="clear" w:color="auto" w:fill="auto"/>
            <w:noWrap/>
            <w:vAlign w:val="bottom"/>
          </w:tcPr>
          <w:p w14:paraId="2023B6F5" w14:textId="77777777" w:rsidR="004D2F50" w:rsidRPr="004D2F50" w:rsidRDefault="004D2F50" w:rsidP="00086171">
            <w:pPr>
              <w:spacing w:line="360" w:lineRule="auto"/>
              <w:jc w:val="center"/>
              <w:rPr>
                <w:rFonts w:ascii="Book Antiqua" w:eastAsia="Times New Roman" w:hAnsi="Book Antiqua" w:cs="Arial"/>
                <w:iCs/>
              </w:rPr>
            </w:pPr>
            <w:r w:rsidRPr="004D2F50">
              <w:rPr>
                <w:rFonts w:ascii="Book Antiqua" w:eastAsia="Times New Roman" w:hAnsi="Book Antiqua" w:cs="Arial"/>
              </w:rPr>
              <w:t>98%</w:t>
            </w:r>
          </w:p>
        </w:tc>
        <w:tc>
          <w:tcPr>
            <w:tcW w:w="1134" w:type="dxa"/>
            <w:tcBorders>
              <w:top w:val="nil"/>
              <w:bottom w:val="nil"/>
            </w:tcBorders>
            <w:shd w:val="clear" w:color="auto" w:fill="auto"/>
            <w:noWrap/>
            <w:vAlign w:val="bottom"/>
          </w:tcPr>
          <w:p w14:paraId="152EA45B" w14:textId="213511E1" w:rsidR="004D2F50" w:rsidRPr="004D2F50" w:rsidRDefault="004D2F50" w:rsidP="00086171">
            <w:pPr>
              <w:spacing w:line="360" w:lineRule="auto"/>
              <w:jc w:val="center"/>
              <w:rPr>
                <w:rFonts w:ascii="Book Antiqua" w:eastAsia="Times New Roman" w:hAnsi="Book Antiqua" w:cs="Arial"/>
                <w:i/>
                <w:iCs/>
              </w:rPr>
            </w:pPr>
          </w:p>
        </w:tc>
        <w:tc>
          <w:tcPr>
            <w:tcW w:w="816" w:type="dxa"/>
            <w:tcBorders>
              <w:top w:val="nil"/>
              <w:bottom w:val="nil"/>
            </w:tcBorders>
            <w:shd w:val="clear" w:color="auto" w:fill="auto"/>
            <w:noWrap/>
            <w:vAlign w:val="bottom"/>
          </w:tcPr>
          <w:p w14:paraId="3963F83F"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tcPr>
          <w:p w14:paraId="4B3763C6"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tcPr>
          <w:p w14:paraId="26FB896F" w14:textId="77777777" w:rsidR="004D2F50" w:rsidRPr="004D2F50" w:rsidRDefault="004D2F50" w:rsidP="00086171">
            <w:pPr>
              <w:spacing w:line="360" w:lineRule="auto"/>
              <w:ind w:right="396"/>
              <w:jc w:val="center"/>
              <w:rPr>
                <w:rFonts w:ascii="Book Antiqua" w:eastAsia="Times New Roman" w:hAnsi="Book Antiqua" w:cs="Arial"/>
              </w:rPr>
            </w:pPr>
          </w:p>
        </w:tc>
        <w:tc>
          <w:tcPr>
            <w:tcW w:w="885" w:type="dxa"/>
            <w:tcBorders>
              <w:top w:val="nil"/>
              <w:bottom w:val="nil"/>
            </w:tcBorders>
            <w:shd w:val="clear" w:color="auto" w:fill="auto"/>
            <w:noWrap/>
            <w:vAlign w:val="bottom"/>
          </w:tcPr>
          <w:p w14:paraId="1AD42D63"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58DDDC12" w14:textId="77777777" w:rsidR="004D2F50" w:rsidRPr="004D2F50" w:rsidRDefault="004D2F50" w:rsidP="00086171">
            <w:pPr>
              <w:spacing w:line="360" w:lineRule="auto"/>
              <w:jc w:val="center"/>
              <w:rPr>
                <w:rFonts w:ascii="Book Antiqua" w:eastAsia="Times New Roman" w:hAnsi="Book Antiqua" w:cs="Arial"/>
              </w:rPr>
            </w:pPr>
          </w:p>
        </w:tc>
        <w:tc>
          <w:tcPr>
            <w:tcW w:w="1242" w:type="dxa"/>
            <w:tcBorders>
              <w:top w:val="nil"/>
              <w:bottom w:val="nil"/>
            </w:tcBorders>
            <w:shd w:val="clear" w:color="auto" w:fill="auto"/>
            <w:noWrap/>
            <w:vAlign w:val="bottom"/>
          </w:tcPr>
          <w:p w14:paraId="525085B7"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tcPr>
          <w:p w14:paraId="76269BE3"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42374E92"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tcPr>
          <w:p w14:paraId="5ECE21A9"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24EE3C71" w14:textId="0BFBA6C1" w:rsidR="004D2F50" w:rsidRPr="004D2F50" w:rsidRDefault="004D2F50" w:rsidP="00086171">
            <w:pPr>
              <w:spacing w:line="360" w:lineRule="auto"/>
              <w:jc w:val="center"/>
              <w:rPr>
                <w:rFonts w:ascii="Book Antiqua" w:eastAsia="Times New Roman" w:hAnsi="Book Antiqua" w:cs="Arial"/>
                <w:i/>
                <w:iCs/>
              </w:rPr>
            </w:pPr>
          </w:p>
        </w:tc>
      </w:tr>
      <w:tr w:rsidR="00086171" w:rsidRPr="004D2F50" w14:paraId="3BCA7FF7" w14:textId="77777777" w:rsidTr="00086171">
        <w:trPr>
          <w:gridAfter w:val="2"/>
          <w:wAfter w:w="4916" w:type="dxa"/>
          <w:trHeight w:val="300"/>
        </w:trPr>
        <w:tc>
          <w:tcPr>
            <w:tcW w:w="1526" w:type="dxa"/>
            <w:tcBorders>
              <w:top w:val="nil"/>
              <w:bottom w:val="nil"/>
            </w:tcBorders>
            <w:shd w:val="clear" w:color="auto" w:fill="auto"/>
            <w:noWrap/>
            <w:vAlign w:val="bottom"/>
          </w:tcPr>
          <w:p w14:paraId="059C856B" w14:textId="77777777" w:rsidR="004D2F50" w:rsidRPr="004D2F50" w:rsidRDefault="004D2F50" w:rsidP="004D2F50">
            <w:pPr>
              <w:spacing w:line="360" w:lineRule="auto"/>
              <w:rPr>
                <w:rFonts w:ascii="Book Antiqua" w:eastAsia="Times New Roman" w:hAnsi="Book Antiqua" w:cs="Arial"/>
              </w:rPr>
            </w:pPr>
            <w:r w:rsidRPr="004D2F50">
              <w:rPr>
                <w:rFonts w:ascii="Book Antiqua" w:eastAsia="Times New Roman" w:hAnsi="Book Antiqua" w:cs="Arial"/>
              </w:rPr>
              <w:t>Hashimoto</w:t>
            </w:r>
          </w:p>
        </w:tc>
        <w:tc>
          <w:tcPr>
            <w:tcW w:w="992" w:type="dxa"/>
            <w:tcBorders>
              <w:top w:val="nil"/>
              <w:bottom w:val="nil"/>
            </w:tcBorders>
            <w:shd w:val="clear" w:color="auto" w:fill="auto"/>
            <w:noWrap/>
            <w:vAlign w:val="bottom"/>
          </w:tcPr>
          <w:p w14:paraId="60B7100B"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2010</w:t>
            </w:r>
          </w:p>
        </w:tc>
        <w:tc>
          <w:tcPr>
            <w:tcW w:w="1304" w:type="dxa"/>
            <w:tcBorders>
              <w:top w:val="nil"/>
              <w:bottom w:val="nil"/>
            </w:tcBorders>
            <w:shd w:val="clear" w:color="auto" w:fill="auto"/>
            <w:noWrap/>
            <w:vAlign w:val="bottom"/>
          </w:tcPr>
          <w:p w14:paraId="69EF5C59"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200</w:t>
            </w:r>
          </w:p>
        </w:tc>
        <w:tc>
          <w:tcPr>
            <w:tcW w:w="1140" w:type="dxa"/>
            <w:tcBorders>
              <w:top w:val="nil"/>
              <w:bottom w:val="nil"/>
            </w:tcBorders>
            <w:shd w:val="clear" w:color="auto" w:fill="auto"/>
            <w:noWrap/>
            <w:vAlign w:val="bottom"/>
          </w:tcPr>
          <w:p w14:paraId="1EB6A0D2"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w:t>
            </w:r>
          </w:p>
        </w:tc>
        <w:tc>
          <w:tcPr>
            <w:tcW w:w="1134" w:type="dxa"/>
            <w:tcBorders>
              <w:top w:val="nil"/>
              <w:bottom w:val="nil"/>
            </w:tcBorders>
            <w:shd w:val="clear" w:color="auto" w:fill="auto"/>
            <w:noWrap/>
            <w:vAlign w:val="bottom"/>
          </w:tcPr>
          <w:p w14:paraId="5F444DA3" w14:textId="77777777" w:rsidR="004D2F50" w:rsidRPr="004D2F50" w:rsidRDefault="004D2F50" w:rsidP="00086171">
            <w:pPr>
              <w:spacing w:line="360" w:lineRule="auto"/>
              <w:jc w:val="center"/>
              <w:rPr>
                <w:rFonts w:ascii="Book Antiqua" w:eastAsia="Times New Roman" w:hAnsi="Book Antiqua" w:cs="Arial"/>
              </w:rPr>
            </w:pPr>
          </w:p>
        </w:tc>
        <w:tc>
          <w:tcPr>
            <w:tcW w:w="816" w:type="dxa"/>
            <w:tcBorders>
              <w:top w:val="nil"/>
              <w:bottom w:val="nil"/>
            </w:tcBorders>
            <w:shd w:val="clear" w:color="auto" w:fill="auto"/>
            <w:noWrap/>
            <w:vAlign w:val="bottom"/>
          </w:tcPr>
          <w:p w14:paraId="5A634CA4"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tcPr>
          <w:p w14:paraId="2E801508"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tcPr>
          <w:p w14:paraId="02B3AB80" w14:textId="77777777" w:rsidR="004D2F50" w:rsidRPr="004D2F50" w:rsidRDefault="004D2F50" w:rsidP="00086171">
            <w:pPr>
              <w:spacing w:line="360" w:lineRule="auto"/>
              <w:ind w:right="396"/>
              <w:jc w:val="center"/>
              <w:rPr>
                <w:rFonts w:ascii="Book Antiqua" w:eastAsia="Times New Roman" w:hAnsi="Book Antiqua" w:cs="Arial"/>
              </w:rPr>
            </w:pPr>
          </w:p>
        </w:tc>
        <w:tc>
          <w:tcPr>
            <w:tcW w:w="885" w:type="dxa"/>
            <w:tcBorders>
              <w:top w:val="nil"/>
              <w:bottom w:val="nil"/>
            </w:tcBorders>
            <w:shd w:val="clear" w:color="auto" w:fill="auto"/>
            <w:noWrap/>
            <w:vAlign w:val="bottom"/>
          </w:tcPr>
          <w:p w14:paraId="41C70DF0" w14:textId="39DB4EAA"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94%</w:t>
            </w:r>
            <w:r w:rsidR="00086171" w:rsidRPr="00086171">
              <w:rPr>
                <w:rFonts w:ascii="Book Antiqua" w:hAnsi="Book Antiqua" w:hint="eastAsia"/>
                <w:color w:val="000000" w:themeColor="text1"/>
                <w:vertAlign w:val="superscript"/>
                <w:lang w:val="en-US" w:eastAsia="zh-CN"/>
              </w:rPr>
              <w:t>3</w:t>
            </w:r>
          </w:p>
        </w:tc>
        <w:tc>
          <w:tcPr>
            <w:tcW w:w="1134" w:type="dxa"/>
            <w:tcBorders>
              <w:top w:val="nil"/>
              <w:bottom w:val="nil"/>
            </w:tcBorders>
            <w:shd w:val="clear" w:color="auto" w:fill="auto"/>
            <w:noWrap/>
            <w:vAlign w:val="bottom"/>
          </w:tcPr>
          <w:p w14:paraId="0C6E9220" w14:textId="77777777" w:rsidR="004D2F50" w:rsidRPr="004D2F50" w:rsidRDefault="004D2F50" w:rsidP="00086171">
            <w:pPr>
              <w:spacing w:line="360" w:lineRule="auto"/>
              <w:jc w:val="center"/>
              <w:rPr>
                <w:rFonts w:ascii="Book Antiqua" w:eastAsia="Times New Roman" w:hAnsi="Book Antiqua" w:cs="Arial"/>
              </w:rPr>
            </w:pPr>
          </w:p>
        </w:tc>
        <w:tc>
          <w:tcPr>
            <w:tcW w:w="1242" w:type="dxa"/>
            <w:tcBorders>
              <w:top w:val="nil"/>
              <w:bottom w:val="nil"/>
            </w:tcBorders>
            <w:shd w:val="clear" w:color="auto" w:fill="auto"/>
            <w:noWrap/>
            <w:vAlign w:val="bottom"/>
          </w:tcPr>
          <w:p w14:paraId="08E88941"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tcPr>
          <w:p w14:paraId="5BE63BDB"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2A933812"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nil"/>
            </w:tcBorders>
            <w:shd w:val="clear" w:color="auto" w:fill="auto"/>
            <w:noWrap/>
            <w:vAlign w:val="bottom"/>
          </w:tcPr>
          <w:p w14:paraId="6CDAD983"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nil"/>
            </w:tcBorders>
            <w:shd w:val="clear" w:color="auto" w:fill="auto"/>
            <w:noWrap/>
            <w:vAlign w:val="bottom"/>
          </w:tcPr>
          <w:p w14:paraId="22D761AA" w14:textId="77777777" w:rsidR="004D2F50" w:rsidRPr="004D2F50" w:rsidRDefault="004D2F50" w:rsidP="00086171">
            <w:pPr>
              <w:spacing w:line="360" w:lineRule="auto"/>
              <w:jc w:val="center"/>
              <w:rPr>
                <w:rFonts w:ascii="Book Antiqua" w:eastAsia="Times New Roman" w:hAnsi="Book Antiqua" w:cs="Arial"/>
              </w:rPr>
            </w:pPr>
          </w:p>
        </w:tc>
      </w:tr>
      <w:tr w:rsidR="00086171" w:rsidRPr="004D2F50" w14:paraId="7210D490" w14:textId="77777777" w:rsidTr="00086171">
        <w:trPr>
          <w:gridAfter w:val="2"/>
          <w:wAfter w:w="4916" w:type="dxa"/>
          <w:trHeight w:val="64"/>
        </w:trPr>
        <w:tc>
          <w:tcPr>
            <w:tcW w:w="1526" w:type="dxa"/>
            <w:tcBorders>
              <w:top w:val="nil"/>
              <w:bottom w:val="nil"/>
            </w:tcBorders>
            <w:shd w:val="clear" w:color="auto" w:fill="auto"/>
            <w:noWrap/>
            <w:vAlign w:val="bottom"/>
            <w:hideMark/>
          </w:tcPr>
          <w:p w14:paraId="629BEBF6" w14:textId="77777777" w:rsidR="004D2F50" w:rsidRPr="004D2F50" w:rsidRDefault="004D2F50" w:rsidP="004D2F50">
            <w:pPr>
              <w:spacing w:line="360" w:lineRule="auto"/>
              <w:rPr>
                <w:rFonts w:ascii="Book Antiqua" w:eastAsia="Times New Roman" w:hAnsi="Book Antiqua" w:cs="Arial"/>
              </w:rPr>
            </w:pPr>
            <w:r w:rsidRPr="004D2F50">
              <w:rPr>
                <w:rFonts w:ascii="Book Antiqua" w:eastAsia="Times New Roman" w:hAnsi="Book Antiqua" w:cs="Arial"/>
                <w:color w:val="000000"/>
              </w:rPr>
              <w:t>Pfluke</w:t>
            </w:r>
          </w:p>
        </w:tc>
        <w:tc>
          <w:tcPr>
            <w:tcW w:w="992" w:type="dxa"/>
            <w:tcBorders>
              <w:top w:val="nil"/>
              <w:bottom w:val="nil"/>
            </w:tcBorders>
            <w:shd w:val="clear" w:color="auto" w:fill="auto"/>
            <w:noWrap/>
            <w:vAlign w:val="bottom"/>
            <w:hideMark/>
          </w:tcPr>
          <w:p w14:paraId="12B83647"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color w:val="000000"/>
              </w:rPr>
              <w:t>2011</w:t>
            </w:r>
          </w:p>
        </w:tc>
        <w:tc>
          <w:tcPr>
            <w:tcW w:w="1304" w:type="dxa"/>
            <w:tcBorders>
              <w:top w:val="nil"/>
              <w:bottom w:val="nil"/>
            </w:tcBorders>
            <w:shd w:val="clear" w:color="auto" w:fill="auto"/>
            <w:noWrap/>
            <w:vAlign w:val="bottom"/>
            <w:hideMark/>
          </w:tcPr>
          <w:p w14:paraId="40070993"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color w:val="000000"/>
              </w:rPr>
              <w:t>50</w:t>
            </w:r>
          </w:p>
        </w:tc>
        <w:tc>
          <w:tcPr>
            <w:tcW w:w="1140" w:type="dxa"/>
            <w:tcBorders>
              <w:top w:val="nil"/>
              <w:bottom w:val="nil"/>
            </w:tcBorders>
            <w:shd w:val="clear" w:color="auto" w:fill="auto"/>
            <w:noWrap/>
            <w:vAlign w:val="bottom"/>
          </w:tcPr>
          <w:p w14:paraId="690726B0"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96%</w:t>
            </w:r>
          </w:p>
        </w:tc>
        <w:tc>
          <w:tcPr>
            <w:tcW w:w="1134" w:type="dxa"/>
            <w:tcBorders>
              <w:top w:val="nil"/>
              <w:bottom w:val="nil"/>
            </w:tcBorders>
            <w:shd w:val="clear" w:color="auto" w:fill="auto"/>
            <w:noWrap/>
            <w:vAlign w:val="bottom"/>
          </w:tcPr>
          <w:p w14:paraId="5264296B"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100%</w:t>
            </w:r>
          </w:p>
        </w:tc>
        <w:tc>
          <w:tcPr>
            <w:tcW w:w="816" w:type="dxa"/>
            <w:tcBorders>
              <w:top w:val="nil"/>
              <w:bottom w:val="nil"/>
            </w:tcBorders>
            <w:shd w:val="clear" w:color="auto" w:fill="auto"/>
            <w:noWrap/>
            <w:vAlign w:val="bottom"/>
          </w:tcPr>
          <w:p w14:paraId="6795D4E5"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nil"/>
            </w:tcBorders>
            <w:shd w:val="clear" w:color="auto" w:fill="auto"/>
            <w:noWrap/>
            <w:vAlign w:val="bottom"/>
          </w:tcPr>
          <w:p w14:paraId="7A154C06"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nil"/>
            </w:tcBorders>
            <w:shd w:val="clear" w:color="auto" w:fill="auto"/>
            <w:noWrap/>
            <w:vAlign w:val="bottom"/>
          </w:tcPr>
          <w:p w14:paraId="1E128588" w14:textId="77777777" w:rsidR="004D2F50" w:rsidRPr="004D2F50" w:rsidRDefault="004D2F50" w:rsidP="00086171">
            <w:pPr>
              <w:spacing w:line="360" w:lineRule="auto"/>
              <w:ind w:right="396"/>
              <w:jc w:val="center"/>
              <w:rPr>
                <w:rFonts w:ascii="Book Antiqua" w:eastAsia="Times New Roman" w:hAnsi="Book Antiqua" w:cs="Arial"/>
              </w:rPr>
            </w:pPr>
            <w:r w:rsidRPr="004D2F50">
              <w:rPr>
                <w:rFonts w:ascii="Book Antiqua" w:eastAsia="Times New Roman" w:hAnsi="Book Antiqua" w:cs="Arial"/>
              </w:rPr>
              <w:t>100%</w:t>
            </w:r>
          </w:p>
        </w:tc>
        <w:tc>
          <w:tcPr>
            <w:tcW w:w="885" w:type="dxa"/>
            <w:tcBorders>
              <w:top w:val="nil"/>
              <w:bottom w:val="nil"/>
            </w:tcBorders>
            <w:shd w:val="clear" w:color="auto" w:fill="auto"/>
            <w:noWrap/>
            <w:vAlign w:val="bottom"/>
          </w:tcPr>
          <w:p w14:paraId="479975EB"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98%</w:t>
            </w:r>
          </w:p>
        </w:tc>
        <w:tc>
          <w:tcPr>
            <w:tcW w:w="1134" w:type="dxa"/>
            <w:tcBorders>
              <w:top w:val="nil"/>
              <w:bottom w:val="nil"/>
            </w:tcBorders>
            <w:shd w:val="clear" w:color="auto" w:fill="auto"/>
            <w:noWrap/>
            <w:vAlign w:val="bottom"/>
          </w:tcPr>
          <w:p w14:paraId="654D8519"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98%</w:t>
            </w:r>
          </w:p>
        </w:tc>
        <w:tc>
          <w:tcPr>
            <w:tcW w:w="1242" w:type="dxa"/>
            <w:tcBorders>
              <w:top w:val="nil"/>
              <w:bottom w:val="nil"/>
            </w:tcBorders>
            <w:shd w:val="clear" w:color="auto" w:fill="auto"/>
            <w:noWrap/>
            <w:vAlign w:val="bottom"/>
          </w:tcPr>
          <w:p w14:paraId="69F7E9EB"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nil"/>
            </w:tcBorders>
            <w:shd w:val="clear" w:color="auto" w:fill="auto"/>
            <w:noWrap/>
            <w:vAlign w:val="bottom"/>
          </w:tcPr>
          <w:p w14:paraId="66D5D467" w14:textId="77777777" w:rsidR="004D2F50" w:rsidRPr="004D2F50" w:rsidRDefault="004D2F50" w:rsidP="00086171">
            <w:pPr>
              <w:spacing w:line="360" w:lineRule="auto"/>
              <w:ind w:right="480"/>
              <w:jc w:val="center"/>
              <w:rPr>
                <w:rFonts w:ascii="Book Antiqua" w:eastAsia="Times New Roman" w:hAnsi="Book Antiqua" w:cs="Arial"/>
              </w:rPr>
            </w:pPr>
            <w:r w:rsidRPr="004D2F50">
              <w:rPr>
                <w:rFonts w:ascii="Book Antiqua" w:eastAsia="Times New Roman" w:hAnsi="Book Antiqua" w:cs="Arial"/>
              </w:rPr>
              <w:t>40%</w:t>
            </w:r>
          </w:p>
        </w:tc>
        <w:tc>
          <w:tcPr>
            <w:tcW w:w="1134" w:type="dxa"/>
            <w:tcBorders>
              <w:top w:val="nil"/>
              <w:bottom w:val="nil"/>
            </w:tcBorders>
            <w:shd w:val="clear" w:color="auto" w:fill="auto"/>
            <w:noWrap/>
            <w:vAlign w:val="bottom"/>
          </w:tcPr>
          <w:p w14:paraId="3442732C" w14:textId="77777777" w:rsidR="004D2F50" w:rsidRPr="004D2F50" w:rsidRDefault="004D2F50" w:rsidP="00086171">
            <w:pPr>
              <w:spacing w:line="360" w:lineRule="auto"/>
              <w:ind w:right="360"/>
              <w:jc w:val="center"/>
              <w:rPr>
                <w:rFonts w:ascii="Book Antiqua" w:eastAsia="Times New Roman" w:hAnsi="Book Antiqua" w:cs="Arial"/>
              </w:rPr>
            </w:pPr>
            <w:r w:rsidRPr="004D2F50">
              <w:rPr>
                <w:rFonts w:ascii="Book Antiqua" w:eastAsia="Times New Roman" w:hAnsi="Book Antiqua" w:cs="Arial"/>
              </w:rPr>
              <w:t>14%</w:t>
            </w:r>
          </w:p>
        </w:tc>
        <w:tc>
          <w:tcPr>
            <w:tcW w:w="1276" w:type="dxa"/>
            <w:tcBorders>
              <w:top w:val="nil"/>
              <w:bottom w:val="nil"/>
            </w:tcBorders>
            <w:shd w:val="clear" w:color="auto" w:fill="auto"/>
            <w:noWrap/>
            <w:vAlign w:val="bottom"/>
          </w:tcPr>
          <w:p w14:paraId="74492D35" w14:textId="77777777" w:rsidR="004D2F50" w:rsidRPr="004D2F50" w:rsidRDefault="004D2F50" w:rsidP="00086171">
            <w:pPr>
              <w:spacing w:line="360" w:lineRule="auto"/>
              <w:ind w:right="480"/>
              <w:jc w:val="center"/>
              <w:rPr>
                <w:rFonts w:ascii="Book Antiqua" w:eastAsia="Times New Roman" w:hAnsi="Book Antiqua" w:cs="Arial"/>
              </w:rPr>
            </w:pPr>
            <w:r w:rsidRPr="004D2F50">
              <w:rPr>
                <w:rFonts w:ascii="Book Antiqua" w:eastAsia="Times New Roman" w:hAnsi="Book Antiqua" w:cs="Arial"/>
              </w:rPr>
              <w:t>8%</w:t>
            </w:r>
          </w:p>
        </w:tc>
        <w:tc>
          <w:tcPr>
            <w:tcW w:w="1134" w:type="dxa"/>
            <w:tcBorders>
              <w:top w:val="nil"/>
              <w:bottom w:val="nil"/>
            </w:tcBorders>
            <w:shd w:val="clear" w:color="auto" w:fill="auto"/>
            <w:noWrap/>
            <w:vAlign w:val="bottom"/>
          </w:tcPr>
          <w:p w14:paraId="36583C5F" w14:textId="7E211202"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rPr>
              <w:t>16%</w:t>
            </w:r>
            <w:r w:rsidR="00086171" w:rsidRPr="00086171">
              <w:rPr>
                <w:rFonts w:ascii="Book Antiqua" w:hAnsi="Book Antiqua" w:hint="eastAsia"/>
                <w:color w:val="000000" w:themeColor="text1"/>
                <w:vertAlign w:val="superscript"/>
                <w:lang w:val="en-US" w:eastAsia="zh-CN"/>
              </w:rPr>
              <w:t>4</w:t>
            </w:r>
          </w:p>
        </w:tc>
      </w:tr>
      <w:tr w:rsidR="00086171" w:rsidRPr="004D2F50" w14:paraId="6A2DD097" w14:textId="77777777" w:rsidTr="00086171">
        <w:trPr>
          <w:gridAfter w:val="2"/>
          <w:wAfter w:w="4916" w:type="dxa"/>
          <w:trHeight w:val="304"/>
        </w:trPr>
        <w:tc>
          <w:tcPr>
            <w:tcW w:w="1526" w:type="dxa"/>
            <w:tcBorders>
              <w:top w:val="nil"/>
              <w:bottom w:val="single" w:sz="4" w:space="0" w:color="auto"/>
            </w:tcBorders>
            <w:shd w:val="clear" w:color="auto" w:fill="auto"/>
            <w:noWrap/>
            <w:vAlign w:val="bottom"/>
            <w:hideMark/>
          </w:tcPr>
          <w:p w14:paraId="0AB7802B" w14:textId="77777777" w:rsidR="004D2F50" w:rsidRPr="004D2F50" w:rsidRDefault="004D2F50" w:rsidP="004D2F50">
            <w:pPr>
              <w:spacing w:line="360" w:lineRule="auto"/>
              <w:rPr>
                <w:rFonts w:ascii="Book Antiqua" w:eastAsia="Times New Roman" w:hAnsi="Book Antiqua" w:cs="Arial"/>
                <w:color w:val="000000"/>
              </w:rPr>
            </w:pPr>
            <w:r w:rsidRPr="004D2F50">
              <w:rPr>
                <w:rFonts w:ascii="Book Antiqua" w:eastAsia="Times New Roman" w:hAnsi="Book Antiqua" w:cs="Arial"/>
                <w:color w:val="000000"/>
              </w:rPr>
              <w:t>Gwinn</w:t>
            </w:r>
          </w:p>
        </w:tc>
        <w:tc>
          <w:tcPr>
            <w:tcW w:w="992" w:type="dxa"/>
            <w:tcBorders>
              <w:top w:val="nil"/>
              <w:bottom w:val="single" w:sz="4" w:space="0" w:color="auto"/>
            </w:tcBorders>
            <w:shd w:val="clear" w:color="auto" w:fill="auto"/>
            <w:noWrap/>
            <w:vAlign w:val="bottom"/>
            <w:hideMark/>
          </w:tcPr>
          <w:p w14:paraId="3CBC9BA8"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2013</w:t>
            </w:r>
          </w:p>
        </w:tc>
        <w:tc>
          <w:tcPr>
            <w:tcW w:w="1304" w:type="dxa"/>
            <w:tcBorders>
              <w:top w:val="nil"/>
              <w:bottom w:val="single" w:sz="4" w:space="0" w:color="auto"/>
            </w:tcBorders>
            <w:shd w:val="clear" w:color="auto" w:fill="auto"/>
            <w:noWrap/>
            <w:vAlign w:val="bottom"/>
            <w:hideMark/>
          </w:tcPr>
          <w:p w14:paraId="2AAC520D" w14:textId="77777777" w:rsidR="004D2F50" w:rsidRPr="004D2F50" w:rsidRDefault="004D2F50" w:rsidP="00086171">
            <w:pPr>
              <w:spacing w:line="360" w:lineRule="auto"/>
              <w:jc w:val="center"/>
              <w:rPr>
                <w:rFonts w:ascii="Book Antiqua" w:eastAsia="Times New Roman" w:hAnsi="Book Antiqua" w:cs="Arial"/>
                <w:color w:val="000000"/>
              </w:rPr>
            </w:pPr>
            <w:r w:rsidRPr="004D2F50">
              <w:rPr>
                <w:rFonts w:ascii="Book Antiqua" w:eastAsia="Times New Roman" w:hAnsi="Book Antiqua" w:cs="Arial"/>
                <w:color w:val="000000"/>
              </w:rPr>
              <w:t>44</w:t>
            </w:r>
          </w:p>
        </w:tc>
        <w:tc>
          <w:tcPr>
            <w:tcW w:w="1140" w:type="dxa"/>
            <w:tcBorders>
              <w:top w:val="nil"/>
              <w:bottom w:val="single" w:sz="4" w:space="0" w:color="auto"/>
            </w:tcBorders>
            <w:shd w:val="clear" w:color="auto" w:fill="auto"/>
            <w:noWrap/>
            <w:vAlign w:val="bottom"/>
            <w:hideMark/>
          </w:tcPr>
          <w:p w14:paraId="2FD48448" w14:textId="77777777" w:rsidR="004D2F50" w:rsidRPr="004D2F50" w:rsidRDefault="004D2F50" w:rsidP="00086171">
            <w:pPr>
              <w:spacing w:line="360" w:lineRule="auto"/>
              <w:jc w:val="center"/>
              <w:rPr>
                <w:rFonts w:ascii="Book Antiqua" w:eastAsia="Times New Roman" w:hAnsi="Book Antiqua" w:cs="Arial"/>
              </w:rPr>
            </w:pPr>
            <w:r w:rsidRPr="004D2F50">
              <w:rPr>
                <w:rFonts w:ascii="Book Antiqua" w:eastAsia="Times New Roman" w:hAnsi="Book Antiqua" w:cs="Arial"/>
                <w:color w:val="000000"/>
              </w:rPr>
              <w:t>100%</w:t>
            </w:r>
          </w:p>
        </w:tc>
        <w:tc>
          <w:tcPr>
            <w:tcW w:w="1134" w:type="dxa"/>
            <w:tcBorders>
              <w:top w:val="nil"/>
              <w:bottom w:val="single" w:sz="4" w:space="0" w:color="auto"/>
            </w:tcBorders>
            <w:shd w:val="clear" w:color="auto" w:fill="auto"/>
            <w:noWrap/>
            <w:vAlign w:val="bottom"/>
            <w:hideMark/>
          </w:tcPr>
          <w:p w14:paraId="06E3838B" w14:textId="77777777" w:rsidR="004D2F50" w:rsidRPr="004D2F50" w:rsidRDefault="004D2F50" w:rsidP="00086171">
            <w:pPr>
              <w:spacing w:line="360" w:lineRule="auto"/>
              <w:jc w:val="center"/>
              <w:rPr>
                <w:rFonts w:ascii="Book Antiqua" w:eastAsia="Times New Roman" w:hAnsi="Book Antiqua" w:cs="Arial"/>
              </w:rPr>
            </w:pPr>
          </w:p>
        </w:tc>
        <w:tc>
          <w:tcPr>
            <w:tcW w:w="816" w:type="dxa"/>
            <w:tcBorders>
              <w:top w:val="nil"/>
              <w:bottom w:val="single" w:sz="4" w:space="0" w:color="auto"/>
            </w:tcBorders>
            <w:shd w:val="clear" w:color="auto" w:fill="auto"/>
            <w:noWrap/>
            <w:vAlign w:val="bottom"/>
            <w:hideMark/>
          </w:tcPr>
          <w:p w14:paraId="613A269D" w14:textId="77777777" w:rsidR="004D2F50" w:rsidRPr="004D2F50" w:rsidRDefault="004D2F50" w:rsidP="00086171">
            <w:pPr>
              <w:spacing w:line="360" w:lineRule="auto"/>
              <w:jc w:val="center"/>
              <w:rPr>
                <w:rFonts w:ascii="Book Antiqua" w:eastAsia="Times New Roman" w:hAnsi="Book Antiqua" w:cs="Arial"/>
              </w:rPr>
            </w:pPr>
          </w:p>
        </w:tc>
        <w:tc>
          <w:tcPr>
            <w:tcW w:w="851" w:type="dxa"/>
            <w:tcBorders>
              <w:top w:val="nil"/>
              <w:bottom w:val="single" w:sz="4" w:space="0" w:color="auto"/>
            </w:tcBorders>
            <w:shd w:val="clear" w:color="auto" w:fill="auto"/>
            <w:noWrap/>
            <w:vAlign w:val="bottom"/>
            <w:hideMark/>
          </w:tcPr>
          <w:p w14:paraId="0EE83AF1" w14:textId="77777777" w:rsidR="004D2F50" w:rsidRPr="004D2F50" w:rsidRDefault="004D2F50" w:rsidP="00086171">
            <w:pPr>
              <w:spacing w:line="360" w:lineRule="auto"/>
              <w:jc w:val="center"/>
              <w:rPr>
                <w:rFonts w:ascii="Book Antiqua" w:eastAsia="Times New Roman" w:hAnsi="Book Antiqua" w:cs="Arial"/>
              </w:rPr>
            </w:pPr>
          </w:p>
        </w:tc>
        <w:tc>
          <w:tcPr>
            <w:tcW w:w="1417" w:type="dxa"/>
            <w:tcBorders>
              <w:top w:val="nil"/>
              <w:bottom w:val="single" w:sz="4" w:space="0" w:color="auto"/>
            </w:tcBorders>
            <w:shd w:val="clear" w:color="auto" w:fill="auto"/>
            <w:noWrap/>
            <w:vAlign w:val="bottom"/>
            <w:hideMark/>
          </w:tcPr>
          <w:p w14:paraId="7E29E439" w14:textId="77777777" w:rsidR="004D2F50" w:rsidRPr="004D2F50" w:rsidRDefault="004D2F50" w:rsidP="00086171">
            <w:pPr>
              <w:spacing w:line="360" w:lineRule="auto"/>
              <w:jc w:val="center"/>
              <w:rPr>
                <w:rFonts w:ascii="Book Antiqua" w:eastAsia="Times New Roman" w:hAnsi="Book Antiqua" w:cs="Arial"/>
              </w:rPr>
            </w:pPr>
          </w:p>
        </w:tc>
        <w:tc>
          <w:tcPr>
            <w:tcW w:w="885" w:type="dxa"/>
            <w:tcBorders>
              <w:top w:val="nil"/>
              <w:bottom w:val="single" w:sz="4" w:space="0" w:color="auto"/>
            </w:tcBorders>
            <w:shd w:val="clear" w:color="auto" w:fill="auto"/>
            <w:noWrap/>
            <w:vAlign w:val="bottom"/>
            <w:hideMark/>
          </w:tcPr>
          <w:p w14:paraId="28255326"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single" w:sz="4" w:space="0" w:color="auto"/>
            </w:tcBorders>
            <w:shd w:val="clear" w:color="auto" w:fill="auto"/>
            <w:noWrap/>
            <w:vAlign w:val="bottom"/>
            <w:hideMark/>
          </w:tcPr>
          <w:p w14:paraId="3AF3969F" w14:textId="77777777" w:rsidR="004D2F50" w:rsidRPr="004D2F50" w:rsidRDefault="004D2F50" w:rsidP="00086171">
            <w:pPr>
              <w:spacing w:line="360" w:lineRule="auto"/>
              <w:jc w:val="center"/>
              <w:rPr>
                <w:rFonts w:ascii="Book Antiqua" w:eastAsia="Times New Roman" w:hAnsi="Book Antiqua" w:cs="Arial"/>
              </w:rPr>
            </w:pPr>
          </w:p>
        </w:tc>
        <w:tc>
          <w:tcPr>
            <w:tcW w:w="1242" w:type="dxa"/>
            <w:tcBorders>
              <w:top w:val="nil"/>
              <w:bottom w:val="single" w:sz="4" w:space="0" w:color="auto"/>
            </w:tcBorders>
            <w:shd w:val="clear" w:color="auto" w:fill="auto"/>
            <w:noWrap/>
            <w:vAlign w:val="bottom"/>
            <w:hideMark/>
          </w:tcPr>
          <w:p w14:paraId="2DE625FC" w14:textId="77777777" w:rsidR="004D2F50" w:rsidRPr="004D2F50" w:rsidRDefault="004D2F50" w:rsidP="00086171">
            <w:pPr>
              <w:spacing w:line="360" w:lineRule="auto"/>
              <w:jc w:val="center"/>
              <w:rPr>
                <w:rFonts w:ascii="Book Antiqua" w:eastAsia="Times New Roman" w:hAnsi="Book Antiqua" w:cs="Arial"/>
              </w:rPr>
            </w:pPr>
          </w:p>
        </w:tc>
        <w:tc>
          <w:tcPr>
            <w:tcW w:w="1451" w:type="dxa"/>
            <w:tcBorders>
              <w:top w:val="nil"/>
              <w:bottom w:val="single" w:sz="4" w:space="0" w:color="auto"/>
            </w:tcBorders>
            <w:shd w:val="clear" w:color="auto" w:fill="auto"/>
            <w:noWrap/>
            <w:vAlign w:val="bottom"/>
            <w:hideMark/>
          </w:tcPr>
          <w:p w14:paraId="714BEE50"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single" w:sz="4" w:space="0" w:color="auto"/>
            </w:tcBorders>
            <w:shd w:val="clear" w:color="auto" w:fill="auto"/>
            <w:noWrap/>
            <w:vAlign w:val="bottom"/>
            <w:hideMark/>
          </w:tcPr>
          <w:p w14:paraId="090274FE" w14:textId="77777777" w:rsidR="004D2F50" w:rsidRPr="004D2F50" w:rsidRDefault="004D2F50" w:rsidP="00086171">
            <w:pPr>
              <w:spacing w:line="360" w:lineRule="auto"/>
              <w:jc w:val="center"/>
              <w:rPr>
                <w:rFonts w:ascii="Book Antiqua" w:eastAsia="Times New Roman" w:hAnsi="Book Antiqua" w:cs="Arial"/>
              </w:rPr>
            </w:pPr>
          </w:p>
        </w:tc>
        <w:tc>
          <w:tcPr>
            <w:tcW w:w="1276" w:type="dxa"/>
            <w:tcBorders>
              <w:top w:val="nil"/>
              <w:bottom w:val="single" w:sz="4" w:space="0" w:color="auto"/>
            </w:tcBorders>
            <w:shd w:val="clear" w:color="auto" w:fill="auto"/>
            <w:noWrap/>
            <w:vAlign w:val="bottom"/>
            <w:hideMark/>
          </w:tcPr>
          <w:p w14:paraId="3E4EE667" w14:textId="77777777" w:rsidR="004D2F50" w:rsidRPr="004D2F50" w:rsidRDefault="004D2F50" w:rsidP="00086171">
            <w:pPr>
              <w:spacing w:line="360" w:lineRule="auto"/>
              <w:jc w:val="center"/>
              <w:rPr>
                <w:rFonts w:ascii="Book Antiqua" w:eastAsia="Times New Roman" w:hAnsi="Book Antiqua" w:cs="Arial"/>
              </w:rPr>
            </w:pPr>
          </w:p>
        </w:tc>
        <w:tc>
          <w:tcPr>
            <w:tcW w:w="1134" w:type="dxa"/>
            <w:tcBorders>
              <w:top w:val="nil"/>
              <w:bottom w:val="single" w:sz="4" w:space="0" w:color="auto"/>
            </w:tcBorders>
            <w:shd w:val="clear" w:color="auto" w:fill="auto"/>
            <w:noWrap/>
            <w:vAlign w:val="bottom"/>
            <w:hideMark/>
          </w:tcPr>
          <w:p w14:paraId="73E9C4BF" w14:textId="5038EE90" w:rsidR="004D2F50" w:rsidRPr="004D2F50" w:rsidRDefault="004D2F50" w:rsidP="00086171">
            <w:pPr>
              <w:spacing w:line="360" w:lineRule="auto"/>
              <w:jc w:val="center"/>
              <w:rPr>
                <w:rFonts w:ascii="Book Antiqua" w:eastAsia="Times New Roman" w:hAnsi="Book Antiqua" w:cs="Arial"/>
              </w:rPr>
            </w:pPr>
          </w:p>
        </w:tc>
      </w:tr>
      <w:tr w:rsidR="004D2F50" w:rsidRPr="004D2F50" w14:paraId="1EB17DAE" w14:textId="77777777" w:rsidTr="00086171">
        <w:tblPrEx>
          <w:tblLook w:val="0000" w:firstRow="0" w:lastRow="0" w:firstColumn="0" w:lastColumn="0" w:noHBand="0" w:noVBand="0"/>
        </w:tblPrEx>
        <w:trPr>
          <w:gridBefore w:val="16"/>
          <w:wBefore w:w="21493" w:type="dxa"/>
          <w:trHeight w:val="100"/>
        </w:trPr>
        <w:tc>
          <w:tcPr>
            <w:tcW w:w="859" w:type="dxa"/>
          </w:tcPr>
          <w:p w14:paraId="7AA81EC6" w14:textId="77777777" w:rsidR="004D2F50" w:rsidRPr="004D2F50" w:rsidRDefault="004D2F50" w:rsidP="004D2F50">
            <w:pPr>
              <w:spacing w:line="360" w:lineRule="auto"/>
              <w:rPr>
                <w:rFonts w:ascii="Book Antiqua" w:hAnsi="Book Antiqua" w:cs="Arial"/>
                <w:lang w:eastAsia="zh-CN"/>
              </w:rPr>
            </w:pPr>
          </w:p>
        </w:tc>
      </w:tr>
    </w:tbl>
    <w:p w14:paraId="12E89138" w14:textId="39D47816" w:rsidR="00086171" w:rsidRPr="00086171" w:rsidRDefault="00086171" w:rsidP="00086171">
      <w:pPr>
        <w:snapToGrid w:val="0"/>
        <w:spacing w:line="360" w:lineRule="auto"/>
        <w:jc w:val="both"/>
        <w:rPr>
          <w:rFonts w:ascii="Book Antiqua" w:hAnsi="Book Antiqua"/>
          <w:color w:val="000000" w:themeColor="text1"/>
          <w:lang w:val="en-US" w:eastAsia="zh-CN"/>
        </w:rPr>
      </w:pPr>
      <w:r w:rsidRPr="00086171">
        <w:rPr>
          <w:rFonts w:ascii="Book Antiqua" w:hAnsi="Book Antiqua" w:hint="eastAsia"/>
          <w:color w:val="000000" w:themeColor="text1"/>
          <w:vertAlign w:val="superscript"/>
          <w:lang w:val="en-US" w:eastAsia="zh-CN"/>
        </w:rPr>
        <w:t>1</w:t>
      </w:r>
      <w:r w:rsidRPr="00086171">
        <w:rPr>
          <w:rFonts w:ascii="Book Antiqua" w:hAnsi="Book Antiqua"/>
          <w:color w:val="000000" w:themeColor="text1"/>
          <w:lang w:val="en-US" w:eastAsia="zh-CN"/>
        </w:rPr>
        <w:t>Not influenced by inflammation</w:t>
      </w:r>
      <w:r>
        <w:rPr>
          <w:rFonts w:ascii="Book Antiqua" w:hAnsi="Book Antiqua" w:hint="eastAsia"/>
          <w:color w:val="000000" w:themeColor="text1"/>
          <w:lang w:val="en-US" w:eastAsia="zh-CN"/>
        </w:rPr>
        <w:t xml:space="preserve">; </w:t>
      </w:r>
      <w:r w:rsidRPr="00086171">
        <w:rPr>
          <w:rFonts w:ascii="Book Antiqua" w:hAnsi="Book Antiqua" w:hint="eastAsia"/>
          <w:color w:val="000000" w:themeColor="text1"/>
          <w:vertAlign w:val="superscript"/>
          <w:lang w:val="en-US" w:eastAsia="zh-CN"/>
        </w:rPr>
        <w:t>2</w:t>
      </w:r>
      <w:r w:rsidRPr="00086171">
        <w:rPr>
          <w:rFonts w:ascii="Book Antiqua" w:hAnsi="Book Antiqua"/>
          <w:color w:val="000000" w:themeColor="text1"/>
          <w:lang w:val="en-US" w:eastAsia="zh-CN"/>
        </w:rPr>
        <w:t>Influenced by inflammation</w:t>
      </w:r>
      <w:r>
        <w:rPr>
          <w:rFonts w:ascii="Book Antiqua" w:hAnsi="Book Antiqua" w:hint="eastAsia"/>
          <w:color w:val="000000" w:themeColor="text1"/>
          <w:lang w:val="en-US" w:eastAsia="zh-CN"/>
        </w:rPr>
        <w:t xml:space="preserve">; </w:t>
      </w:r>
      <w:r w:rsidRPr="00086171">
        <w:rPr>
          <w:rFonts w:ascii="Book Antiqua" w:hAnsi="Book Antiqua" w:hint="eastAsia"/>
          <w:color w:val="000000" w:themeColor="text1"/>
          <w:vertAlign w:val="superscript"/>
          <w:lang w:val="en-US" w:eastAsia="zh-CN"/>
        </w:rPr>
        <w:t>3</w:t>
      </w:r>
      <w:r w:rsidRPr="00086171">
        <w:rPr>
          <w:rFonts w:ascii="Book Antiqua" w:hAnsi="Book Antiqua"/>
          <w:color w:val="000000" w:themeColor="text1"/>
          <w:lang w:val="en-US" w:eastAsia="zh-CN"/>
        </w:rPr>
        <w:t>Junction not identified when CBD &lt;</w:t>
      </w:r>
      <w:r>
        <w:rPr>
          <w:rFonts w:ascii="Book Antiqua" w:hAnsi="Book Antiqua" w:hint="eastAsia"/>
          <w:color w:val="000000" w:themeColor="text1"/>
          <w:lang w:val="en-US" w:eastAsia="zh-CN"/>
        </w:rPr>
        <w:t xml:space="preserve"> </w:t>
      </w:r>
      <w:r w:rsidRPr="00086171">
        <w:rPr>
          <w:rFonts w:ascii="Book Antiqua" w:hAnsi="Book Antiqua"/>
          <w:color w:val="000000" w:themeColor="text1"/>
          <w:lang w:val="en-US" w:eastAsia="zh-CN"/>
        </w:rPr>
        <w:t>5</w:t>
      </w:r>
      <w:r>
        <w:rPr>
          <w:rFonts w:ascii="Book Antiqua" w:hAnsi="Book Antiqua" w:hint="eastAsia"/>
          <w:color w:val="000000" w:themeColor="text1"/>
          <w:lang w:val="en-US" w:eastAsia="zh-CN"/>
        </w:rPr>
        <w:t xml:space="preserve"> </w:t>
      </w:r>
      <w:r w:rsidRPr="00086171">
        <w:rPr>
          <w:rFonts w:ascii="Book Antiqua" w:hAnsi="Book Antiqua"/>
          <w:color w:val="000000" w:themeColor="text1"/>
          <w:lang w:val="en-US" w:eastAsia="zh-CN"/>
        </w:rPr>
        <w:t>mm</w:t>
      </w:r>
      <w:r>
        <w:rPr>
          <w:rFonts w:ascii="Book Antiqua" w:hAnsi="Book Antiqua" w:hint="eastAsia"/>
          <w:color w:val="000000" w:themeColor="text1"/>
          <w:lang w:val="en-US" w:eastAsia="zh-CN"/>
        </w:rPr>
        <w:t xml:space="preserve">; </w:t>
      </w:r>
      <w:r w:rsidRPr="00086171">
        <w:rPr>
          <w:rFonts w:ascii="Book Antiqua" w:hAnsi="Book Antiqua" w:hint="eastAsia"/>
          <w:color w:val="000000" w:themeColor="text1"/>
          <w:vertAlign w:val="superscript"/>
          <w:lang w:val="en-US" w:eastAsia="zh-CN"/>
        </w:rPr>
        <w:t>4</w:t>
      </w:r>
      <w:r w:rsidRPr="00086171">
        <w:rPr>
          <w:rFonts w:ascii="Book Antiqua" w:hAnsi="Book Antiqua"/>
          <w:color w:val="000000" w:themeColor="text1"/>
          <w:lang w:val="en-US" w:eastAsia="zh-CN"/>
        </w:rPr>
        <w:t>Accessory RHA (right hepatic artery) 8%, replaced RHA 6%, anterior cystic artery 2%</w:t>
      </w:r>
      <w:r>
        <w:rPr>
          <w:rFonts w:ascii="Book Antiqua" w:hAnsi="Book Antiqua" w:hint="eastAsia"/>
          <w:color w:val="000000" w:themeColor="text1"/>
          <w:lang w:val="en-US" w:eastAsia="zh-CN"/>
        </w:rPr>
        <w:t>.</w:t>
      </w:r>
      <w:r w:rsidR="00754ECB">
        <w:rPr>
          <w:rFonts w:ascii="Book Antiqua" w:hAnsi="Book Antiqua" w:hint="eastAsia"/>
          <w:color w:val="000000" w:themeColor="text1"/>
          <w:lang w:val="en-US" w:eastAsia="zh-CN"/>
        </w:rPr>
        <w:t xml:space="preserve"> </w:t>
      </w:r>
      <w:r w:rsidR="00754ECB" w:rsidRPr="00124E11">
        <w:rPr>
          <w:rFonts w:ascii="Book Antiqua" w:hAnsi="Book Antiqua" w:cs="Arial"/>
          <w:color w:val="000000" w:themeColor="text1"/>
          <w:lang w:val="en-US"/>
        </w:rPr>
        <w:t xml:space="preserve">CHD: </w:t>
      </w:r>
      <w:r w:rsidR="00754ECB" w:rsidRPr="00F83CB3">
        <w:rPr>
          <w:rFonts w:ascii="Book Antiqua" w:hAnsi="Book Antiqua" w:cs="Arial"/>
          <w:caps/>
          <w:color w:val="000000" w:themeColor="text1"/>
          <w:lang w:val="en-US"/>
        </w:rPr>
        <w:t>c</w:t>
      </w:r>
      <w:r w:rsidR="00754ECB" w:rsidRPr="00124E11">
        <w:rPr>
          <w:rFonts w:ascii="Book Antiqua" w:hAnsi="Book Antiqua" w:cs="Arial"/>
          <w:color w:val="000000" w:themeColor="text1"/>
          <w:lang w:val="en-US"/>
        </w:rPr>
        <w:t>ommon hepatic duct</w:t>
      </w:r>
      <w:r w:rsidR="00754ECB">
        <w:rPr>
          <w:rFonts w:ascii="Book Antiqua" w:hAnsi="Book Antiqua" w:cs="Arial" w:hint="eastAsia"/>
          <w:color w:val="000000" w:themeColor="text1"/>
          <w:lang w:val="en-US" w:eastAsia="zh-CN"/>
        </w:rPr>
        <w:t>;</w:t>
      </w:r>
      <w:r w:rsidR="00754ECB">
        <w:rPr>
          <w:rFonts w:ascii="Book Antiqua" w:hAnsi="Book Antiqua" w:cs="Arial"/>
          <w:color w:val="000000" w:themeColor="text1"/>
          <w:lang w:val="en-US"/>
        </w:rPr>
        <w:t xml:space="preserve"> </w:t>
      </w:r>
      <w:r w:rsidR="00754ECB" w:rsidRPr="00124E11">
        <w:rPr>
          <w:rFonts w:ascii="Book Antiqua" w:hAnsi="Book Antiqua" w:cs="Arial"/>
          <w:color w:val="000000" w:themeColor="text1"/>
          <w:lang w:val="en-US"/>
        </w:rPr>
        <w:t>CBD:</w:t>
      </w:r>
      <w:r w:rsidR="00754ECB" w:rsidRPr="00F83CB3">
        <w:rPr>
          <w:rFonts w:ascii="Book Antiqua" w:hAnsi="Book Antiqua" w:cs="Arial"/>
          <w:caps/>
          <w:color w:val="000000" w:themeColor="text1"/>
          <w:lang w:val="en-US"/>
        </w:rPr>
        <w:t xml:space="preserve"> c</w:t>
      </w:r>
      <w:r w:rsidR="00754ECB">
        <w:rPr>
          <w:rFonts w:ascii="Book Antiqua" w:hAnsi="Book Antiqua" w:cs="Arial"/>
          <w:color w:val="000000" w:themeColor="text1"/>
          <w:lang w:val="en-US"/>
        </w:rPr>
        <w:t>ommon bile duct</w:t>
      </w:r>
      <w:r w:rsidR="00754ECB">
        <w:rPr>
          <w:rFonts w:ascii="Book Antiqua" w:hAnsi="Book Antiqua" w:cs="Arial" w:hint="eastAsia"/>
          <w:color w:val="000000" w:themeColor="text1"/>
          <w:lang w:val="en-US" w:eastAsia="zh-CN"/>
        </w:rPr>
        <w:t>.</w:t>
      </w:r>
    </w:p>
    <w:p w14:paraId="30D95D65" w14:textId="34AF04FC" w:rsidR="008C1693" w:rsidRDefault="008C1693">
      <w:pPr>
        <w:rPr>
          <w:rFonts w:ascii="Book Antiqua" w:hAnsi="Book Antiqua"/>
          <w:color w:val="000000" w:themeColor="text1"/>
          <w:lang w:val="en-US" w:eastAsia="zh-CN"/>
        </w:rPr>
      </w:pPr>
      <w:r>
        <w:rPr>
          <w:rFonts w:ascii="Book Antiqua" w:hAnsi="Book Antiqua"/>
          <w:color w:val="000000" w:themeColor="text1"/>
          <w:lang w:val="en-US" w:eastAsia="zh-CN"/>
        </w:rPr>
        <w:br w:type="page"/>
      </w:r>
    </w:p>
    <w:p w14:paraId="29A985F1" w14:textId="5FD90381" w:rsidR="008C1693" w:rsidRPr="00434D3B" w:rsidRDefault="008C1693" w:rsidP="008C1693">
      <w:pPr>
        <w:spacing w:line="360" w:lineRule="auto"/>
        <w:rPr>
          <w:rFonts w:ascii="Book Antiqua" w:eastAsia="Times New Roman" w:hAnsi="Book Antiqua" w:cs="Times New Roman"/>
          <w:b/>
          <w:color w:val="000000"/>
        </w:rPr>
      </w:pPr>
      <w:r w:rsidRPr="00434D3B">
        <w:rPr>
          <w:rFonts w:ascii="Book Antiqua" w:eastAsia="Times New Roman" w:hAnsi="Book Antiqua" w:cs="Times New Roman"/>
          <w:b/>
          <w:color w:val="000000"/>
        </w:rPr>
        <w:lastRenderedPageBreak/>
        <w:t>Table 4</w:t>
      </w:r>
      <w:r w:rsidRPr="00434D3B">
        <w:rPr>
          <w:rFonts w:ascii="Book Antiqua" w:hAnsi="Book Antiqua" w:cs="Times New Roman"/>
          <w:b/>
          <w:color w:val="000000"/>
          <w:lang w:eastAsia="zh-CN"/>
        </w:rPr>
        <w:t xml:space="preserve"> </w:t>
      </w:r>
      <w:r w:rsidRPr="00434D3B">
        <w:rPr>
          <w:rFonts w:ascii="Book Antiqua" w:eastAsia="Times New Roman" w:hAnsi="Book Antiqua" w:cs="Times New Roman"/>
          <w:b/>
          <w:color w:val="000000"/>
        </w:rPr>
        <w:t xml:space="preserve">Reports of </w:t>
      </w:r>
      <w:r w:rsidR="00434D3B" w:rsidRPr="00434D3B">
        <w:rPr>
          <w:rFonts w:ascii="Book Antiqua" w:eastAsia="Times New Roman" w:hAnsi="Book Antiqua" w:cs="Times New Roman"/>
          <w:b/>
          <w:color w:val="000000"/>
        </w:rPr>
        <w:t xml:space="preserve">laparoscopic ultrasound </w:t>
      </w:r>
      <w:r w:rsidRPr="00434D3B">
        <w:rPr>
          <w:rFonts w:ascii="Book Antiqua" w:eastAsia="Times New Roman" w:hAnsi="Book Antiqua" w:cs="Times New Roman"/>
          <w:b/>
          <w:color w:val="000000"/>
        </w:rPr>
        <w:t>used during acute or chronic cholecystitis</w:t>
      </w:r>
    </w:p>
    <w:tbl>
      <w:tblPr>
        <w:tblW w:w="14538" w:type="dxa"/>
        <w:tblBorders>
          <w:top w:val="single" w:sz="4" w:space="0" w:color="auto"/>
          <w:bottom w:val="single" w:sz="4" w:space="0" w:color="auto"/>
        </w:tblBorders>
        <w:tblLook w:val="04A0" w:firstRow="1" w:lastRow="0" w:firstColumn="1" w:lastColumn="0" w:noHBand="0" w:noVBand="1"/>
      </w:tblPr>
      <w:tblGrid>
        <w:gridCol w:w="1942"/>
        <w:gridCol w:w="1143"/>
        <w:gridCol w:w="2495"/>
        <w:gridCol w:w="2892"/>
        <w:gridCol w:w="6066"/>
      </w:tblGrid>
      <w:tr w:rsidR="008C1693" w:rsidRPr="008C1693" w14:paraId="1F781DD5" w14:textId="77777777" w:rsidTr="005535C3">
        <w:trPr>
          <w:trHeight w:val="305"/>
        </w:trPr>
        <w:tc>
          <w:tcPr>
            <w:tcW w:w="1942" w:type="dxa"/>
            <w:tcBorders>
              <w:top w:val="single" w:sz="4" w:space="0" w:color="auto"/>
              <w:bottom w:val="single" w:sz="4" w:space="0" w:color="auto"/>
            </w:tcBorders>
            <w:shd w:val="clear" w:color="auto" w:fill="auto"/>
            <w:noWrap/>
            <w:vAlign w:val="bottom"/>
            <w:hideMark/>
          </w:tcPr>
          <w:p w14:paraId="029473B0" w14:textId="77777777" w:rsidR="008C1693" w:rsidRPr="008C1693" w:rsidRDefault="008C1693" w:rsidP="008C1693">
            <w:pPr>
              <w:snapToGrid w:val="0"/>
              <w:spacing w:line="360" w:lineRule="auto"/>
              <w:jc w:val="both"/>
              <w:rPr>
                <w:rFonts w:ascii="Book Antiqua" w:hAnsi="Book Antiqua"/>
                <w:b/>
                <w:color w:val="000000" w:themeColor="text1"/>
                <w:lang w:val="en-US" w:eastAsia="zh-CN"/>
              </w:rPr>
            </w:pPr>
            <w:r w:rsidRPr="008C1693">
              <w:rPr>
                <w:rFonts w:ascii="Book Antiqua" w:hAnsi="Book Antiqua"/>
                <w:b/>
                <w:color w:val="000000" w:themeColor="text1"/>
                <w:lang w:val="en-US" w:eastAsia="zh-CN"/>
              </w:rPr>
              <w:t>Author</w:t>
            </w:r>
          </w:p>
        </w:tc>
        <w:tc>
          <w:tcPr>
            <w:tcW w:w="1143" w:type="dxa"/>
            <w:tcBorders>
              <w:top w:val="single" w:sz="4" w:space="0" w:color="auto"/>
              <w:bottom w:val="single" w:sz="4" w:space="0" w:color="auto"/>
            </w:tcBorders>
            <w:shd w:val="clear" w:color="auto" w:fill="auto"/>
            <w:noWrap/>
            <w:vAlign w:val="bottom"/>
            <w:hideMark/>
          </w:tcPr>
          <w:p w14:paraId="1426DD43" w14:textId="4DE47466" w:rsidR="008C1693" w:rsidRPr="008C1693" w:rsidRDefault="008C1693" w:rsidP="008C1693">
            <w:pPr>
              <w:snapToGrid w:val="0"/>
              <w:spacing w:line="360" w:lineRule="auto"/>
              <w:jc w:val="center"/>
              <w:rPr>
                <w:rFonts w:ascii="Book Antiqua" w:hAnsi="Book Antiqua"/>
                <w:b/>
                <w:color w:val="000000" w:themeColor="text1"/>
                <w:lang w:val="en-US" w:eastAsia="zh-CN"/>
              </w:rPr>
            </w:pPr>
            <w:r w:rsidRPr="008C1693">
              <w:rPr>
                <w:rFonts w:ascii="Book Antiqua" w:hAnsi="Book Antiqua"/>
                <w:b/>
                <w:color w:val="000000" w:themeColor="text1"/>
                <w:lang w:val="en-US" w:eastAsia="zh-CN"/>
              </w:rPr>
              <w:t>Year</w:t>
            </w:r>
          </w:p>
        </w:tc>
        <w:tc>
          <w:tcPr>
            <w:tcW w:w="2495" w:type="dxa"/>
            <w:tcBorders>
              <w:top w:val="single" w:sz="4" w:space="0" w:color="auto"/>
              <w:bottom w:val="single" w:sz="4" w:space="0" w:color="auto"/>
            </w:tcBorders>
            <w:shd w:val="clear" w:color="auto" w:fill="auto"/>
            <w:noWrap/>
            <w:vAlign w:val="bottom"/>
            <w:hideMark/>
          </w:tcPr>
          <w:p w14:paraId="32032145" w14:textId="2FF70777" w:rsidR="008C1693" w:rsidRPr="008C1693" w:rsidRDefault="008C1693" w:rsidP="008C1693">
            <w:pPr>
              <w:snapToGrid w:val="0"/>
              <w:spacing w:line="360" w:lineRule="auto"/>
              <w:jc w:val="center"/>
              <w:rPr>
                <w:rFonts w:ascii="Book Antiqua" w:hAnsi="Book Antiqua"/>
                <w:b/>
                <w:color w:val="000000" w:themeColor="text1"/>
                <w:lang w:val="en-US" w:eastAsia="zh-CN"/>
              </w:rPr>
            </w:pPr>
            <w:r w:rsidRPr="008C1693">
              <w:rPr>
                <w:rFonts w:ascii="Book Antiqua" w:hAnsi="Book Antiqua"/>
                <w:b/>
                <w:color w:val="000000" w:themeColor="text1"/>
                <w:lang w:val="en-US" w:eastAsia="zh-CN"/>
              </w:rPr>
              <w:t>Number of patients</w:t>
            </w:r>
          </w:p>
        </w:tc>
        <w:tc>
          <w:tcPr>
            <w:tcW w:w="2892" w:type="dxa"/>
            <w:tcBorders>
              <w:top w:val="single" w:sz="4" w:space="0" w:color="auto"/>
              <w:bottom w:val="single" w:sz="4" w:space="0" w:color="auto"/>
            </w:tcBorders>
            <w:shd w:val="clear" w:color="auto" w:fill="auto"/>
            <w:noWrap/>
            <w:vAlign w:val="bottom"/>
            <w:hideMark/>
          </w:tcPr>
          <w:p w14:paraId="3D201AF3" w14:textId="32E633C7" w:rsidR="008C1693" w:rsidRPr="008C1693" w:rsidRDefault="008C1693" w:rsidP="008C1693">
            <w:pPr>
              <w:snapToGrid w:val="0"/>
              <w:spacing w:line="360" w:lineRule="auto"/>
              <w:jc w:val="center"/>
              <w:rPr>
                <w:rFonts w:ascii="Book Antiqua" w:hAnsi="Book Antiqua"/>
                <w:b/>
                <w:color w:val="000000" w:themeColor="text1"/>
                <w:lang w:val="en-US" w:eastAsia="zh-CN"/>
              </w:rPr>
            </w:pPr>
            <w:r w:rsidRPr="008C1693">
              <w:rPr>
                <w:rFonts w:ascii="Book Antiqua" w:hAnsi="Book Antiqua"/>
                <w:b/>
                <w:color w:val="000000" w:themeColor="text1"/>
                <w:lang w:val="en-US" w:eastAsia="zh-CN"/>
              </w:rPr>
              <w:t>Inflammatory disease %</w:t>
            </w:r>
          </w:p>
        </w:tc>
        <w:tc>
          <w:tcPr>
            <w:tcW w:w="6066" w:type="dxa"/>
            <w:tcBorders>
              <w:top w:val="single" w:sz="4" w:space="0" w:color="auto"/>
              <w:bottom w:val="single" w:sz="4" w:space="0" w:color="auto"/>
            </w:tcBorders>
            <w:shd w:val="clear" w:color="auto" w:fill="auto"/>
            <w:noWrap/>
            <w:vAlign w:val="bottom"/>
            <w:hideMark/>
          </w:tcPr>
          <w:p w14:paraId="627E39B1" w14:textId="43CAB031" w:rsidR="008C1693" w:rsidRPr="008C1693" w:rsidRDefault="008C1693" w:rsidP="008C1693">
            <w:pPr>
              <w:snapToGrid w:val="0"/>
              <w:spacing w:line="360" w:lineRule="auto"/>
              <w:jc w:val="center"/>
              <w:rPr>
                <w:rFonts w:ascii="Book Antiqua" w:hAnsi="Book Antiqua"/>
                <w:b/>
                <w:color w:val="000000" w:themeColor="text1"/>
                <w:lang w:val="en-US" w:eastAsia="zh-CN"/>
              </w:rPr>
            </w:pPr>
            <w:r w:rsidRPr="008C1693">
              <w:rPr>
                <w:rFonts w:ascii="Book Antiqua" w:hAnsi="Book Antiqua"/>
                <w:b/>
                <w:color w:val="000000" w:themeColor="text1"/>
                <w:lang w:val="en-US" w:eastAsia="zh-CN"/>
              </w:rPr>
              <w:t>Comments</w:t>
            </w:r>
          </w:p>
        </w:tc>
      </w:tr>
      <w:tr w:rsidR="008C1693" w:rsidRPr="008C1693" w14:paraId="566A6083" w14:textId="77777777" w:rsidTr="005535C3">
        <w:trPr>
          <w:trHeight w:val="305"/>
        </w:trPr>
        <w:tc>
          <w:tcPr>
            <w:tcW w:w="1942" w:type="dxa"/>
            <w:tcBorders>
              <w:top w:val="single" w:sz="4" w:space="0" w:color="auto"/>
            </w:tcBorders>
            <w:shd w:val="clear" w:color="auto" w:fill="auto"/>
            <w:noWrap/>
            <w:vAlign w:val="bottom"/>
            <w:hideMark/>
          </w:tcPr>
          <w:p w14:paraId="5E1D48BF"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color w:val="000000" w:themeColor="text1"/>
                <w:lang w:val="en-US" w:eastAsia="zh-CN"/>
              </w:rPr>
              <w:t>Biffl</w:t>
            </w:r>
          </w:p>
        </w:tc>
        <w:tc>
          <w:tcPr>
            <w:tcW w:w="1143" w:type="dxa"/>
            <w:tcBorders>
              <w:top w:val="single" w:sz="4" w:space="0" w:color="auto"/>
            </w:tcBorders>
            <w:shd w:val="clear" w:color="auto" w:fill="auto"/>
            <w:noWrap/>
            <w:vAlign w:val="bottom"/>
            <w:hideMark/>
          </w:tcPr>
          <w:p w14:paraId="247CB575"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2001</w:t>
            </w:r>
          </w:p>
        </w:tc>
        <w:tc>
          <w:tcPr>
            <w:tcW w:w="2495" w:type="dxa"/>
            <w:tcBorders>
              <w:top w:val="single" w:sz="4" w:space="0" w:color="auto"/>
            </w:tcBorders>
            <w:shd w:val="clear" w:color="auto" w:fill="auto"/>
            <w:noWrap/>
            <w:vAlign w:val="bottom"/>
            <w:hideMark/>
          </w:tcPr>
          <w:p w14:paraId="5F4A1CD3"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248</w:t>
            </w:r>
          </w:p>
        </w:tc>
        <w:tc>
          <w:tcPr>
            <w:tcW w:w="2892" w:type="dxa"/>
            <w:tcBorders>
              <w:top w:val="single" w:sz="4" w:space="0" w:color="auto"/>
            </w:tcBorders>
            <w:shd w:val="clear" w:color="auto" w:fill="auto"/>
            <w:noWrap/>
            <w:vAlign w:val="bottom"/>
            <w:hideMark/>
          </w:tcPr>
          <w:p w14:paraId="3940A3E5" w14:textId="1A55BB3E"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37</w:t>
            </w:r>
            <w:r>
              <w:rPr>
                <w:rFonts w:ascii="Book Antiqua" w:hAnsi="Book Antiqua" w:hint="eastAsia"/>
                <w:color w:val="000000" w:themeColor="text1"/>
                <w:lang w:val="en-US" w:eastAsia="zh-CN"/>
              </w:rPr>
              <w:t>.</w:t>
            </w:r>
            <w:r w:rsidRPr="008C1693">
              <w:rPr>
                <w:rFonts w:ascii="Book Antiqua" w:hAnsi="Book Antiqua"/>
                <w:color w:val="000000" w:themeColor="text1"/>
                <w:lang w:val="en-US" w:eastAsia="zh-CN"/>
              </w:rPr>
              <w:t>5</w:t>
            </w:r>
          </w:p>
        </w:tc>
        <w:tc>
          <w:tcPr>
            <w:tcW w:w="6066" w:type="dxa"/>
            <w:tcBorders>
              <w:top w:val="single" w:sz="4" w:space="0" w:color="auto"/>
            </w:tcBorders>
            <w:shd w:val="clear" w:color="auto" w:fill="auto"/>
            <w:noWrap/>
            <w:vAlign w:val="bottom"/>
            <w:hideMark/>
          </w:tcPr>
          <w:p w14:paraId="7FDC487A" w14:textId="052A4789" w:rsidR="008C1693" w:rsidRPr="008C1693" w:rsidRDefault="008C1693" w:rsidP="008C1693">
            <w:pPr>
              <w:snapToGrid w:val="0"/>
              <w:spacing w:line="360" w:lineRule="auto"/>
              <w:jc w:val="center"/>
              <w:rPr>
                <w:rFonts w:ascii="Book Antiqua" w:hAnsi="Book Antiqua"/>
                <w:color w:val="000000" w:themeColor="text1"/>
                <w:lang w:val="en-US" w:eastAsia="zh-CN"/>
              </w:rPr>
            </w:pPr>
          </w:p>
          <w:p w14:paraId="40D56AAE" w14:textId="4206FDB4" w:rsidR="008C1693" w:rsidRPr="008C1693" w:rsidRDefault="008C1693" w:rsidP="008C1693">
            <w:pPr>
              <w:snapToGrid w:val="0"/>
              <w:spacing w:line="360" w:lineRule="auto"/>
              <w:jc w:val="center"/>
              <w:rPr>
                <w:rFonts w:ascii="Book Antiqua" w:hAnsi="Book Antiqua"/>
                <w:color w:val="000000" w:themeColor="text1"/>
                <w:lang w:val="en-US" w:eastAsia="zh-CN"/>
              </w:rPr>
            </w:pPr>
          </w:p>
        </w:tc>
      </w:tr>
      <w:tr w:rsidR="008C1693" w:rsidRPr="008C1693" w14:paraId="5E79D28D" w14:textId="77777777" w:rsidTr="005535C3">
        <w:trPr>
          <w:trHeight w:val="305"/>
        </w:trPr>
        <w:tc>
          <w:tcPr>
            <w:tcW w:w="1942" w:type="dxa"/>
            <w:shd w:val="clear" w:color="auto" w:fill="auto"/>
            <w:noWrap/>
            <w:vAlign w:val="bottom"/>
            <w:hideMark/>
          </w:tcPr>
          <w:p w14:paraId="4A05707C"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color w:val="000000" w:themeColor="text1"/>
                <w:lang w:val="en-US" w:eastAsia="zh-CN"/>
              </w:rPr>
              <w:t>Catheline</w:t>
            </w:r>
          </w:p>
        </w:tc>
        <w:tc>
          <w:tcPr>
            <w:tcW w:w="1143" w:type="dxa"/>
            <w:shd w:val="clear" w:color="auto" w:fill="auto"/>
            <w:noWrap/>
            <w:vAlign w:val="bottom"/>
            <w:hideMark/>
          </w:tcPr>
          <w:p w14:paraId="4DB9184B"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2002</w:t>
            </w:r>
          </w:p>
        </w:tc>
        <w:tc>
          <w:tcPr>
            <w:tcW w:w="2495" w:type="dxa"/>
            <w:shd w:val="clear" w:color="auto" w:fill="auto"/>
            <w:noWrap/>
            <w:vAlign w:val="bottom"/>
            <w:hideMark/>
          </w:tcPr>
          <w:p w14:paraId="50E5C784"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900</w:t>
            </w:r>
          </w:p>
        </w:tc>
        <w:tc>
          <w:tcPr>
            <w:tcW w:w="2892" w:type="dxa"/>
            <w:shd w:val="clear" w:color="auto" w:fill="auto"/>
            <w:noWrap/>
            <w:vAlign w:val="bottom"/>
            <w:hideMark/>
          </w:tcPr>
          <w:p w14:paraId="1A23FDBB" w14:textId="36B4C14A"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28</w:t>
            </w:r>
            <w:r>
              <w:rPr>
                <w:rFonts w:ascii="Book Antiqua" w:hAnsi="Book Antiqua" w:hint="eastAsia"/>
                <w:color w:val="000000" w:themeColor="text1"/>
                <w:lang w:val="en-US" w:eastAsia="zh-CN"/>
              </w:rPr>
              <w:t>.</w:t>
            </w:r>
            <w:r w:rsidRPr="008C1693">
              <w:rPr>
                <w:rFonts w:ascii="Book Antiqua" w:hAnsi="Book Antiqua"/>
                <w:color w:val="000000" w:themeColor="text1"/>
                <w:lang w:val="en-US" w:eastAsia="zh-CN"/>
              </w:rPr>
              <w:t>2</w:t>
            </w:r>
          </w:p>
        </w:tc>
        <w:tc>
          <w:tcPr>
            <w:tcW w:w="6066" w:type="dxa"/>
            <w:shd w:val="clear" w:color="auto" w:fill="auto"/>
            <w:noWrap/>
            <w:vAlign w:val="bottom"/>
            <w:hideMark/>
          </w:tcPr>
          <w:p w14:paraId="71C99C30"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p>
        </w:tc>
      </w:tr>
      <w:tr w:rsidR="005535C3" w:rsidRPr="008C1693" w14:paraId="1EDB15BE" w14:textId="77777777" w:rsidTr="005535C3">
        <w:trPr>
          <w:trHeight w:val="305"/>
        </w:trPr>
        <w:tc>
          <w:tcPr>
            <w:tcW w:w="1942" w:type="dxa"/>
            <w:shd w:val="clear" w:color="auto" w:fill="auto"/>
            <w:noWrap/>
            <w:vAlign w:val="bottom"/>
            <w:hideMark/>
          </w:tcPr>
          <w:p w14:paraId="028F4178"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iCs/>
                <w:color w:val="000000" w:themeColor="text1"/>
                <w:lang w:val="en-US" w:eastAsia="zh-CN"/>
              </w:rPr>
              <w:t>Onders</w:t>
            </w:r>
          </w:p>
        </w:tc>
        <w:tc>
          <w:tcPr>
            <w:tcW w:w="1143" w:type="dxa"/>
            <w:shd w:val="clear" w:color="auto" w:fill="auto"/>
            <w:noWrap/>
            <w:vAlign w:val="bottom"/>
            <w:hideMark/>
          </w:tcPr>
          <w:p w14:paraId="4CCF4EB1"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iCs/>
                <w:color w:val="000000" w:themeColor="text1"/>
                <w:lang w:val="en-US" w:eastAsia="zh-CN"/>
              </w:rPr>
              <w:t>2005</w:t>
            </w:r>
          </w:p>
        </w:tc>
        <w:tc>
          <w:tcPr>
            <w:tcW w:w="2495" w:type="dxa"/>
            <w:shd w:val="clear" w:color="auto" w:fill="auto"/>
            <w:noWrap/>
            <w:vAlign w:val="bottom"/>
            <w:hideMark/>
          </w:tcPr>
          <w:p w14:paraId="480ABBB0"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iCs/>
                <w:color w:val="000000" w:themeColor="text1"/>
                <w:lang w:val="en-US" w:eastAsia="zh-CN"/>
              </w:rPr>
              <w:t>105</w:t>
            </w:r>
          </w:p>
        </w:tc>
        <w:tc>
          <w:tcPr>
            <w:tcW w:w="2892" w:type="dxa"/>
            <w:shd w:val="clear" w:color="auto" w:fill="auto"/>
            <w:noWrap/>
            <w:vAlign w:val="bottom"/>
            <w:hideMark/>
          </w:tcPr>
          <w:p w14:paraId="5ECF222E"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iCs/>
                <w:color w:val="000000" w:themeColor="text1"/>
                <w:lang w:val="en-US" w:eastAsia="zh-CN"/>
              </w:rPr>
              <w:t>6.3</w:t>
            </w:r>
          </w:p>
        </w:tc>
        <w:tc>
          <w:tcPr>
            <w:tcW w:w="6066" w:type="dxa"/>
            <w:shd w:val="clear" w:color="auto" w:fill="auto"/>
            <w:noWrap/>
            <w:vAlign w:val="bottom"/>
            <w:hideMark/>
          </w:tcPr>
          <w:p w14:paraId="4B5F3758" w14:textId="213FBF4E" w:rsidR="008C1693" w:rsidRPr="008C1693" w:rsidRDefault="008C1693" w:rsidP="008C1693">
            <w:pPr>
              <w:snapToGrid w:val="0"/>
              <w:spacing w:line="360" w:lineRule="auto"/>
              <w:jc w:val="center"/>
              <w:rPr>
                <w:rFonts w:ascii="Book Antiqua" w:hAnsi="Book Antiqua"/>
                <w:color w:val="000000" w:themeColor="text1"/>
                <w:lang w:val="en-US" w:eastAsia="zh-CN"/>
              </w:rPr>
            </w:pPr>
          </w:p>
        </w:tc>
      </w:tr>
      <w:tr w:rsidR="005535C3" w:rsidRPr="008C1693" w14:paraId="3EFB535E" w14:textId="77777777" w:rsidTr="005535C3">
        <w:trPr>
          <w:trHeight w:val="305"/>
        </w:trPr>
        <w:tc>
          <w:tcPr>
            <w:tcW w:w="1942" w:type="dxa"/>
            <w:shd w:val="clear" w:color="auto" w:fill="auto"/>
            <w:noWrap/>
            <w:vAlign w:val="bottom"/>
            <w:hideMark/>
          </w:tcPr>
          <w:p w14:paraId="55DDEDA4"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color w:val="000000" w:themeColor="text1"/>
                <w:lang w:val="en-US" w:eastAsia="zh-CN"/>
              </w:rPr>
              <w:t xml:space="preserve">Machi </w:t>
            </w:r>
          </w:p>
        </w:tc>
        <w:tc>
          <w:tcPr>
            <w:tcW w:w="1143" w:type="dxa"/>
            <w:shd w:val="clear" w:color="auto" w:fill="auto"/>
            <w:noWrap/>
            <w:vAlign w:val="bottom"/>
            <w:hideMark/>
          </w:tcPr>
          <w:p w14:paraId="3DF2A1B1"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2007</w:t>
            </w:r>
          </w:p>
        </w:tc>
        <w:tc>
          <w:tcPr>
            <w:tcW w:w="2495" w:type="dxa"/>
            <w:shd w:val="clear" w:color="auto" w:fill="auto"/>
            <w:noWrap/>
            <w:vAlign w:val="bottom"/>
            <w:hideMark/>
          </w:tcPr>
          <w:p w14:paraId="2031D978"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200</w:t>
            </w:r>
          </w:p>
        </w:tc>
        <w:tc>
          <w:tcPr>
            <w:tcW w:w="2892" w:type="dxa"/>
            <w:shd w:val="clear" w:color="auto" w:fill="auto"/>
            <w:noWrap/>
            <w:vAlign w:val="bottom"/>
            <w:hideMark/>
          </w:tcPr>
          <w:p w14:paraId="3370A617"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28.5</w:t>
            </w:r>
          </w:p>
        </w:tc>
        <w:tc>
          <w:tcPr>
            <w:tcW w:w="6066" w:type="dxa"/>
            <w:shd w:val="clear" w:color="auto" w:fill="auto"/>
            <w:noWrap/>
            <w:vAlign w:val="bottom"/>
            <w:hideMark/>
          </w:tcPr>
          <w:p w14:paraId="03A07D80" w14:textId="259ACFCE" w:rsidR="008C1693" w:rsidRPr="008C1693" w:rsidRDefault="008C1693" w:rsidP="008C1693">
            <w:pPr>
              <w:snapToGrid w:val="0"/>
              <w:spacing w:line="360" w:lineRule="auto"/>
              <w:jc w:val="center"/>
              <w:rPr>
                <w:rFonts w:ascii="Book Antiqua" w:hAnsi="Book Antiqua"/>
                <w:color w:val="000000" w:themeColor="text1"/>
                <w:lang w:val="en-US" w:eastAsia="zh-CN"/>
              </w:rPr>
            </w:pPr>
          </w:p>
        </w:tc>
      </w:tr>
      <w:tr w:rsidR="005535C3" w:rsidRPr="008C1693" w14:paraId="043E8BF6" w14:textId="77777777" w:rsidTr="005535C3">
        <w:trPr>
          <w:trHeight w:val="305"/>
        </w:trPr>
        <w:tc>
          <w:tcPr>
            <w:tcW w:w="1942" w:type="dxa"/>
            <w:shd w:val="clear" w:color="auto" w:fill="auto"/>
            <w:noWrap/>
            <w:vAlign w:val="bottom"/>
            <w:hideMark/>
          </w:tcPr>
          <w:p w14:paraId="4ABA1C02"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color w:val="000000" w:themeColor="text1"/>
                <w:lang w:val="en-US" w:eastAsia="zh-CN"/>
              </w:rPr>
              <w:t>Perry</w:t>
            </w:r>
          </w:p>
        </w:tc>
        <w:tc>
          <w:tcPr>
            <w:tcW w:w="1143" w:type="dxa"/>
            <w:shd w:val="clear" w:color="auto" w:fill="auto"/>
            <w:noWrap/>
            <w:vAlign w:val="bottom"/>
            <w:hideMark/>
          </w:tcPr>
          <w:p w14:paraId="60D150EA"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2007</w:t>
            </w:r>
          </w:p>
        </w:tc>
        <w:tc>
          <w:tcPr>
            <w:tcW w:w="2495" w:type="dxa"/>
            <w:shd w:val="clear" w:color="auto" w:fill="auto"/>
            <w:noWrap/>
            <w:vAlign w:val="bottom"/>
            <w:hideMark/>
          </w:tcPr>
          <w:p w14:paraId="591A1931"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236</w:t>
            </w:r>
          </w:p>
        </w:tc>
        <w:tc>
          <w:tcPr>
            <w:tcW w:w="2892" w:type="dxa"/>
            <w:shd w:val="clear" w:color="auto" w:fill="auto"/>
            <w:noWrap/>
            <w:vAlign w:val="bottom"/>
            <w:hideMark/>
          </w:tcPr>
          <w:p w14:paraId="59455420"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5.5</w:t>
            </w:r>
          </w:p>
        </w:tc>
        <w:tc>
          <w:tcPr>
            <w:tcW w:w="6066" w:type="dxa"/>
            <w:shd w:val="clear" w:color="auto" w:fill="auto"/>
            <w:noWrap/>
            <w:vAlign w:val="bottom"/>
            <w:hideMark/>
          </w:tcPr>
          <w:p w14:paraId="53B93BF8" w14:textId="3753D911"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LUS considered extremely valuable in 5.5%</w:t>
            </w:r>
          </w:p>
        </w:tc>
      </w:tr>
      <w:tr w:rsidR="005535C3" w:rsidRPr="008C1693" w14:paraId="15D87561" w14:textId="77777777" w:rsidTr="005535C3">
        <w:trPr>
          <w:trHeight w:val="305"/>
        </w:trPr>
        <w:tc>
          <w:tcPr>
            <w:tcW w:w="1942" w:type="dxa"/>
            <w:shd w:val="clear" w:color="auto" w:fill="auto"/>
            <w:noWrap/>
            <w:vAlign w:val="bottom"/>
            <w:hideMark/>
          </w:tcPr>
          <w:p w14:paraId="6E8C214C"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color w:val="000000" w:themeColor="text1"/>
                <w:lang w:val="en-US" w:eastAsia="zh-CN"/>
              </w:rPr>
              <w:t>Hakamada</w:t>
            </w:r>
          </w:p>
        </w:tc>
        <w:tc>
          <w:tcPr>
            <w:tcW w:w="1143" w:type="dxa"/>
            <w:shd w:val="clear" w:color="auto" w:fill="auto"/>
            <w:noWrap/>
            <w:vAlign w:val="bottom"/>
            <w:hideMark/>
          </w:tcPr>
          <w:p w14:paraId="10E66503"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2008</w:t>
            </w:r>
          </w:p>
        </w:tc>
        <w:tc>
          <w:tcPr>
            <w:tcW w:w="2495" w:type="dxa"/>
            <w:shd w:val="clear" w:color="auto" w:fill="auto"/>
            <w:noWrap/>
            <w:vAlign w:val="bottom"/>
            <w:hideMark/>
          </w:tcPr>
          <w:p w14:paraId="71BDD610"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299</w:t>
            </w:r>
          </w:p>
        </w:tc>
        <w:tc>
          <w:tcPr>
            <w:tcW w:w="2892" w:type="dxa"/>
            <w:shd w:val="clear" w:color="auto" w:fill="auto"/>
            <w:noWrap/>
            <w:vAlign w:val="bottom"/>
            <w:hideMark/>
          </w:tcPr>
          <w:p w14:paraId="1ACA29F0"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66.3</w:t>
            </w:r>
          </w:p>
        </w:tc>
        <w:tc>
          <w:tcPr>
            <w:tcW w:w="6066" w:type="dxa"/>
            <w:shd w:val="clear" w:color="auto" w:fill="auto"/>
            <w:noWrap/>
            <w:vAlign w:val="bottom"/>
            <w:hideMark/>
          </w:tcPr>
          <w:p w14:paraId="58B794E8"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13.4% with severe inflammatory disease during 2</w:t>
            </w:r>
            <w:r w:rsidRPr="008C1693">
              <w:rPr>
                <w:rFonts w:ascii="Book Antiqua" w:hAnsi="Book Antiqua"/>
                <w:color w:val="000000" w:themeColor="text1"/>
                <w:vertAlign w:val="superscript"/>
                <w:lang w:val="en-US" w:eastAsia="zh-CN"/>
              </w:rPr>
              <w:t>nd</w:t>
            </w:r>
            <w:r w:rsidRPr="008C1693">
              <w:rPr>
                <w:rFonts w:ascii="Book Antiqua" w:hAnsi="Book Antiqua"/>
                <w:color w:val="000000" w:themeColor="text1"/>
                <w:lang w:val="en-US" w:eastAsia="zh-CN"/>
              </w:rPr>
              <w:t xml:space="preserve"> period of study</w:t>
            </w:r>
          </w:p>
        </w:tc>
      </w:tr>
      <w:tr w:rsidR="005535C3" w:rsidRPr="008C1693" w14:paraId="5B9DB4F8" w14:textId="77777777" w:rsidTr="005535C3">
        <w:trPr>
          <w:trHeight w:val="305"/>
        </w:trPr>
        <w:tc>
          <w:tcPr>
            <w:tcW w:w="1942" w:type="dxa"/>
            <w:shd w:val="clear" w:color="auto" w:fill="auto"/>
            <w:noWrap/>
            <w:vAlign w:val="bottom"/>
            <w:hideMark/>
          </w:tcPr>
          <w:p w14:paraId="2C1BCFB3" w14:textId="77777777" w:rsidR="008C1693" w:rsidRPr="008C1693" w:rsidRDefault="008C1693" w:rsidP="008C1693">
            <w:pPr>
              <w:snapToGrid w:val="0"/>
              <w:spacing w:line="360" w:lineRule="auto"/>
              <w:jc w:val="both"/>
              <w:rPr>
                <w:rFonts w:ascii="Book Antiqua" w:hAnsi="Book Antiqua"/>
                <w:iCs/>
                <w:color w:val="000000" w:themeColor="text1"/>
                <w:lang w:val="en-US" w:eastAsia="zh-CN"/>
              </w:rPr>
            </w:pPr>
            <w:r w:rsidRPr="008C1693">
              <w:rPr>
                <w:rFonts w:ascii="Book Antiqua" w:hAnsi="Book Antiqua"/>
                <w:color w:val="000000" w:themeColor="text1"/>
                <w:lang w:val="en-US" w:eastAsia="zh-CN"/>
              </w:rPr>
              <w:t>Machi</w:t>
            </w:r>
          </w:p>
        </w:tc>
        <w:tc>
          <w:tcPr>
            <w:tcW w:w="1143" w:type="dxa"/>
            <w:shd w:val="clear" w:color="auto" w:fill="auto"/>
            <w:noWrap/>
            <w:vAlign w:val="bottom"/>
            <w:hideMark/>
          </w:tcPr>
          <w:p w14:paraId="41FBC81D" w14:textId="77777777"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2009</w:t>
            </w:r>
          </w:p>
        </w:tc>
        <w:tc>
          <w:tcPr>
            <w:tcW w:w="2495" w:type="dxa"/>
            <w:shd w:val="clear" w:color="auto" w:fill="auto"/>
            <w:noWrap/>
            <w:vAlign w:val="bottom"/>
            <w:hideMark/>
          </w:tcPr>
          <w:p w14:paraId="7338E250" w14:textId="77777777"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1352</w:t>
            </w:r>
          </w:p>
        </w:tc>
        <w:tc>
          <w:tcPr>
            <w:tcW w:w="2892" w:type="dxa"/>
            <w:shd w:val="clear" w:color="auto" w:fill="auto"/>
            <w:noWrap/>
            <w:vAlign w:val="bottom"/>
            <w:hideMark/>
          </w:tcPr>
          <w:p w14:paraId="684F18D6" w14:textId="77777777"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20.9</w:t>
            </w:r>
          </w:p>
        </w:tc>
        <w:tc>
          <w:tcPr>
            <w:tcW w:w="6066" w:type="dxa"/>
            <w:shd w:val="clear" w:color="auto" w:fill="auto"/>
            <w:noWrap/>
            <w:vAlign w:val="bottom"/>
            <w:hideMark/>
          </w:tcPr>
          <w:p w14:paraId="3D78BAA9" w14:textId="26BB35FF"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LUS considered extremely valuable in 5.9%</w:t>
            </w:r>
          </w:p>
        </w:tc>
      </w:tr>
      <w:tr w:rsidR="005535C3" w:rsidRPr="008C1693" w14:paraId="15ACA006" w14:textId="77777777" w:rsidTr="005535C3">
        <w:trPr>
          <w:trHeight w:val="305"/>
        </w:trPr>
        <w:tc>
          <w:tcPr>
            <w:tcW w:w="1942" w:type="dxa"/>
            <w:shd w:val="clear" w:color="auto" w:fill="auto"/>
            <w:noWrap/>
            <w:vAlign w:val="bottom"/>
            <w:hideMark/>
          </w:tcPr>
          <w:p w14:paraId="4C346430" w14:textId="77777777" w:rsidR="008C1693" w:rsidRPr="008C1693" w:rsidRDefault="008C1693" w:rsidP="008C1693">
            <w:pPr>
              <w:snapToGrid w:val="0"/>
              <w:spacing w:line="360" w:lineRule="auto"/>
              <w:jc w:val="both"/>
              <w:rPr>
                <w:rFonts w:ascii="Book Antiqua" w:hAnsi="Book Antiqua"/>
                <w:iCs/>
                <w:color w:val="000000" w:themeColor="text1"/>
                <w:lang w:val="en-US" w:eastAsia="zh-CN"/>
              </w:rPr>
            </w:pPr>
            <w:r w:rsidRPr="008C1693">
              <w:rPr>
                <w:rFonts w:ascii="Book Antiqua" w:hAnsi="Book Antiqua"/>
                <w:color w:val="000000" w:themeColor="text1"/>
                <w:lang w:val="en-US" w:eastAsia="zh-CN"/>
              </w:rPr>
              <w:t>Pfluke</w:t>
            </w:r>
          </w:p>
        </w:tc>
        <w:tc>
          <w:tcPr>
            <w:tcW w:w="1143" w:type="dxa"/>
            <w:shd w:val="clear" w:color="auto" w:fill="auto"/>
            <w:noWrap/>
            <w:vAlign w:val="bottom"/>
            <w:hideMark/>
          </w:tcPr>
          <w:p w14:paraId="10F453F7" w14:textId="77777777"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2011</w:t>
            </w:r>
          </w:p>
        </w:tc>
        <w:tc>
          <w:tcPr>
            <w:tcW w:w="2495" w:type="dxa"/>
            <w:shd w:val="clear" w:color="auto" w:fill="auto"/>
            <w:noWrap/>
            <w:vAlign w:val="bottom"/>
            <w:hideMark/>
          </w:tcPr>
          <w:p w14:paraId="0845EBFF" w14:textId="77777777"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50</w:t>
            </w:r>
          </w:p>
        </w:tc>
        <w:tc>
          <w:tcPr>
            <w:tcW w:w="2892" w:type="dxa"/>
            <w:shd w:val="clear" w:color="auto" w:fill="auto"/>
            <w:noWrap/>
            <w:vAlign w:val="bottom"/>
            <w:hideMark/>
          </w:tcPr>
          <w:p w14:paraId="7D7B5120" w14:textId="4F67FEE3"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66</w:t>
            </w:r>
            <w:r>
              <w:rPr>
                <w:rFonts w:ascii="Book Antiqua" w:hAnsi="Book Antiqua" w:hint="eastAsia"/>
                <w:color w:val="000000" w:themeColor="text1"/>
                <w:lang w:val="en-US" w:eastAsia="zh-CN"/>
              </w:rPr>
              <w:t>.0</w:t>
            </w:r>
          </w:p>
        </w:tc>
        <w:tc>
          <w:tcPr>
            <w:tcW w:w="6066" w:type="dxa"/>
            <w:shd w:val="clear" w:color="auto" w:fill="auto"/>
            <w:noWrap/>
            <w:vAlign w:val="bottom"/>
            <w:hideMark/>
          </w:tcPr>
          <w:p w14:paraId="7EE4415E" w14:textId="771342C9" w:rsidR="008C1693" w:rsidRPr="008C1693" w:rsidRDefault="008C1693" w:rsidP="008C1693">
            <w:pPr>
              <w:snapToGrid w:val="0"/>
              <w:spacing w:line="360" w:lineRule="auto"/>
              <w:jc w:val="center"/>
              <w:rPr>
                <w:rFonts w:ascii="Book Antiqua" w:hAnsi="Book Antiqua"/>
                <w:iCs/>
                <w:color w:val="000000" w:themeColor="text1"/>
                <w:lang w:val="en-US" w:eastAsia="zh-CN"/>
              </w:rPr>
            </w:pPr>
          </w:p>
        </w:tc>
      </w:tr>
      <w:tr w:rsidR="005535C3" w:rsidRPr="008C1693" w14:paraId="3EA84717" w14:textId="77777777" w:rsidTr="005535C3">
        <w:trPr>
          <w:trHeight w:val="305"/>
        </w:trPr>
        <w:tc>
          <w:tcPr>
            <w:tcW w:w="1942" w:type="dxa"/>
            <w:shd w:val="clear" w:color="auto" w:fill="auto"/>
            <w:noWrap/>
            <w:vAlign w:val="bottom"/>
            <w:hideMark/>
          </w:tcPr>
          <w:p w14:paraId="1A83B6D0" w14:textId="77777777" w:rsidR="008C1693" w:rsidRPr="008C1693" w:rsidRDefault="008C1693" w:rsidP="008C1693">
            <w:pPr>
              <w:snapToGrid w:val="0"/>
              <w:spacing w:line="360" w:lineRule="auto"/>
              <w:jc w:val="both"/>
              <w:rPr>
                <w:rFonts w:ascii="Book Antiqua" w:hAnsi="Book Antiqua"/>
                <w:color w:val="000000" w:themeColor="text1"/>
                <w:lang w:val="en-US" w:eastAsia="zh-CN"/>
              </w:rPr>
            </w:pPr>
            <w:r w:rsidRPr="008C1693">
              <w:rPr>
                <w:rFonts w:ascii="Book Antiqua" w:hAnsi="Book Antiqua"/>
                <w:color w:val="000000" w:themeColor="text1"/>
                <w:lang w:val="en-US" w:eastAsia="zh-CN"/>
              </w:rPr>
              <w:t>Gwinn</w:t>
            </w:r>
          </w:p>
        </w:tc>
        <w:tc>
          <w:tcPr>
            <w:tcW w:w="1143" w:type="dxa"/>
            <w:shd w:val="clear" w:color="auto" w:fill="auto"/>
            <w:noWrap/>
            <w:vAlign w:val="bottom"/>
            <w:hideMark/>
          </w:tcPr>
          <w:p w14:paraId="4A08F89E"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2013</w:t>
            </w:r>
          </w:p>
        </w:tc>
        <w:tc>
          <w:tcPr>
            <w:tcW w:w="2495" w:type="dxa"/>
            <w:shd w:val="clear" w:color="auto" w:fill="auto"/>
            <w:noWrap/>
            <w:vAlign w:val="bottom"/>
            <w:hideMark/>
          </w:tcPr>
          <w:p w14:paraId="5536A1EF" w14:textId="77777777" w:rsidR="008C1693" w:rsidRPr="008C1693" w:rsidRDefault="008C1693" w:rsidP="008C1693">
            <w:pPr>
              <w:snapToGrid w:val="0"/>
              <w:spacing w:line="360" w:lineRule="auto"/>
              <w:jc w:val="center"/>
              <w:rPr>
                <w:rFonts w:ascii="Book Antiqua" w:hAnsi="Book Antiqua"/>
                <w:color w:val="000000" w:themeColor="text1"/>
                <w:lang w:val="en-US" w:eastAsia="zh-CN"/>
              </w:rPr>
            </w:pPr>
            <w:r w:rsidRPr="008C1693">
              <w:rPr>
                <w:rFonts w:ascii="Book Antiqua" w:hAnsi="Book Antiqua"/>
                <w:color w:val="000000" w:themeColor="text1"/>
                <w:lang w:val="en-US" w:eastAsia="zh-CN"/>
              </w:rPr>
              <w:t>44</w:t>
            </w:r>
          </w:p>
        </w:tc>
        <w:tc>
          <w:tcPr>
            <w:tcW w:w="2892" w:type="dxa"/>
            <w:shd w:val="clear" w:color="auto" w:fill="auto"/>
            <w:noWrap/>
            <w:vAlign w:val="bottom"/>
            <w:hideMark/>
          </w:tcPr>
          <w:p w14:paraId="2BEF342E" w14:textId="63AA1D7C" w:rsidR="008C1693" w:rsidRPr="008C1693" w:rsidRDefault="008C1693" w:rsidP="008C1693">
            <w:pPr>
              <w:snapToGrid w:val="0"/>
              <w:spacing w:line="360" w:lineRule="auto"/>
              <w:jc w:val="center"/>
              <w:rPr>
                <w:rFonts w:ascii="Book Antiqua" w:hAnsi="Book Antiqua"/>
                <w:iCs/>
                <w:color w:val="000000" w:themeColor="text1"/>
                <w:lang w:val="en-US" w:eastAsia="zh-CN"/>
              </w:rPr>
            </w:pPr>
            <w:r w:rsidRPr="008C1693">
              <w:rPr>
                <w:rFonts w:ascii="Book Antiqua" w:hAnsi="Book Antiqua"/>
                <w:color w:val="000000" w:themeColor="text1"/>
                <w:lang w:val="en-US" w:eastAsia="zh-CN"/>
              </w:rPr>
              <w:t>100</w:t>
            </w:r>
            <w:r>
              <w:rPr>
                <w:rFonts w:ascii="Book Antiqua" w:hAnsi="Book Antiqua" w:hint="eastAsia"/>
                <w:color w:val="000000" w:themeColor="text1"/>
                <w:lang w:val="en-US" w:eastAsia="zh-CN"/>
              </w:rPr>
              <w:t>.0</w:t>
            </w:r>
          </w:p>
        </w:tc>
        <w:tc>
          <w:tcPr>
            <w:tcW w:w="6066" w:type="dxa"/>
            <w:shd w:val="clear" w:color="auto" w:fill="auto"/>
            <w:noWrap/>
            <w:vAlign w:val="bottom"/>
            <w:hideMark/>
          </w:tcPr>
          <w:p w14:paraId="12B180D6" w14:textId="38F62057" w:rsidR="008C1693" w:rsidRPr="008C1693" w:rsidRDefault="008C1693" w:rsidP="008C1693">
            <w:pPr>
              <w:snapToGrid w:val="0"/>
              <w:spacing w:line="360" w:lineRule="auto"/>
              <w:jc w:val="center"/>
              <w:rPr>
                <w:rFonts w:ascii="Book Antiqua" w:hAnsi="Book Antiqua"/>
                <w:iCs/>
                <w:color w:val="000000" w:themeColor="text1"/>
                <w:lang w:val="en-US" w:eastAsia="zh-CN"/>
              </w:rPr>
            </w:pPr>
          </w:p>
        </w:tc>
      </w:tr>
    </w:tbl>
    <w:p w14:paraId="69986D05" w14:textId="4818C26F" w:rsidR="002F2FC2" w:rsidRDefault="00434D3B" w:rsidP="00434D3B">
      <w:pPr>
        <w:snapToGrid w:val="0"/>
        <w:spacing w:line="360" w:lineRule="auto"/>
        <w:jc w:val="both"/>
        <w:rPr>
          <w:rFonts w:ascii="Book Antiqua" w:hAnsi="Book Antiqua" w:cs="Helvetica"/>
          <w:color w:val="000000" w:themeColor="text1"/>
          <w:lang w:val="en-US" w:eastAsia="zh-CN"/>
        </w:rPr>
      </w:pPr>
      <w:r w:rsidRPr="00A45A3B">
        <w:rPr>
          <w:rFonts w:ascii="Book Antiqua" w:hAnsi="Book Antiqua" w:cs="Helvetica"/>
          <w:color w:val="000000" w:themeColor="text1"/>
          <w:lang w:val="en-US"/>
        </w:rPr>
        <w:t>LUS</w:t>
      </w:r>
      <w:r w:rsidRPr="00A45A3B">
        <w:rPr>
          <w:rFonts w:ascii="Book Antiqua" w:hAnsi="Book Antiqua" w:cs="Helvetica" w:hint="eastAsia"/>
          <w:color w:val="000000" w:themeColor="text1"/>
          <w:lang w:val="en-US" w:eastAsia="zh-CN"/>
        </w:rPr>
        <w:t xml:space="preserve">: </w:t>
      </w:r>
      <w:r w:rsidRPr="00A45A3B">
        <w:rPr>
          <w:rFonts w:ascii="Book Antiqua" w:hAnsi="Book Antiqua" w:cs="Helvetica"/>
          <w:caps/>
          <w:color w:val="000000" w:themeColor="text1"/>
          <w:lang w:val="en-US"/>
        </w:rPr>
        <w:t>l</w:t>
      </w:r>
      <w:r w:rsidRPr="00A45A3B">
        <w:rPr>
          <w:rFonts w:ascii="Book Antiqua" w:hAnsi="Book Antiqua" w:cs="Helvetica"/>
          <w:color w:val="000000" w:themeColor="text1"/>
          <w:lang w:val="en-US"/>
        </w:rPr>
        <w:t>aparoscopic ultrasound</w:t>
      </w:r>
      <w:r>
        <w:rPr>
          <w:rFonts w:ascii="Book Antiqua" w:hAnsi="Book Antiqua" w:cs="Helvetica" w:hint="eastAsia"/>
          <w:color w:val="000000" w:themeColor="text1"/>
          <w:lang w:val="en-US" w:eastAsia="zh-CN"/>
        </w:rPr>
        <w:t>.</w:t>
      </w:r>
    </w:p>
    <w:p w14:paraId="78E80538" w14:textId="77777777" w:rsidR="002F2FC2" w:rsidRDefault="002F2FC2">
      <w:pPr>
        <w:rPr>
          <w:rFonts w:ascii="Book Antiqua" w:hAnsi="Book Antiqua" w:cs="Helvetica"/>
          <w:color w:val="000000" w:themeColor="text1"/>
          <w:lang w:val="en-US" w:eastAsia="zh-CN"/>
        </w:rPr>
      </w:pPr>
      <w:r>
        <w:rPr>
          <w:rFonts w:ascii="Book Antiqua" w:hAnsi="Book Antiqua" w:cs="Helvetica"/>
          <w:color w:val="000000" w:themeColor="text1"/>
          <w:lang w:val="en-US" w:eastAsia="zh-CN"/>
        </w:rPr>
        <w:br w:type="page"/>
      </w:r>
    </w:p>
    <w:p w14:paraId="2E9292DC" w14:textId="12E2AC10" w:rsidR="00434D3B" w:rsidRPr="002F2FC2" w:rsidRDefault="002F2FC2" w:rsidP="00434D3B">
      <w:pPr>
        <w:snapToGrid w:val="0"/>
        <w:spacing w:line="360" w:lineRule="auto"/>
        <w:jc w:val="both"/>
        <w:rPr>
          <w:rFonts w:ascii="Book Antiqua" w:hAnsi="Book Antiqua" w:cs="Helvetica"/>
          <w:b/>
          <w:color w:val="000000" w:themeColor="text1"/>
          <w:lang w:val="en-US" w:eastAsia="zh-CN"/>
        </w:rPr>
      </w:pPr>
      <w:r w:rsidRPr="002F2FC2">
        <w:rPr>
          <w:rFonts w:ascii="Book Antiqua" w:hAnsi="Book Antiqua" w:cs="Helvetica"/>
          <w:b/>
          <w:color w:val="000000" w:themeColor="text1"/>
          <w:lang w:val="en-US" w:eastAsia="zh-CN"/>
        </w:rPr>
        <w:lastRenderedPageBreak/>
        <w:t>Table 5</w:t>
      </w:r>
      <w:r w:rsidRPr="002F2FC2">
        <w:rPr>
          <w:rFonts w:ascii="Book Antiqua" w:hAnsi="Book Antiqua" w:cs="Helvetica" w:hint="eastAsia"/>
          <w:b/>
          <w:caps/>
          <w:color w:val="000000" w:themeColor="text1"/>
          <w:lang w:val="en-US" w:eastAsia="zh-CN"/>
        </w:rPr>
        <w:t xml:space="preserve"> </w:t>
      </w:r>
      <w:r w:rsidRPr="002F2FC2">
        <w:rPr>
          <w:rFonts w:ascii="Book Antiqua" w:hAnsi="Book Antiqua" w:cs="Helvetica"/>
          <w:b/>
          <w:caps/>
          <w:color w:val="000000" w:themeColor="text1"/>
          <w:lang w:val="en-US" w:eastAsia="zh-CN"/>
        </w:rPr>
        <w:t>c</w:t>
      </w:r>
      <w:r w:rsidRPr="002F2FC2">
        <w:rPr>
          <w:rFonts w:ascii="Book Antiqua" w:hAnsi="Book Antiqua" w:cs="Helvetica"/>
          <w:b/>
          <w:color w:val="000000" w:themeColor="text1"/>
          <w:lang w:val="en-US" w:eastAsia="zh-CN"/>
        </w:rPr>
        <w:t>ommon bile duct stones identification</w:t>
      </w:r>
    </w:p>
    <w:tbl>
      <w:tblPr>
        <w:tblW w:w="15276" w:type="dxa"/>
        <w:tblBorders>
          <w:top w:val="single" w:sz="4" w:space="0" w:color="auto"/>
          <w:bottom w:val="single" w:sz="4" w:space="0" w:color="auto"/>
        </w:tblBorders>
        <w:tblLayout w:type="fixed"/>
        <w:tblLook w:val="04A0" w:firstRow="1" w:lastRow="0" w:firstColumn="1" w:lastColumn="0" w:noHBand="0" w:noVBand="1"/>
      </w:tblPr>
      <w:tblGrid>
        <w:gridCol w:w="1714"/>
        <w:gridCol w:w="1714"/>
        <w:gridCol w:w="1948"/>
        <w:gridCol w:w="1714"/>
        <w:gridCol w:w="1714"/>
        <w:gridCol w:w="1652"/>
        <w:gridCol w:w="3119"/>
        <w:gridCol w:w="1701"/>
      </w:tblGrid>
      <w:tr w:rsidR="002F2FC2" w:rsidRPr="002F2FC2" w14:paraId="25AC5D26" w14:textId="77777777" w:rsidTr="007106F6">
        <w:trPr>
          <w:trHeight w:val="319"/>
        </w:trPr>
        <w:tc>
          <w:tcPr>
            <w:tcW w:w="1714" w:type="dxa"/>
            <w:vMerge w:val="restart"/>
            <w:tcBorders>
              <w:top w:val="single" w:sz="4" w:space="0" w:color="auto"/>
              <w:bottom w:val="single" w:sz="4" w:space="0" w:color="auto"/>
            </w:tcBorders>
            <w:shd w:val="clear" w:color="auto" w:fill="auto"/>
            <w:noWrap/>
            <w:vAlign w:val="bottom"/>
            <w:hideMark/>
          </w:tcPr>
          <w:p w14:paraId="73E90A03" w14:textId="0A987CCF" w:rsidR="002F2FC2" w:rsidRPr="00C05395" w:rsidRDefault="002F2FC2" w:rsidP="00C05395">
            <w:pPr>
              <w:snapToGrid w:val="0"/>
              <w:spacing w:line="360" w:lineRule="auto"/>
              <w:rPr>
                <w:rFonts w:ascii="Book Antiqua" w:hAnsi="Book Antiqua"/>
                <w:b/>
                <w:color w:val="000000" w:themeColor="text1"/>
                <w:lang w:val="en-US" w:eastAsia="zh-CN"/>
              </w:rPr>
            </w:pPr>
            <w:r w:rsidRPr="00C05395">
              <w:rPr>
                <w:rFonts w:ascii="Book Antiqua" w:hAnsi="Book Antiqua"/>
                <w:b/>
                <w:color w:val="000000" w:themeColor="text1"/>
                <w:lang w:val="en-US" w:eastAsia="zh-CN"/>
              </w:rPr>
              <w:t>Author</w:t>
            </w:r>
          </w:p>
        </w:tc>
        <w:tc>
          <w:tcPr>
            <w:tcW w:w="1714" w:type="dxa"/>
            <w:vMerge w:val="restart"/>
            <w:tcBorders>
              <w:top w:val="single" w:sz="4" w:space="0" w:color="auto"/>
              <w:bottom w:val="single" w:sz="4" w:space="0" w:color="auto"/>
            </w:tcBorders>
            <w:shd w:val="clear" w:color="auto" w:fill="auto"/>
            <w:noWrap/>
            <w:vAlign w:val="bottom"/>
            <w:hideMark/>
          </w:tcPr>
          <w:p w14:paraId="4E32069B" w14:textId="30D6E7AD"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Year</w:t>
            </w:r>
          </w:p>
        </w:tc>
        <w:tc>
          <w:tcPr>
            <w:tcW w:w="1948" w:type="dxa"/>
            <w:vMerge w:val="restart"/>
            <w:tcBorders>
              <w:top w:val="single" w:sz="4" w:space="0" w:color="auto"/>
              <w:bottom w:val="single" w:sz="4" w:space="0" w:color="auto"/>
            </w:tcBorders>
            <w:shd w:val="clear" w:color="auto" w:fill="auto"/>
            <w:noWrap/>
            <w:vAlign w:val="bottom"/>
            <w:hideMark/>
          </w:tcPr>
          <w:p w14:paraId="70344957" w14:textId="3F829BE2"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Number of patients</w:t>
            </w:r>
          </w:p>
        </w:tc>
        <w:tc>
          <w:tcPr>
            <w:tcW w:w="1714" w:type="dxa"/>
            <w:vMerge w:val="restart"/>
            <w:tcBorders>
              <w:top w:val="single" w:sz="4" w:space="0" w:color="auto"/>
              <w:bottom w:val="single" w:sz="4" w:space="0" w:color="auto"/>
            </w:tcBorders>
            <w:shd w:val="clear" w:color="auto" w:fill="auto"/>
            <w:noWrap/>
            <w:vAlign w:val="bottom"/>
            <w:hideMark/>
          </w:tcPr>
          <w:p w14:paraId="20EE7110" w14:textId="10A3043F"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Sensitivity %</w:t>
            </w:r>
          </w:p>
        </w:tc>
        <w:tc>
          <w:tcPr>
            <w:tcW w:w="1714" w:type="dxa"/>
            <w:vMerge w:val="restart"/>
            <w:tcBorders>
              <w:top w:val="single" w:sz="4" w:space="0" w:color="auto"/>
              <w:bottom w:val="single" w:sz="4" w:space="0" w:color="auto"/>
            </w:tcBorders>
            <w:shd w:val="clear" w:color="auto" w:fill="auto"/>
            <w:noWrap/>
            <w:vAlign w:val="bottom"/>
            <w:hideMark/>
          </w:tcPr>
          <w:p w14:paraId="76744036" w14:textId="22DD0909"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Specificity %</w:t>
            </w:r>
          </w:p>
        </w:tc>
        <w:tc>
          <w:tcPr>
            <w:tcW w:w="6472" w:type="dxa"/>
            <w:gridSpan w:val="3"/>
            <w:tcBorders>
              <w:top w:val="single" w:sz="4" w:space="0" w:color="auto"/>
              <w:bottom w:val="single" w:sz="4" w:space="0" w:color="auto"/>
            </w:tcBorders>
            <w:shd w:val="clear" w:color="auto" w:fill="auto"/>
            <w:noWrap/>
            <w:vAlign w:val="bottom"/>
            <w:hideMark/>
          </w:tcPr>
          <w:p w14:paraId="64D049CE" w14:textId="14B05F03"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Criteria to evaluate CBS LUS accuracy</w:t>
            </w:r>
          </w:p>
        </w:tc>
      </w:tr>
      <w:tr w:rsidR="002F2FC2" w:rsidRPr="002F2FC2" w14:paraId="20427931" w14:textId="77777777" w:rsidTr="007106F6">
        <w:trPr>
          <w:trHeight w:val="253"/>
        </w:trPr>
        <w:tc>
          <w:tcPr>
            <w:tcW w:w="1714" w:type="dxa"/>
            <w:vMerge/>
            <w:tcBorders>
              <w:top w:val="single" w:sz="4" w:space="0" w:color="auto"/>
              <w:bottom w:val="single" w:sz="4" w:space="0" w:color="auto"/>
            </w:tcBorders>
            <w:shd w:val="clear" w:color="auto" w:fill="auto"/>
            <w:noWrap/>
            <w:vAlign w:val="bottom"/>
            <w:hideMark/>
          </w:tcPr>
          <w:p w14:paraId="607E3133" w14:textId="4EC22F2C" w:rsidR="002F2FC2" w:rsidRPr="00C05395" w:rsidRDefault="002F2FC2" w:rsidP="00C05395">
            <w:pPr>
              <w:snapToGrid w:val="0"/>
              <w:spacing w:line="360" w:lineRule="auto"/>
              <w:jc w:val="center"/>
              <w:rPr>
                <w:rFonts w:ascii="Book Antiqua" w:hAnsi="Book Antiqua"/>
                <w:b/>
                <w:color w:val="000000" w:themeColor="text1"/>
                <w:lang w:val="en-US" w:eastAsia="zh-CN"/>
              </w:rPr>
            </w:pPr>
          </w:p>
        </w:tc>
        <w:tc>
          <w:tcPr>
            <w:tcW w:w="1714" w:type="dxa"/>
            <w:vMerge/>
            <w:tcBorders>
              <w:top w:val="single" w:sz="4" w:space="0" w:color="auto"/>
              <w:bottom w:val="single" w:sz="4" w:space="0" w:color="auto"/>
            </w:tcBorders>
            <w:shd w:val="clear" w:color="auto" w:fill="auto"/>
            <w:noWrap/>
            <w:vAlign w:val="bottom"/>
            <w:hideMark/>
          </w:tcPr>
          <w:p w14:paraId="64326CC8" w14:textId="1E62E8F2" w:rsidR="002F2FC2" w:rsidRPr="00C05395" w:rsidRDefault="002F2FC2" w:rsidP="00C05395">
            <w:pPr>
              <w:snapToGrid w:val="0"/>
              <w:spacing w:line="360" w:lineRule="auto"/>
              <w:jc w:val="center"/>
              <w:rPr>
                <w:rFonts w:ascii="Book Antiqua" w:hAnsi="Book Antiqua"/>
                <w:b/>
                <w:color w:val="000000" w:themeColor="text1"/>
                <w:lang w:val="en-US" w:eastAsia="zh-CN"/>
              </w:rPr>
            </w:pPr>
          </w:p>
        </w:tc>
        <w:tc>
          <w:tcPr>
            <w:tcW w:w="1948" w:type="dxa"/>
            <w:vMerge/>
            <w:tcBorders>
              <w:top w:val="single" w:sz="4" w:space="0" w:color="auto"/>
              <w:bottom w:val="single" w:sz="4" w:space="0" w:color="auto"/>
            </w:tcBorders>
            <w:shd w:val="clear" w:color="auto" w:fill="auto"/>
            <w:noWrap/>
            <w:vAlign w:val="bottom"/>
            <w:hideMark/>
          </w:tcPr>
          <w:p w14:paraId="7D842D23" w14:textId="63BE371E" w:rsidR="002F2FC2" w:rsidRPr="00C05395" w:rsidRDefault="002F2FC2" w:rsidP="00C05395">
            <w:pPr>
              <w:snapToGrid w:val="0"/>
              <w:spacing w:line="360" w:lineRule="auto"/>
              <w:jc w:val="center"/>
              <w:rPr>
                <w:rFonts w:ascii="Book Antiqua" w:hAnsi="Book Antiqua"/>
                <w:b/>
                <w:color w:val="000000" w:themeColor="text1"/>
                <w:lang w:val="en-US" w:eastAsia="zh-CN"/>
              </w:rPr>
            </w:pPr>
          </w:p>
        </w:tc>
        <w:tc>
          <w:tcPr>
            <w:tcW w:w="1714" w:type="dxa"/>
            <w:vMerge/>
            <w:tcBorders>
              <w:top w:val="single" w:sz="4" w:space="0" w:color="auto"/>
              <w:bottom w:val="single" w:sz="4" w:space="0" w:color="auto"/>
            </w:tcBorders>
            <w:shd w:val="clear" w:color="auto" w:fill="auto"/>
            <w:noWrap/>
            <w:vAlign w:val="bottom"/>
            <w:hideMark/>
          </w:tcPr>
          <w:p w14:paraId="52C49AEA" w14:textId="01F3CBA8" w:rsidR="002F2FC2" w:rsidRPr="00C05395" w:rsidRDefault="002F2FC2" w:rsidP="00C05395">
            <w:pPr>
              <w:snapToGrid w:val="0"/>
              <w:spacing w:line="360" w:lineRule="auto"/>
              <w:jc w:val="center"/>
              <w:rPr>
                <w:rFonts w:ascii="Book Antiqua" w:hAnsi="Book Antiqua"/>
                <w:b/>
                <w:color w:val="000000" w:themeColor="text1"/>
                <w:lang w:val="en-US" w:eastAsia="zh-CN"/>
              </w:rPr>
            </w:pPr>
          </w:p>
        </w:tc>
        <w:tc>
          <w:tcPr>
            <w:tcW w:w="1714" w:type="dxa"/>
            <w:vMerge/>
            <w:tcBorders>
              <w:top w:val="single" w:sz="4" w:space="0" w:color="auto"/>
              <w:bottom w:val="single" w:sz="4" w:space="0" w:color="auto"/>
            </w:tcBorders>
            <w:shd w:val="clear" w:color="auto" w:fill="auto"/>
            <w:noWrap/>
            <w:vAlign w:val="bottom"/>
            <w:hideMark/>
          </w:tcPr>
          <w:p w14:paraId="5B77DEF2" w14:textId="1E99C01E" w:rsidR="002F2FC2" w:rsidRPr="00C05395" w:rsidRDefault="002F2FC2" w:rsidP="00C05395">
            <w:pPr>
              <w:snapToGrid w:val="0"/>
              <w:spacing w:line="360" w:lineRule="auto"/>
              <w:jc w:val="center"/>
              <w:rPr>
                <w:rFonts w:ascii="Book Antiqua" w:hAnsi="Book Antiqua"/>
                <w:b/>
                <w:color w:val="000000" w:themeColor="text1"/>
                <w:lang w:val="en-US" w:eastAsia="zh-CN"/>
              </w:rPr>
            </w:pPr>
          </w:p>
        </w:tc>
        <w:tc>
          <w:tcPr>
            <w:tcW w:w="1652" w:type="dxa"/>
            <w:tcBorders>
              <w:top w:val="single" w:sz="4" w:space="0" w:color="auto"/>
              <w:bottom w:val="single" w:sz="4" w:space="0" w:color="auto"/>
            </w:tcBorders>
            <w:shd w:val="clear" w:color="auto" w:fill="auto"/>
            <w:noWrap/>
            <w:vAlign w:val="bottom"/>
            <w:hideMark/>
          </w:tcPr>
          <w:p w14:paraId="20B0BEE3" w14:textId="4D39A72B"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IOC</w:t>
            </w:r>
          </w:p>
        </w:tc>
        <w:tc>
          <w:tcPr>
            <w:tcW w:w="3119" w:type="dxa"/>
            <w:tcBorders>
              <w:top w:val="single" w:sz="4" w:space="0" w:color="auto"/>
              <w:bottom w:val="single" w:sz="4" w:space="0" w:color="auto"/>
            </w:tcBorders>
            <w:shd w:val="clear" w:color="auto" w:fill="auto"/>
            <w:vAlign w:val="bottom"/>
            <w:hideMark/>
          </w:tcPr>
          <w:p w14:paraId="3797BD31" w14:textId="77777777"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ERCP/surgical exploration</w:t>
            </w:r>
          </w:p>
        </w:tc>
        <w:tc>
          <w:tcPr>
            <w:tcW w:w="1701" w:type="dxa"/>
            <w:tcBorders>
              <w:top w:val="single" w:sz="4" w:space="0" w:color="auto"/>
              <w:bottom w:val="single" w:sz="4" w:space="0" w:color="auto"/>
            </w:tcBorders>
            <w:shd w:val="clear" w:color="auto" w:fill="auto"/>
            <w:noWrap/>
            <w:vAlign w:val="bottom"/>
            <w:hideMark/>
          </w:tcPr>
          <w:p w14:paraId="5341D984" w14:textId="77777777" w:rsidR="002F2FC2" w:rsidRPr="00C05395" w:rsidRDefault="002F2FC2" w:rsidP="00C05395">
            <w:pPr>
              <w:snapToGrid w:val="0"/>
              <w:spacing w:line="360" w:lineRule="auto"/>
              <w:jc w:val="center"/>
              <w:rPr>
                <w:rFonts w:ascii="Book Antiqua" w:hAnsi="Book Antiqua"/>
                <w:b/>
                <w:color w:val="000000" w:themeColor="text1"/>
                <w:lang w:val="en-US" w:eastAsia="zh-CN"/>
              </w:rPr>
            </w:pPr>
            <w:r w:rsidRPr="00C05395">
              <w:rPr>
                <w:rFonts w:ascii="Book Antiqua" w:hAnsi="Book Antiqua"/>
                <w:b/>
                <w:color w:val="000000" w:themeColor="text1"/>
                <w:lang w:val="en-US" w:eastAsia="zh-CN"/>
              </w:rPr>
              <w:t>Follow-up</w:t>
            </w:r>
          </w:p>
        </w:tc>
      </w:tr>
      <w:tr w:rsidR="00C05395" w:rsidRPr="002F2FC2" w14:paraId="468D6D03" w14:textId="77777777" w:rsidTr="007106F6">
        <w:trPr>
          <w:trHeight w:val="319"/>
        </w:trPr>
        <w:tc>
          <w:tcPr>
            <w:tcW w:w="1714" w:type="dxa"/>
            <w:tcBorders>
              <w:top w:val="single" w:sz="4" w:space="0" w:color="auto"/>
            </w:tcBorders>
            <w:shd w:val="clear" w:color="auto" w:fill="auto"/>
            <w:noWrap/>
            <w:vAlign w:val="bottom"/>
            <w:hideMark/>
          </w:tcPr>
          <w:p w14:paraId="31301748"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Tranter</w:t>
            </w:r>
          </w:p>
        </w:tc>
        <w:tc>
          <w:tcPr>
            <w:tcW w:w="1714" w:type="dxa"/>
            <w:tcBorders>
              <w:top w:val="single" w:sz="4" w:space="0" w:color="auto"/>
            </w:tcBorders>
            <w:shd w:val="clear" w:color="auto" w:fill="auto"/>
            <w:noWrap/>
            <w:vAlign w:val="bottom"/>
            <w:hideMark/>
          </w:tcPr>
          <w:p w14:paraId="1CF9EDC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2001</w:t>
            </w:r>
          </w:p>
        </w:tc>
        <w:tc>
          <w:tcPr>
            <w:tcW w:w="1948" w:type="dxa"/>
            <w:tcBorders>
              <w:top w:val="single" w:sz="4" w:space="0" w:color="auto"/>
            </w:tcBorders>
            <w:shd w:val="clear" w:color="auto" w:fill="auto"/>
            <w:noWrap/>
            <w:vAlign w:val="bottom"/>
            <w:hideMark/>
          </w:tcPr>
          <w:p w14:paraId="3B232C0E"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367</w:t>
            </w:r>
          </w:p>
        </w:tc>
        <w:tc>
          <w:tcPr>
            <w:tcW w:w="1714" w:type="dxa"/>
            <w:tcBorders>
              <w:top w:val="single" w:sz="4" w:space="0" w:color="auto"/>
            </w:tcBorders>
            <w:shd w:val="clear" w:color="auto" w:fill="auto"/>
            <w:noWrap/>
            <w:vAlign w:val="bottom"/>
            <w:hideMark/>
          </w:tcPr>
          <w:p w14:paraId="4F5DE33C"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92</w:t>
            </w:r>
          </w:p>
        </w:tc>
        <w:tc>
          <w:tcPr>
            <w:tcW w:w="1714" w:type="dxa"/>
            <w:tcBorders>
              <w:top w:val="single" w:sz="4" w:space="0" w:color="auto"/>
            </w:tcBorders>
            <w:shd w:val="clear" w:color="auto" w:fill="auto"/>
            <w:noWrap/>
            <w:vAlign w:val="bottom"/>
            <w:hideMark/>
          </w:tcPr>
          <w:p w14:paraId="5FE35FF1"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tcBorders>
              <w:top w:val="single" w:sz="4" w:space="0" w:color="auto"/>
            </w:tcBorders>
            <w:shd w:val="clear" w:color="auto" w:fill="auto"/>
            <w:noWrap/>
            <w:vAlign w:val="bottom"/>
            <w:hideMark/>
          </w:tcPr>
          <w:p w14:paraId="30E49703"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tcBorders>
              <w:top w:val="single" w:sz="4" w:space="0" w:color="auto"/>
            </w:tcBorders>
            <w:shd w:val="clear" w:color="auto" w:fill="auto"/>
            <w:noWrap/>
            <w:vAlign w:val="bottom"/>
            <w:hideMark/>
          </w:tcPr>
          <w:p w14:paraId="4C822E9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tcBorders>
              <w:top w:val="single" w:sz="4" w:space="0" w:color="auto"/>
            </w:tcBorders>
            <w:shd w:val="clear" w:color="auto" w:fill="auto"/>
            <w:noWrap/>
            <w:vAlign w:val="bottom"/>
            <w:hideMark/>
          </w:tcPr>
          <w:p w14:paraId="39427BA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r>
      <w:tr w:rsidR="00C05395" w:rsidRPr="002F2FC2" w14:paraId="7545E7FC" w14:textId="77777777" w:rsidTr="007106F6">
        <w:trPr>
          <w:trHeight w:val="319"/>
        </w:trPr>
        <w:tc>
          <w:tcPr>
            <w:tcW w:w="1714" w:type="dxa"/>
            <w:shd w:val="clear" w:color="auto" w:fill="auto"/>
            <w:noWrap/>
            <w:vAlign w:val="bottom"/>
            <w:hideMark/>
          </w:tcPr>
          <w:p w14:paraId="3A9BD54C"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Biffl</w:t>
            </w:r>
          </w:p>
        </w:tc>
        <w:tc>
          <w:tcPr>
            <w:tcW w:w="1714" w:type="dxa"/>
            <w:shd w:val="clear" w:color="auto" w:fill="auto"/>
            <w:noWrap/>
            <w:vAlign w:val="bottom"/>
            <w:hideMark/>
          </w:tcPr>
          <w:p w14:paraId="075289D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2001</w:t>
            </w:r>
          </w:p>
        </w:tc>
        <w:tc>
          <w:tcPr>
            <w:tcW w:w="1948" w:type="dxa"/>
            <w:shd w:val="clear" w:color="auto" w:fill="auto"/>
            <w:noWrap/>
            <w:vAlign w:val="bottom"/>
            <w:hideMark/>
          </w:tcPr>
          <w:p w14:paraId="047EF70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248</w:t>
            </w:r>
          </w:p>
        </w:tc>
        <w:tc>
          <w:tcPr>
            <w:tcW w:w="1714" w:type="dxa"/>
            <w:shd w:val="clear" w:color="auto" w:fill="auto"/>
            <w:noWrap/>
            <w:vAlign w:val="bottom"/>
            <w:hideMark/>
          </w:tcPr>
          <w:p w14:paraId="15D71C3D"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714" w:type="dxa"/>
            <w:shd w:val="clear" w:color="auto" w:fill="auto"/>
            <w:noWrap/>
            <w:vAlign w:val="bottom"/>
            <w:hideMark/>
          </w:tcPr>
          <w:p w14:paraId="7863041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96.23</w:t>
            </w:r>
          </w:p>
        </w:tc>
        <w:tc>
          <w:tcPr>
            <w:tcW w:w="1652" w:type="dxa"/>
            <w:shd w:val="clear" w:color="auto" w:fill="auto"/>
            <w:noWrap/>
            <w:vAlign w:val="bottom"/>
            <w:hideMark/>
          </w:tcPr>
          <w:p w14:paraId="09A0951D"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ni</w:t>
            </w:r>
          </w:p>
        </w:tc>
        <w:tc>
          <w:tcPr>
            <w:tcW w:w="3119" w:type="dxa"/>
            <w:shd w:val="clear" w:color="auto" w:fill="auto"/>
            <w:noWrap/>
            <w:vAlign w:val="bottom"/>
            <w:hideMark/>
          </w:tcPr>
          <w:p w14:paraId="70853A32"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hideMark/>
          </w:tcPr>
          <w:p w14:paraId="4216870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2F4C1CFE" w14:textId="77777777" w:rsidTr="007106F6">
        <w:trPr>
          <w:trHeight w:val="319"/>
        </w:trPr>
        <w:tc>
          <w:tcPr>
            <w:tcW w:w="1714" w:type="dxa"/>
            <w:shd w:val="clear" w:color="auto" w:fill="auto"/>
            <w:noWrap/>
            <w:vAlign w:val="bottom"/>
            <w:hideMark/>
          </w:tcPr>
          <w:p w14:paraId="15E19859"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Halpin</w:t>
            </w:r>
          </w:p>
        </w:tc>
        <w:tc>
          <w:tcPr>
            <w:tcW w:w="1714" w:type="dxa"/>
            <w:shd w:val="clear" w:color="auto" w:fill="auto"/>
            <w:noWrap/>
            <w:vAlign w:val="bottom"/>
            <w:hideMark/>
          </w:tcPr>
          <w:p w14:paraId="0A9E541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2002</w:t>
            </w:r>
          </w:p>
        </w:tc>
        <w:tc>
          <w:tcPr>
            <w:tcW w:w="1948" w:type="dxa"/>
            <w:shd w:val="clear" w:color="auto" w:fill="auto"/>
            <w:noWrap/>
            <w:vAlign w:val="bottom"/>
            <w:hideMark/>
          </w:tcPr>
          <w:p w14:paraId="770CD45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380</w:t>
            </w:r>
          </w:p>
        </w:tc>
        <w:tc>
          <w:tcPr>
            <w:tcW w:w="1714" w:type="dxa"/>
            <w:shd w:val="clear" w:color="auto" w:fill="auto"/>
            <w:noWrap/>
            <w:vAlign w:val="bottom"/>
            <w:hideMark/>
          </w:tcPr>
          <w:p w14:paraId="4239F8B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97.5</w:t>
            </w:r>
          </w:p>
        </w:tc>
        <w:tc>
          <w:tcPr>
            <w:tcW w:w="1714" w:type="dxa"/>
            <w:shd w:val="clear" w:color="auto" w:fill="auto"/>
            <w:noWrap/>
            <w:vAlign w:val="bottom"/>
            <w:hideMark/>
          </w:tcPr>
          <w:p w14:paraId="4507AE31"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shd w:val="clear" w:color="auto" w:fill="auto"/>
            <w:noWrap/>
            <w:vAlign w:val="bottom"/>
            <w:hideMark/>
          </w:tcPr>
          <w:p w14:paraId="52B27799" w14:textId="37CEF57D"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23A314B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hideMark/>
          </w:tcPr>
          <w:p w14:paraId="425E1B5A"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r>
      <w:tr w:rsidR="00C05395" w:rsidRPr="002F2FC2" w14:paraId="4957F260" w14:textId="77777777" w:rsidTr="007106F6">
        <w:trPr>
          <w:trHeight w:val="319"/>
        </w:trPr>
        <w:tc>
          <w:tcPr>
            <w:tcW w:w="1714" w:type="dxa"/>
            <w:shd w:val="clear" w:color="auto" w:fill="auto"/>
            <w:noWrap/>
            <w:vAlign w:val="bottom"/>
            <w:hideMark/>
          </w:tcPr>
          <w:p w14:paraId="16011930"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Catheline</w:t>
            </w:r>
          </w:p>
        </w:tc>
        <w:tc>
          <w:tcPr>
            <w:tcW w:w="1714" w:type="dxa"/>
            <w:shd w:val="clear" w:color="auto" w:fill="auto"/>
            <w:noWrap/>
            <w:vAlign w:val="bottom"/>
            <w:hideMark/>
          </w:tcPr>
          <w:p w14:paraId="433002E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2002</w:t>
            </w:r>
          </w:p>
        </w:tc>
        <w:tc>
          <w:tcPr>
            <w:tcW w:w="1948" w:type="dxa"/>
            <w:shd w:val="clear" w:color="auto" w:fill="auto"/>
            <w:noWrap/>
            <w:vAlign w:val="bottom"/>
            <w:hideMark/>
          </w:tcPr>
          <w:p w14:paraId="23EC482A"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900</w:t>
            </w:r>
          </w:p>
        </w:tc>
        <w:tc>
          <w:tcPr>
            <w:tcW w:w="1714" w:type="dxa"/>
            <w:shd w:val="clear" w:color="auto" w:fill="auto"/>
            <w:noWrap/>
            <w:vAlign w:val="bottom"/>
            <w:hideMark/>
          </w:tcPr>
          <w:p w14:paraId="3A992A7B"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80</w:t>
            </w:r>
          </w:p>
        </w:tc>
        <w:tc>
          <w:tcPr>
            <w:tcW w:w="1714" w:type="dxa"/>
            <w:shd w:val="clear" w:color="auto" w:fill="auto"/>
            <w:noWrap/>
            <w:vAlign w:val="bottom"/>
            <w:hideMark/>
          </w:tcPr>
          <w:p w14:paraId="20FF8581"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99</w:t>
            </w:r>
          </w:p>
        </w:tc>
        <w:tc>
          <w:tcPr>
            <w:tcW w:w="1652" w:type="dxa"/>
            <w:shd w:val="clear" w:color="auto" w:fill="auto"/>
            <w:noWrap/>
            <w:vAlign w:val="bottom"/>
            <w:hideMark/>
          </w:tcPr>
          <w:p w14:paraId="05B17105" w14:textId="19AC8039"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Systematic</w:t>
            </w:r>
          </w:p>
        </w:tc>
        <w:tc>
          <w:tcPr>
            <w:tcW w:w="3119" w:type="dxa"/>
            <w:shd w:val="clear" w:color="auto" w:fill="auto"/>
            <w:noWrap/>
            <w:vAlign w:val="bottom"/>
            <w:hideMark/>
          </w:tcPr>
          <w:p w14:paraId="0349876A"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hideMark/>
          </w:tcPr>
          <w:p w14:paraId="36DCA2A2"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1961C044" w14:textId="77777777" w:rsidTr="007106F6">
        <w:trPr>
          <w:trHeight w:val="319"/>
        </w:trPr>
        <w:tc>
          <w:tcPr>
            <w:tcW w:w="1714" w:type="dxa"/>
            <w:shd w:val="clear" w:color="auto" w:fill="auto"/>
            <w:noWrap/>
            <w:vAlign w:val="bottom"/>
            <w:hideMark/>
          </w:tcPr>
          <w:p w14:paraId="4DFA2F55"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Tranter</w:t>
            </w:r>
          </w:p>
        </w:tc>
        <w:tc>
          <w:tcPr>
            <w:tcW w:w="1714" w:type="dxa"/>
            <w:shd w:val="clear" w:color="auto" w:fill="auto"/>
            <w:noWrap/>
            <w:vAlign w:val="bottom"/>
            <w:hideMark/>
          </w:tcPr>
          <w:p w14:paraId="11F69D4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2003</w:t>
            </w:r>
          </w:p>
        </w:tc>
        <w:tc>
          <w:tcPr>
            <w:tcW w:w="1948" w:type="dxa"/>
            <w:shd w:val="clear" w:color="auto" w:fill="auto"/>
            <w:noWrap/>
            <w:vAlign w:val="bottom"/>
            <w:hideMark/>
          </w:tcPr>
          <w:p w14:paraId="3CFC9EFC"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135</w:t>
            </w:r>
          </w:p>
        </w:tc>
        <w:tc>
          <w:tcPr>
            <w:tcW w:w="1714" w:type="dxa"/>
            <w:shd w:val="clear" w:color="auto" w:fill="auto"/>
            <w:noWrap/>
            <w:vAlign w:val="bottom"/>
            <w:hideMark/>
          </w:tcPr>
          <w:p w14:paraId="426BFC7E"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96</w:t>
            </w:r>
          </w:p>
        </w:tc>
        <w:tc>
          <w:tcPr>
            <w:tcW w:w="1714" w:type="dxa"/>
            <w:shd w:val="clear" w:color="auto" w:fill="auto"/>
            <w:noWrap/>
            <w:vAlign w:val="bottom"/>
            <w:hideMark/>
          </w:tcPr>
          <w:p w14:paraId="43C24A8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shd w:val="clear" w:color="auto" w:fill="auto"/>
            <w:noWrap/>
            <w:vAlign w:val="bottom"/>
            <w:hideMark/>
          </w:tcPr>
          <w:p w14:paraId="0FB23EAB" w14:textId="09BFCCF3"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Systematic</w:t>
            </w:r>
          </w:p>
        </w:tc>
        <w:tc>
          <w:tcPr>
            <w:tcW w:w="3119" w:type="dxa"/>
            <w:shd w:val="clear" w:color="auto" w:fill="auto"/>
            <w:noWrap/>
            <w:vAlign w:val="bottom"/>
            <w:hideMark/>
          </w:tcPr>
          <w:p w14:paraId="441AD1E1"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hideMark/>
          </w:tcPr>
          <w:p w14:paraId="53F28193"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0D2599CA" w14:textId="77777777" w:rsidTr="007106F6">
        <w:trPr>
          <w:trHeight w:val="319"/>
        </w:trPr>
        <w:tc>
          <w:tcPr>
            <w:tcW w:w="1714" w:type="dxa"/>
            <w:shd w:val="clear" w:color="auto" w:fill="auto"/>
            <w:noWrap/>
            <w:vAlign w:val="bottom"/>
            <w:hideMark/>
          </w:tcPr>
          <w:p w14:paraId="5619BEB4"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Onders</w:t>
            </w:r>
          </w:p>
        </w:tc>
        <w:tc>
          <w:tcPr>
            <w:tcW w:w="1714" w:type="dxa"/>
            <w:shd w:val="clear" w:color="auto" w:fill="auto"/>
            <w:noWrap/>
            <w:vAlign w:val="bottom"/>
            <w:hideMark/>
          </w:tcPr>
          <w:p w14:paraId="34B5DC9A"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2005</w:t>
            </w:r>
          </w:p>
        </w:tc>
        <w:tc>
          <w:tcPr>
            <w:tcW w:w="1948" w:type="dxa"/>
            <w:shd w:val="clear" w:color="auto" w:fill="auto"/>
            <w:noWrap/>
            <w:vAlign w:val="bottom"/>
            <w:hideMark/>
          </w:tcPr>
          <w:p w14:paraId="3FDCD84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105</w:t>
            </w:r>
          </w:p>
        </w:tc>
        <w:tc>
          <w:tcPr>
            <w:tcW w:w="1714" w:type="dxa"/>
            <w:shd w:val="clear" w:color="auto" w:fill="auto"/>
            <w:noWrap/>
            <w:vAlign w:val="bottom"/>
            <w:hideMark/>
          </w:tcPr>
          <w:p w14:paraId="1662484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714" w:type="dxa"/>
            <w:shd w:val="clear" w:color="auto" w:fill="auto"/>
            <w:noWrap/>
            <w:vAlign w:val="bottom"/>
            <w:hideMark/>
          </w:tcPr>
          <w:p w14:paraId="537BAAE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shd w:val="clear" w:color="auto" w:fill="auto"/>
            <w:noWrap/>
            <w:vAlign w:val="bottom"/>
            <w:hideMark/>
          </w:tcPr>
          <w:p w14:paraId="4A574078" w14:textId="1E262945"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1051276B"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hideMark/>
          </w:tcPr>
          <w:p w14:paraId="1461F5F6"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7DE0ADFC" w14:textId="77777777" w:rsidTr="007106F6">
        <w:trPr>
          <w:trHeight w:val="319"/>
        </w:trPr>
        <w:tc>
          <w:tcPr>
            <w:tcW w:w="1714" w:type="dxa"/>
            <w:shd w:val="clear" w:color="auto" w:fill="auto"/>
            <w:noWrap/>
            <w:vAlign w:val="bottom"/>
            <w:hideMark/>
          </w:tcPr>
          <w:p w14:paraId="76898F6E"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Perry</w:t>
            </w:r>
          </w:p>
        </w:tc>
        <w:tc>
          <w:tcPr>
            <w:tcW w:w="1714" w:type="dxa"/>
            <w:shd w:val="clear" w:color="auto" w:fill="auto"/>
            <w:noWrap/>
            <w:vAlign w:val="bottom"/>
            <w:hideMark/>
          </w:tcPr>
          <w:p w14:paraId="16505FE1"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2007</w:t>
            </w:r>
          </w:p>
        </w:tc>
        <w:tc>
          <w:tcPr>
            <w:tcW w:w="1948" w:type="dxa"/>
            <w:shd w:val="clear" w:color="auto" w:fill="auto"/>
            <w:noWrap/>
            <w:vAlign w:val="bottom"/>
            <w:hideMark/>
          </w:tcPr>
          <w:p w14:paraId="247B0A6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236</w:t>
            </w:r>
          </w:p>
        </w:tc>
        <w:tc>
          <w:tcPr>
            <w:tcW w:w="1714" w:type="dxa"/>
            <w:shd w:val="clear" w:color="auto" w:fill="auto"/>
            <w:noWrap/>
            <w:vAlign w:val="bottom"/>
            <w:hideMark/>
          </w:tcPr>
          <w:p w14:paraId="1F4A5507"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92.3</w:t>
            </w:r>
          </w:p>
        </w:tc>
        <w:tc>
          <w:tcPr>
            <w:tcW w:w="1714" w:type="dxa"/>
            <w:shd w:val="clear" w:color="auto" w:fill="auto"/>
            <w:noWrap/>
            <w:vAlign w:val="bottom"/>
            <w:hideMark/>
          </w:tcPr>
          <w:p w14:paraId="01ACB7F3"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shd w:val="clear" w:color="auto" w:fill="auto"/>
            <w:noWrap/>
            <w:vAlign w:val="bottom"/>
            <w:hideMark/>
          </w:tcPr>
          <w:p w14:paraId="5A19A6EA" w14:textId="390A0F3D"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25253D5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hideMark/>
          </w:tcPr>
          <w:p w14:paraId="20AF3DC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5BFA0E8F" w14:textId="77777777" w:rsidTr="007106F6">
        <w:trPr>
          <w:trHeight w:val="319"/>
        </w:trPr>
        <w:tc>
          <w:tcPr>
            <w:tcW w:w="1714" w:type="dxa"/>
            <w:shd w:val="clear" w:color="auto" w:fill="auto"/>
            <w:noWrap/>
            <w:vAlign w:val="bottom"/>
            <w:hideMark/>
          </w:tcPr>
          <w:p w14:paraId="2F7FA870"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Machi</w:t>
            </w:r>
          </w:p>
        </w:tc>
        <w:tc>
          <w:tcPr>
            <w:tcW w:w="1714" w:type="dxa"/>
            <w:shd w:val="clear" w:color="auto" w:fill="auto"/>
            <w:noWrap/>
            <w:vAlign w:val="bottom"/>
            <w:hideMark/>
          </w:tcPr>
          <w:p w14:paraId="4F6DAF52"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2007</w:t>
            </w:r>
          </w:p>
        </w:tc>
        <w:tc>
          <w:tcPr>
            <w:tcW w:w="1948" w:type="dxa"/>
            <w:shd w:val="clear" w:color="auto" w:fill="auto"/>
            <w:noWrap/>
            <w:vAlign w:val="bottom"/>
            <w:hideMark/>
          </w:tcPr>
          <w:p w14:paraId="3DEBC67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w:t>
            </w:r>
          </w:p>
        </w:tc>
        <w:tc>
          <w:tcPr>
            <w:tcW w:w="1714" w:type="dxa"/>
            <w:shd w:val="clear" w:color="auto" w:fill="auto"/>
            <w:noWrap/>
            <w:vAlign w:val="bottom"/>
            <w:hideMark/>
          </w:tcPr>
          <w:p w14:paraId="192894E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95</w:t>
            </w:r>
          </w:p>
        </w:tc>
        <w:tc>
          <w:tcPr>
            <w:tcW w:w="1714" w:type="dxa"/>
            <w:shd w:val="clear" w:color="auto" w:fill="auto"/>
            <w:noWrap/>
            <w:vAlign w:val="bottom"/>
            <w:hideMark/>
          </w:tcPr>
          <w:p w14:paraId="44E41537"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shd w:val="clear" w:color="auto" w:fill="auto"/>
            <w:noWrap/>
            <w:vAlign w:val="bottom"/>
            <w:hideMark/>
          </w:tcPr>
          <w:p w14:paraId="7D0EAF86" w14:textId="51F76276"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3770B20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hideMark/>
          </w:tcPr>
          <w:p w14:paraId="7969695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r>
      <w:tr w:rsidR="00C05395" w:rsidRPr="002F2FC2" w14:paraId="14B93ECB" w14:textId="77777777" w:rsidTr="007106F6">
        <w:trPr>
          <w:trHeight w:val="319"/>
        </w:trPr>
        <w:tc>
          <w:tcPr>
            <w:tcW w:w="1714" w:type="dxa"/>
            <w:shd w:val="clear" w:color="auto" w:fill="auto"/>
            <w:noWrap/>
            <w:vAlign w:val="bottom"/>
            <w:hideMark/>
          </w:tcPr>
          <w:p w14:paraId="230D5E64"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Hakamada</w:t>
            </w:r>
          </w:p>
        </w:tc>
        <w:tc>
          <w:tcPr>
            <w:tcW w:w="1714" w:type="dxa"/>
            <w:shd w:val="clear" w:color="auto" w:fill="auto"/>
            <w:noWrap/>
            <w:vAlign w:val="bottom"/>
            <w:hideMark/>
          </w:tcPr>
          <w:p w14:paraId="52EADF0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2008</w:t>
            </w:r>
          </w:p>
        </w:tc>
        <w:tc>
          <w:tcPr>
            <w:tcW w:w="1948" w:type="dxa"/>
            <w:shd w:val="clear" w:color="auto" w:fill="auto"/>
            <w:noWrap/>
            <w:vAlign w:val="bottom"/>
            <w:hideMark/>
          </w:tcPr>
          <w:p w14:paraId="177AA19A"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299</w:t>
            </w:r>
          </w:p>
        </w:tc>
        <w:tc>
          <w:tcPr>
            <w:tcW w:w="1714" w:type="dxa"/>
            <w:shd w:val="clear" w:color="auto" w:fill="auto"/>
            <w:noWrap/>
            <w:vAlign w:val="bottom"/>
            <w:hideMark/>
          </w:tcPr>
          <w:p w14:paraId="5696622B"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76</w:t>
            </w:r>
          </w:p>
        </w:tc>
        <w:tc>
          <w:tcPr>
            <w:tcW w:w="1714" w:type="dxa"/>
            <w:shd w:val="clear" w:color="auto" w:fill="auto"/>
            <w:noWrap/>
            <w:vAlign w:val="bottom"/>
            <w:hideMark/>
          </w:tcPr>
          <w:p w14:paraId="6240E19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99</w:t>
            </w:r>
          </w:p>
        </w:tc>
        <w:tc>
          <w:tcPr>
            <w:tcW w:w="1652" w:type="dxa"/>
            <w:shd w:val="clear" w:color="auto" w:fill="auto"/>
            <w:noWrap/>
            <w:vAlign w:val="bottom"/>
            <w:hideMark/>
          </w:tcPr>
          <w:p w14:paraId="6E1A3843" w14:textId="1A8937C3"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7EED523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hideMark/>
          </w:tcPr>
          <w:p w14:paraId="71779C6F"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5558DE6D" w14:textId="77777777" w:rsidTr="007106F6">
        <w:trPr>
          <w:trHeight w:val="319"/>
        </w:trPr>
        <w:tc>
          <w:tcPr>
            <w:tcW w:w="1714" w:type="dxa"/>
            <w:shd w:val="clear" w:color="auto" w:fill="auto"/>
            <w:noWrap/>
            <w:vAlign w:val="bottom"/>
            <w:hideMark/>
          </w:tcPr>
          <w:p w14:paraId="21AABDF3"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Machi</w:t>
            </w:r>
          </w:p>
        </w:tc>
        <w:tc>
          <w:tcPr>
            <w:tcW w:w="1714" w:type="dxa"/>
            <w:shd w:val="clear" w:color="auto" w:fill="auto"/>
            <w:noWrap/>
            <w:vAlign w:val="bottom"/>
            <w:hideMark/>
          </w:tcPr>
          <w:p w14:paraId="2E45E2B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2009</w:t>
            </w:r>
          </w:p>
        </w:tc>
        <w:tc>
          <w:tcPr>
            <w:tcW w:w="1948" w:type="dxa"/>
            <w:shd w:val="clear" w:color="auto" w:fill="auto"/>
            <w:noWrap/>
            <w:vAlign w:val="bottom"/>
            <w:hideMark/>
          </w:tcPr>
          <w:p w14:paraId="4A16DB8C"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1352</w:t>
            </w:r>
          </w:p>
        </w:tc>
        <w:tc>
          <w:tcPr>
            <w:tcW w:w="1714" w:type="dxa"/>
            <w:shd w:val="clear" w:color="auto" w:fill="auto"/>
            <w:noWrap/>
            <w:vAlign w:val="bottom"/>
            <w:hideMark/>
          </w:tcPr>
          <w:p w14:paraId="69F160A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98.6</w:t>
            </w:r>
          </w:p>
        </w:tc>
        <w:tc>
          <w:tcPr>
            <w:tcW w:w="1714" w:type="dxa"/>
            <w:shd w:val="clear" w:color="auto" w:fill="auto"/>
            <w:noWrap/>
            <w:vAlign w:val="bottom"/>
            <w:hideMark/>
          </w:tcPr>
          <w:p w14:paraId="6C14C10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99.58</w:t>
            </w:r>
          </w:p>
        </w:tc>
        <w:tc>
          <w:tcPr>
            <w:tcW w:w="1652" w:type="dxa"/>
            <w:shd w:val="clear" w:color="auto" w:fill="auto"/>
            <w:noWrap/>
            <w:vAlign w:val="bottom"/>
            <w:hideMark/>
          </w:tcPr>
          <w:p w14:paraId="733D05E6" w14:textId="28137348" w:rsidR="002F2FC2" w:rsidRPr="00C05395" w:rsidRDefault="00C05395" w:rsidP="00C05395">
            <w:pPr>
              <w:snapToGrid w:val="0"/>
              <w:spacing w:line="360" w:lineRule="auto"/>
              <w:jc w:val="center"/>
              <w:rPr>
                <w:rFonts w:ascii="Book Antiqua" w:hAnsi="Book Antiqua"/>
                <w:color w:val="000000" w:themeColor="text1"/>
                <w:vertAlign w:val="superscript"/>
                <w:lang w:val="en-US" w:eastAsia="zh-CN"/>
              </w:rPr>
            </w:pPr>
            <w:r w:rsidRPr="00C05395">
              <w:rPr>
                <w:rFonts w:ascii="Book Antiqua" w:hAnsi="Book Antiqua" w:hint="eastAsia"/>
                <w:color w:val="000000" w:themeColor="text1"/>
                <w:vertAlign w:val="superscript"/>
                <w:lang w:val="en-US" w:eastAsia="zh-CN"/>
              </w:rPr>
              <w:t>1</w:t>
            </w:r>
          </w:p>
        </w:tc>
        <w:tc>
          <w:tcPr>
            <w:tcW w:w="3119" w:type="dxa"/>
            <w:shd w:val="clear" w:color="auto" w:fill="auto"/>
            <w:noWrap/>
            <w:vAlign w:val="bottom"/>
            <w:hideMark/>
          </w:tcPr>
          <w:p w14:paraId="07182DC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hideMark/>
          </w:tcPr>
          <w:p w14:paraId="45A13AC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415A9C2E" w14:textId="77777777" w:rsidTr="007106F6">
        <w:trPr>
          <w:trHeight w:val="319"/>
        </w:trPr>
        <w:tc>
          <w:tcPr>
            <w:tcW w:w="1714" w:type="dxa"/>
            <w:shd w:val="clear" w:color="auto" w:fill="auto"/>
            <w:noWrap/>
            <w:vAlign w:val="bottom"/>
            <w:hideMark/>
          </w:tcPr>
          <w:p w14:paraId="4D59D849"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Hublet</w:t>
            </w:r>
          </w:p>
        </w:tc>
        <w:tc>
          <w:tcPr>
            <w:tcW w:w="1714" w:type="dxa"/>
            <w:shd w:val="clear" w:color="auto" w:fill="auto"/>
            <w:noWrap/>
            <w:vAlign w:val="bottom"/>
            <w:hideMark/>
          </w:tcPr>
          <w:p w14:paraId="0ACB3673"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2009</w:t>
            </w:r>
          </w:p>
        </w:tc>
        <w:tc>
          <w:tcPr>
            <w:tcW w:w="1948" w:type="dxa"/>
            <w:shd w:val="clear" w:color="auto" w:fill="auto"/>
            <w:noWrap/>
            <w:vAlign w:val="bottom"/>
            <w:hideMark/>
          </w:tcPr>
          <w:p w14:paraId="30F489A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269</w:t>
            </w:r>
          </w:p>
        </w:tc>
        <w:tc>
          <w:tcPr>
            <w:tcW w:w="1714" w:type="dxa"/>
            <w:shd w:val="clear" w:color="auto" w:fill="auto"/>
            <w:noWrap/>
            <w:vAlign w:val="bottom"/>
            <w:hideMark/>
          </w:tcPr>
          <w:p w14:paraId="3051CE7E"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714" w:type="dxa"/>
            <w:shd w:val="clear" w:color="auto" w:fill="auto"/>
            <w:noWrap/>
            <w:vAlign w:val="bottom"/>
            <w:hideMark/>
          </w:tcPr>
          <w:p w14:paraId="4D6B972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99.6</w:t>
            </w:r>
          </w:p>
        </w:tc>
        <w:tc>
          <w:tcPr>
            <w:tcW w:w="1652" w:type="dxa"/>
            <w:shd w:val="clear" w:color="auto" w:fill="auto"/>
            <w:noWrap/>
            <w:vAlign w:val="bottom"/>
            <w:hideMark/>
          </w:tcPr>
          <w:p w14:paraId="3392BC23" w14:textId="1D2D0716"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1F48660E"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hideMark/>
          </w:tcPr>
          <w:p w14:paraId="377FEAAC"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r>
      <w:tr w:rsidR="00C05395" w:rsidRPr="002F2FC2" w14:paraId="1E2A6039" w14:textId="77777777" w:rsidTr="007106F6">
        <w:trPr>
          <w:trHeight w:val="319"/>
        </w:trPr>
        <w:tc>
          <w:tcPr>
            <w:tcW w:w="1714" w:type="dxa"/>
            <w:shd w:val="clear" w:color="auto" w:fill="auto"/>
            <w:noWrap/>
            <w:vAlign w:val="bottom"/>
            <w:hideMark/>
          </w:tcPr>
          <w:p w14:paraId="4C26666E"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Li</w:t>
            </w:r>
          </w:p>
        </w:tc>
        <w:tc>
          <w:tcPr>
            <w:tcW w:w="1714" w:type="dxa"/>
            <w:shd w:val="clear" w:color="auto" w:fill="auto"/>
            <w:noWrap/>
            <w:vAlign w:val="bottom"/>
            <w:hideMark/>
          </w:tcPr>
          <w:p w14:paraId="78345C01"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2009</w:t>
            </w:r>
          </w:p>
        </w:tc>
        <w:tc>
          <w:tcPr>
            <w:tcW w:w="1948" w:type="dxa"/>
            <w:shd w:val="clear" w:color="auto" w:fill="auto"/>
            <w:noWrap/>
            <w:vAlign w:val="bottom"/>
            <w:hideMark/>
          </w:tcPr>
          <w:p w14:paraId="0BBA8E99"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103</w:t>
            </w:r>
          </w:p>
        </w:tc>
        <w:tc>
          <w:tcPr>
            <w:tcW w:w="1714" w:type="dxa"/>
            <w:shd w:val="clear" w:color="auto" w:fill="auto"/>
            <w:noWrap/>
            <w:vAlign w:val="bottom"/>
            <w:hideMark/>
          </w:tcPr>
          <w:p w14:paraId="0EFD3D3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82.1</w:t>
            </w:r>
          </w:p>
        </w:tc>
        <w:tc>
          <w:tcPr>
            <w:tcW w:w="1714" w:type="dxa"/>
            <w:shd w:val="clear" w:color="auto" w:fill="auto"/>
            <w:noWrap/>
            <w:vAlign w:val="bottom"/>
            <w:hideMark/>
          </w:tcPr>
          <w:p w14:paraId="2421C18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98.7</w:t>
            </w:r>
          </w:p>
        </w:tc>
        <w:tc>
          <w:tcPr>
            <w:tcW w:w="1652" w:type="dxa"/>
            <w:shd w:val="clear" w:color="auto" w:fill="auto"/>
            <w:noWrap/>
            <w:vAlign w:val="bottom"/>
            <w:hideMark/>
          </w:tcPr>
          <w:p w14:paraId="3E09C5B0" w14:textId="6375A943"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hideMark/>
          </w:tcPr>
          <w:p w14:paraId="17F1B786"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hideMark/>
          </w:tcPr>
          <w:p w14:paraId="2F1A473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r>
      <w:tr w:rsidR="00C05395" w:rsidRPr="002F2FC2" w14:paraId="58BC9493" w14:textId="77777777" w:rsidTr="007106F6">
        <w:trPr>
          <w:trHeight w:val="319"/>
        </w:trPr>
        <w:tc>
          <w:tcPr>
            <w:tcW w:w="1714" w:type="dxa"/>
            <w:shd w:val="clear" w:color="auto" w:fill="auto"/>
            <w:noWrap/>
            <w:vAlign w:val="bottom"/>
          </w:tcPr>
          <w:p w14:paraId="5ABA2560"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Pfluke</w:t>
            </w:r>
          </w:p>
        </w:tc>
        <w:tc>
          <w:tcPr>
            <w:tcW w:w="1714" w:type="dxa"/>
            <w:shd w:val="clear" w:color="auto" w:fill="auto"/>
            <w:noWrap/>
            <w:vAlign w:val="bottom"/>
          </w:tcPr>
          <w:p w14:paraId="3238B65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2011</w:t>
            </w:r>
          </w:p>
        </w:tc>
        <w:tc>
          <w:tcPr>
            <w:tcW w:w="1948" w:type="dxa"/>
            <w:shd w:val="clear" w:color="auto" w:fill="auto"/>
            <w:noWrap/>
            <w:vAlign w:val="bottom"/>
          </w:tcPr>
          <w:p w14:paraId="44B7A848"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50</w:t>
            </w:r>
          </w:p>
        </w:tc>
        <w:tc>
          <w:tcPr>
            <w:tcW w:w="1714" w:type="dxa"/>
            <w:shd w:val="clear" w:color="auto" w:fill="auto"/>
            <w:noWrap/>
            <w:vAlign w:val="bottom"/>
          </w:tcPr>
          <w:p w14:paraId="54BF9DFC"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714" w:type="dxa"/>
            <w:shd w:val="clear" w:color="auto" w:fill="auto"/>
            <w:noWrap/>
            <w:vAlign w:val="bottom"/>
          </w:tcPr>
          <w:p w14:paraId="561C9F7E"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652" w:type="dxa"/>
            <w:shd w:val="clear" w:color="auto" w:fill="auto"/>
            <w:noWrap/>
            <w:vAlign w:val="bottom"/>
          </w:tcPr>
          <w:p w14:paraId="231F8189" w14:textId="33EB5A1D"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tcPr>
          <w:p w14:paraId="0AB939AB"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tcPr>
          <w:p w14:paraId="7EE600E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C05395" w:rsidRPr="002F2FC2" w14:paraId="581865A9" w14:textId="77777777" w:rsidTr="007106F6">
        <w:trPr>
          <w:trHeight w:val="319"/>
        </w:trPr>
        <w:tc>
          <w:tcPr>
            <w:tcW w:w="1714" w:type="dxa"/>
            <w:shd w:val="clear" w:color="auto" w:fill="auto"/>
            <w:noWrap/>
            <w:vAlign w:val="bottom"/>
          </w:tcPr>
          <w:p w14:paraId="559CA757"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Nasu</w:t>
            </w:r>
          </w:p>
        </w:tc>
        <w:tc>
          <w:tcPr>
            <w:tcW w:w="1714" w:type="dxa"/>
            <w:shd w:val="clear" w:color="auto" w:fill="auto"/>
            <w:noWrap/>
            <w:vAlign w:val="bottom"/>
          </w:tcPr>
          <w:p w14:paraId="75CC8992"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2012</w:t>
            </w:r>
          </w:p>
        </w:tc>
        <w:tc>
          <w:tcPr>
            <w:tcW w:w="1948" w:type="dxa"/>
            <w:shd w:val="clear" w:color="auto" w:fill="auto"/>
            <w:noWrap/>
            <w:vAlign w:val="bottom"/>
          </w:tcPr>
          <w:p w14:paraId="42C6A57E"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71</w:t>
            </w:r>
          </w:p>
        </w:tc>
        <w:tc>
          <w:tcPr>
            <w:tcW w:w="1714" w:type="dxa"/>
            <w:shd w:val="clear" w:color="auto" w:fill="auto"/>
            <w:noWrap/>
            <w:vAlign w:val="bottom"/>
          </w:tcPr>
          <w:p w14:paraId="59C7AB9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100</w:t>
            </w:r>
          </w:p>
        </w:tc>
        <w:tc>
          <w:tcPr>
            <w:tcW w:w="1714" w:type="dxa"/>
            <w:shd w:val="clear" w:color="auto" w:fill="auto"/>
            <w:noWrap/>
            <w:vAlign w:val="bottom"/>
          </w:tcPr>
          <w:p w14:paraId="5C0D968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96,2</w:t>
            </w:r>
          </w:p>
        </w:tc>
        <w:tc>
          <w:tcPr>
            <w:tcW w:w="1652" w:type="dxa"/>
            <w:shd w:val="clear" w:color="auto" w:fill="auto"/>
            <w:noWrap/>
            <w:vAlign w:val="bottom"/>
          </w:tcPr>
          <w:p w14:paraId="105432AD"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Selective</w:t>
            </w:r>
          </w:p>
        </w:tc>
        <w:tc>
          <w:tcPr>
            <w:tcW w:w="3119" w:type="dxa"/>
            <w:shd w:val="clear" w:color="auto" w:fill="auto"/>
            <w:noWrap/>
            <w:vAlign w:val="bottom"/>
          </w:tcPr>
          <w:p w14:paraId="0928DFD5"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c>
          <w:tcPr>
            <w:tcW w:w="1701" w:type="dxa"/>
            <w:shd w:val="clear" w:color="auto" w:fill="auto"/>
            <w:noWrap/>
            <w:vAlign w:val="bottom"/>
          </w:tcPr>
          <w:p w14:paraId="001F9EB6"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p>
        </w:tc>
      </w:tr>
      <w:tr w:rsidR="002F2FC2" w:rsidRPr="002F2FC2" w14:paraId="749CA5A3" w14:textId="77777777" w:rsidTr="007106F6">
        <w:trPr>
          <w:trHeight w:val="319"/>
        </w:trPr>
        <w:tc>
          <w:tcPr>
            <w:tcW w:w="1714" w:type="dxa"/>
            <w:shd w:val="clear" w:color="auto" w:fill="auto"/>
            <w:noWrap/>
            <w:vAlign w:val="bottom"/>
          </w:tcPr>
          <w:p w14:paraId="3B00F16B" w14:textId="77777777" w:rsidR="002F2FC2" w:rsidRPr="002F2FC2" w:rsidRDefault="002F2FC2" w:rsidP="002F2FC2">
            <w:pPr>
              <w:snapToGrid w:val="0"/>
              <w:spacing w:line="360" w:lineRule="auto"/>
              <w:jc w:val="both"/>
              <w:rPr>
                <w:rFonts w:ascii="Book Antiqua" w:hAnsi="Book Antiqua"/>
                <w:color w:val="000000" w:themeColor="text1"/>
                <w:lang w:val="en-US" w:eastAsia="zh-CN"/>
              </w:rPr>
            </w:pPr>
            <w:r w:rsidRPr="002F2FC2">
              <w:rPr>
                <w:rFonts w:ascii="Book Antiqua" w:hAnsi="Book Antiqua"/>
                <w:color w:val="000000" w:themeColor="text1"/>
                <w:lang w:val="en-US" w:eastAsia="zh-CN"/>
              </w:rPr>
              <w:t>Shaaban</w:t>
            </w:r>
          </w:p>
        </w:tc>
        <w:tc>
          <w:tcPr>
            <w:tcW w:w="1714" w:type="dxa"/>
            <w:shd w:val="clear" w:color="auto" w:fill="auto"/>
            <w:noWrap/>
            <w:vAlign w:val="bottom"/>
          </w:tcPr>
          <w:p w14:paraId="2E3A62C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2014</w:t>
            </w:r>
          </w:p>
        </w:tc>
        <w:tc>
          <w:tcPr>
            <w:tcW w:w="1948" w:type="dxa"/>
            <w:shd w:val="clear" w:color="auto" w:fill="auto"/>
            <w:noWrap/>
            <w:vAlign w:val="bottom"/>
          </w:tcPr>
          <w:p w14:paraId="10EB212A"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70</w:t>
            </w:r>
          </w:p>
        </w:tc>
        <w:tc>
          <w:tcPr>
            <w:tcW w:w="1714" w:type="dxa"/>
            <w:shd w:val="clear" w:color="auto" w:fill="auto"/>
            <w:noWrap/>
            <w:vAlign w:val="bottom"/>
          </w:tcPr>
          <w:p w14:paraId="276411B0"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92.3</w:t>
            </w:r>
          </w:p>
        </w:tc>
        <w:tc>
          <w:tcPr>
            <w:tcW w:w="1714" w:type="dxa"/>
            <w:shd w:val="clear" w:color="auto" w:fill="auto"/>
            <w:noWrap/>
            <w:vAlign w:val="bottom"/>
          </w:tcPr>
          <w:p w14:paraId="45076714"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98.2</w:t>
            </w:r>
          </w:p>
        </w:tc>
        <w:tc>
          <w:tcPr>
            <w:tcW w:w="1652" w:type="dxa"/>
            <w:shd w:val="clear" w:color="auto" w:fill="auto"/>
            <w:noWrap/>
            <w:vAlign w:val="bottom"/>
          </w:tcPr>
          <w:p w14:paraId="480A3173"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No</w:t>
            </w:r>
          </w:p>
        </w:tc>
        <w:tc>
          <w:tcPr>
            <w:tcW w:w="3119" w:type="dxa"/>
            <w:shd w:val="clear" w:color="auto" w:fill="auto"/>
            <w:noWrap/>
            <w:vAlign w:val="bottom"/>
          </w:tcPr>
          <w:p w14:paraId="4A17D1AF"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c>
          <w:tcPr>
            <w:tcW w:w="1701" w:type="dxa"/>
            <w:shd w:val="clear" w:color="auto" w:fill="auto"/>
            <w:noWrap/>
            <w:vAlign w:val="bottom"/>
          </w:tcPr>
          <w:p w14:paraId="0ED3F64D" w14:textId="77777777" w:rsidR="002F2FC2" w:rsidRPr="002F2FC2" w:rsidRDefault="002F2FC2" w:rsidP="00C05395">
            <w:pPr>
              <w:snapToGrid w:val="0"/>
              <w:spacing w:line="360" w:lineRule="auto"/>
              <w:jc w:val="center"/>
              <w:rPr>
                <w:rFonts w:ascii="Book Antiqua" w:hAnsi="Book Antiqua"/>
                <w:color w:val="000000" w:themeColor="text1"/>
                <w:lang w:val="en-US" w:eastAsia="zh-CN"/>
              </w:rPr>
            </w:pPr>
            <w:r w:rsidRPr="002F2FC2">
              <w:rPr>
                <w:rFonts w:ascii="Book Antiqua" w:hAnsi="Book Antiqua"/>
                <w:color w:val="000000" w:themeColor="text1"/>
                <w:lang w:val="en-US" w:eastAsia="zh-CN"/>
              </w:rPr>
              <w:t>+</w:t>
            </w:r>
          </w:p>
        </w:tc>
      </w:tr>
    </w:tbl>
    <w:p w14:paraId="5A8023FB" w14:textId="4AD924ED" w:rsidR="00C05395" w:rsidRDefault="00C05395" w:rsidP="00C05395">
      <w:pPr>
        <w:snapToGrid w:val="0"/>
        <w:spacing w:line="360" w:lineRule="auto"/>
        <w:jc w:val="both"/>
        <w:rPr>
          <w:rFonts w:ascii="Book Antiqua" w:hAnsi="Book Antiqua" w:cs="Helvetica"/>
          <w:color w:val="000000" w:themeColor="text1"/>
          <w:lang w:val="en-US" w:eastAsia="zh-CN"/>
        </w:rPr>
      </w:pPr>
      <w:r w:rsidRPr="00C05395">
        <w:rPr>
          <w:rFonts w:ascii="Book Antiqua" w:hAnsi="Book Antiqua" w:hint="eastAsia"/>
          <w:color w:val="000000" w:themeColor="text1"/>
          <w:vertAlign w:val="superscript"/>
          <w:lang w:val="en-US" w:eastAsia="zh-CN"/>
        </w:rPr>
        <w:t>1</w:t>
      </w:r>
      <w:r w:rsidR="002F2FC2" w:rsidRPr="002F2FC2">
        <w:rPr>
          <w:rFonts w:ascii="Book Antiqua" w:hAnsi="Book Antiqua"/>
          <w:color w:val="000000" w:themeColor="text1"/>
          <w:lang w:val="en-US" w:eastAsia="zh-CN"/>
        </w:rPr>
        <w:t>Selective or systematic, according to center</w:t>
      </w:r>
      <w:r>
        <w:rPr>
          <w:rFonts w:ascii="Book Antiqua" w:hAnsi="Book Antiqua" w:hint="eastAsia"/>
          <w:color w:val="000000" w:themeColor="text1"/>
          <w:lang w:val="en-US" w:eastAsia="zh-CN"/>
        </w:rPr>
        <w:t xml:space="preserve">. </w:t>
      </w:r>
      <w:r w:rsidRPr="002F2FC2">
        <w:rPr>
          <w:rFonts w:ascii="Book Antiqua" w:hAnsi="Book Antiqua"/>
          <w:color w:val="000000" w:themeColor="text1"/>
          <w:lang w:val="en-US" w:eastAsia="zh-CN"/>
        </w:rPr>
        <w:t>ni: No information</w:t>
      </w:r>
      <w:r>
        <w:rPr>
          <w:rFonts w:ascii="Book Antiqua" w:hAnsi="Book Antiqua" w:hint="eastAsia"/>
          <w:color w:val="000000" w:themeColor="text1"/>
          <w:lang w:val="en-US" w:eastAsia="zh-CN"/>
        </w:rPr>
        <w:t>;</w:t>
      </w:r>
      <w:r w:rsidRPr="00C05395">
        <w:rPr>
          <w:rFonts w:ascii="Book Antiqua" w:hAnsi="Book Antiqua" w:cs="Helvetica"/>
          <w:color w:val="000000" w:themeColor="text1"/>
          <w:lang w:val="en-US"/>
        </w:rPr>
        <w:t xml:space="preserve"> </w:t>
      </w:r>
      <w:r w:rsidRPr="00A45A3B">
        <w:rPr>
          <w:rFonts w:ascii="Book Antiqua" w:hAnsi="Book Antiqua" w:cs="Helvetica"/>
          <w:color w:val="000000" w:themeColor="text1"/>
          <w:lang w:val="en-US"/>
        </w:rPr>
        <w:t>LUS</w:t>
      </w:r>
      <w:r w:rsidRPr="00A45A3B">
        <w:rPr>
          <w:rFonts w:ascii="Book Antiqua" w:hAnsi="Book Antiqua" w:cs="Helvetica" w:hint="eastAsia"/>
          <w:color w:val="000000" w:themeColor="text1"/>
          <w:lang w:val="en-US" w:eastAsia="zh-CN"/>
        </w:rPr>
        <w:t xml:space="preserve">: </w:t>
      </w:r>
      <w:r w:rsidRPr="00A45A3B">
        <w:rPr>
          <w:rFonts w:ascii="Book Antiqua" w:hAnsi="Book Antiqua" w:cs="Helvetica"/>
          <w:caps/>
          <w:color w:val="000000" w:themeColor="text1"/>
          <w:lang w:val="en-US"/>
        </w:rPr>
        <w:t>l</w:t>
      </w:r>
      <w:r w:rsidRPr="00A45A3B">
        <w:rPr>
          <w:rFonts w:ascii="Book Antiqua" w:hAnsi="Book Antiqua" w:cs="Helvetica"/>
          <w:color w:val="000000" w:themeColor="text1"/>
          <w:lang w:val="en-US"/>
        </w:rPr>
        <w:t>aparoscopic ultrasound</w:t>
      </w:r>
      <w:r>
        <w:rPr>
          <w:rFonts w:ascii="Book Antiqua" w:hAnsi="Book Antiqua" w:cs="Helvetica" w:hint="eastAsia"/>
          <w:color w:val="000000" w:themeColor="text1"/>
          <w:lang w:val="en-US" w:eastAsia="zh-CN"/>
        </w:rPr>
        <w:t xml:space="preserve">; </w:t>
      </w:r>
      <w:r w:rsidRPr="00124E11">
        <w:rPr>
          <w:rFonts w:ascii="Book Antiqua" w:hAnsi="Book Antiqua" w:cs="Helvetica"/>
          <w:color w:val="000000" w:themeColor="text1"/>
          <w:lang w:val="en-US"/>
        </w:rPr>
        <w:t>IOC</w:t>
      </w:r>
      <w:r>
        <w:rPr>
          <w:rFonts w:ascii="Book Antiqua" w:hAnsi="Book Antiqua" w:cs="Helvetica" w:hint="eastAsia"/>
          <w:color w:val="000000" w:themeColor="text1"/>
          <w:lang w:val="en-US" w:eastAsia="zh-CN"/>
        </w:rPr>
        <w:t xml:space="preserve">: </w:t>
      </w:r>
      <w:r w:rsidRPr="00C05395">
        <w:rPr>
          <w:rFonts w:ascii="Book Antiqua" w:hAnsi="Book Antiqua" w:cs="Helvetica"/>
          <w:caps/>
          <w:color w:val="000000" w:themeColor="text1"/>
          <w:lang w:val="en-US"/>
        </w:rPr>
        <w:t>i</w:t>
      </w:r>
      <w:r w:rsidRPr="00124E11">
        <w:rPr>
          <w:rFonts w:ascii="Book Antiqua" w:hAnsi="Book Antiqua" w:cs="Helvetica"/>
          <w:color w:val="000000" w:themeColor="text1"/>
          <w:lang w:val="en-US"/>
        </w:rPr>
        <w:t>ntraoperative cholangiography</w:t>
      </w:r>
      <w:r>
        <w:rPr>
          <w:rFonts w:ascii="Book Antiqua" w:hAnsi="Book Antiqua" w:cs="Helvetica" w:hint="eastAsia"/>
          <w:color w:val="000000" w:themeColor="text1"/>
          <w:lang w:val="en-US" w:eastAsia="zh-CN"/>
        </w:rPr>
        <w:t xml:space="preserve">; </w:t>
      </w:r>
      <w:r w:rsidRPr="00124E11">
        <w:rPr>
          <w:rFonts w:ascii="Book Antiqua" w:hAnsi="Book Antiqua"/>
          <w:color w:val="000000" w:themeColor="text1"/>
          <w:lang w:val="en-US"/>
        </w:rPr>
        <w:t>ERCP</w:t>
      </w:r>
      <w:r>
        <w:rPr>
          <w:rFonts w:ascii="Book Antiqua" w:hAnsi="Book Antiqua" w:hint="eastAsia"/>
          <w:color w:val="000000" w:themeColor="text1"/>
          <w:lang w:val="en-US" w:eastAsia="zh-CN"/>
        </w:rPr>
        <w:t>:</w:t>
      </w:r>
      <w:r w:rsidRPr="00124E11">
        <w:rPr>
          <w:rFonts w:ascii="Book Antiqua" w:hAnsi="Book Antiqua"/>
          <w:color w:val="000000" w:themeColor="text1"/>
          <w:lang w:val="en-US"/>
        </w:rPr>
        <w:t xml:space="preserve"> </w:t>
      </w:r>
      <w:r w:rsidRPr="00C05395">
        <w:rPr>
          <w:rFonts w:ascii="Book Antiqua" w:hAnsi="Book Antiqua"/>
          <w:caps/>
          <w:color w:val="000000" w:themeColor="text1"/>
          <w:lang w:val="en-US"/>
        </w:rPr>
        <w:t>e</w:t>
      </w:r>
      <w:r w:rsidRPr="00124E11">
        <w:rPr>
          <w:rFonts w:ascii="Book Antiqua" w:hAnsi="Book Antiqua"/>
          <w:color w:val="000000" w:themeColor="text1"/>
          <w:lang w:val="en-US"/>
        </w:rPr>
        <w:t>ndoscopic retrograde cholangiopancreatography</w:t>
      </w:r>
      <w:r>
        <w:rPr>
          <w:rFonts w:ascii="Book Antiqua" w:hAnsi="Book Antiqua" w:hint="eastAsia"/>
          <w:color w:val="000000" w:themeColor="text1"/>
          <w:lang w:val="en-US" w:eastAsia="zh-CN"/>
        </w:rPr>
        <w:t>.</w:t>
      </w:r>
    </w:p>
    <w:p w14:paraId="395F064C" w14:textId="1AA4F9F2" w:rsidR="008E4483" w:rsidRDefault="008E4483">
      <w:pPr>
        <w:rPr>
          <w:rFonts w:ascii="Book Antiqua" w:hAnsi="Book Antiqua"/>
          <w:color w:val="000000" w:themeColor="text1"/>
          <w:lang w:val="en-US" w:eastAsia="zh-CN"/>
        </w:rPr>
      </w:pPr>
      <w:r>
        <w:rPr>
          <w:rFonts w:ascii="Book Antiqua" w:hAnsi="Book Antiqua"/>
          <w:color w:val="000000" w:themeColor="text1"/>
          <w:lang w:val="en-US" w:eastAsia="zh-CN"/>
        </w:rPr>
        <w:br w:type="page"/>
      </w:r>
    </w:p>
    <w:p w14:paraId="461586B1" w14:textId="4B296CC7" w:rsidR="0068343E" w:rsidRDefault="008E4483" w:rsidP="00A94613">
      <w:pPr>
        <w:snapToGrid w:val="0"/>
        <w:spacing w:line="360" w:lineRule="auto"/>
        <w:jc w:val="both"/>
        <w:rPr>
          <w:rFonts w:ascii="Book Antiqua" w:hAnsi="Book Antiqua"/>
          <w:b/>
          <w:color w:val="000000" w:themeColor="text1"/>
          <w:lang w:val="en-US" w:eastAsia="zh-CN"/>
        </w:rPr>
      </w:pPr>
      <w:r w:rsidRPr="008E4483">
        <w:rPr>
          <w:rFonts w:ascii="Book Antiqua" w:hAnsi="Book Antiqua"/>
          <w:b/>
          <w:color w:val="000000" w:themeColor="text1"/>
          <w:lang w:val="en-US" w:eastAsia="zh-CN"/>
        </w:rPr>
        <w:lastRenderedPageBreak/>
        <w:t>Table 6</w:t>
      </w:r>
      <w:r w:rsidRPr="008E4483">
        <w:rPr>
          <w:rFonts w:ascii="Book Antiqua" w:hAnsi="Book Antiqua" w:hint="eastAsia"/>
          <w:b/>
          <w:color w:val="000000" w:themeColor="text1"/>
          <w:lang w:val="en-US" w:eastAsia="zh-CN"/>
        </w:rPr>
        <w:t xml:space="preserve"> </w:t>
      </w:r>
      <w:r w:rsidRPr="008E4483">
        <w:rPr>
          <w:rFonts w:ascii="Book Antiqua" w:hAnsi="Book Antiqua"/>
          <w:b/>
          <w:color w:val="000000" w:themeColor="text1"/>
          <w:lang w:val="en-US" w:eastAsia="zh-CN"/>
        </w:rPr>
        <w:t>Incidental findings</w:t>
      </w:r>
    </w:p>
    <w:tbl>
      <w:tblPr>
        <w:tblW w:w="15026" w:type="dxa"/>
        <w:tblInd w:w="-176" w:type="dxa"/>
        <w:tblBorders>
          <w:top w:val="single" w:sz="4" w:space="0" w:color="auto"/>
          <w:bottom w:val="single" w:sz="4" w:space="0" w:color="auto"/>
        </w:tblBorders>
        <w:tblLayout w:type="fixed"/>
        <w:tblLook w:val="04A0" w:firstRow="1" w:lastRow="0" w:firstColumn="1" w:lastColumn="0" w:noHBand="0" w:noVBand="1"/>
      </w:tblPr>
      <w:tblGrid>
        <w:gridCol w:w="1527"/>
        <w:gridCol w:w="1059"/>
        <w:gridCol w:w="3368"/>
        <w:gridCol w:w="9072"/>
      </w:tblGrid>
      <w:tr w:rsidR="008E4483" w:rsidRPr="008E4483" w14:paraId="5737E42C" w14:textId="77777777" w:rsidTr="008E4483">
        <w:trPr>
          <w:trHeight w:val="322"/>
        </w:trPr>
        <w:tc>
          <w:tcPr>
            <w:tcW w:w="1527" w:type="dxa"/>
            <w:tcBorders>
              <w:top w:val="single" w:sz="4" w:space="0" w:color="auto"/>
              <w:bottom w:val="single" w:sz="4" w:space="0" w:color="auto"/>
            </w:tcBorders>
            <w:shd w:val="clear" w:color="auto" w:fill="auto"/>
            <w:noWrap/>
            <w:vAlign w:val="bottom"/>
            <w:hideMark/>
          </w:tcPr>
          <w:p w14:paraId="04C10EC6" w14:textId="77777777" w:rsidR="008E4483" w:rsidRPr="008E4483" w:rsidRDefault="008E4483" w:rsidP="008E4483">
            <w:pPr>
              <w:snapToGrid w:val="0"/>
              <w:spacing w:line="360" w:lineRule="auto"/>
              <w:jc w:val="both"/>
              <w:rPr>
                <w:rFonts w:ascii="Book Antiqua" w:hAnsi="Book Antiqua"/>
                <w:b/>
                <w:color w:val="000000" w:themeColor="text1"/>
                <w:lang w:val="en-US" w:eastAsia="zh-CN"/>
              </w:rPr>
            </w:pPr>
            <w:r w:rsidRPr="008E4483">
              <w:rPr>
                <w:rFonts w:ascii="Book Antiqua" w:hAnsi="Book Antiqua"/>
                <w:b/>
                <w:color w:val="000000" w:themeColor="text1"/>
                <w:lang w:val="en-US" w:eastAsia="zh-CN"/>
              </w:rPr>
              <w:t>Author</w:t>
            </w:r>
          </w:p>
        </w:tc>
        <w:tc>
          <w:tcPr>
            <w:tcW w:w="1059" w:type="dxa"/>
            <w:tcBorders>
              <w:top w:val="single" w:sz="4" w:space="0" w:color="auto"/>
              <w:bottom w:val="single" w:sz="4" w:space="0" w:color="auto"/>
            </w:tcBorders>
            <w:shd w:val="clear" w:color="auto" w:fill="auto"/>
            <w:noWrap/>
            <w:vAlign w:val="bottom"/>
            <w:hideMark/>
          </w:tcPr>
          <w:p w14:paraId="7D6069CA" w14:textId="77777777" w:rsidR="008E4483" w:rsidRPr="008E4483" w:rsidRDefault="008E4483" w:rsidP="008E4483">
            <w:pPr>
              <w:snapToGrid w:val="0"/>
              <w:spacing w:line="360" w:lineRule="auto"/>
              <w:jc w:val="center"/>
              <w:rPr>
                <w:rFonts w:ascii="Book Antiqua" w:hAnsi="Book Antiqua"/>
                <w:b/>
                <w:color w:val="000000" w:themeColor="text1"/>
                <w:lang w:val="en-US" w:eastAsia="zh-CN"/>
              </w:rPr>
            </w:pPr>
            <w:r w:rsidRPr="008E4483">
              <w:rPr>
                <w:rFonts w:ascii="Book Antiqua" w:hAnsi="Book Antiqua"/>
                <w:b/>
                <w:color w:val="000000" w:themeColor="text1"/>
                <w:lang w:val="en-US" w:eastAsia="zh-CN"/>
              </w:rPr>
              <w:t>Year</w:t>
            </w:r>
          </w:p>
        </w:tc>
        <w:tc>
          <w:tcPr>
            <w:tcW w:w="3368" w:type="dxa"/>
            <w:tcBorders>
              <w:top w:val="single" w:sz="4" w:space="0" w:color="auto"/>
              <w:bottom w:val="single" w:sz="4" w:space="0" w:color="auto"/>
            </w:tcBorders>
            <w:shd w:val="clear" w:color="auto" w:fill="auto"/>
            <w:noWrap/>
            <w:vAlign w:val="bottom"/>
            <w:hideMark/>
          </w:tcPr>
          <w:p w14:paraId="76C75C7F" w14:textId="77777777" w:rsidR="008E4483" w:rsidRPr="008E4483" w:rsidRDefault="008E4483" w:rsidP="008E4483">
            <w:pPr>
              <w:snapToGrid w:val="0"/>
              <w:spacing w:line="360" w:lineRule="auto"/>
              <w:jc w:val="center"/>
              <w:rPr>
                <w:rFonts w:ascii="Book Antiqua" w:hAnsi="Book Antiqua"/>
                <w:b/>
                <w:color w:val="000000" w:themeColor="text1"/>
                <w:lang w:val="en-US" w:eastAsia="zh-CN"/>
              </w:rPr>
            </w:pPr>
            <w:r w:rsidRPr="008E4483">
              <w:rPr>
                <w:rFonts w:ascii="Book Antiqua" w:hAnsi="Book Antiqua"/>
                <w:b/>
                <w:color w:val="000000" w:themeColor="text1"/>
                <w:lang w:val="en-US" w:eastAsia="zh-CN"/>
              </w:rPr>
              <w:t>Number of patients examined using LUS</w:t>
            </w:r>
          </w:p>
        </w:tc>
        <w:tc>
          <w:tcPr>
            <w:tcW w:w="9072" w:type="dxa"/>
            <w:tcBorders>
              <w:top w:val="single" w:sz="4" w:space="0" w:color="auto"/>
              <w:bottom w:val="single" w:sz="4" w:space="0" w:color="auto"/>
            </w:tcBorders>
            <w:shd w:val="clear" w:color="auto" w:fill="auto"/>
            <w:noWrap/>
            <w:vAlign w:val="bottom"/>
            <w:hideMark/>
          </w:tcPr>
          <w:p w14:paraId="4A4F1726" w14:textId="0256DED9" w:rsidR="008E4483" w:rsidRPr="008E4483" w:rsidRDefault="008E4483" w:rsidP="008E4483">
            <w:pPr>
              <w:snapToGrid w:val="0"/>
              <w:spacing w:line="360" w:lineRule="auto"/>
              <w:jc w:val="center"/>
              <w:rPr>
                <w:rFonts w:ascii="Book Antiqua" w:hAnsi="Book Antiqua"/>
                <w:b/>
                <w:color w:val="000000" w:themeColor="text1"/>
                <w:lang w:val="en-US" w:eastAsia="zh-CN"/>
              </w:rPr>
            </w:pPr>
            <w:r w:rsidRPr="008E4483">
              <w:rPr>
                <w:rFonts w:ascii="Book Antiqua" w:hAnsi="Book Antiqua"/>
                <w:b/>
                <w:color w:val="000000" w:themeColor="text1"/>
                <w:lang w:val="en-US" w:eastAsia="zh-CN"/>
              </w:rPr>
              <w:t>Incidental findings</w:t>
            </w:r>
          </w:p>
        </w:tc>
      </w:tr>
      <w:tr w:rsidR="008E4483" w:rsidRPr="008E4483" w14:paraId="0DBAD944" w14:textId="77777777" w:rsidTr="008E4483">
        <w:trPr>
          <w:trHeight w:val="322"/>
        </w:trPr>
        <w:tc>
          <w:tcPr>
            <w:tcW w:w="1527" w:type="dxa"/>
            <w:tcBorders>
              <w:top w:val="single" w:sz="4" w:space="0" w:color="auto"/>
            </w:tcBorders>
            <w:shd w:val="clear" w:color="auto" w:fill="auto"/>
            <w:noWrap/>
            <w:vAlign w:val="bottom"/>
            <w:hideMark/>
          </w:tcPr>
          <w:p w14:paraId="16393DE2"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p>
          <w:p w14:paraId="2D07CF09"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r w:rsidRPr="008E4483">
              <w:rPr>
                <w:rFonts w:ascii="Book Antiqua" w:hAnsi="Book Antiqua"/>
                <w:color w:val="000000" w:themeColor="text1"/>
                <w:lang w:val="en-US" w:eastAsia="zh-CN"/>
              </w:rPr>
              <w:t>Machi</w:t>
            </w:r>
          </w:p>
        </w:tc>
        <w:tc>
          <w:tcPr>
            <w:tcW w:w="1059" w:type="dxa"/>
            <w:tcBorders>
              <w:top w:val="single" w:sz="4" w:space="0" w:color="auto"/>
            </w:tcBorders>
            <w:shd w:val="clear" w:color="auto" w:fill="auto"/>
            <w:noWrap/>
            <w:vAlign w:val="bottom"/>
            <w:hideMark/>
          </w:tcPr>
          <w:p w14:paraId="1F9E4E22"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2007</w:t>
            </w:r>
          </w:p>
        </w:tc>
        <w:tc>
          <w:tcPr>
            <w:tcW w:w="3368" w:type="dxa"/>
            <w:tcBorders>
              <w:top w:val="single" w:sz="4" w:space="0" w:color="auto"/>
            </w:tcBorders>
            <w:shd w:val="clear" w:color="auto" w:fill="auto"/>
            <w:noWrap/>
            <w:vAlign w:val="bottom"/>
            <w:hideMark/>
          </w:tcPr>
          <w:p w14:paraId="17283B3B"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200</w:t>
            </w:r>
          </w:p>
        </w:tc>
        <w:tc>
          <w:tcPr>
            <w:tcW w:w="9072" w:type="dxa"/>
            <w:tcBorders>
              <w:top w:val="single" w:sz="4" w:space="0" w:color="auto"/>
            </w:tcBorders>
            <w:shd w:val="clear" w:color="auto" w:fill="auto"/>
            <w:noWrap/>
            <w:vAlign w:val="bottom"/>
            <w:hideMark/>
          </w:tcPr>
          <w:p w14:paraId="7D7507D8"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Cystic or solid tumors of the liver or pancreas in 31 patients; 14 biopsies and aspirations, 6 radiofrequency ablations</w:t>
            </w:r>
          </w:p>
        </w:tc>
      </w:tr>
      <w:tr w:rsidR="008E4483" w:rsidRPr="008E4483" w14:paraId="66703CAC" w14:textId="77777777" w:rsidTr="008E4483">
        <w:trPr>
          <w:trHeight w:val="322"/>
        </w:trPr>
        <w:tc>
          <w:tcPr>
            <w:tcW w:w="1527" w:type="dxa"/>
            <w:shd w:val="clear" w:color="auto" w:fill="auto"/>
            <w:noWrap/>
            <w:vAlign w:val="bottom"/>
            <w:hideMark/>
          </w:tcPr>
          <w:p w14:paraId="542DB97A"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r w:rsidRPr="008E4483">
              <w:rPr>
                <w:rFonts w:ascii="Book Antiqua" w:hAnsi="Book Antiqua"/>
                <w:color w:val="000000" w:themeColor="text1"/>
                <w:lang w:val="en-US" w:eastAsia="zh-CN"/>
              </w:rPr>
              <w:t>Perry</w:t>
            </w:r>
          </w:p>
        </w:tc>
        <w:tc>
          <w:tcPr>
            <w:tcW w:w="1059" w:type="dxa"/>
            <w:shd w:val="clear" w:color="auto" w:fill="auto"/>
            <w:noWrap/>
            <w:vAlign w:val="bottom"/>
            <w:hideMark/>
          </w:tcPr>
          <w:p w14:paraId="79316ADD"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2007</w:t>
            </w:r>
          </w:p>
        </w:tc>
        <w:tc>
          <w:tcPr>
            <w:tcW w:w="3368" w:type="dxa"/>
            <w:shd w:val="clear" w:color="auto" w:fill="auto"/>
            <w:noWrap/>
            <w:vAlign w:val="bottom"/>
            <w:hideMark/>
          </w:tcPr>
          <w:p w14:paraId="77DD8F8D"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236</w:t>
            </w:r>
          </w:p>
        </w:tc>
        <w:tc>
          <w:tcPr>
            <w:tcW w:w="9072" w:type="dxa"/>
            <w:shd w:val="clear" w:color="auto" w:fill="auto"/>
            <w:noWrap/>
            <w:vAlign w:val="bottom"/>
            <w:hideMark/>
          </w:tcPr>
          <w:p w14:paraId="09D90A63"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Atrophic/hypertrophic or rotational anomalies or the liver, Mirizzi syndrome, vascular anomalies</w:t>
            </w:r>
          </w:p>
        </w:tc>
      </w:tr>
      <w:tr w:rsidR="008E4483" w:rsidRPr="008E4483" w14:paraId="450FAEFD" w14:textId="77777777" w:rsidTr="008E4483">
        <w:trPr>
          <w:trHeight w:val="322"/>
        </w:trPr>
        <w:tc>
          <w:tcPr>
            <w:tcW w:w="1527" w:type="dxa"/>
            <w:shd w:val="clear" w:color="auto" w:fill="auto"/>
            <w:noWrap/>
            <w:vAlign w:val="bottom"/>
          </w:tcPr>
          <w:p w14:paraId="7AD481F9"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r w:rsidRPr="008E4483">
              <w:rPr>
                <w:rFonts w:ascii="Book Antiqua" w:hAnsi="Book Antiqua"/>
                <w:color w:val="000000" w:themeColor="text1"/>
                <w:lang w:val="en-US" w:eastAsia="zh-CN"/>
              </w:rPr>
              <w:t>Hakamada</w:t>
            </w:r>
          </w:p>
        </w:tc>
        <w:tc>
          <w:tcPr>
            <w:tcW w:w="1059" w:type="dxa"/>
            <w:shd w:val="clear" w:color="auto" w:fill="auto"/>
            <w:noWrap/>
            <w:vAlign w:val="bottom"/>
          </w:tcPr>
          <w:p w14:paraId="458B3873"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2008</w:t>
            </w:r>
          </w:p>
        </w:tc>
        <w:tc>
          <w:tcPr>
            <w:tcW w:w="3368" w:type="dxa"/>
            <w:shd w:val="clear" w:color="auto" w:fill="auto"/>
            <w:noWrap/>
            <w:vAlign w:val="bottom"/>
          </w:tcPr>
          <w:p w14:paraId="09016B86"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299</w:t>
            </w:r>
          </w:p>
        </w:tc>
        <w:tc>
          <w:tcPr>
            <w:tcW w:w="9072" w:type="dxa"/>
            <w:shd w:val="clear" w:color="auto" w:fill="auto"/>
            <w:noWrap/>
            <w:vAlign w:val="bottom"/>
          </w:tcPr>
          <w:p w14:paraId="16869BB2"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Polyps</w:t>
            </w:r>
          </w:p>
        </w:tc>
      </w:tr>
      <w:tr w:rsidR="008E4483" w:rsidRPr="008E4483" w14:paraId="6F2B0398" w14:textId="77777777" w:rsidTr="008E4483">
        <w:trPr>
          <w:trHeight w:val="322"/>
        </w:trPr>
        <w:tc>
          <w:tcPr>
            <w:tcW w:w="1527" w:type="dxa"/>
            <w:shd w:val="clear" w:color="auto" w:fill="auto"/>
            <w:noWrap/>
            <w:vAlign w:val="bottom"/>
          </w:tcPr>
          <w:p w14:paraId="05B90A03"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r w:rsidRPr="008E4483">
              <w:rPr>
                <w:rFonts w:ascii="Book Antiqua" w:hAnsi="Book Antiqua"/>
                <w:color w:val="000000" w:themeColor="text1"/>
                <w:lang w:val="en-US" w:eastAsia="zh-CN"/>
              </w:rPr>
              <w:t>Hublet</w:t>
            </w:r>
          </w:p>
        </w:tc>
        <w:tc>
          <w:tcPr>
            <w:tcW w:w="1059" w:type="dxa"/>
            <w:shd w:val="clear" w:color="auto" w:fill="auto"/>
            <w:noWrap/>
            <w:vAlign w:val="bottom"/>
          </w:tcPr>
          <w:p w14:paraId="26C1D05C"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2009</w:t>
            </w:r>
          </w:p>
        </w:tc>
        <w:tc>
          <w:tcPr>
            <w:tcW w:w="3368" w:type="dxa"/>
            <w:shd w:val="clear" w:color="auto" w:fill="auto"/>
            <w:noWrap/>
            <w:vAlign w:val="bottom"/>
          </w:tcPr>
          <w:p w14:paraId="746326E5"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269</w:t>
            </w:r>
          </w:p>
        </w:tc>
        <w:tc>
          <w:tcPr>
            <w:tcW w:w="9072" w:type="dxa"/>
            <w:shd w:val="clear" w:color="auto" w:fill="auto"/>
            <w:noWrap/>
            <w:vAlign w:val="bottom"/>
          </w:tcPr>
          <w:p w14:paraId="1AD8185A"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1 hemobilia, 1 pancreatic pseudocyst, 1 IPMT, 1 pancreas divisum, 1 micro-calcification of the pancreatic head, 1 liver abscess, 1 liver tumor</w:t>
            </w:r>
          </w:p>
        </w:tc>
      </w:tr>
      <w:tr w:rsidR="008E4483" w:rsidRPr="008E4483" w14:paraId="46B0DD7F" w14:textId="77777777" w:rsidTr="008E4483">
        <w:trPr>
          <w:trHeight w:val="322"/>
        </w:trPr>
        <w:tc>
          <w:tcPr>
            <w:tcW w:w="1527" w:type="dxa"/>
            <w:shd w:val="clear" w:color="auto" w:fill="auto"/>
            <w:noWrap/>
            <w:vAlign w:val="bottom"/>
          </w:tcPr>
          <w:p w14:paraId="6035C252" w14:textId="77777777" w:rsidR="008E4483" w:rsidRPr="008E4483" w:rsidRDefault="008E4483" w:rsidP="008E4483">
            <w:pPr>
              <w:snapToGrid w:val="0"/>
              <w:spacing w:line="360" w:lineRule="auto"/>
              <w:jc w:val="both"/>
              <w:rPr>
                <w:rFonts w:ascii="Book Antiqua" w:hAnsi="Book Antiqua"/>
                <w:iCs/>
                <w:color w:val="000000" w:themeColor="text1"/>
                <w:lang w:val="en-US" w:eastAsia="zh-CN"/>
              </w:rPr>
            </w:pPr>
            <w:r w:rsidRPr="008E4483">
              <w:rPr>
                <w:rFonts w:ascii="Book Antiqua" w:hAnsi="Book Antiqua"/>
                <w:color w:val="000000" w:themeColor="text1"/>
                <w:lang w:val="en-US" w:eastAsia="zh-CN"/>
              </w:rPr>
              <w:t>Machi</w:t>
            </w:r>
          </w:p>
        </w:tc>
        <w:tc>
          <w:tcPr>
            <w:tcW w:w="1059" w:type="dxa"/>
            <w:shd w:val="clear" w:color="auto" w:fill="auto"/>
            <w:noWrap/>
            <w:vAlign w:val="bottom"/>
          </w:tcPr>
          <w:p w14:paraId="096CB768" w14:textId="77777777" w:rsidR="008E4483" w:rsidRPr="008E4483" w:rsidRDefault="008E4483" w:rsidP="008E4483">
            <w:pPr>
              <w:snapToGrid w:val="0"/>
              <w:spacing w:line="360" w:lineRule="auto"/>
              <w:jc w:val="center"/>
              <w:rPr>
                <w:rFonts w:ascii="Book Antiqua" w:hAnsi="Book Antiqua"/>
                <w:iCs/>
                <w:color w:val="000000" w:themeColor="text1"/>
                <w:lang w:val="en-US" w:eastAsia="zh-CN"/>
              </w:rPr>
            </w:pPr>
            <w:r w:rsidRPr="008E4483">
              <w:rPr>
                <w:rFonts w:ascii="Book Antiqua" w:hAnsi="Book Antiqua"/>
                <w:color w:val="000000" w:themeColor="text1"/>
                <w:lang w:val="en-US" w:eastAsia="zh-CN"/>
              </w:rPr>
              <w:t>2009</w:t>
            </w:r>
          </w:p>
        </w:tc>
        <w:tc>
          <w:tcPr>
            <w:tcW w:w="3368" w:type="dxa"/>
            <w:shd w:val="clear" w:color="auto" w:fill="auto"/>
            <w:noWrap/>
            <w:vAlign w:val="bottom"/>
          </w:tcPr>
          <w:p w14:paraId="2AC4CEAC" w14:textId="77777777" w:rsidR="008E4483" w:rsidRPr="008E4483" w:rsidRDefault="008E4483" w:rsidP="008E4483">
            <w:pPr>
              <w:snapToGrid w:val="0"/>
              <w:spacing w:line="360" w:lineRule="auto"/>
              <w:jc w:val="center"/>
              <w:rPr>
                <w:rFonts w:ascii="Book Antiqua" w:hAnsi="Book Antiqua"/>
                <w:iCs/>
                <w:color w:val="000000" w:themeColor="text1"/>
                <w:lang w:val="en-US" w:eastAsia="zh-CN"/>
              </w:rPr>
            </w:pPr>
            <w:r w:rsidRPr="008E4483">
              <w:rPr>
                <w:rFonts w:ascii="Book Antiqua" w:hAnsi="Book Antiqua"/>
                <w:color w:val="000000" w:themeColor="text1"/>
                <w:lang w:val="en-US" w:eastAsia="zh-CN"/>
              </w:rPr>
              <w:t>1352</w:t>
            </w:r>
          </w:p>
        </w:tc>
        <w:tc>
          <w:tcPr>
            <w:tcW w:w="9072" w:type="dxa"/>
            <w:shd w:val="clear" w:color="auto" w:fill="auto"/>
            <w:noWrap/>
            <w:vAlign w:val="bottom"/>
          </w:tcPr>
          <w:p w14:paraId="5B3977AC" w14:textId="77777777" w:rsidR="008E4483" w:rsidRPr="008E4483" w:rsidRDefault="008E4483" w:rsidP="008E4483">
            <w:pPr>
              <w:snapToGrid w:val="0"/>
              <w:spacing w:line="360" w:lineRule="auto"/>
              <w:jc w:val="center"/>
              <w:rPr>
                <w:rFonts w:ascii="Book Antiqua" w:hAnsi="Book Antiqua"/>
                <w:iCs/>
                <w:color w:val="000000" w:themeColor="text1"/>
                <w:lang w:val="en-US" w:eastAsia="zh-CN"/>
              </w:rPr>
            </w:pPr>
            <w:r w:rsidRPr="008E4483">
              <w:rPr>
                <w:rFonts w:ascii="Book Antiqua" w:hAnsi="Book Antiqua"/>
                <w:color w:val="000000" w:themeColor="text1"/>
                <w:lang w:val="en-US" w:eastAsia="zh-CN"/>
              </w:rPr>
              <w:t>Atrophic/hypertrophic or rotational anomalies or the liver, Mirizzi syndrome, vascular anomalies</w:t>
            </w:r>
          </w:p>
        </w:tc>
      </w:tr>
      <w:tr w:rsidR="008E4483" w:rsidRPr="008E4483" w14:paraId="09278923" w14:textId="77777777" w:rsidTr="008E4483">
        <w:trPr>
          <w:trHeight w:val="322"/>
        </w:trPr>
        <w:tc>
          <w:tcPr>
            <w:tcW w:w="1527" w:type="dxa"/>
            <w:shd w:val="clear" w:color="auto" w:fill="auto"/>
            <w:noWrap/>
            <w:vAlign w:val="bottom"/>
          </w:tcPr>
          <w:p w14:paraId="0A2E2D14"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r w:rsidRPr="008E4483">
              <w:rPr>
                <w:rFonts w:ascii="Book Antiqua" w:hAnsi="Book Antiqua"/>
                <w:iCs/>
                <w:color w:val="000000" w:themeColor="text1"/>
                <w:lang w:val="en-US" w:eastAsia="zh-CN"/>
              </w:rPr>
              <w:t xml:space="preserve">Gwinn </w:t>
            </w:r>
          </w:p>
        </w:tc>
        <w:tc>
          <w:tcPr>
            <w:tcW w:w="1059" w:type="dxa"/>
            <w:shd w:val="clear" w:color="auto" w:fill="auto"/>
            <w:noWrap/>
            <w:vAlign w:val="bottom"/>
          </w:tcPr>
          <w:p w14:paraId="288406DF"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iCs/>
                <w:color w:val="000000" w:themeColor="text1"/>
                <w:lang w:val="en-US" w:eastAsia="zh-CN"/>
              </w:rPr>
              <w:t>2013</w:t>
            </w:r>
          </w:p>
        </w:tc>
        <w:tc>
          <w:tcPr>
            <w:tcW w:w="3368" w:type="dxa"/>
            <w:shd w:val="clear" w:color="auto" w:fill="auto"/>
            <w:noWrap/>
            <w:vAlign w:val="bottom"/>
          </w:tcPr>
          <w:p w14:paraId="6C087219"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iCs/>
                <w:color w:val="000000" w:themeColor="text1"/>
                <w:lang w:val="en-US" w:eastAsia="zh-CN"/>
              </w:rPr>
              <w:t>44</w:t>
            </w:r>
          </w:p>
        </w:tc>
        <w:tc>
          <w:tcPr>
            <w:tcW w:w="9072" w:type="dxa"/>
            <w:shd w:val="clear" w:color="auto" w:fill="auto"/>
            <w:noWrap/>
            <w:vAlign w:val="bottom"/>
          </w:tcPr>
          <w:p w14:paraId="1B0E282A"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iCs/>
                <w:color w:val="000000" w:themeColor="text1"/>
                <w:lang w:val="en-US" w:eastAsia="zh-CN"/>
              </w:rPr>
              <w:t>2 hepatic rotation anomalies</w:t>
            </w:r>
          </w:p>
        </w:tc>
      </w:tr>
      <w:tr w:rsidR="008E4483" w:rsidRPr="008E4483" w14:paraId="3A761E0F" w14:textId="77777777" w:rsidTr="008E4483">
        <w:trPr>
          <w:trHeight w:val="309"/>
        </w:trPr>
        <w:tc>
          <w:tcPr>
            <w:tcW w:w="1527" w:type="dxa"/>
            <w:shd w:val="clear" w:color="auto" w:fill="auto"/>
            <w:noWrap/>
            <w:vAlign w:val="bottom"/>
          </w:tcPr>
          <w:p w14:paraId="4CC4A7D4" w14:textId="77777777" w:rsidR="008E4483" w:rsidRPr="008E4483" w:rsidRDefault="008E4483" w:rsidP="008E4483">
            <w:pPr>
              <w:snapToGrid w:val="0"/>
              <w:spacing w:line="360" w:lineRule="auto"/>
              <w:jc w:val="both"/>
              <w:rPr>
                <w:rFonts w:ascii="Book Antiqua" w:hAnsi="Book Antiqua"/>
                <w:color w:val="000000" w:themeColor="text1"/>
                <w:lang w:val="en-US" w:eastAsia="zh-CN"/>
              </w:rPr>
            </w:pPr>
            <w:r w:rsidRPr="008E4483">
              <w:rPr>
                <w:rFonts w:ascii="Book Antiqua" w:hAnsi="Book Antiqua"/>
                <w:color w:val="000000" w:themeColor="text1"/>
                <w:lang w:val="en-US" w:eastAsia="zh-CN"/>
              </w:rPr>
              <w:t>Kothari</w:t>
            </w:r>
          </w:p>
        </w:tc>
        <w:tc>
          <w:tcPr>
            <w:tcW w:w="1059" w:type="dxa"/>
            <w:shd w:val="clear" w:color="auto" w:fill="auto"/>
            <w:noWrap/>
            <w:vAlign w:val="bottom"/>
          </w:tcPr>
          <w:p w14:paraId="2F675EFC"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2013</w:t>
            </w:r>
          </w:p>
        </w:tc>
        <w:tc>
          <w:tcPr>
            <w:tcW w:w="3368" w:type="dxa"/>
            <w:shd w:val="clear" w:color="auto" w:fill="auto"/>
            <w:noWrap/>
            <w:vAlign w:val="bottom"/>
          </w:tcPr>
          <w:p w14:paraId="2BB3C3C3" w14:textId="77777777" w:rsidR="008E4483" w:rsidRPr="008E4483" w:rsidRDefault="008E4483" w:rsidP="008E4483">
            <w:pPr>
              <w:snapToGrid w:val="0"/>
              <w:spacing w:line="360" w:lineRule="auto"/>
              <w:jc w:val="center"/>
              <w:rPr>
                <w:rFonts w:ascii="Book Antiqua" w:hAnsi="Book Antiqua"/>
                <w:color w:val="000000" w:themeColor="text1"/>
                <w:lang w:val="en-US" w:eastAsia="zh-CN"/>
              </w:rPr>
            </w:pPr>
            <w:r w:rsidRPr="008E4483">
              <w:rPr>
                <w:rFonts w:ascii="Book Antiqua" w:hAnsi="Book Antiqua"/>
                <w:color w:val="000000" w:themeColor="text1"/>
                <w:lang w:val="en-US" w:eastAsia="zh-CN"/>
              </w:rPr>
              <w:t>253</w:t>
            </w:r>
          </w:p>
        </w:tc>
        <w:tc>
          <w:tcPr>
            <w:tcW w:w="9072" w:type="dxa"/>
            <w:shd w:val="clear" w:color="auto" w:fill="auto"/>
            <w:noWrap/>
            <w:vAlign w:val="bottom"/>
          </w:tcPr>
          <w:p w14:paraId="2A69DDFE" w14:textId="77777777" w:rsidR="008E4483" w:rsidRPr="008E4483" w:rsidRDefault="008E4483" w:rsidP="008E4483">
            <w:pPr>
              <w:snapToGrid w:val="0"/>
              <w:spacing w:line="360" w:lineRule="auto"/>
              <w:jc w:val="center"/>
              <w:rPr>
                <w:rFonts w:ascii="Book Antiqua" w:hAnsi="Book Antiqua"/>
                <w:iCs/>
                <w:color w:val="000000" w:themeColor="text1"/>
                <w:lang w:val="en-US" w:eastAsia="zh-CN"/>
              </w:rPr>
            </w:pPr>
            <w:r w:rsidRPr="008E4483">
              <w:rPr>
                <w:rFonts w:ascii="Book Antiqua" w:hAnsi="Book Antiqua"/>
                <w:color w:val="000000" w:themeColor="text1"/>
                <w:lang w:val="en-US" w:eastAsia="zh-CN"/>
              </w:rPr>
              <w:t>Polyps. Improved visualization of gallbladder walls in obese patient compared to trans-abdominal US</w:t>
            </w:r>
          </w:p>
        </w:tc>
      </w:tr>
    </w:tbl>
    <w:p w14:paraId="0F3EDF72" w14:textId="3C959FD4" w:rsidR="008E4483" w:rsidRPr="008E4483" w:rsidRDefault="008E4483" w:rsidP="00A94613">
      <w:pPr>
        <w:snapToGrid w:val="0"/>
        <w:spacing w:line="360" w:lineRule="auto"/>
        <w:jc w:val="both"/>
        <w:rPr>
          <w:rFonts w:ascii="Book Antiqua" w:hAnsi="Book Antiqua" w:cs="Helvetica"/>
          <w:color w:val="000000" w:themeColor="text1"/>
          <w:lang w:val="en-US" w:eastAsia="zh-CN"/>
        </w:rPr>
      </w:pPr>
      <w:r w:rsidRPr="00A45A3B">
        <w:rPr>
          <w:rFonts w:ascii="Book Antiqua" w:hAnsi="Book Antiqua" w:cs="Helvetica"/>
          <w:color w:val="000000" w:themeColor="text1"/>
          <w:lang w:val="en-US"/>
        </w:rPr>
        <w:t>LUS</w:t>
      </w:r>
      <w:r w:rsidRPr="00A45A3B">
        <w:rPr>
          <w:rFonts w:ascii="Book Antiqua" w:hAnsi="Book Antiqua" w:cs="Helvetica" w:hint="eastAsia"/>
          <w:color w:val="000000" w:themeColor="text1"/>
          <w:lang w:val="en-US" w:eastAsia="zh-CN"/>
        </w:rPr>
        <w:t xml:space="preserve">: </w:t>
      </w:r>
      <w:r w:rsidRPr="00A45A3B">
        <w:rPr>
          <w:rFonts w:ascii="Book Antiqua" w:hAnsi="Book Antiqua" w:cs="Helvetica"/>
          <w:caps/>
          <w:color w:val="000000" w:themeColor="text1"/>
          <w:lang w:val="en-US"/>
        </w:rPr>
        <w:t>l</w:t>
      </w:r>
      <w:r w:rsidRPr="00A45A3B">
        <w:rPr>
          <w:rFonts w:ascii="Book Antiqua" w:hAnsi="Book Antiqua" w:cs="Helvetica"/>
          <w:color w:val="000000" w:themeColor="text1"/>
          <w:lang w:val="en-US"/>
        </w:rPr>
        <w:t>aparoscopic ultrasound</w:t>
      </w:r>
      <w:r>
        <w:rPr>
          <w:rFonts w:ascii="Book Antiqua" w:hAnsi="Book Antiqua" w:cs="Helvetica" w:hint="eastAsia"/>
          <w:color w:val="000000" w:themeColor="text1"/>
          <w:lang w:val="en-US" w:eastAsia="zh-CN"/>
        </w:rPr>
        <w:t>.</w:t>
      </w:r>
    </w:p>
    <w:sectPr w:rsidR="008E4483" w:rsidRPr="008E4483" w:rsidSect="00A94613">
      <w:pgSz w:w="19845" w:h="16840" w:orient="landscape"/>
      <w:pgMar w:top="1418" w:right="2002" w:bottom="1418" w:left="20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D8371" w14:textId="77777777" w:rsidR="00A9376C" w:rsidRDefault="00A9376C" w:rsidP="00594826">
      <w:r>
        <w:separator/>
      </w:r>
    </w:p>
  </w:endnote>
  <w:endnote w:type="continuationSeparator" w:id="0">
    <w:p w14:paraId="0ADF4134" w14:textId="77777777" w:rsidR="00A9376C" w:rsidRDefault="00A9376C" w:rsidP="00594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êıøU'EAŸ">
    <w:altName w:val="Calibri"/>
    <w:panose1 w:val="00000000000000000000"/>
    <w:charset w:val="4D"/>
    <w:family w:val="auto"/>
    <w:notTrueType/>
    <w:pitch w:val="default"/>
    <w:sig w:usb0="00000003" w:usb1="00000000" w:usb2="00000000" w:usb3="00000000" w:csb0="00000001" w:csb1="00000000"/>
  </w:font>
  <w:font w:name="Yu Gothic Light">
    <w:altName w:val="MS Gothic"/>
    <w:charset w:val="80"/>
    <w:family w:val="auto"/>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MS Mincho"/>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99EA5" w14:textId="77777777" w:rsidR="00A9376C" w:rsidRDefault="00A9376C" w:rsidP="00594826">
      <w:r>
        <w:separator/>
      </w:r>
    </w:p>
  </w:footnote>
  <w:footnote w:type="continuationSeparator" w:id="0">
    <w:p w14:paraId="523E267F" w14:textId="77777777" w:rsidR="00A9376C" w:rsidRDefault="00A9376C" w:rsidP="005948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F0F"/>
    <w:rsid w:val="00001180"/>
    <w:rsid w:val="0000628C"/>
    <w:rsid w:val="000174D7"/>
    <w:rsid w:val="00041A64"/>
    <w:rsid w:val="000679BE"/>
    <w:rsid w:val="00075EDC"/>
    <w:rsid w:val="0007616C"/>
    <w:rsid w:val="00086171"/>
    <w:rsid w:val="00090505"/>
    <w:rsid w:val="00090742"/>
    <w:rsid w:val="00097CDD"/>
    <w:rsid w:val="000B4DD1"/>
    <w:rsid w:val="000D0F57"/>
    <w:rsid w:val="000E465F"/>
    <w:rsid w:val="000E5384"/>
    <w:rsid w:val="000F656B"/>
    <w:rsid w:val="00124E11"/>
    <w:rsid w:val="00140140"/>
    <w:rsid w:val="00140154"/>
    <w:rsid w:val="00141062"/>
    <w:rsid w:val="00145907"/>
    <w:rsid w:val="00172CE1"/>
    <w:rsid w:val="00180EDC"/>
    <w:rsid w:val="001865AD"/>
    <w:rsid w:val="001A6C3C"/>
    <w:rsid w:val="001A7B50"/>
    <w:rsid w:val="001C7816"/>
    <w:rsid w:val="001D050E"/>
    <w:rsid w:val="001D103E"/>
    <w:rsid w:val="001E028C"/>
    <w:rsid w:val="001F13ED"/>
    <w:rsid w:val="001F620A"/>
    <w:rsid w:val="00221901"/>
    <w:rsid w:val="00226F35"/>
    <w:rsid w:val="00235028"/>
    <w:rsid w:val="0024580A"/>
    <w:rsid w:val="0025680E"/>
    <w:rsid w:val="00266655"/>
    <w:rsid w:val="00296D1C"/>
    <w:rsid w:val="002B42CE"/>
    <w:rsid w:val="002C3C7B"/>
    <w:rsid w:val="002C3D9A"/>
    <w:rsid w:val="002E06FC"/>
    <w:rsid w:val="002E1A5E"/>
    <w:rsid w:val="002F007B"/>
    <w:rsid w:val="002F2FC2"/>
    <w:rsid w:val="00312280"/>
    <w:rsid w:val="00326036"/>
    <w:rsid w:val="003474A6"/>
    <w:rsid w:val="00363096"/>
    <w:rsid w:val="00363DF4"/>
    <w:rsid w:val="003676F9"/>
    <w:rsid w:val="003920C8"/>
    <w:rsid w:val="003A23BC"/>
    <w:rsid w:val="003A6986"/>
    <w:rsid w:val="003C10B1"/>
    <w:rsid w:val="003E4B2A"/>
    <w:rsid w:val="00413354"/>
    <w:rsid w:val="00424669"/>
    <w:rsid w:val="00425BCA"/>
    <w:rsid w:val="00434D3B"/>
    <w:rsid w:val="004472A2"/>
    <w:rsid w:val="00472738"/>
    <w:rsid w:val="00475BD2"/>
    <w:rsid w:val="00496F28"/>
    <w:rsid w:val="00497A02"/>
    <w:rsid w:val="004A14D4"/>
    <w:rsid w:val="004B0CB3"/>
    <w:rsid w:val="004C013F"/>
    <w:rsid w:val="004D2F50"/>
    <w:rsid w:val="004D569A"/>
    <w:rsid w:val="004F347E"/>
    <w:rsid w:val="004F7839"/>
    <w:rsid w:val="00505C67"/>
    <w:rsid w:val="005229F9"/>
    <w:rsid w:val="005336A8"/>
    <w:rsid w:val="005414C6"/>
    <w:rsid w:val="005535C3"/>
    <w:rsid w:val="00566544"/>
    <w:rsid w:val="00567D7C"/>
    <w:rsid w:val="00584205"/>
    <w:rsid w:val="00594826"/>
    <w:rsid w:val="005C0021"/>
    <w:rsid w:val="005D321C"/>
    <w:rsid w:val="005D40F2"/>
    <w:rsid w:val="005D774C"/>
    <w:rsid w:val="005E38DF"/>
    <w:rsid w:val="005F48FE"/>
    <w:rsid w:val="0064194F"/>
    <w:rsid w:val="00652F55"/>
    <w:rsid w:val="006548F2"/>
    <w:rsid w:val="00655722"/>
    <w:rsid w:val="00662276"/>
    <w:rsid w:val="00676850"/>
    <w:rsid w:val="0068343E"/>
    <w:rsid w:val="00686FD4"/>
    <w:rsid w:val="00691DC6"/>
    <w:rsid w:val="006A21E3"/>
    <w:rsid w:val="006A6533"/>
    <w:rsid w:val="006B33C4"/>
    <w:rsid w:val="006B7B37"/>
    <w:rsid w:val="006C74D2"/>
    <w:rsid w:val="00701493"/>
    <w:rsid w:val="007057AE"/>
    <w:rsid w:val="007106F6"/>
    <w:rsid w:val="007227DD"/>
    <w:rsid w:val="00754ECB"/>
    <w:rsid w:val="007A4B5F"/>
    <w:rsid w:val="007D2971"/>
    <w:rsid w:val="007E0B60"/>
    <w:rsid w:val="007E6BE5"/>
    <w:rsid w:val="007E72B2"/>
    <w:rsid w:val="007F47FF"/>
    <w:rsid w:val="00801A49"/>
    <w:rsid w:val="008063B6"/>
    <w:rsid w:val="00822039"/>
    <w:rsid w:val="008347DF"/>
    <w:rsid w:val="008361D9"/>
    <w:rsid w:val="00845DDD"/>
    <w:rsid w:val="008502CD"/>
    <w:rsid w:val="008508C1"/>
    <w:rsid w:val="00863BDE"/>
    <w:rsid w:val="00872F9B"/>
    <w:rsid w:val="00873D14"/>
    <w:rsid w:val="008A4296"/>
    <w:rsid w:val="008B17FE"/>
    <w:rsid w:val="008B2B60"/>
    <w:rsid w:val="008B4947"/>
    <w:rsid w:val="008C1693"/>
    <w:rsid w:val="008D6FD1"/>
    <w:rsid w:val="008E4483"/>
    <w:rsid w:val="008E5F74"/>
    <w:rsid w:val="00920C2E"/>
    <w:rsid w:val="00920D3E"/>
    <w:rsid w:val="009278EB"/>
    <w:rsid w:val="00936D27"/>
    <w:rsid w:val="00937238"/>
    <w:rsid w:val="00943B23"/>
    <w:rsid w:val="009460FB"/>
    <w:rsid w:val="0095144D"/>
    <w:rsid w:val="00957D2B"/>
    <w:rsid w:val="00964EEB"/>
    <w:rsid w:val="00977B8F"/>
    <w:rsid w:val="009A06B2"/>
    <w:rsid w:val="009A538E"/>
    <w:rsid w:val="009A6AF1"/>
    <w:rsid w:val="009B4B1D"/>
    <w:rsid w:val="009C0D55"/>
    <w:rsid w:val="009D07FB"/>
    <w:rsid w:val="009D53F3"/>
    <w:rsid w:val="009D7ABC"/>
    <w:rsid w:val="009F697B"/>
    <w:rsid w:val="00A21107"/>
    <w:rsid w:val="00A2629D"/>
    <w:rsid w:val="00A335BF"/>
    <w:rsid w:val="00A413F9"/>
    <w:rsid w:val="00A45297"/>
    <w:rsid w:val="00A45A3B"/>
    <w:rsid w:val="00A473D0"/>
    <w:rsid w:val="00A74E36"/>
    <w:rsid w:val="00A81957"/>
    <w:rsid w:val="00A84339"/>
    <w:rsid w:val="00A9376C"/>
    <w:rsid w:val="00A94613"/>
    <w:rsid w:val="00AA637D"/>
    <w:rsid w:val="00AB67E8"/>
    <w:rsid w:val="00AD30BF"/>
    <w:rsid w:val="00AF4D85"/>
    <w:rsid w:val="00B06383"/>
    <w:rsid w:val="00B06F15"/>
    <w:rsid w:val="00B43C1A"/>
    <w:rsid w:val="00B50EAE"/>
    <w:rsid w:val="00B56E98"/>
    <w:rsid w:val="00B675FD"/>
    <w:rsid w:val="00B75BCD"/>
    <w:rsid w:val="00B768F7"/>
    <w:rsid w:val="00B869BD"/>
    <w:rsid w:val="00BB147F"/>
    <w:rsid w:val="00BC31C2"/>
    <w:rsid w:val="00BD1662"/>
    <w:rsid w:val="00BD4EC8"/>
    <w:rsid w:val="00C033D7"/>
    <w:rsid w:val="00C05395"/>
    <w:rsid w:val="00C05815"/>
    <w:rsid w:val="00C12321"/>
    <w:rsid w:val="00C13506"/>
    <w:rsid w:val="00C14AFC"/>
    <w:rsid w:val="00C20EFB"/>
    <w:rsid w:val="00C334B3"/>
    <w:rsid w:val="00C349A6"/>
    <w:rsid w:val="00C470F2"/>
    <w:rsid w:val="00C62156"/>
    <w:rsid w:val="00C67DC6"/>
    <w:rsid w:val="00C94AF2"/>
    <w:rsid w:val="00C95CBB"/>
    <w:rsid w:val="00CA742D"/>
    <w:rsid w:val="00CB06FB"/>
    <w:rsid w:val="00CB0B32"/>
    <w:rsid w:val="00CC02BE"/>
    <w:rsid w:val="00CC1927"/>
    <w:rsid w:val="00CD52D6"/>
    <w:rsid w:val="00CD6CED"/>
    <w:rsid w:val="00CE1CC7"/>
    <w:rsid w:val="00D12F08"/>
    <w:rsid w:val="00D203BB"/>
    <w:rsid w:val="00D21396"/>
    <w:rsid w:val="00D265E7"/>
    <w:rsid w:val="00D31F91"/>
    <w:rsid w:val="00D42DB2"/>
    <w:rsid w:val="00D46552"/>
    <w:rsid w:val="00D46A20"/>
    <w:rsid w:val="00D5223D"/>
    <w:rsid w:val="00D75C00"/>
    <w:rsid w:val="00D95472"/>
    <w:rsid w:val="00DC53AF"/>
    <w:rsid w:val="00DD3B06"/>
    <w:rsid w:val="00DE0E56"/>
    <w:rsid w:val="00DF3632"/>
    <w:rsid w:val="00E125DF"/>
    <w:rsid w:val="00E20436"/>
    <w:rsid w:val="00E3105C"/>
    <w:rsid w:val="00E32F0F"/>
    <w:rsid w:val="00E61468"/>
    <w:rsid w:val="00E64547"/>
    <w:rsid w:val="00E767E9"/>
    <w:rsid w:val="00E80BE8"/>
    <w:rsid w:val="00E84E4B"/>
    <w:rsid w:val="00E87CE2"/>
    <w:rsid w:val="00EA1664"/>
    <w:rsid w:val="00EA2517"/>
    <w:rsid w:val="00ED06FE"/>
    <w:rsid w:val="00ED3BE8"/>
    <w:rsid w:val="00EE4BD9"/>
    <w:rsid w:val="00EF07B9"/>
    <w:rsid w:val="00F126E2"/>
    <w:rsid w:val="00F203C1"/>
    <w:rsid w:val="00F35481"/>
    <w:rsid w:val="00F35C0F"/>
    <w:rsid w:val="00F45A84"/>
    <w:rsid w:val="00F739B6"/>
    <w:rsid w:val="00F83CB3"/>
    <w:rsid w:val="00F9438A"/>
    <w:rsid w:val="00FA0830"/>
    <w:rsid w:val="00FB1C95"/>
    <w:rsid w:val="00FF24F5"/>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82DAA"/>
  <w14:defaultImageDpi w14:val="32767"/>
  <w15:docId w15:val="{73318E2D-89C0-4181-9D1F-5810BCC22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0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F0F"/>
    <w:pPr>
      <w:tabs>
        <w:tab w:val="center" w:pos="4536"/>
        <w:tab w:val="right" w:pos="9072"/>
      </w:tabs>
    </w:pPr>
  </w:style>
  <w:style w:type="character" w:customStyle="1" w:styleId="HeaderChar">
    <w:name w:val="Header Char"/>
    <w:basedOn w:val="DefaultParagraphFont"/>
    <w:link w:val="Header"/>
    <w:uiPriority w:val="99"/>
    <w:rsid w:val="00E32F0F"/>
  </w:style>
  <w:style w:type="paragraph" w:styleId="Footer">
    <w:name w:val="footer"/>
    <w:basedOn w:val="Normal"/>
    <w:link w:val="FooterChar"/>
    <w:uiPriority w:val="99"/>
    <w:unhideWhenUsed/>
    <w:rsid w:val="00E32F0F"/>
    <w:pPr>
      <w:tabs>
        <w:tab w:val="center" w:pos="4536"/>
        <w:tab w:val="right" w:pos="9072"/>
      </w:tabs>
    </w:pPr>
  </w:style>
  <w:style w:type="character" w:customStyle="1" w:styleId="FooterChar">
    <w:name w:val="Footer Char"/>
    <w:basedOn w:val="DefaultParagraphFont"/>
    <w:link w:val="Footer"/>
    <w:uiPriority w:val="99"/>
    <w:rsid w:val="00E32F0F"/>
  </w:style>
  <w:style w:type="paragraph" w:styleId="BalloonText">
    <w:name w:val="Balloon Text"/>
    <w:basedOn w:val="Normal"/>
    <w:link w:val="BalloonTextChar"/>
    <w:uiPriority w:val="99"/>
    <w:semiHidden/>
    <w:unhideWhenUsed/>
    <w:rsid w:val="00E32F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F0F"/>
    <w:rPr>
      <w:rFonts w:ascii="Lucida Grande" w:hAnsi="Lucida Grande" w:cs="Lucida Grande"/>
      <w:sz w:val="18"/>
      <w:szCs w:val="18"/>
    </w:rPr>
  </w:style>
  <w:style w:type="character" w:styleId="CommentReference">
    <w:name w:val="annotation reference"/>
    <w:basedOn w:val="DefaultParagraphFont"/>
    <w:uiPriority w:val="99"/>
    <w:unhideWhenUsed/>
    <w:rsid w:val="00E32F0F"/>
    <w:rPr>
      <w:sz w:val="18"/>
      <w:szCs w:val="18"/>
    </w:rPr>
  </w:style>
  <w:style w:type="paragraph" w:styleId="CommentText">
    <w:name w:val="annotation text"/>
    <w:basedOn w:val="Normal"/>
    <w:link w:val="CommentTextChar"/>
    <w:uiPriority w:val="99"/>
    <w:semiHidden/>
    <w:unhideWhenUsed/>
    <w:rsid w:val="00E32F0F"/>
  </w:style>
  <w:style w:type="character" w:customStyle="1" w:styleId="CommentTextChar">
    <w:name w:val="Comment Text Char"/>
    <w:basedOn w:val="DefaultParagraphFont"/>
    <w:link w:val="CommentText"/>
    <w:uiPriority w:val="99"/>
    <w:semiHidden/>
    <w:rsid w:val="00E32F0F"/>
  </w:style>
  <w:style w:type="paragraph" w:styleId="CommentSubject">
    <w:name w:val="annotation subject"/>
    <w:basedOn w:val="CommentText"/>
    <w:next w:val="CommentText"/>
    <w:link w:val="CommentSubjectChar"/>
    <w:uiPriority w:val="99"/>
    <w:semiHidden/>
    <w:unhideWhenUsed/>
    <w:rsid w:val="00E32F0F"/>
    <w:rPr>
      <w:b/>
      <w:bCs/>
      <w:sz w:val="20"/>
      <w:szCs w:val="20"/>
    </w:rPr>
  </w:style>
  <w:style w:type="character" w:customStyle="1" w:styleId="CommentSubjectChar">
    <w:name w:val="Comment Subject Char"/>
    <w:basedOn w:val="CommentTextChar"/>
    <w:link w:val="CommentSubject"/>
    <w:uiPriority w:val="99"/>
    <w:semiHidden/>
    <w:rsid w:val="00E32F0F"/>
    <w:rPr>
      <w:b/>
      <w:bCs/>
      <w:sz w:val="20"/>
      <w:szCs w:val="20"/>
    </w:rPr>
  </w:style>
  <w:style w:type="paragraph" w:styleId="Revision">
    <w:name w:val="Revision"/>
    <w:hidden/>
    <w:uiPriority w:val="99"/>
    <w:semiHidden/>
    <w:rsid w:val="00E32F0F"/>
  </w:style>
  <w:style w:type="character" w:styleId="PageNumber">
    <w:name w:val="page number"/>
    <w:basedOn w:val="DefaultParagraphFont"/>
    <w:uiPriority w:val="99"/>
    <w:semiHidden/>
    <w:unhideWhenUsed/>
    <w:rsid w:val="00E32F0F"/>
  </w:style>
  <w:style w:type="character" w:styleId="Hyperlink">
    <w:name w:val="Hyperlink"/>
    <w:basedOn w:val="DefaultParagraphFont"/>
    <w:uiPriority w:val="99"/>
    <w:unhideWhenUsed/>
    <w:rsid w:val="008361D9"/>
    <w:rPr>
      <w:color w:val="0563C1" w:themeColor="hyperlink"/>
      <w:u w:val="single"/>
    </w:rPr>
  </w:style>
  <w:style w:type="paragraph" w:customStyle="1" w:styleId="p1">
    <w:name w:val="p1"/>
    <w:basedOn w:val="Normal"/>
    <w:rsid w:val="00AD30BF"/>
    <w:rPr>
      <w:rFonts w:ascii="Times" w:hAnsi="Times" w:cs="Times New Roman"/>
      <w:sz w:val="18"/>
      <w:szCs w:val="18"/>
      <w:lang w:eastAsia="fr-FR"/>
    </w:rPr>
  </w:style>
  <w:style w:type="paragraph" w:styleId="DocumentMap">
    <w:name w:val="Document Map"/>
    <w:basedOn w:val="Normal"/>
    <w:link w:val="DocumentMapChar"/>
    <w:uiPriority w:val="99"/>
    <w:semiHidden/>
    <w:unhideWhenUsed/>
    <w:rsid w:val="00D12F08"/>
    <w:rPr>
      <w:rFonts w:ascii="Times New Roman" w:hAnsi="Times New Roman" w:cs="Times New Roman"/>
    </w:rPr>
  </w:style>
  <w:style w:type="character" w:customStyle="1" w:styleId="DocumentMapChar">
    <w:name w:val="Document Map Char"/>
    <w:basedOn w:val="DefaultParagraphFont"/>
    <w:link w:val="DocumentMap"/>
    <w:uiPriority w:val="99"/>
    <w:semiHidden/>
    <w:rsid w:val="00D12F08"/>
    <w:rPr>
      <w:rFonts w:ascii="Times New Roman" w:hAnsi="Times New Roman" w:cs="Times New Roman"/>
    </w:rPr>
  </w:style>
  <w:style w:type="paragraph" w:customStyle="1" w:styleId="1">
    <w:name w:val="正文1"/>
    <w:uiPriority w:val="99"/>
    <w:rsid w:val="00AF4D85"/>
    <w:pPr>
      <w:spacing w:line="276" w:lineRule="auto"/>
    </w:pPr>
    <w:rPr>
      <w:rFonts w:ascii="Arial"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430945">
      <w:bodyDiv w:val="1"/>
      <w:marLeft w:val="0"/>
      <w:marRight w:val="0"/>
      <w:marTop w:val="0"/>
      <w:marBottom w:val="0"/>
      <w:divBdr>
        <w:top w:val="none" w:sz="0" w:space="0" w:color="auto"/>
        <w:left w:val="none" w:sz="0" w:space="0" w:color="auto"/>
        <w:bottom w:val="none" w:sz="0" w:space="0" w:color="auto"/>
        <w:right w:val="none" w:sz="0" w:space="0" w:color="auto"/>
      </w:divBdr>
    </w:div>
    <w:div w:id="1301349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bertrand@uclouvain.b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mailto:pkretchmer@edit.net" TargetMode="External"/><Relationship Id="rId4" Type="http://schemas.openxmlformats.org/officeDocument/2006/relationships/webSettings" Target="webSettings.xml"/><Relationship Id="rId9" Type="http://schemas.openxmlformats.org/officeDocument/2006/relationships/hyperlink" Target="http://www.sfedit.net"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BF486-02E4-4391-AED4-3474FC63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57412</Words>
  <Characters>327251</Characters>
  <Application>Microsoft Office Word</Application>
  <DocSecurity>0</DocSecurity>
  <Lines>2727</Lines>
  <Paragraphs>767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TinaRich_edits</Company>
  <LinksUpToDate>false</LinksUpToDate>
  <CharactersWithSpaces>383896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Dili</dc:creator>
  <cp:keywords/>
  <dc:description/>
  <cp:lastModifiedBy>Na Ma</cp:lastModifiedBy>
  <cp:revision>2</cp:revision>
  <cp:lastPrinted>2017-04-06T17:10:00Z</cp:lastPrinted>
  <dcterms:created xsi:type="dcterms:W3CDTF">2017-06-17T20:15:00Z</dcterms:created>
  <dcterms:modified xsi:type="dcterms:W3CDTF">2017-06-17T20:15:00Z</dcterms:modified>
</cp:coreProperties>
</file>