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13" w:rsidRPr="00513EB8" w:rsidRDefault="00BE1713" w:rsidP="00BE1713">
      <w:pPr>
        <w:rPr>
          <w:rFonts w:ascii="Book Antiqua" w:eastAsia="Times New Roman" w:hAnsi="Book Antiqua" w:cs="宋体"/>
          <w:i/>
          <w:color w:val="000000" w:themeColor="text1"/>
        </w:rPr>
      </w:pPr>
      <w:r w:rsidRPr="00513EB8">
        <w:rPr>
          <w:rFonts w:ascii="Book Antiqua" w:eastAsia="Times New Roman" w:hAnsi="Book Antiqua" w:cs="宋体"/>
          <w:b/>
          <w:color w:val="000000" w:themeColor="text1"/>
        </w:rPr>
        <w:t>Name of journal</w:t>
      </w:r>
      <w:r w:rsidR="00521162" w:rsidRPr="00513EB8">
        <w:rPr>
          <w:rFonts w:ascii="Book Antiqua" w:eastAsia="Times New Roman" w:hAnsi="Book Antiqua" w:cs="宋体"/>
          <w:b/>
          <w:color w:val="000000" w:themeColor="text1"/>
        </w:rPr>
        <w:t>:</w:t>
      </w:r>
      <w:r w:rsidR="00991EF3" w:rsidRPr="00513EB8">
        <w:rPr>
          <w:rFonts w:ascii="Book Antiqua" w:eastAsia="Times New Roman" w:hAnsi="Book Antiqua" w:cs="宋体"/>
          <w:b/>
          <w:color w:val="000000" w:themeColor="text1"/>
        </w:rPr>
        <w:t xml:space="preserve">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13EB8">
        <w:rPr>
          <w:rFonts w:ascii="Book Antiqua" w:eastAsia="Times New Roman" w:hAnsi="Book Antiqua" w:cs="宋体"/>
          <w:i/>
          <w:color w:val="000000" w:themeColor="text1"/>
          <w:szCs w:val="21"/>
        </w:rPr>
        <w:t>World Journal of Gastroenterology</w:t>
      </w:r>
      <w:bookmarkEnd w:id="0"/>
      <w:bookmarkEnd w:id="1"/>
      <w:bookmarkEnd w:id="2"/>
      <w:bookmarkEnd w:id="3"/>
      <w:bookmarkEnd w:id="4"/>
      <w:bookmarkEnd w:id="5"/>
      <w:bookmarkEnd w:id="6"/>
    </w:p>
    <w:p w:rsidR="00BE1713" w:rsidRPr="00513EB8" w:rsidRDefault="00BE1713" w:rsidP="00BE1713">
      <w:pPr>
        <w:rPr>
          <w:rFonts w:ascii="Book Antiqua" w:eastAsia="Times New Roman" w:hAnsi="Book Antiqua" w:cs="宋体"/>
          <w:b/>
          <w:i/>
          <w:color w:val="000000" w:themeColor="text1"/>
        </w:rPr>
      </w:pPr>
      <w:r w:rsidRPr="00513EB8">
        <w:rPr>
          <w:rFonts w:ascii="Book Antiqua" w:hAnsi="Book Antiqua" w:cs="Arial"/>
          <w:b/>
          <w:color w:val="000000" w:themeColor="text1"/>
          <w:lang w:val="en"/>
        </w:rPr>
        <w:t>Manuscript NO</w:t>
      </w:r>
      <w:r w:rsidR="00521162" w:rsidRPr="00513EB8">
        <w:rPr>
          <w:rFonts w:ascii="Book Antiqua" w:hAnsi="Book Antiqua" w:cs="Arial"/>
          <w:b/>
          <w:color w:val="000000" w:themeColor="text1"/>
          <w:lang w:val="en"/>
        </w:rPr>
        <w:t>:</w:t>
      </w:r>
      <w:r w:rsidR="00991EF3" w:rsidRPr="00513EB8">
        <w:rPr>
          <w:rFonts w:ascii="Book Antiqua" w:hAnsi="Book Antiqua" w:cs="Arial"/>
          <w:b/>
          <w:color w:val="000000" w:themeColor="text1"/>
          <w:lang w:val="en"/>
        </w:rPr>
        <w:t xml:space="preserve">  </w:t>
      </w:r>
      <w:r w:rsidRPr="00513EB8">
        <w:rPr>
          <w:rFonts w:ascii="Book Antiqua" w:eastAsiaTheme="minorEastAsia" w:hAnsi="Book Antiqua" w:cs="Arial"/>
          <w:b/>
          <w:color w:val="000000" w:themeColor="text1"/>
          <w:lang w:val="en" w:eastAsia="zh-CN"/>
        </w:rPr>
        <w:t>33386</w:t>
      </w:r>
    </w:p>
    <w:p w:rsidR="00BE1713" w:rsidRPr="00513EB8" w:rsidRDefault="00BE1713" w:rsidP="00BE1713">
      <w:pPr>
        <w:autoSpaceDE w:val="0"/>
        <w:autoSpaceDN w:val="0"/>
        <w:adjustRightInd w:val="0"/>
        <w:snapToGrid w:val="0"/>
        <w:rPr>
          <w:rFonts w:ascii="Book Antiqua" w:hAnsi="Book Antiqua"/>
          <w:b/>
          <w:color w:val="000000" w:themeColor="text1"/>
        </w:rPr>
      </w:pPr>
      <w:bookmarkStart w:id="7" w:name="OLE_LINK3"/>
      <w:bookmarkStart w:id="8" w:name="OLE_LINK4"/>
      <w:bookmarkStart w:id="9" w:name="OLE_LINK5"/>
      <w:r w:rsidRPr="00513EB8">
        <w:rPr>
          <w:rFonts w:ascii="Book Antiqua" w:hAnsi="Book Antiqua"/>
          <w:b/>
          <w:color w:val="000000" w:themeColor="text1"/>
        </w:rPr>
        <w:t>Columns</w:t>
      </w:r>
      <w:r w:rsidR="00521162" w:rsidRPr="00513EB8">
        <w:rPr>
          <w:rFonts w:ascii="Book Antiqua" w:hAnsi="Book Antiqua"/>
          <w:b/>
          <w:color w:val="000000" w:themeColor="text1"/>
        </w:rPr>
        <w:t>:</w:t>
      </w:r>
      <w:r w:rsidR="00991EF3" w:rsidRPr="00513EB8">
        <w:rPr>
          <w:rFonts w:ascii="Book Antiqua" w:hAnsi="Book Antiqua"/>
          <w:b/>
          <w:color w:val="000000" w:themeColor="text1"/>
        </w:rPr>
        <w:t xml:space="preserve">  </w:t>
      </w:r>
      <w:bookmarkEnd w:id="7"/>
      <w:bookmarkEnd w:id="8"/>
      <w:r w:rsidRPr="00513EB8">
        <w:rPr>
          <w:rFonts w:ascii="Book Antiqua" w:hAnsi="Book Antiqua"/>
          <w:b/>
          <w:color w:val="000000" w:themeColor="text1"/>
        </w:rPr>
        <w:t>ORIGINAL ARTICLE</w:t>
      </w:r>
    </w:p>
    <w:bookmarkEnd w:id="9"/>
    <w:p w:rsidR="00BE1713" w:rsidRPr="0053750E" w:rsidRDefault="00BE1713" w:rsidP="001B6336">
      <w:pPr>
        <w:pStyle w:val="a4"/>
        <w:spacing w:line="360" w:lineRule="auto"/>
        <w:rPr>
          <w:rStyle w:val="fontstyle01"/>
          <w:color w:val="000000"/>
        </w:rPr>
      </w:pPr>
    </w:p>
    <w:p w:rsidR="001B6336" w:rsidRPr="0053750E" w:rsidRDefault="001B6336" w:rsidP="001B6336">
      <w:pPr>
        <w:pStyle w:val="a4"/>
        <w:spacing w:line="360" w:lineRule="auto"/>
        <w:rPr>
          <w:rFonts w:ascii="Book Antiqua" w:hAnsi="Book Antiqua" w:cs="Times New Roman"/>
          <w:b/>
          <w:i/>
          <w:sz w:val="24"/>
          <w:szCs w:val="24"/>
          <w:lang w:val="en-US" w:eastAsia="tr-TR"/>
        </w:rPr>
      </w:pPr>
      <w:r w:rsidRPr="0053750E">
        <w:rPr>
          <w:rStyle w:val="fontstyle01"/>
          <w:b/>
          <w:i/>
          <w:color w:val="000000"/>
        </w:rPr>
        <w:t>Retrospective Study</w:t>
      </w:r>
    </w:p>
    <w:p w:rsidR="008C2DE9" w:rsidRPr="0053750E" w:rsidRDefault="009E228F" w:rsidP="00870DC7">
      <w:pPr>
        <w:pStyle w:val="a4"/>
        <w:spacing w:line="360" w:lineRule="auto"/>
        <w:jc w:val="both"/>
        <w:rPr>
          <w:rFonts w:ascii="Book Antiqua" w:hAnsi="Book Antiqua" w:cs="Times New Roman"/>
          <w:b/>
          <w:sz w:val="24"/>
          <w:szCs w:val="24"/>
          <w:lang w:val="en-US" w:eastAsia="tr-TR"/>
        </w:rPr>
      </w:pPr>
      <w:r w:rsidRPr="0053750E">
        <w:rPr>
          <w:rFonts w:ascii="Book Antiqua" w:hAnsi="Book Antiqua" w:cs="Times New Roman"/>
          <w:b/>
          <w:sz w:val="24"/>
          <w:szCs w:val="24"/>
          <w:lang w:val="en-US" w:eastAsia="tr-TR"/>
        </w:rPr>
        <w:t>Relationship between serum adenosine deaminase levels and liver histology in autoimmune hepatitis</w:t>
      </w:r>
    </w:p>
    <w:p w:rsidR="00A3018E" w:rsidRPr="0053750E" w:rsidRDefault="00A3018E" w:rsidP="00870DC7">
      <w:pPr>
        <w:pStyle w:val="a4"/>
        <w:spacing w:line="360" w:lineRule="auto"/>
        <w:jc w:val="both"/>
        <w:rPr>
          <w:rFonts w:ascii="Book Antiqua" w:hAnsi="Book Antiqua" w:cs="Times New Roman"/>
          <w:b/>
          <w:sz w:val="24"/>
          <w:szCs w:val="24"/>
          <w:lang w:val="en-US" w:eastAsia="tr-TR"/>
        </w:rPr>
      </w:pPr>
    </w:p>
    <w:p w:rsidR="001B6336" w:rsidRPr="0053750E" w:rsidRDefault="001B6336" w:rsidP="00870DC7">
      <w:pPr>
        <w:pStyle w:val="a4"/>
        <w:spacing w:line="360" w:lineRule="auto"/>
        <w:jc w:val="both"/>
        <w:rPr>
          <w:rFonts w:ascii="Book Antiqua" w:hAnsi="Book Antiqua" w:cs="Times New Roman"/>
          <w:sz w:val="24"/>
          <w:szCs w:val="24"/>
          <w:lang w:val="en-US"/>
        </w:rPr>
      </w:pPr>
      <w:proofErr w:type="spellStart"/>
      <w:r w:rsidRPr="0053750E">
        <w:rPr>
          <w:rFonts w:ascii="Book Antiqua" w:hAnsi="Book Antiqua" w:cs="Times New Roman"/>
          <w:sz w:val="24"/>
          <w:szCs w:val="24"/>
          <w:lang w:val="en-US"/>
        </w:rPr>
        <w:t>Torgutalp</w:t>
      </w:r>
      <w:proofErr w:type="spellEnd"/>
      <w:r w:rsidRPr="0053750E">
        <w:rPr>
          <w:rFonts w:ascii="Book Antiqua" w:hAnsi="Book Antiqua" w:cs="Times New Roman"/>
          <w:sz w:val="24"/>
          <w:szCs w:val="24"/>
          <w:lang w:val="en-US"/>
        </w:rPr>
        <w:t xml:space="preserve"> M </w:t>
      </w:r>
      <w:r w:rsidR="00BE1713" w:rsidRPr="0053750E">
        <w:rPr>
          <w:rFonts w:ascii="Book Antiqua" w:hAnsi="Book Antiqua" w:cs="Times New Roman"/>
          <w:i/>
          <w:sz w:val="24"/>
          <w:szCs w:val="24"/>
          <w:lang w:val="en-US"/>
        </w:rPr>
        <w:t>et al</w:t>
      </w:r>
      <w:r w:rsidRPr="0053750E">
        <w:rPr>
          <w:rFonts w:ascii="Book Antiqua" w:hAnsi="Book Antiqua" w:cs="Times New Roman"/>
          <w:sz w:val="24"/>
          <w:szCs w:val="24"/>
          <w:lang w:val="en-US"/>
        </w:rPr>
        <w:t>. Relationship between ADA and liver biopsy in AIH</w:t>
      </w:r>
    </w:p>
    <w:p w:rsidR="001B6336" w:rsidRPr="0053750E" w:rsidRDefault="001B6336" w:rsidP="00870DC7">
      <w:pPr>
        <w:pStyle w:val="a4"/>
        <w:spacing w:line="360" w:lineRule="auto"/>
        <w:jc w:val="both"/>
        <w:rPr>
          <w:rFonts w:ascii="Book Antiqua" w:eastAsia="仿宋" w:hAnsi="Book Antiqua" w:cs="Times New Roman"/>
          <w:sz w:val="24"/>
          <w:szCs w:val="24"/>
          <w:lang w:val="en-US"/>
        </w:rPr>
      </w:pPr>
    </w:p>
    <w:p w:rsidR="00181D52" w:rsidRPr="0053750E" w:rsidRDefault="009E228F" w:rsidP="00870DC7">
      <w:pPr>
        <w:pStyle w:val="a4"/>
        <w:spacing w:line="360" w:lineRule="auto"/>
        <w:jc w:val="both"/>
        <w:rPr>
          <w:rFonts w:ascii="Book Antiqua" w:eastAsia="仿宋" w:hAnsi="Book Antiqua" w:cs="Times New Roman"/>
          <w:sz w:val="24"/>
          <w:szCs w:val="24"/>
          <w:lang w:val="en-US"/>
        </w:rPr>
      </w:pPr>
      <w:r w:rsidRPr="0053750E">
        <w:rPr>
          <w:rFonts w:ascii="Book Antiqua" w:eastAsia="仿宋" w:hAnsi="Book Antiqua" w:cs="Times New Roman"/>
          <w:sz w:val="24"/>
          <w:szCs w:val="24"/>
          <w:lang w:val="en-US"/>
        </w:rPr>
        <w:t xml:space="preserve">Murat </w:t>
      </w:r>
      <w:proofErr w:type="spellStart"/>
      <w:r w:rsidRPr="0053750E">
        <w:rPr>
          <w:rFonts w:ascii="Book Antiqua" w:eastAsia="仿宋" w:hAnsi="Book Antiqua" w:cs="Times New Roman"/>
          <w:sz w:val="24"/>
          <w:szCs w:val="24"/>
          <w:lang w:val="en-US"/>
        </w:rPr>
        <w:t>Torgutalp</w:t>
      </w:r>
      <w:proofErr w:type="spellEnd"/>
      <w:r w:rsidRPr="0053750E">
        <w:rPr>
          <w:rFonts w:ascii="Book Antiqua" w:eastAsia="仿宋" w:hAnsi="Book Antiqua" w:cs="Times New Roman"/>
          <w:sz w:val="24"/>
          <w:szCs w:val="24"/>
          <w:lang w:val="en-US"/>
        </w:rPr>
        <w:t xml:space="preserve">, </w:t>
      </w:r>
      <w:proofErr w:type="spellStart"/>
      <w:r w:rsidRPr="0053750E">
        <w:rPr>
          <w:rFonts w:ascii="Book Antiqua" w:eastAsia="仿宋" w:hAnsi="Book Antiqua" w:cs="Times New Roman"/>
          <w:sz w:val="24"/>
          <w:szCs w:val="24"/>
          <w:lang w:val="en-US"/>
        </w:rPr>
        <w:t>Cumali</w:t>
      </w:r>
      <w:proofErr w:type="spellEnd"/>
      <w:r w:rsidRPr="0053750E">
        <w:rPr>
          <w:rFonts w:ascii="Book Antiqua" w:eastAsia="仿宋" w:hAnsi="Book Antiqua" w:cs="Times New Roman"/>
          <w:sz w:val="24"/>
          <w:szCs w:val="24"/>
          <w:lang w:val="en-US"/>
        </w:rPr>
        <w:t xml:space="preserve"> </w:t>
      </w:r>
      <w:proofErr w:type="spellStart"/>
      <w:r w:rsidRPr="0053750E">
        <w:rPr>
          <w:rFonts w:ascii="Book Antiqua" w:eastAsia="仿宋" w:hAnsi="Book Antiqua" w:cs="Times New Roman"/>
          <w:sz w:val="24"/>
          <w:szCs w:val="24"/>
          <w:lang w:val="en-US"/>
        </w:rPr>
        <w:t>Efe</w:t>
      </w:r>
      <w:proofErr w:type="spellEnd"/>
      <w:r w:rsidR="00181D52" w:rsidRPr="0053750E">
        <w:rPr>
          <w:rFonts w:ascii="Book Antiqua" w:eastAsia="仿宋" w:hAnsi="Book Antiqua" w:cs="Times New Roman"/>
          <w:sz w:val="24"/>
          <w:szCs w:val="24"/>
          <w:lang w:val="en-US"/>
        </w:rPr>
        <w:t xml:space="preserve">, </w:t>
      </w:r>
      <w:proofErr w:type="spellStart"/>
      <w:r w:rsidRPr="0053750E">
        <w:rPr>
          <w:rFonts w:ascii="Book Antiqua" w:eastAsia="仿宋" w:hAnsi="Book Antiqua" w:cs="Times New Roman"/>
          <w:sz w:val="24"/>
          <w:szCs w:val="24"/>
          <w:lang w:val="en-US"/>
        </w:rPr>
        <w:t>Hakan</w:t>
      </w:r>
      <w:proofErr w:type="spellEnd"/>
      <w:r w:rsidRPr="0053750E">
        <w:rPr>
          <w:rFonts w:ascii="Book Antiqua" w:eastAsia="仿宋" w:hAnsi="Book Antiqua" w:cs="Times New Roman"/>
          <w:sz w:val="24"/>
          <w:szCs w:val="24"/>
          <w:lang w:val="en-US"/>
        </w:rPr>
        <w:t xml:space="preserve"> </w:t>
      </w:r>
      <w:proofErr w:type="spellStart"/>
      <w:r w:rsidRPr="0053750E">
        <w:rPr>
          <w:rFonts w:ascii="Book Antiqua" w:eastAsia="仿宋" w:hAnsi="Book Antiqua" w:cs="Times New Roman"/>
          <w:sz w:val="24"/>
          <w:szCs w:val="24"/>
          <w:lang w:val="en-US"/>
        </w:rPr>
        <w:t>Babaoglu</w:t>
      </w:r>
      <w:proofErr w:type="spellEnd"/>
      <w:r w:rsidR="002A1478" w:rsidRPr="0053750E">
        <w:rPr>
          <w:rFonts w:ascii="Book Antiqua" w:eastAsia="仿宋" w:hAnsi="Book Antiqua" w:cs="Times New Roman"/>
          <w:sz w:val="24"/>
          <w:szCs w:val="24"/>
          <w:lang w:val="en-US"/>
        </w:rPr>
        <w:t xml:space="preserve">, </w:t>
      </w:r>
      <w:r w:rsidRPr="0053750E">
        <w:rPr>
          <w:rFonts w:ascii="Book Antiqua" w:eastAsia="仿宋" w:hAnsi="Book Antiqua" w:cs="Times New Roman"/>
          <w:sz w:val="24"/>
          <w:szCs w:val="24"/>
          <w:lang w:val="en-US"/>
        </w:rPr>
        <w:t xml:space="preserve">Taylan </w:t>
      </w:r>
      <w:proofErr w:type="spellStart"/>
      <w:r w:rsidRPr="0053750E">
        <w:rPr>
          <w:rFonts w:ascii="Book Antiqua" w:eastAsia="仿宋" w:hAnsi="Book Antiqua" w:cs="Times New Roman"/>
          <w:sz w:val="24"/>
          <w:szCs w:val="24"/>
          <w:lang w:val="en-US"/>
        </w:rPr>
        <w:t>Kav</w:t>
      </w:r>
      <w:proofErr w:type="spellEnd"/>
    </w:p>
    <w:p w:rsidR="001B6336" w:rsidRPr="0053750E" w:rsidRDefault="001B6336" w:rsidP="00870DC7">
      <w:pPr>
        <w:pStyle w:val="a4"/>
        <w:spacing w:line="360" w:lineRule="auto"/>
        <w:jc w:val="both"/>
        <w:rPr>
          <w:rFonts w:ascii="Book Antiqua" w:eastAsia="仿宋" w:hAnsi="Book Antiqua" w:cs="Times New Roman"/>
          <w:sz w:val="24"/>
          <w:szCs w:val="24"/>
          <w:vertAlign w:val="superscript"/>
          <w:lang w:val="en-US"/>
        </w:rPr>
      </w:pPr>
    </w:p>
    <w:p w:rsidR="002A1478" w:rsidRPr="0053750E" w:rsidRDefault="001B6336" w:rsidP="00870DC7">
      <w:pPr>
        <w:pStyle w:val="a4"/>
        <w:spacing w:line="360" w:lineRule="auto"/>
        <w:jc w:val="both"/>
        <w:rPr>
          <w:rFonts w:ascii="Book Antiqua" w:eastAsia="仿宋" w:hAnsi="Book Antiqua" w:cs="Times New Roman"/>
          <w:sz w:val="24"/>
          <w:szCs w:val="24"/>
          <w:lang w:val="en-US"/>
        </w:rPr>
      </w:pPr>
      <w:r w:rsidRPr="0053750E">
        <w:rPr>
          <w:rFonts w:ascii="Book Antiqua" w:eastAsia="仿宋" w:hAnsi="Book Antiqua" w:cs="Times New Roman"/>
          <w:b/>
          <w:sz w:val="24"/>
          <w:szCs w:val="24"/>
          <w:lang w:val="en-US"/>
        </w:rPr>
        <w:t xml:space="preserve">Murat </w:t>
      </w:r>
      <w:proofErr w:type="spellStart"/>
      <w:r w:rsidRPr="0053750E">
        <w:rPr>
          <w:rFonts w:ascii="Book Antiqua" w:eastAsia="仿宋" w:hAnsi="Book Antiqua" w:cs="Times New Roman"/>
          <w:b/>
          <w:sz w:val="24"/>
          <w:szCs w:val="24"/>
          <w:lang w:val="en-US"/>
        </w:rPr>
        <w:t>Torgutalp</w:t>
      </w:r>
      <w:proofErr w:type="spellEnd"/>
      <w:r w:rsidRPr="0053750E">
        <w:rPr>
          <w:rFonts w:ascii="Book Antiqua" w:eastAsia="仿宋" w:hAnsi="Book Antiqua" w:cs="Times New Roman"/>
          <w:b/>
          <w:sz w:val="24"/>
          <w:szCs w:val="24"/>
          <w:lang w:val="en-US"/>
        </w:rPr>
        <w:t xml:space="preserve">, </w:t>
      </w:r>
      <w:proofErr w:type="spellStart"/>
      <w:r w:rsidRPr="0053750E">
        <w:rPr>
          <w:rFonts w:ascii="Book Antiqua" w:eastAsia="仿宋" w:hAnsi="Book Antiqua" w:cs="Times New Roman"/>
          <w:b/>
          <w:sz w:val="24"/>
          <w:szCs w:val="24"/>
          <w:lang w:val="en-US"/>
        </w:rPr>
        <w:t>Cumali</w:t>
      </w:r>
      <w:proofErr w:type="spellEnd"/>
      <w:r w:rsidRPr="0053750E">
        <w:rPr>
          <w:rFonts w:ascii="Book Antiqua" w:eastAsia="仿宋" w:hAnsi="Book Antiqua" w:cs="Times New Roman"/>
          <w:b/>
          <w:sz w:val="24"/>
          <w:szCs w:val="24"/>
          <w:lang w:val="en-US"/>
        </w:rPr>
        <w:t xml:space="preserve"> </w:t>
      </w:r>
      <w:proofErr w:type="spellStart"/>
      <w:r w:rsidRPr="0053750E">
        <w:rPr>
          <w:rFonts w:ascii="Book Antiqua" w:eastAsia="仿宋" w:hAnsi="Book Antiqua" w:cs="Times New Roman"/>
          <w:b/>
          <w:sz w:val="24"/>
          <w:szCs w:val="24"/>
          <w:lang w:val="en-US"/>
        </w:rPr>
        <w:t>Efe</w:t>
      </w:r>
      <w:proofErr w:type="spellEnd"/>
      <w:r w:rsidRPr="0053750E">
        <w:rPr>
          <w:rFonts w:ascii="Book Antiqua" w:eastAsia="仿宋" w:hAnsi="Book Antiqua" w:cs="Times New Roman"/>
          <w:b/>
          <w:sz w:val="24"/>
          <w:szCs w:val="24"/>
          <w:lang w:val="en-US"/>
        </w:rPr>
        <w:t xml:space="preserve">, </w:t>
      </w:r>
      <w:proofErr w:type="spellStart"/>
      <w:r w:rsidRPr="0053750E">
        <w:rPr>
          <w:rFonts w:ascii="Book Antiqua" w:eastAsia="仿宋" w:hAnsi="Book Antiqua" w:cs="Times New Roman"/>
          <w:b/>
          <w:sz w:val="24"/>
          <w:szCs w:val="24"/>
          <w:lang w:val="en-US"/>
        </w:rPr>
        <w:t>Hakan</w:t>
      </w:r>
      <w:proofErr w:type="spellEnd"/>
      <w:r w:rsidRPr="0053750E">
        <w:rPr>
          <w:rFonts w:ascii="Book Antiqua" w:eastAsia="仿宋" w:hAnsi="Book Antiqua" w:cs="Times New Roman"/>
          <w:b/>
          <w:sz w:val="24"/>
          <w:szCs w:val="24"/>
          <w:lang w:val="en-US"/>
        </w:rPr>
        <w:t xml:space="preserve"> </w:t>
      </w:r>
      <w:proofErr w:type="spellStart"/>
      <w:r w:rsidRPr="0053750E">
        <w:rPr>
          <w:rFonts w:ascii="Book Antiqua" w:eastAsia="仿宋" w:hAnsi="Book Antiqua" w:cs="Times New Roman"/>
          <w:b/>
          <w:sz w:val="24"/>
          <w:szCs w:val="24"/>
          <w:lang w:val="en-US"/>
        </w:rPr>
        <w:t>Babaoglu</w:t>
      </w:r>
      <w:proofErr w:type="spellEnd"/>
      <w:r w:rsidRPr="0053750E">
        <w:rPr>
          <w:rFonts w:ascii="Book Antiqua" w:eastAsia="仿宋" w:hAnsi="Book Antiqua" w:cs="Times New Roman"/>
          <w:b/>
          <w:sz w:val="24"/>
          <w:szCs w:val="24"/>
          <w:lang w:val="en-US"/>
        </w:rPr>
        <w:t xml:space="preserve">, Taylan </w:t>
      </w:r>
      <w:proofErr w:type="spellStart"/>
      <w:r w:rsidRPr="0053750E">
        <w:rPr>
          <w:rFonts w:ascii="Book Antiqua" w:eastAsia="仿宋" w:hAnsi="Book Antiqua" w:cs="Times New Roman"/>
          <w:b/>
          <w:sz w:val="24"/>
          <w:szCs w:val="24"/>
          <w:lang w:val="en-US"/>
        </w:rPr>
        <w:t>Kav</w:t>
      </w:r>
      <w:proofErr w:type="spellEnd"/>
      <w:r w:rsidR="00BE1713" w:rsidRPr="0053750E">
        <w:rPr>
          <w:rFonts w:ascii="Book Antiqua" w:eastAsia="仿宋" w:hAnsi="Book Antiqua" w:cs="Times New Roman"/>
          <w:b/>
          <w:sz w:val="24"/>
          <w:szCs w:val="24"/>
          <w:lang w:val="en-US" w:eastAsia="zh-CN"/>
        </w:rPr>
        <w:t>,</w:t>
      </w:r>
      <w:r w:rsidRPr="0053750E">
        <w:rPr>
          <w:rFonts w:ascii="Book Antiqua" w:eastAsia="仿宋" w:hAnsi="Book Antiqua" w:cs="Times New Roman"/>
          <w:sz w:val="24"/>
          <w:szCs w:val="24"/>
          <w:lang w:val="en-US"/>
        </w:rPr>
        <w:t xml:space="preserve"> </w:t>
      </w:r>
      <w:r w:rsidR="00181D52" w:rsidRPr="0053750E">
        <w:rPr>
          <w:rFonts w:ascii="Book Antiqua" w:eastAsia="仿宋" w:hAnsi="Book Antiqua" w:cs="Times New Roman"/>
          <w:sz w:val="24"/>
          <w:szCs w:val="24"/>
          <w:lang w:val="en-US"/>
        </w:rPr>
        <w:t xml:space="preserve">Department of Gastroenterology, </w:t>
      </w:r>
      <w:proofErr w:type="spellStart"/>
      <w:r w:rsidR="00DD6C1A" w:rsidRPr="00DD6C1A">
        <w:rPr>
          <w:rFonts w:ascii="Book Antiqua" w:hAnsi="Book Antiqua" w:cs="Times New Roman"/>
          <w:sz w:val="24"/>
          <w:szCs w:val="24"/>
          <w:lang w:val="en-US"/>
        </w:rPr>
        <w:t>Hacettepe</w:t>
      </w:r>
      <w:proofErr w:type="spellEnd"/>
      <w:r w:rsidR="00DD6C1A" w:rsidRPr="00DD6C1A">
        <w:rPr>
          <w:rFonts w:ascii="Book Antiqua" w:hAnsi="Book Antiqua" w:cs="Times New Roman"/>
          <w:sz w:val="24"/>
          <w:szCs w:val="24"/>
          <w:lang w:val="en-US"/>
        </w:rPr>
        <w:t xml:space="preserve"> University School of Medicine</w:t>
      </w:r>
      <w:r w:rsidR="00DD6C1A">
        <w:rPr>
          <w:rFonts w:ascii="Book Antiqua" w:hAnsi="Book Antiqua" w:cs="Times New Roman"/>
          <w:sz w:val="24"/>
          <w:szCs w:val="24"/>
          <w:lang w:val="en-US"/>
        </w:rPr>
        <w:t>,</w:t>
      </w:r>
      <w:r w:rsidR="00BE1713" w:rsidRPr="0053750E">
        <w:rPr>
          <w:rFonts w:ascii="Book Antiqua" w:eastAsia="仿宋" w:hAnsi="Book Antiqua" w:cs="Times New Roman"/>
          <w:sz w:val="24"/>
          <w:szCs w:val="24"/>
          <w:lang w:val="en-US"/>
        </w:rPr>
        <w:t xml:space="preserve"> Ankara</w:t>
      </w:r>
      <w:r w:rsidR="00FD2771">
        <w:rPr>
          <w:rFonts w:ascii="Book Antiqua" w:eastAsia="仿宋" w:hAnsi="Book Antiqua" w:cs="Times New Roman" w:hint="eastAsia"/>
          <w:sz w:val="24"/>
          <w:szCs w:val="24"/>
          <w:lang w:val="en-US" w:eastAsia="zh-CN"/>
        </w:rPr>
        <w:t xml:space="preserve"> </w:t>
      </w:r>
      <w:r w:rsidR="00FD2771" w:rsidRPr="00FD2771">
        <w:rPr>
          <w:rFonts w:ascii="Book Antiqua" w:eastAsia="仿宋" w:hAnsi="Book Antiqua" w:cs="Times New Roman"/>
          <w:sz w:val="24"/>
          <w:szCs w:val="24"/>
          <w:lang w:val="en-US" w:eastAsia="zh-CN"/>
        </w:rPr>
        <w:t>16100</w:t>
      </w:r>
      <w:r w:rsidR="00BE1713" w:rsidRPr="0053750E">
        <w:rPr>
          <w:rFonts w:ascii="Book Antiqua" w:eastAsia="仿宋" w:hAnsi="Book Antiqua" w:cs="Times New Roman"/>
          <w:sz w:val="24"/>
          <w:szCs w:val="24"/>
          <w:lang w:val="en-US"/>
        </w:rPr>
        <w:t>, Turkey</w:t>
      </w:r>
    </w:p>
    <w:p w:rsidR="001B6336" w:rsidRPr="0053750E" w:rsidRDefault="001B6336" w:rsidP="00870DC7">
      <w:pPr>
        <w:pStyle w:val="a4"/>
        <w:spacing w:line="360" w:lineRule="auto"/>
        <w:jc w:val="both"/>
        <w:rPr>
          <w:rFonts w:ascii="Book Antiqua" w:hAnsi="Book Antiqua" w:cs="Times New Roman"/>
          <w:sz w:val="24"/>
          <w:szCs w:val="24"/>
          <w:lang w:val="en-US"/>
        </w:rPr>
      </w:pPr>
    </w:p>
    <w:p w:rsidR="001B6336" w:rsidRPr="0053750E" w:rsidRDefault="001B6336" w:rsidP="00870DC7">
      <w:pPr>
        <w:pStyle w:val="a4"/>
        <w:spacing w:line="360" w:lineRule="auto"/>
        <w:jc w:val="both"/>
        <w:rPr>
          <w:rFonts w:ascii="Book Antiqua" w:eastAsia="Calibri" w:hAnsi="Book Antiqua" w:cs="Times New Roman"/>
          <w:color w:val="000000"/>
          <w:sz w:val="24"/>
          <w:szCs w:val="24"/>
        </w:rPr>
      </w:pPr>
      <w:r w:rsidRPr="0053750E">
        <w:rPr>
          <w:rFonts w:ascii="Book Antiqua" w:eastAsia="Calibri" w:hAnsi="Book Antiqua" w:cs="Times New Roman"/>
          <w:b/>
          <w:color w:val="000000"/>
          <w:sz w:val="24"/>
          <w:szCs w:val="24"/>
        </w:rPr>
        <w:t>Author contributions</w:t>
      </w:r>
      <w:r w:rsidR="00521162" w:rsidRPr="0053750E">
        <w:rPr>
          <w:rFonts w:ascii="Book Antiqua" w:eastAsia="Calibri" w:hAnsi="Book Antiqua" w:cs="Times New Roman"/>
          <w:b/>
          <w:color w:val="000000"/>
          <w:sz w:val="24"/>
          <w:szCs w:val="24"/>
        </w:rPr>
        <w:t>:</w:t>
      </w:r>
      <w:r w:rsidR="00F5130F">
        <w:rPr>
          <w:rFonts w:ascii="Book Antiqua" w:eastAsia="Calibri" w:hAnsi="Book Antiqua" w:cs="Times New Roman"/>
          <w:b/>
          <w:color w:val="000000"/>
          <w:sz w:val="24"/>
          <w:szCs w:val="24"/>
        </w:rPr>
        <w:t xml:space="preserve"> </w:t>
      </w:r>
      <w:r w:rsidR="003949F7" w:rsidRPr="0053750E">
        <w:rPr>
          <w:rFonts w:ascii="Book Antiqua" w:eastAsia="Calibri" w:hAnsi="Book Antiqua" w:cs="Times New Roman"/>
          <w:color w:val="000000"/>
          <w:sz w:val="24"/>
          <w:szCs w:val="24"/>
        </w:rPr>
        <w:t xml:space="preserve">Torgutalp M </w:t>
      </w:r>
      <w:r w:rsidRPr="0053750E">
        <w:rPr>
          <w:rFonts w:ascii="Book Antiqua" w:eastAsia="Calibri" w:hAnsi="Book Antiqua" w:cs="Times New Roman"/>
          <w:color w:val="000000"/>
          <w:sz w:val="24"/>
          <w:szCs w:val="24"/>
        </w:rPr>
        <w:t>designed and p</w:t>
      </w:r>
      <w:r w:rsidR="009E1864">
        <w:rPr>
          <w:rFonts w:ascii="Book Antiqua" w:eastAsia="Calibri" w:hAnsi="Book Antiqua" w:cs="Times New Roman"/>
          <w:color w:val="000000"/>
          <w:sz w:val="24"/>
          <w:szCs w:val="24"/>
        </w:rPr>
        <w:t>erformed the research and wrote</w:t>
      </w:r>
      <w:r w:rsidR="009E1864">
        <w:rPr>
          <w:rFonts w:asciiTheme="minorEastAsia" w:hAnsiTheme="minorEastAsia" w:cs="Times New Roman" w:hint="eastAsia"/>
          <w:color w:val="000000"/>
          <w:sz w:val="24"/>
          <w:szCs w:val="24"/>
          <w:lang w:eastAsia="zh-CN"/>
        </w:rPr>
        <w:t xml:space="preserve"> </w:t>
      </w:r>
      <w:r w:rsidRPr="0053750E">
        <w:rPr>
          <w:rFonts w:ascii="Book Antiqua" w:eastAsia="Calibri" w:hAnsi="Book Antiqua" w:cs="Times New Roman"/>
          <w:color w:val="000000"/>
          <w:sz w:val="24"/>
          <w:szCs w:val="24"/>
        </w:rPr>
        <w:t>the paper</w:t>
      </w:r>
      <w:r w:rsidR="00521162" w:rsidRPr="0053750E">
        <w:rPr>
          <w:rFonts w:ascii="Book Antiqua" w:eastAsia="Calibri" w:hAnsi="Book Antiqua" w:cs="Times New Roman"/>
          <w:color w:val="000000"/>
          <w:sz w:val="24"/>
          <w:szCs w:val="24"/>
        </w:rPr>
        <w:t>;</w:t>
      </w:r>
      <w:r w:rsidR="00991EF3" w:rsidRPr="0053750E">
        <w:rPr>
          <w:rFonts w:ascii="Book Antiqua" w:eastAsia="Calibri" w:hAnsi="Book Antiqua" w:cs="Times New Roman"/>
          <w:color w:val="000000"/>
          <w:sz w:val="24"/>
          <w:szCs w:val="24"/>
        </w:rPr>
        <w:t xml:space="preserve">  </w:t>
      </w:r>
      <w:r w:rsidR="003949F7" w:rsidRPr="0053750E">
        <w:rPr>
          <w:rFonts w:ascii="Book Antiqua" w:eastAsia="Calibri" w:hAnsi="Book Antiqua" w:cs="Times New Roman"/>
          <w:color w:val="000000"/>
          <w:sz w:val="24"/>
          <w:szCs w:val="24"/>
        </w:rPr>
        <w:t>Efe C and Kav T</w:t>
      </w:r>
      <w:r w:rsidRPr="0053750E">
        <w:rPr>
          <w:rFonts w:ascii="Book Antiqua" w:eastAsia="Calibri" w:hAnsi="Book Antiqua" w:cs="Times New Roman"/>
          <w:color w:val="000000"/>
          <w:sz w:val="24"/>
          <w:szCs w:val="24"/>
        </w:rPr>
        <w:t xml:space="preserve"> designed the research and supervised the report</w:t>
      </w:r>
      <w:r w:rsidR="00521162" w:rsidRPr="0053750E">
        <w:rPr>
          <w:rFonts w:ascii="Book Antiqua" w:eastAsia="Calibri" w:hAnsi="Book Antiqua" w:cs="Times New Roman"/>
          <w:color w:val="000000"/>
          <w:sz w:val="24"/>
          <w:szCs w:val="24"/>
        </w:rPr>
        <w:t>;</w:t>
      </w:r>
      <w:r w:rsidR="00991EF3" w:rsidRPr="0053750E">
        <w:rPr>
          <w:rFonts w:ascii="Book Antiqua" w:eastAsia="Calibri" w:hAnsi="Book Antiqua" w:cs="Times New Roman"/>
          <w:color w:val="000000"/>
          <w:sz w:val="24"/>
          <w:szCs w:val="24"/>
        </w:rPr>
        <w:t xml:space="preserve">  </w:t>
      </w:r>
      <w:r w:rsidR="003949F7" w:rsidRPr="0053750E">
        <w:rPr>
          <w:rFonts w:ascii="Book Antiqua" w:eastAsia="Calibri" w:hAnsi="Book Antiqua" w:cs="Times New Roman"/>
          <w:color w:val="000000"/>
          <w:sz w:val="24"/>
          <w:szCs w:val="24"/>
        </w:rPr>
        <w:t>Babaoglu H</w:t>
      </w:r>
      <w:r w:rsidR="00870DC7" w:rsidRPr="0053750E">
        <w:rPr>
          <w:rFonts w:ascii="Book Antiqua" w:eastAsia="Calibri" w:hAnsi="Book Antiqua" w:cs="Times New Roman"/>
          <w:color w:val="000000"/>
          <w:sz w:val="24"/>
          <w:szCs w:val="24"/>
        </w:rPr>
        <w:t xml:space="preserve"> contributed to the analysis.</w:t>
      </w:r>
    </w:p>
    <w:p w:rsidR="00870DC7" w:rsidRPr="0053750E" w:rsidRDefault="00870DC7" w:rsidP="00870DC7">
      <w:pPr>
        <w:pStyle w:val="a4"/>
        <w:spacing w:line="360" w:lineRule="auto"/>
        <w:jc w:val="both"/>
        <w:rPr>
          <w:rFonts w:ascii="Book Antiqua" w:hAnsi="Book Antiqua" w:cs="Times New Roman"/>
          <w:sz w:val="24"/>
          <w:szCs w:val="24"/>
          <w:lang w:val="en-US"/>
        </w:rPr>
      </w:pPr>
    </w:p>
    <w:p w:rsidR="00870DC7" w:rsidRPr="0053750E" w:rsidRDefault="00870DC7" w:rsidP="00870DC7">
      <w:pPr>
        <w:pStyle w:val="a4"/>
        <w:spacing w:line="360" w:lineRule="auto"/>
        <w:jc w:val="both"/>
        <w:rPr>
          <w:rFonts w:ascii="Book Antiqua" w:eastAsia="Calibri" w:hAnsi="Book Antiqua" w:cs="Times New Roman"/>
          <w:color w:val="000000"/>
          <w:sz w:val="24"/>
          <w:szCs w:val="24"/>
        </w:rPr>
      </w:pPr>
      <w:r w:rsidRPr="0053750E">
        <w:rPr>
          <w:rFonts w:ascii="Book Antiqua" w:eastAsia="Calibri" w:hAnsi="Book Antiqua" w:cs="Times New Roman"/>
          <w:b/>
          <w:color w:val="000000"/>
          <w:sz w:val="24"/>
          <w:szCs w:val="24"/>
        </w:rPr>
        <w:t>Conflict-of-interest statement</w:t>
      </w:r>
      <w:r w:rsidR="00521162" w:rsidRPr="0053750E">
        <w:rPr>
          <w:rFonts w:ascii="Book Antiqua" w:eastAsia="Calibri" w:hAnsi="Book Antiqua" w:cs="Times New Roman"/>
          <w:b/>
          <w:color w:val="000000"/>
          <w:sz w:val="24"/>
          <w:szCs w:val="24"/>
        </w:rPr>
        <w:t>:</w:t>
      </w:r>
      <w:r w:rsidR="00F5130F">
        <w:rPr>
          <w:rFonts w:ascii="Book Antiqua" w:hAnsi="Book Antiqua" w:cs="Times New Roman" w:hint="eastAsia"/>
          <w:b/>
          <w:color w:val="000000"/>
          <w:sz w:val="24"/>
          <w:szCs w:val="24"/>
          <w:lang w:eastAsia="zh-CN"/>
        </w:rPr>
        <w:t xml:space="preserve"> </w:t>
      </w:r>
      <w:r w:rsidRPr="0053750E">
        <w:rPr>
          <w:rFonts w:ascii="Book Antiqua" w:eastAsia="Calibri" w:hAnsi="Book Antiqua" w:cs="Times New Roman"/>
          <w:color w:val="000000"/>
          <w:sz w:val="24"/>
          <w:szCs w:val="24"/>
        </w:rPr>
        <w:t>We have no financial relationships to disclose.</w:t>
      </w:r>
    </w:p>
    <w:p w:rsidR="002A1478" w:rsidRPr="0053750E" w:rsidRDefault="00870DC7" w:rsidP="00870DC7">
      <w:pPr>
        <w:pStyle w:val="a4"/>
        <w:spacing w:line="360" w:lineRule="auto"/>
        <w:jc w:val="both"/>
        <w:rPr>
          <w:rFonts w:ascii="Book Antiqua" w:hAnsi="Book Antiqua" w:cs="Times New Roman"/>
          <w:sz w:val="24"/>
          <w:szCs w:val="24"/>
          <w:lang w:val="en-US"/>
        </w:rPr>
      </w:pPr>
      <w:r w:rsidRPr="0053750E">
        <w:rPr>
          <w:rFonts w:ascii="Book Antiqua" w:eastAsia="Calibri" w:hAnsi="Book Antiqua" w:cs="Times New Roman"/>
          <w:color w:val="000000"/>
          <w:sz w:val="24"/>
          <w:szCs w:val="24"/>
        </w:rPr>
        <w:br/>
      </w:r>
      <w:r w:rsidRPr="0053750E">
        <w:rPr>
          <w:rFonts w:ascii="Book Antiqua" w:eastAsia="Calibri" w:hAnsi="Book Antiqua" w:cs="Times New Roman"/>
          <w:b/>
          <w:color w:val="000000"/>
          <w:sz w:val="24"/>
          <w:szCs w:val="24"/>
        </w:rPr>
        <w:t>Data sharing statement</w:t>
      </w:r>
      <w:r w:rsidR="00521162" w:rsidRPr="0053750E">
        <w:rPr>
          <w:rFonts w:ascii="Book Antiqua" w:eastAsia="Calibri" w:hAnsi="Book Antiqua" w:cs="Times New Roman"/>
          <w:b/>
          <w:color w:val="000000"/>
          <w:sz w:val="24"/>
          <w:szCs w:val="24"/>
        </w:rPr>
        <w:t>:</w:t>
      </w:r>
      <w:r w:rsidR="00F5130F">
        <w:rPr>
          <w:rFonts w:ascii="Book Antiqua" w:hAnsi="Book Antiqua" w:cs="Times New Roman" w:hint="eastAsia"/>
          <w:b/>
          <w:color w:val="000000"/>
          <w:sz w:val="24"/>
          <w:szCs w:val="24"/>
          <w:lang w:eastAsia="zh-CN"/>
        </w:rPr>
        <w:t xml:space="preserve"> </w:t>
      </w:r>
      <w:r w:rsidRPr="0053750E">
        <w:rPr>
          <w:rFonts w:ascii="Book Antiqua" w:eastAsia="Calibri" w:hAnsi="Book Antiqua" w:cs="Times New Roman"/>
          <w:color w:val="000000"/>
          <w:sz w:val="24"/>
          <w:szCs w:val="24"/>
        </w:rPr>
        <w:t>No additional data are available.</w:t>
      </w:r>
    </w:p>
    <w:p w:rsidR="00870DC7" w:rsidRPr="0053750E" w:rsidRDefault="00870DC7" w:rsidP="001C799D">
      <w:pPr>
        <w:pStyle w:val="a4"/>
        <w:spacing w:line="360" w:lineRule="auto"/>
        <w:rPr>
          <w:rFonts w:ascii="Book Antiqua" w:hAnsi="Book Antiqua" w:cs="Times New Roman"/>
          <w:sz w:val="24"/>
          <w:szCs w:val="24"/>
          <w:lang w:val="en-US"/>
        </w:rPr>
      </w:pPr>
    </w:p>
    <w:p w:rsidR="00BE1713" w:rsidRPr="0053750E" w:rsidRDefault="00BE1713" w:rsidP="00BE1713">
      <w:pPr>
        <w:rPr>
          <w:rFonts w:ascii="Book Antiqua" w:hAnsi="Book Antiqua" w:cs="宋体"/>
        </w:rPr>
      </w:pPr>
      <w:r w:rsidRPr="0053750E">
        <w:rPr>
          <w:rFonts w:ascii="Book Antiqua" w:hAnsi="Book Antiqua"/>
          <w:b/>
          <w:color w:val="000000"/>
        </w:rPr>
        <w:t>Open-Access</w:t>
      </w:r>
      <w:r w:rsidR="00521162" w:rsidRPr="0053750E">
        <w:rPr>
          <w:rFonts w:ascii="Book Antiqua" w:hAnsi="Book Antiqua"/>
          <w:b/>
          <w:color w:val="000000"/>
        </w:rPr>
        <w:t>:</w:t>
      </w:r>
      <w:bookmarkStart w:id="10" w:name="OLE_LINK479"/>
      <w:bookmarkStart w:id="11" w:name="OLE_LINK496"/>
      <w:bookmarkStart w:id="12" w:name="OLE_LINK506"/>
      <w:bookmarkStart w:id="13" w:name="OLE_LINK507"/>
      <w:r w:rsidR="00F5130F">
        <w:rPr>
          <w:rFonts w:ascii="Book Antiqua" w:eastAsiaTheme="minorEastAsia" w:hAnsi="Book Antiqua" w:hint="eastAsia"/>
          <w:b/>
          <w:color w:val="000000"/>
          <w:lang w:eastAsia="zh-CN"/>
        </w:rPr>
        <w:t xml:space="preserve"> </w:t>
      </w:r>
      <w:r w:rsidRPr="0053750E">
        <w:rPr>
          <w:rFonts w:ascii="Book Antiqua" w:hAnsi="Book Antiqua"/>
          <w:color w:val="000000"/>
        </w:rPr>
        <w:t xml:space="preserve">This article is an </w:t>
      </w:r>
      <w:r w:rsidRPr="0053750E">
        <w:rPr>
          <w:rFonts w:ascii="Book Antiqua" w:hAnsi="Book Antiqua"/>
        </w:rPr>
        <w:t xml:space="preserve">open-access article which </w:t>
      </w:r>
      <w:r w:rsidRPr="0053750E">
        <w:rPr>
          <w:rFonts w:ascii="Book Antiqua" w:hAnsi="Book Antiqua"/>
          <w:color w:val="000000"/>
        </w:rPr>
        <w:t>was selected by an in-house editor and fully peer-reviewed by external reviewers. It is dis</w:t>
      </w:r>
      <w:r w:rsidRPr="0053750E">
        <w:rPr>
          <w:rFonts w:ascii="Book Antiqua" w:hAnsi="Book Antiqua"/>
        </w:rPr>
        <w:t>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521162" w:rsidRPr="0053750E">
        <w:rPr>
          <w:rFonts w:ascii="Book Antiqua" w:hAnsi="Book Antiqua"/>
        </w:rPr>
        <w:t>:</w:t>
      </w:r>
      <w:r w:rsidR="00991EF3" w:rsidRPr="0053750E">
        <w:rPr>
          <w:rFonts w:ascii="Book Antiqua" w:hAnsi="Book Antiqua"/>
        </w:rPr>
        <w:t xml:space="preserve">  </w:t>
      </w:r>
      <w:hyperlink r:id="rId9" w:history="1">
        <w:r w:rsidRPr="0053750E">
          <w:rPr>
            <w:rStyle w:val="a8"/>
            <w:rFonts w:ascii="Book Antiqua" w:hAnsi="Book Antiqua"/>
          </w:rPr>
          <w:t>http</w:t>
        </w:r>
        <w:r w:rsidR="00521162" w:rsidRPr="0053750E">
          <w:rPr>
            <w:rStyle w:val="a8"/>
            <w:rFonts w:ascii="Book Antiqua" w:hAnsi="Book Antiqua"/>
          </w:rPr>
          <w:t xml:space="preserve">: </w:t>
        </w:r>
        <w:r w:rsidRPr="0053750E">
          <w:rPr>
            <w:rStyle w:val="a8"/>
            <w:rFonts w:ascii="Book Antiqua" w:hAnsi="Book Antiqua"/>
          </w:rPr>
          <w:t>//creativecommons.org/licenses/by-nc/4.0/</w:t>
        </w:r>
      </w:hyperlink>
      <w:bookmarkEnd w:id="10"/>
      <w:bookmarkEnd w:id="11"/>
      <w:bookmarkEnd w:id="12"/>
      <w:bookmarkEnd w:id="13"/>
    </w:p>
    <w:p w:rsidR="00F5130F" w:rsidRDefault="00F5130F" w:rsidP="00BE1713">
      <w:pPr>
        <w:adjustRightInd w:val="0"/>
        <w:snapToGrid w:val="0"/>
        <w:rPr>
          <w:rFonts w:ascii="Book Antiqua" w:eastAsiaTheme="minorEastAsia" w:hAnsi="Book Antiqua"/>
          <w:b/>
          <w:color w:val="000000"/>
          <w:lang w:eastAsia="zh-CN"/>
        </w:rPr>
      </w:pPr>
    </w:p>
    <w:p w:rsidR="00BE1713" w:rsidRPr="009E1864" w:rsidRDefault="009E1864" w:rsidP="00BE1713">
      <w:pPr>
        <w:adjustRightInd w:val="0"/>
        <w:snapToGrid w:val="0"/>
        <w:rPr>
          <w:rFonts w:ascii="Book Antiqua" w:hAnsi="Book Antiqua"/>
          <w:b/>
          <w:color w:val="000000"/>
        </w:rPr>
      </w:pPr>
      <w:r w:rsidRPr="009E1864">
        <w:rPr>
          <w:rFonts w:ascii="Book Antiqua" w:eastAsiaTheme="minorEastAsia" w:hAnsi="Book Antiqua"/>
          <w:b/>
          <w:color w:val="000000"/>
          <w:lang w:eastAsia="zh-CN"/>
        </w:rPr>
        <w:lastRenderedPageBreak/>
        <w:t>Manuscript source:</w:t>
      </w:r>
      <w:r w:rsidR="00F5130F">
        <w:rPr>
          <w:rFonts w:ascii="Book Antiqua" w:eastAsiaTheme="minorEastAsia" w:hAnsi="Book Antiqua" w:hint="eastAsia"/>
          <w:b/>
          <w:color w:val="000000"/>
          <w:lang w:eastAsia="zh-CN"/>
        </w:rPr>
        <w:t xml:space="preserve"> </w:t>
      </w:r>
      <w:r w:rsidR="00BE1713" w:rsidRPr="009E1864">
        <w:rPr>
          <w:rFonts w:ascii="Book Antiqua" w:hAnsi="Book Antiqua"/>
          <w:color w:val="000000"/>
        </w:rPr>
        <w:t>Invited manuscript</w:t>
      </w:r>
    </w:p>
    <w:p w:rsidR="00BE1713" w:rsidRPr="0053750E" w:rsidRDefault="00BE1713" w:rsidP="001C799D">
      <w:pPr>
        <w:pStyle w:val="a4"/>
        <w:spacing w:line="360" w:lineRule="auto"/>
        <w:rPr>
          <w:rFonts w:ascii="Book Antiqua" w:hAnsi="Book Antiqua" w:cs="Times New Roman"/>
          <w:sz w:val="24"/>
          <w:szCs w:val="24"/>
        </w:rPr>
      </w:pPr>
    </w:p>
    <w:p w:rsidR="00870DC7" w:rsidRPr="0053750E" w:rsidRDefault="00870DC7" w:rsidP="00870DC7">
      <w:pPr>
        <w:pStyle w:val="a4"/>
        <w:spacing w:line="360" w:lineRule="auto"/>
        <w:rPr>
          <w:rFonts w:ascii="Book Antiqua" w:hAnsi="Book Antiqua" w:cs="Times New Roman"/>
          <w:sz w:val="24"/>
          <w:szCs w:val="24"/>
          <w:lang w:val="en-US"/>
        </w:rPr>
      </w:pPr>
      <w:r w:rsidRPr="0053750E">
        <w:rPr>
          <w:rFonts w:ascii="Book Antiqua" w:hAnsi="Book Antiqua" w:cs="Times New Roman"/>
          <w:b/>
          <w:sz w:val="24"/>
          <w:szCs w:val="24"/>
          <w:lang w:val="en-US"/>
        </w:rPr>
        <w:t>Correspondence to</w:t>
      </w:r>
      <w:r w:rsidR="00521162" w:rsidRPr="0053750E">
        <w:rPr>
          <w:rFonts w:ascii="Book Antiqua" w:hAnsi="Book Antiqua" w:cs="Times New Roman"/>
          <w:b/>
          <w:sz w:val="24"/>
          <w:szCs w:val="24"/>
          <w:lang w:val="en-US"/>
        </w:rPr>
        <w:t>:</w:t>
      </w:r>
      <w:r w:rsidR="00991EF3" w:rsidRPr="0053750E">
        <w:rPr>
          <w:rFonts w:ascii="Book Antiqua" w:hAnsi="Book Antiqua" w:cs="Times New Roman"/>
          <w:b/>
          <w:sz w:val="24"/>
          <w:szCs w:val="24"/>
          <w:lang w:val="en-US"/>
        </w:rPr>
        <w:t xml:space="preserve">  </w:t>
      </w:r>
      <w:proofErr w:type="spellStart"/>
      <w:r w:rsidR="00181D52" w:rsidRPr="0053750E">
        <w:rPr>
          <w:rFonts w:ascii="Book Antiqua" w:hAnsi="Book Antiqua" w:cs="Times New Roman"/>
          <w:b/>
          <w:sz w:val="24"/>
          <w:szCs w:val="24"/>
          <w:lang w:val="en-US"/>
        </w:rPr>
        <w:t>Cumali</w:t>
      </w:r>
      <w:proofErr w:type="spellEnd"/>
      <w:r w:rsidR="00181D52" w:rsidRPr="0053750E">
        <w:rPr>
          <w:rFonts w:ascii="Book Antiqua" w:hAnsi="Book Antiqua" w:cs="Times New Roman"/>
          <w:b/>
          <w:sz w:val="24"/>
          <w:szCs w:val="24"/>
          <w:lang w:val="en-US"/>
        </w:rPr>
        <w:t xml:space="preserve"> </w:t>
      </w:r>
      <w:proofErr w:type="spellStart"/>
      <w:r w:rsidR="00181D52" w:rsidRPr="0053750E">
        <w:rPr>
          <w:rFonts w:ascii="Book Antiqua" w:hAnsi="Book Antiqua" w:cs="Times New Roman"/>
          <w:b/>
          <w:sz w:val="24"/>
          <w:szCs w:val="24"/>
          <w:lang w:val="en-US"/>
        </w:rPr>
        <w:t>Efe</w:t>
      </w:r>
      <w:proofErr w:type="spellEnd"/>
      <w:r w:rsidR="00181D52" w:rsidRPr="0053750E">
        <w:rPr>
          <w:rFonts w:ascii="Book Antiqua" w:hAnsi="Book Antiqua" w:cs="Times New Roman"/>
          <w:b/>
          <w:sz w:val="24"/>
          <w:szCs w:val="24"/>
          <w:lang w:val="en-US"/>
        </w:rPr>
        <w:t>,</w:t>
      </w:r>
      <w:r w:rsidRPr="0053750E">
        <w:rPr>
          <w:rFonts w:ascii="Book Antiqua" w:hAnsi="Book Antiqua" w:cs="Times New Roman"/>
          <w:b/>
          <w:sz w:val="24"/>
          <w:szCs w:val="24"/>
          <w:lang w:val="en-US"/>
        </w:rPr>
        <w:t xml:space="preserve"> MD,</w:t>
      </w:r>
      <w:r w:rsidRPr="0053750E">
        <w:rPr>
          <w:rFonts w:ascii="Book Antiqua" w:hAnsi="Book Antiqua" w:cs="Times New Roman"/>
          <w:sz w:val="24"/>
          <w:szCs w:val="24"/>
          <w:lang w:val="en-US"/>
        </w:rPr>
        <w:t xml:space="preserve"> Department of Gastroenterology, </w:t>
      </w:r>
      <w:proofErr w:type="spellStart"/>
      <w:r w:rsidR="00DD6C1A" w:rsidRPr="00DD6C1A">
        <w:rPr>
          <w:rFonts w:ascii="Book Antiqua" w:hAnsi="Book Antiqua" w:cs="Times New Roman"/>
          <w:sz w:val="24"/>
          <w:szCs w:val="24"/>
          <w:lang w:val="en-US"/>
        </w:rPr>
        <w:t>Hacettepe</w:t>
      </w:r>
      <w:proofErr w:type="spellEnd"/>
      <w:r w:rsidR="00DD6C1A" w:rsidRPr="00DD6C1A">
        <w:rPr>
          <w:rFonts w:ascii="Book Antiqua" w:hAnsi="Book Antiqua" w:cs="Times New Roman"/>
          <w:sz w:val="24"/>
          <w:szCs w:val="24"/>
          <w:lang w:val="en-US"/>
        </w:rPr>
        <w:t xml:space="preserve"> University School of Medicine</w:t>
      </w:r>
      <w:r w:rsidRPr="0053750E">
        <w:rPr>
          <w:rFonts w:ascii="Book Antiqua" w:hAnsi="Book Antiqua" w:cs="Times New Roman"/>
          <w:sz w:val="24"/>
          <w:szCs w:val="24"/>
          <w:lang w:val="en-US"/>
        </w:rPr>
        <w:t>, Ankara</w:t>
      </w:r>
      <w:r w:rsidR="005A5EE0" w:rsidRPr="005A5EE0">
        <w:t xml:space="preserve"> </w:t>
      </w:r>
      <w:r w:rsidR="005A5EE0" w:rsidRPr="005A5EE0">
        <w:rPr>
          <w:rFonts w:ascii="Book Antiqua" w:hAnsi="Book Antiqua" w:cs="Times New Roman"/>
          <w:sz w:val="24"/>
          <w:szCs w:val="24"/>
          <w:lang w:val="en-US"/>
        </w:rPr>
        <w:t>16100</w:t>
      </w:r>
      <w:r w:rsidRPr="0053750E">
        <w:rPr>
          <w:rFonts w:ascii="Book Antiqua" w:hAnsi="Book Antiqua" w:cs="Times New Roman"/>
          <w:sz w:val="24"/>
          <w:szCs w:val="24"/>
          <w:lang w:val="en-US"/>
        </w:rPr>
        <w:t>, Turkey.</w:t>
      </w:r>
      <w:r w:rsidR="00BE1713" w:rsidRPr="0053750E">
        <w:rPr>
          <w:rFonts w:ascii="Book Antiqua" w:hAnsi="Book Antiqua" w:cs="Times New Roman"/>
          <w:sz w:val="24"/>
          <w:szCs w:val="24"/>
          <w:lang w:val="en-US" w:eastAsia="zh-CN"/>
        </w:rPr>
        <w:t xml:space="preserve"> </w:t>
      </w:r>
      <w:r w:rsidRPr="0053750E">
        <w:rPr>
          <w:rFonts w:ascii="Book Antiqua" w:hAnsi="Book Antiqua" w:cs="Times New Roman"/>
          <w:sz w:val="24"/>
          <w:szCs w:val="24"/>
          <w:lang w:val="en-US"/>
        </w:rPr>
        <w:t>drcumi21@hotmail.com</w:t>
      </w:r>
      <w:r w:rsidR="00991EF3" w:rsidRPr="0053750E">
        <w:rPr>
          <w:rFonts w:ascii="Book Antiqua" w:hAnsi="Book Antiqua" w:cs="Times New Roman"/>
          <w:sz w:val="24"/>
          <w:szCs w:val="24"/>
          <w:lang w:val="en-US"/>
        </w:rPr>
        <w:t xml:space="preserve">  </w:t>
      </w:r>
    </w:p>
    <w:p w:rsidR="00870DC7" w:rsidRPr="0053750E" w:rsidRDefault="00870DC7" w:rsidP="00A3018E">
      <w:pPr>
        <w:pStyle w:val="a4"/>
        <w:spacing w:line="360" w:lineRule="auto"/>
        <w:rPr>
          <w:rFonts w:ascii="Book Antiqua" w:hAnsi="Book Antiqua" w:cs="Times New Roman"/>
          <w:sz w:val="24"/>
          <w:szCs w:val="24"/>
          <w:lang w:val="en-US"/>
        </w:rPr>
      </w:pPr>
      <w:r w:rsidRPr="0053750E">
        <w:rPr>
          <w:rFonts w:ascii="Book Antiqua" w:hAnsi="Book Antiqua" w:cs="Times New Roman"/>
          <w:b/>
          <w:sz w:val="24"/>
          <w:szCs w:val="24"/>
          <w:lang w:val="en-US"/>
        </w:rPr>
        <w:t>Telephone</w:t>
      </w:r>
      <w:r w:rsidR="00521162" w:rsidRPr="0053750E">
        <w:rPr>
          <w:rFonts w:ascii="Book Antiqua" w:hAnsi="Book Antiqua" w:cs="Times New Roman"/>
          <w:b/>
          <w:sz w:val="24"/>
          <w:szCs w:val="24"/>
          <w:lang w:val="en-US"/>
        </w:rPr>
        <w:t>:</w:t>
      </w:r>
      <w:r w:rsidR="00991EF3" w:rsidRPr="0053750E">
        <w:rPr>
          <w:rFonts w:ascii="Book Antiqua" w:hAnsi="Book Antiqua" w:cs="Times New Roman"/>
          <w:b/>
          <w:sz w:val="24"/>
          <w:szCs w:val="24"/>
          <w:lang w:val="en-US"/>
        </w:rPr>
        <w:t xml:space="preserve">  </w:t>
      </w:r>
      <w:r w:rsidR="00BE1713" w:rsidRPr="0053750E">
        <w:rPr>
          <w:rFonts w:ascii="Book Antiqua" w:hAnsi="Book Antiqua" w:cs="Times New Roman"/>
          <w:sz w:val="24"/>
          <w:szCs w:val="24"/>
          <w:lang w:val="en-US"/>
        </w:rPr>
        <w:t>+90</w:t>
      </w:r>
      <w:r w:rsidR="00BE1713" w:rsidRPr="0053750E">
        <w:rPr>
          <w:rFonts w:ascii="Book Antiqua" w:hAnsi="Book Antiqua" w:cs="Times New Roman"/>
          <w:sz w:val="24"/>
          <w:szCs w:val="24"/>
          <w:lang w:val="en-US" w:eastAsia="zh-CN"/>
        </w:rPr>
        <w:t>-</w:t>
      </w:r>
      <w:r w:rsidRPr="0053750E">
        <w:rPr>
          <w:rFonts w:ascii="Book Antiqua" w:hAnsi="Book Antiqua" w:cs="Times New Roman"/>
          <w:sz w:val="24"/>
          <w:szCs w:val="24"/>
          <w:lang w:val="en-US"/>
        </w:rPr>
        <w:t>505</w:t>
      </w:r>
      <w:r w:rsidR="00BE1713" w:rsidRPr="0053750E">
        <w:rPr>
          <w:rFonts w:ascii="Book Antiqua" w:hAnsi="Book Antiqua" w:cs="Times New Roman"/>
          <w:sz w:val="24"/>
          <w:szCs w:val="24"/>
          <w:lang w:val="en-US" w:eastAsia="zh-CN"/>
        </w:rPr>
        <w:t>-</w:t>
      </w:r>
      <w:r w:rsidRPr="0053750E">
        <w:rPr>
          <w:rFonts w:ascii="Book Antiqua" w:hAnsi="Book Antiqua" w:cs="Times New Roman"/>
          <w:sz w:val="24"/>
          <w:szCs w:val="24"/>
          <w:lang w:val="en-US"/>
        </w:rPr>
        <w:t>5025589</w:t>
      </w:r>
    </w:p>
    <w:p w:rsidR="00870DC7" w:rsidRPr="0053750E" w:rsidRDefault="00870DC7" w:rsidP="00A3018E">
      <w:pPr>
        <w:pStyle w:val="a4"/>
        <w:spacing w:line="360" w:lineRule="auto"/>
        <w:rPr>
          <w:rFonts w:ascii="Book Antiqua" w:hAnsi="Book Antiqua" w:cs="Times New Roman"/>
          <w:sz w:val="24"/>
          <w:szCs w:val="24"/>
          <w:lang w:val="en-US"/>
        </w:rPr>
      </w:pPr>
      <w:r w:rsidRPr="0053750E">
        <w:rPr>
          <w:rFonts w:ascii="Book Antiqua" w:hAnsi="Book Antiqua" w:cs="Times New Roman"/>
          <w:b/>
          <w:sz w:val="24"/>
          <w:szCs w:val="24"/>
          <w:lang w:val="en-US"/>
        </w:rPr>
        <w:t>Fax</w:t>
      </w:r>
      <w:r w:rsidR="00521162" w:rsidRPr="0053750E">
        <w:rPr>
          <w:rFonts w:ascii="Book Antiqua" w:hAnsi="Book Antiqua" w:cs="Times New Roman"/>
          <w:b/>
          <w:sz w:val="24"/>
          <w:szCs w:val="24"/>
          <w:lang w:val="en-US"/>
        </w:rPr>
        <w:t>:</w:t>
      </w:r>
      <w:r w:rsidR="00991EF3" w:rsidRPr="0053750E">
        <w:rPr>
          <w:rFonts w:ascii="Book Antiqua" w:hAnsi="Book Antiqua" w:cs="Times New Roman"/>
          <w:b/>
          <w:sz w:val="24"/>
          <w:szCs w:val="24"/>
          <w:lang w:val="en-US"/>
        </w:rPr>
        <w:t xml:space="preserve">  </w:t>
      </w:r>
      <w:r w:rsidR="00BE1713" w:rsidRPr="0053750E">
        <w:rPr>
          <w:rFonts w:ascii="Book Antiqua" w:hAnsi="Book Antiqua"/>
          <w:color w:val="000000"/>
          <w:sz w:val="24"/>
          <w:szCs w:val="24"/>
          <w:lang w:val="en-US"/>
        </w:rPr>
        <w:t>+90</w:t>
      </w:r>
      <w:r w:rsidR="00BE1713" w:rsidRPr="0053750E">
        <w:rPr>
          <w:rFonts w:ascii="Book Antiqua" w:hAnsi="Book Antiqua"/>
          <w:color w:val="000000"/>
          <w:sz w:val="24"/>
          <w:szCs w:val="24"/>
          <w:lang w:val="en-US" w:eastAsia="zh-CN"/>
        </w:rPr>
        <w:t>-</w:t>
      </w:r>
      <w:r w:rsidR="00BE1713" w:rsidRPr="0053750E">
        <w:rPr>
          <w:rFonts w:ascii="Book Antiqua" w:hAnsi="Book Antiqua"/>
          <w:color w:val="000000"/>
          <w:sz w:val="24"/>
          <w:szCs w:val="24"/>
          <w:lang w:val="en-US"/>
        </w:rPr>
        <w:t>312</w:t>
      </w:r>
      <w:r w:rsidR="00BE1713" w:rsidRPr="0053750E">
        <w:rPr>
          <w:rFonts w:ascii="Book Antiqua" w:hAnsi="Book Antiqua"/>
          <w:color w:val="000000"/>
          <w:sz w:val="24"/>
          <w:szCs w:val="24"/>
          <w:lang w:val="en-US" w:eastAsia="zh-CN"/>
        </w:rPr>
        <w:t>-</w:t>
      </w:r>
      <w:r w:rsidR="00BE1713" w:rsidRPr="0053750E">
        <w:rPr>
          <w:rFonts w:ascii="Book Antiqua" w:hAnsi="Book Antiqua"/>
          <w:color w:val="000000"/>
          <w:sz w:val="24"/>
          <w:szCs w:val="24"/>
          <w:lang w:val="en-US"/>
        </w:rPr>
        <w:t>25346</w:t>
      </w:r>
      <w:r w:rsidRPr="0053750E">
        <w:rPr>
          <w:rFonts w:ascii="Book Antiqua" w:hAnsi="Book Antiqua"/>
          <w:color w:val="000000"/>
          <w:sz w:val="24"/>
          <w:szCs w:val="24"/>
          <w:lang w:val="en-US"/>
        </w:rPr>
        <w:t>15</w:t>
      </w:r>
    </w:p>
    <w:p w:rsidR="00A3018E" w:rsidRPr="0053750E" w:rsidRDefault="00A3018E" w:rsidP="001C799D">
      <w:pPr>
        <w:pStyle w:val="a4"/>
        <w:spacing w:line="360" w:lineRule="auto"/>
        <w:rPr>
          <w:rFonts w:ascii="Book Antiqua" w:hAnsi="Book Antiqua"/>
          <w:color w:val="000000"/>
          <w:sz w:val="24"/>
          <w:szCs w:val="24"/>
          <w:lang w:val="en-US"/>
        </w:rPr>
      </w:pPr>
    </w:p>
    <w:p w:rsidR="00BE1713" w:rsidRPr="0053750E" w:rsidRDefault="00BE1713" w:rsidP="00BE1713">
      <w:pPr>
        <w:rPr>
          <w:rFonts w:ascii="Book Antiqua" w:hAnsi="Book Antiqua"/>
        </w:rPr>
      </w:pPr>
      <w:r w:rsidRPr="0053750E">
        <w:rPr>
          <w:rFonts w:ascii="Book Antiqua" w:hAnsi="Book Antiqua"/>
          <w:b/>
        </w:rPr>
        <w:t>Received</w:t>
      </w:r>
      <w:r w:rsidR="00521162" w:rsidRPr="0053750E">
        <w:rPr>
          <w:rFonts w:ascii="Book Antiqua" w:hAnsi="Book Antiqua"/>
          <w:b/>
        </w:rPr>
        <w:t>:</w:t>
      </w:r>
      <w:r w:rsidR="00991EF3" w:rsidRPr="0053750E">
        <w:rPr>
          <w:rFonts w:ascii="Book Antiqua" w:hAnsi="Book Antiqua"/>
          <w:b/>
        </w:rPr>
        <w:t xml:space="preserve">  </w:t>
      </w:r>
      <w:r w:rsidRPr="0053750E">
        <w:rPr>
          <w:rFonts w:ascii="Book Antiqua" w:hAnsi="Book Antiqua"/>
        </w:rPr>
        <w:t>February 5, 2017</w:t>
      </w:r>
    </w:p>
    <w:p w:rsidR="00BE1713" w:rsidRPr="0053750E" w:rsidRDefault="00BE1713" w:rsidP="00BE1713">
      <w:pPr>
        <w:rPr>
          <w:rFonts w:ascii="Book Antiqua" w:hAnsi="Book Antiqua"/>
        </w:rPr>
      </w:pPr>
      <w:r w:rsidRPr="0053750E">
        <w:rPr>
          <w:rFonts w:ascii="Book Antiqua" w:hAnsi="Book Antiqua"/>
          <w:b/>
        </w:rPr>
        <w:t>Peer-review started</w:t>
      </w:r>
      <w:r w:rsidR="00521162" w:rsidRPr="0053750E">
        <w:rPr>
          <w:rFonts w:ascii="Book Antiqua" w:hAnsi="Book Antiqua"/>
          <w:b/>
        </w:rPr>
        <w:t>:</w:t>
      </w:r>
      <w:r w:rsidR="00991EF3" w:rsidRPr="0053750E">
        <w:rPr>
          <w:rFonts w:ascii="Book Antiqua" w:hAnsi="Book Antiqua"/>
          <w:b/>
        </w:rPr>
        <w:t xml:space="preserve">  </w:t>
      </w:r>
      <w:r w:rsidRPr="0053750E">
        <w:rPr>
          <w:rFonts w:ascii="Book Antiqua" w:hAnsi="Book Antiqua"/>
        </w:rPr>
        <w:t>February 6, 2017</w:t>
      </w:r>
    </w:p>
    <w:p w:rsidR="00BE1713" w:rsidRPr="0053750E" w:rsidRDefault="00BE1713" w:rsidP="00BE1713">
      <w:pPr>
        <w:rPr>
          <w:rFonts w:ascii="Book Antiqua" w:hAnsi="Book Antiqua"/>
          <w:b/>
        </w:rPr>
      </w:pPr>
      <w:r w:rsidRPr="0053750E">
        <w:rPr>
          <w:rFonts w:ascii="Book Antiqua" w:hAnsi="Book Antiqua"/>
          <w:b/>
        </w:rPr>
        <w:t>First decision</w:t>
      </w:r>
      <w:r w:rsidR="00521162" w:rsidRPr="0053750E">
        <w:rPr>
          <w:rFonts w:ascii="Book Antiqua" w:hAnsi="Book Antiqua"/>
          <w:b/>
        </w:rPr>
        <w:t>:</w:t>
      </w:r>
      <w:r w:rsidR="00991EF3" w:rsidRPr="0053750E">
        <w:rPr>
          <w:rFonts w:ascii="Book Antiqua" w:hAnsi="Book Antiqua"/>
          <w:b/>
        </w:rPr>
        <w:t xml:space="preserve">  </w:t>
      </w:r>
      <w:r w:rsidRPr="0053750E">
        <w:rPr>
          <w:rFonts w:ascii="Book Antiqua" w:hAnsi="Book Antiqua"/>
        </w:rPr>
        <w:t>March 2, 2017</w:t>
      </w:r>
    </w:p>
    <w:p w:rsidR="00BE1713" w:rsidRPr="0053750E" w:rsidRDefault="00BE1713" w:rsidP="00BE1713">
      <w:pPr>
        <w:rPr>
          <w:rFonts w:ascii="Book Antiqua" w:hAnsi="Book Antiqua"/>
        </w:rPr>
      </w:pPr>
      <w:r w:rsidRPr="0053750E">
        <w:rPr>
          <w:rFonts w:ascii="Book Antiqua" w:hAnsi="Book Antiqua"/>
          <w:b/>
        </w:rPr>
        <w:t>Revised</w:t>
      </w:r>
      <w:r w:rsidR="00521162" w:rsidRPr="0053750E">
        <w:rPr>
          <w:rFonts w:ascii="Book Antiqua" w:hAnsi="Book Antiqua"/>
          <w:b/>
        </w:rPr>
        <w:t>:</w:t>
      </w:r>
      <w:r w:rsidR="00991EF3" w:rsidRPr="0053750E">
        <w:rPr>
          <w:rFonts w:ascii="Book Antiqua" w:hAnsi="Book Antiqua"/>
          <w:b/>
        </w:rPr>
        <w:t xml:space="preserve">  </w:t>
      </w:r>
      <w:r w:rsidRPr="0053750E">
        <w:rPr>
          <w:rFonts w:ascii="Book Antiqua" w:hAnsi="Book Antiqua"/>
        </w:rPr>
        <w:t>March 13, 2017</w:t>
      </w:r>
    </w:p>
    <w:p w:rsidR="00BE1713" w:rsidRPr="00F737C1" w:rsidRDefault="00BE1713" w:rsidP="00BE1713">
      <w:pPr>
        <w:rPr>
          <w:rFonts w:ascii="Book Antiqua" w:hAnsi="Book Antiqua"/>
          <w:color w:val="000000"/>
        </w:rPr>
      </w:pPr>
      <w:r w:rsidRPr="0053750E">
        <w:rPr>
          <w:rFonts w:ascii="Book Antiqua" w:hAnsi="Book Antiqua"/>
          <w:b/>
        </w:rPr>
        <w:t>Accepted</w:t>
      </w:r>
      <w:r w:rsidR="00521162" w:rsidRPr="0053750E">
        <w:rPr>
          <w:rFonts w:ascii="Book Antiqua" w:hAnsi="Book Antiqua"/>
          <w:b/>
        </w:rPr>
        <w:t>:</w:t>
      </w:r>
      <w:bookmarkStart w:id="14" w:name="OLE_LINK116"/>
      <w:bookmarkStart w:id="15" w:name="OLE_LINK117"/>
      <w:bookmarkStart w:id="16" w:name="OLE_LINK118"/>
      <w:r w:rsidR="00F737C1" w:rsidRPr="00F737C1">
        <w:rPr>
          <w:rFonts w:ascii="Book Antiqua" w:hAnsi="Book Antiqua"/>
          <w:color w:val="000000"/>
        </w:rPr>
        <w:t xml:space="preserve"> </w:t>
      </w:r>
      <w:r w:rsidR="00F737C1">
        <w:rPr>
          <w:rFonts w:ascii="Book Antiqua" w:hAnsi="Book Antiqua"/>
          <w:color w:val="000000"/>
        </w:rPr>
        <w:t>April 12, 2017</w:t>
      </w:r>
      <w:bookmarkEnd w:id="14"/>
      <w:bookmarkEnd w:id="15"/>
      <w:bookmarkEnd w:id="16"/>
      <w:r w:rsidR="00991EF3" w:rsidRPr="0053750E">
        <w:rPr>
          <w:rFonts w:ascii="Book Antiqua" w:hAnsi="Book Antiqua"/>
          <w:b/>
        </w:rPr>
        <w:t xml:space="preserve">  </w:t>
      </w:r>
      <w:r w:rsidRPr="0053750E">
        <w:rPr>
          <w:rFonts w:ascii="Book Antiqua" w:hAnsi="Book Antiqua"/>
          <w:b/>
        </w:rPr>
        <w:t xml:space="preserve"> </w:t>
      </w:r>
    </w:p>
    <w:p w:rsidR="00BE1713" w:rsidRPr="0053750E" w:rsidRDefault="00BE1713" w:rsidP="00BE1713">
      <w:pPr>
        <w:rPr>
          <w:rFonts w:ascii="Book Antiqua" w:hAnsi="Book Antiqua"/>
          <w:b/>
        </w:rPr>
      </w:pPr>
      <w:r w:rsidRPr="0053750E">
        <w:rPr>
          <w:rFonts w:ascii="Book Antiqua" w:hAnsi="Book Antiqua"/>
          <w:b/>
        </w:rPr>
        <w:t>Article in press</w:t>
      </w:r>
      <w:r w:rsidR="00521162" w:rsidRPr="0053750E">
        <w:rPr>
          <w:rFonts w:ascii="Book Antiqua" w:hAnsi="Book Antiqua"/>
          <w:b/>
        </w:rPr>
        <w:t xml:space="preserve">: </w:t>
      </w:r>
    </w:p>
    <w:p w:rsidR="00BE1713" w:rsidRPr="0053750E" w:rsidRDefault="00BE1713" w:rsidP="00BE1713">
      <w:pPr>
        <w:rPr>
          <w:rFonts w:ascii="Book Antiqua" w:hAnsi="Book Antiqua"/>
          <w:b/>
        </w:rPr>
      </w:pPr>
      <w:r w:rsidRPr="0053750E">
        <w:rPr>
          <w:rFonts w:ascii="Book Antiqua" w:hAnsi="Book Antiqua"/>
          <w:b/>
        </w:rPr>
        <w:t>Published online</w:t>
      </w:r>
      <w:r w:rsidR="00521162" w:rsidRPr="0053750E">
        <w:rPr>
          <w:rFonts w:ascii="Book Antiqua" w:hAnsi="Book Antiqua"/>
          <w:b/>
        </w:rPr>
        <w:t>:</w:t>
      </w:r>
      <w:r w:rsidR="00991EF3" w:rsidRPr="0053750E">
        <w:rPr>
          <w:rFonts w:ascii="Book Antiqua" w:hAnsi="Book Antiqua"/>
          <w:b/>
        </w:rPr>
        <w:t xml:space="preserve">  </w:t>
      </w:r>
    </w:p>
    <w:p w:rsidR="00BE1713" w:rsidRPr="0053750E" w:rsidRDefault="00BE1713" w:rsidP="00BE1713">
      <w:pPr>
        <w:rPr>
          <w:rFonts w:ascii="Book Antiqua" w:hAnsi="Book Antiqua"/>
          <w:b/>
        </w:rPr>
      </w:pPr>
    </w:p>
    <w:p w:rsidR="00A3018E" w:rsidRPr="0053750E" w:rsidRDefault="00A3018E" w:rsidP="001C799D">
      <w:pPr>
        <w:pStyle w:val="a4"/>
        <w:spacing w:line="360" w:lineRule="auto"/>
        <w:rPr>
          <w:rFonts w:ascii="Book Antiqua" w:hAnsi="Book Antiqua"/>
          <w:color w:val="000000"/>
          <w:sz w:val="24"/>
          <w:szCs w:val="24"/>
        </w:rPr>
      </w:pPr>
    </w:p>
    <w:p w:rsidR="00A3018E" w:rsidRPr="0053750E" w:rsidRDefault="00A3018E" w:rsidP="001C799D">
      <w:pPr>
        <w:pStyle w:val="a4"/>
        <w:spacing w:line="360" w:lineRule="auto"/>
        <w:rPr>
          <w:rFonts w:ascii="Book Antiqua" w:hAnsi="Book Antiqua"/>
          <w:color w:val="000000"/>
          <w:sz w:val="24"/>
          <w:szCs w:val="24"/>
          <w:lang w:val="en-US"/>
        </w:rPr>
      </w:pPr>
    </w:p>
    <w:p w:rsidR="00181D52" w:rsidRPr="0053750E" w:rsidRDefault="00181D52" w:rsidP="001C799D">
      <w:pPr>
        <w:pStyle w:val="a4"/>
        <w:spacing w:line="360" w:lineRule="auto"/>
        <w:jc w:val="both"/>
        <w:rPr>
          <w:rFonts w:ascii="Book Antiqua" w:hAnsi="Book Antiqua" w:cs="Times New Roman"/>
          <w:sz w:val="24"/>
          <w:szCs w:val="24"/>
          <w:lang w:val="en-US"/>
        </w:rPr>
      </w:pPr>
    </w:p>
    <w:p w:rsidR="00A3018E" w:rsidRPr="0053750E" w:rsidRDefault="00A3018E" w:rsidP="001C799D">
      <w:pPr>
        <w:pStyle w:val="a4"/>
        <w:spacing w:line="360" w:lineRule="auto"/>
        <w:jc w:val="both"/>
        <w:rPr>
          <w:rFonts w:ascii="Book Antiqua" w:eastAsia="Calibri" w:hAnsi="Book Antiqua" w:cs="Times New Roman"/>
          <w:sz w:val="24"/>
          <w:szCs w:val="24"/>
          <w:lang w:val="en-US"/>
        </w:rPr>
      </w:pPr>
    </w:p>
    <w:p w:rsidR="00E249DC" w:rsidRPr="0053750E" w:rsidRDefault="00E249DC" w:rsidP="001C799D">
      <w:pPr>
        <w:pStyle w:val="a4"/>
        <w:spacing w:line="360" w:lineRule="auto"/>
        <w:jc w:val="both"/>
        <w:rPr>
          <w:rFonts w:ascii="Book Antiqua" w:hAnsi="Book Antiqua" w:cs="Times New Roman"/>
          <w:b/>
          <w:sz w:val="24"/>
          <w:szCs w:val="24"/>
          <w:lang w:val="en-US"/>
        </w:rPr>
      </w:pPr>
    </w:p>
    <w:p w:rsidR="00BE1713" w:rsidRPr="0053750E" w:rsidRDefault="00BE1713" w:rsidP="001C799D">
      <w:pPr>
        <w:pStyle w:val="a4"/>
        <w:spacing w:line="360" w:lineRule="auto"/>
        <w:jc w:val="both"/>
        <w:rPr>
          <w:rFonts w:ascii="Book Antiqua" w:hAnsi="Book Antiqua" w:cs="Times New Roman"/>
          <w:b/>
          <w:sz w:val="24"/>
          <w:szCs w:val="24"/>
          <w:lang w:val="en-US"/>
        </w:rPr>
      </w:pPr>
    </w:p>
    <w:p w:rsidR="00BE1713" w:rsidRPr="0053750E" w:rsidRDefault="00BE1713">
      <w:pPr>
        <w:spacing w:after="160" w:line="259" w:lineRule="auto"/>
        <w:jc w:val="left"/>
        <w:rPr>
          <w:rFonts w:ascii="Book Antiqua" w:eastAsiaTheme="minorEastAsia" w:hAnsi="Book Antiqua"/>
          <w:b/>
          <w:szCs w:val="24"/>
          <w:lang w:val="en-US"/>
        </w:rPr>
      </w:pPr>
      <w:r w:rsidRPr="0053750E">
        <w:rPr>
          <w:rFonts w:ascii="Book Antiqua" w:hAnsi="Book Antiqua"/>
          <w:b/>
          <w:szCs w:val="24"/>
          <w:lang w:val="en-US"/>
        </w:rPr>
        <w:br w:type="page"/>
      </w:r>
    </w:p>
    <w:p w:rsidR="001E13F6" w:rsidRPr="0053750E" w:rsidRDefault="00A3018E"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lastRenderedPageBreak/>
        <w:t>A</w:t>
      </w:r>
      <w:r w:rsidR="00B5344A" w:rsidRPr="0053750E">
        <w:rPr>
          <w:rFonts w:ascii="Book Antiqua" w:hAnsi="Book Antiqua" w:cs="Times New Roman"/>
          <w:b/>
          <w:sz w:val="24"/>
          <w:szCs w:val="24"/>
          <w:lang w:val="en-US"/>
        </w:rPr>
        <w:t>bstract</w:t>
      </w:r>
    </w:p>
    <w:p w:rsidR="001E13F6" w:rsidRPr="0053750E" w:rsidRDefault="00D85C21"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AIM</w:t>
      </w:r>
    </w:p>
    <w:p w:rsidR="008C2DE9" w:rsidRPr="0053750E" w:rsidRDefault="00190CE0" w:rsidP="001C799D">
      <w:pPr>
        <w:pStyle w:val="a4"/>
        <w:spacing w:line="360" w:lineRule="auto"/>
        <w:jc w:val="both"/>
        <w:rPr>
          <w:rFonts w:ascii="Book Antiqua" w:hAnsi="Book Antiqua" w:cs="Times New Roman"/>
          <w:sz w:val="24"/>
          <w:szCs w:val="24"/>
          <w:lang w:val="en-US" w:eastAsia="tr-TR"/>
        </w:rPr>
      </w:pPr>
      <w:r w:rsidRPr="0053750E">
        <w:rPr>
          <w:rFonts w:ascii="Book Antiqua" w:hAnsi="Book Antiqua" w:cs="Times New Roman"/>
          <w:sz w:val="24"/>
          <w:szCs w:val="24"/>
          <w:lang w:val="en-US" w:eastAsia="tr-TR"/>
        </w:rPr>
        <w:t>T</w:t>
      </w:r>
      <w:r w:rsidR="008C2DE9" w:rsidRPr="0053750E">
        <w:rPr>
          <w:rFonts w:ascii="Book Antiqua" w:hAnsi="Book Antiqua" w:cs="Times New Roman"/>
          <w:sz w:val="24"/>
          <w:szCs w:val="24"/>
          <w:lang w:val="en-US" w:eastAsia="tr-TR"/>
        </w:rPr>
        <w:t>o evaluate relationship between serum adenosine deaminase (ADA) levels and histological features in patients with autoimmune hepatitis (AIH).</w:t>
      </w:r>
    </w:p>
    <w:p w:rsidR="001E13F6" w:rsidRPr="0053750E" w:rsidRDefault="001E13F6" w:rsidP="001C799D">
      <w:pPr>
        <w:pStyle w:val="a4"/>
        <w:spacing w:line="360" w:lineRule="auto"/>
        <w:jc w:val="both"/>
        <w:rPr>
          <w:rFonts w:ascii="Book Antiqua" w:hAnsi="Book Antiqua" w:cs="Times New Roman"/>
          <w:b/>
          <w:sz w:val="24"/>
          <w:szCs w:val="24"/>
          <w:lang w:val="en-US"/>
        </w:rPr>
      </w:pPr>
    </w:p>
    <w:p w:rsidR="001E13F6" w:rsidRPr="0053750E" w:rsidRDefault="00D85C21"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METHODS</w:t>
      </w:r>
    </w:p>
    <w:p w:rsidR="008C2DE9" w:rsidRPr="0053750E" w:rsidRDefault="003968DD"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eastAsia="tr-TR"/>
        </w:rPr>
        <w:t xml:space="preserve">A total of 80 subjects (52 AIH and 28 healthy controls) were included in the study. </w:t>
      </w:r>
      <w:r w:rsidR="00F44914" w:rsidRPr="0053750E">
        <w:rPr>
          <w:rFonts w:ascii="Book Antiqua" w:hAnsi="Book Antiqua" w:cs="Times New Roman"/>
          <w:sz w:val="24"/>
          <w:szCs w:val="24"/>
          <w:lang w:val="en-US" w:eastAsia="tr-TR"/>
        </w:rPr>
        <w:t>P</w:t>
      </w:r>
      <w:r w:rsidRPr="0053750E">
        <w:rPr>
          <w:rFonts w:ascii="Book Antiqua" w:hAnsi="Book Antiqua" w:cs="Times New Roman"/>
          <w:sz w:val="24"/>
          <w:szCs w:val="24"/>
          <w:lang w:val="en-US"/>
        </w:rPr>
        <w:t xml:space="preserve">atients </w:t>
      </w:r>
      <w:r w:rsidR="001D4145" w:rsidRPr="0053750E">
        <w:rPr>
          <w:rFonts w:ascii="Book Antiqua" w:hAnsi="Book Antiqua" w:cs="Times New Roman"/>
          <w:sz w:val="24"/>
          <w:szCs w:val="24"/>
          <w:lang w:val="en-US"/>
        </w:rPr>
        <w:t>were diagnosed</w:t>
      </w:r>
      <w:r w:rsidR="001D4145" w:rsidRPr="0053750E">
        <w:rPr>
          <w:rFonts w:ascii="Book Antiqua" w:hAnsi="Book Antiqua"/>
          <w:sz w:val="24"/>
          <w:szCs w:val="24"/>
        </w:rPr>
        <w:t xml:space="preserve"> </w:t>
      </w:r>
      <w:r w:rsidR="001D4145" w:rsidRPr="0053750E">
        <w:rPr>
          <w:rFonts w:ascii="Book Antiqua" w:hAnsi="Book Antiqua" w:cs="Times New Roman"/>
          <w:sz w:val="24"/>
          <w:szCs w:val="24"/>
          <w:lang w:val="en-US"/>
        </w:rPr>
        <w:t>according to the simplified criteria suggested by</w:t>
      </w:r>
      <w:r w:rsidR="001D4145" w:rsidRPr="0053750E">
        <w:rPr>
          <w:rFonts w:ascii="Book Antiqua" w:hAnsi="Book Antiqua"/>
          <w:sz w:val="24"/>
          <w:szCs w:val="24"/>
        </w:rPr>
        <w:t xml:space="preserve"> </w:t>
      </w:r>
      <w:r w:rsidR="001D4145" w:rsidRPr="0053750E">
        <w:rPr>
          <w:rFonts w:ascii="Book Antiqua" w:hAnsi="Book Antiqua" w:cs="Times New Roman"/>
          <w:sz w:val="24"/>
          <w:szCs w:val="24"/>
          <w:lang w:val="en-US"/>
        </w:rPr>
        <w:t>the international Autoimmune Hepatitis Group.</w:t>
      </w:r>
      <w:r w:rsidR="00D85C21" w:rsidRPr="0053750E">
        <w:rPr>
          <w:rFonts w:ascii="Book Antiqua" w:hAnsi="Book Antiqua" w:cs="Times New Roman"/>
          <w:sz w:val="24"/>
          <w:szCs w:val="24"/>
          <w:lang w:val="en-US"/>
        </w:rPr>
        <w:t xml:space="preserve"> P</w:t>
      </w:r>
      <w:r w:rsidR="008C2DE9" w:rsidRPr="0053750E">
        <w:rPr>
          <w:rFonts w:ascii="Book Antiqua" w:hAnsi="Book Antiqua" w:cs="Times New Roman"/>
          <w:sz w:val="24"/>
          <w:szCs w:val="24"/>
          <w:lang w:val="en-US" w:eastAsia="tr-TR"/>
        </w:rPr>
        <w:t>atients diagnosed with AIH</w:t>
      </w:r>
      <w:r w:rsidR="00DE1F50" w:rsidRPr="0053750E">
        <w:rPr>
          <w:rFonts w:ascii="Book Antiqua" w:hAnsi="Book Antiqua" w:cs="Times New Roman"/>
          <w:sz w:val="24"/>
          <w:szCs w:val="24"/>
          <w:lang w:val="en-US" w:eastAsia="tr-TR"/>
        </w:rPr>
        <w:t xml:space="preserve"> between 2010-2015</w:t>
      </w:r>
      <w:r w:rsidR="008C2DE9" w:rsidRPr="0053750E">
        <w:rPr>
          <w:rFonts w:ascii="Book Antiqua" w:hAnsi="Book Antiqua" w:cs="Times New Roman"/>
          <w:sz w:val="24"/>
          <w:szCs w:val="24"/>
          <w:lang w:val="en-US" w:eastAsia="tr-TR"/>
        </w:rPr>
        <w:t xml:space="preserve"> at </w:t>
      </w:r>
      <w:proofErr w:type="spellStart"/>
      <w:r w:rsidR="008C2DE9" w:rsidRPr="0053750E">
        <w:rPr>
          <w:rFonts w:ascii="Book Antiqua" w:hAnsi="Book Antiqua" w:cs="Times New Roman"/>
          <w:sz w:val="24"/>
          <w:szCs w:val="24"/>
          <w:lang w:val="en-US" w:eastAsia="tr-TR"/>
        </w:rPr>
        <w:t>Hacettepe</w:t>
      </w:r>
      <w:proofErr w:type="spellEnd"/>
      <w:r w:rsidR="008C2DE9" w:rsidRPr="0053750E">
        <w:rPr>
          <w:rFonts w:ascii="Book Antiqua" w:hAnsi="Book Antiqua" w:cs="Times New Roman"/>
          <w:sz w:val="24"/>
          <w:szCs w:val="24"/>
          <w:lang w:val="en-US" w:eastAsia="tr-TR"/>
        </w:rPr>
        <w:t xml:space="preserve"> University Department of Gastroenterology</w:t>
      </w:r>
      <w:r w:rsidR="00D85C21" w:rsidRPr="0053750E">
        <w:rPr>
          <w:rFonts w:ascii="Book Antiqua" w:hAnsi="Book Antiqua" w:cs="Times New Roman"/>
          <w:sz w:val="24"/>
          <w:szCs w:val="24"/>
          <w:lang w:val="en-US" w:eastAsia="tr-TR"/>
        </w:rPr>
        <w:t>.</w:t>
      </w:r>
      <w:r w:rsidR="00D85C21" w:rsidRPr="0053750E">
        <w:rPr>
          <w:rFonts w:ascii="Book Antiqua" w:hAnsi="Book Antiqua" w:cs="Times New Roman"/>
          <w:sz w:val="24"/>
          <w:szCs w:val="24"/>
          <w:lang w:val="en-US"/>
        </w:rPr>
        <w:t xml:space="preserve"> Serum blood samples were collected and stored at -80 °C until the biochemical estimation of ADA activity. </w:t>
      </w:r>
      <w:r w:rsidR="00DE1F50" w:rsidRPr="0053750E">
        <w:rPr>
          <w:rFonts w:ascii="Book Antiqua" w:hAnsi="Book Antiqua" w:cs="Times New Roman"/>
          <w:sz w:val="24"/>
          <w:szCs w:val="24"/>
          <w:lang w:val="en-US"/>
        </w:rPr>
        <w:t>The diagnosis of patients was confirmed by a liver biopsy.</w:t>
      </w:r>
      <w:r w:rsidR="00991EF3" w:rsidRPr="0053750E">
        <w:rPr>
          <w:rFonts w:ascii="Book Antiqua" w:hAnsi="Book Antiqua" w:cs="Times New Roman"/>
          <w:sz w:val="24"/>
          <w:szCs w:val="24"/>
          <w:lang w:val="en-US"/>
        </w:rPr>
        <w:t xml:space="preserve">  </w:t>
      </w:r>
      <w:r w:rsidR="008C2DE9" w:rsidRPr="0053750E">
        <w:rPr>
          <w:rFonts w:ascii="Book Antiqua" w:hAnsi="Book Antiqua" w:cs="Times New Roman"/>
          <w:sz w:val="24"/>
          <w:szCs w:val="24"/>
          <w:lang w:val="en-US" w:eastAsia="tr-TR"/>
        </w:rPr>
        <w:t>Serum ADA &gt;</w:t>
      </w:r>
      <w:r w:rsidR="00245C94" w:rsidRPr="0053750E">
        <w:rPr>
          <w:rFonts w:ascii="Book Antiqua" w:hAnsi="Book Antiqua" w:cs="Times New Roman"/>
          <w:sz w:val="24"/>
          <w:szCs w:val="24"/>
          <w:lang w:val="en-US" w:eastAsia="tr-TR"/>
        </w:rPr>
        <w:t xml:space="preserve"> </w:t>
      </w:r>
      <w:r w:rsidR="008C2DE9" w:rsidRPr="0053750E">
        <w:rPr>
          <w:rFonts w:ascii="Book Antiqua" w:hAnsi="Book Antiqua" w:cs="Times New Roman"/>
          <w:sz w:val="24"/>
          <w:szCs w:val="24"/>
          <w:lang w:val="en-US" w:eastAsia="tr-TR"/>
        </w:rPr>
        <w:t>20 U/L were considered to be high levels</w:t>
      </w:r>
      <w:r w:rsidR="008C2DE9" w:rsidRPr="0053750E">
        <w:rPr>
          <w:rFonts w:ascii="Book Antiqua" w:hAnsi="Book Antiqua" w:cs="Times New Roman"/>
          <w:sz w:val="24"/>
          <w:szCs w:val="24"/>
          <w:lang w:val="en-US"/>
        </w:rPr>
        <w:t>.</w:t>
      </w:r>
    </w:p>
    <w:p w:rsidR="001E13F6" w:rsidRPr="0053750E" w:rsidRDefault="001E13F6" w:rsidP="001C799D">
      <w:pPr>
        <w:pStyle w:val="a4"/>
        <w:spacing w:line="360" w:lineRule="auto"/>
        <w:jc w:val="both"/>
        <w:rPr>
          <w:rFonts w:ascii="Book Antiqua" w:hAnsi="Book Antiqua" w:cs="Times New Roman"/>
          <w:sz w:val="24"/>
          <w:szCs w:val="24"/>
          <w:lang w:val="en-US"/>
        </w:rPr>
      </w:pPr>
    </w:p>
    <w:p w:rsidR="001E13F6" w:rsidRPr="0053750E" w:rsidRDefault="001E13F6" w:rsidP="001C799D">
      <w:pPr>
        <w:pStyle w:val="a4"/>
        <w:spacing w:line="360" w:lineRule="auto"/>
        <w:jc w:val="both"/>
        <w:rPr>
          <w:rFonts w:ascii="Book Antiqua" w:hAnsi="Book Antiqua" w:cs="Times New Roman"/>
          <w:i/>
          <w:sz w:val="24"/>
          <w:szCs w:val="24"/>
          <w:lang w:val="en-US" w:eastAsia="tr-TR"/>
        </w:rPr>
      </w:pPr>
      <w:r w:rsidRPr="0053750E">
        <w:rPr>
          <w:rFonts w:ascii="Book Antiqua" w:hAnsi="Book Antiqua" w:cs="Times New Roman"/>
          <w:b/>
          <w:i/>
          <w:sz w:val="24"/>
          <w:szCs w:val="24"/>
          <w:lang w:val="en-US"/>
        </w:rPr>
        <w:t>RESULTS</w:t>
      </w:r>
    </w:p>
    <w:p w:rsidR="008C2DE9" w:rsidRPr="0053750E" w:rsidRDefault="008C2DE9" w:rsidP="001C799D">
      <w:pPr>
        <w:pStyle w:val="a4"/>
        <w:spacing w:line="360" w:lineRule="auto"/>
        <w:jc w:val="both"/>
        <w:rPr>
          <w:rFonts w:ascii="Book Antiqua" w:hAnsi="Book Antiqua" w:cs="Times New Roman"/>
          <w:sz w:val="24"/>
          <w:szCs w:val="24"/>
          <w:lang w:val="en-US" w:eastAsia="tr-TR"/>
        </w:rPr>
      </w:pPr>
      <w:r w:rsidRPr="0053750E">
        <w:rPr>
          <w:rFonts w:ascii="Book Antiqua" w:hAnsi="Book Antiqua" w:cs="Times New Roman"/>
          <w:sz w:val="24"/>
          <w:szCs w:val="24"/>
          <w:lang w:val="en-US" w:eastAsia="tr-TR"/>
        </w:rPr>
        <w:t xml:space="preserve">Mean serum ADA levels were significantly higher in AIH patients than those with healthy controls </w:t>
      </w:r>
      <w:r w:rsidR="002E5558" w:rsidRPr="0053750E">
        <w:rPr>
          <w:rFonts w:ascii="Book Antiqua" w:hAnsi="Book Antiqua" w:cs="Times New Roman"/>
          <w:sz w:val="24"/>
          <w:szCs w:val="24"/>
          <w:lang w:val="en-US" w:eastAsia="tr-TR"/>
        </w:rPr>
        <w:t>(</w:t>
      </w:r>
      <w:r w:rsidRPr="0053750E">
        <w:rPr>
          <w:rFonts w:ascii="Book Antiqua" w:hAnsi="Book Antiqua" w:cs="Times New Roman"/>
          <w:sz w:val="24"/>
          <w:szCs w:val="24"/>
          <w:lang w:val="en-US" w:eastAsia="tr-TR"/>
        </w:rPr>
        <w:t>25.4 ± 9.6 U/L </w:t>
      </w:r>
      <w:r w:rsidR="00245C94" w:rsidRPr="0053750E">
        <w:rPr>
          <w:rFonts w:ascii="Book Antiqua" w:hAnsi="Book Antiqua" w:cs="Times New Roman"/>
          <w:i/>
          <w:sz w:val="24"/>
          <w:szCs w:val="24"/>
          <w:lang w:val="en-US" w:eastAsia="tr-TR"/>
        </w:rPr>
        <w:t>vs</w:t>
      </w:r>
      <w:r w:rsidRPr="0053750E">
        <w:rPr>
          <w:rFonts w:ascii="Book Antiqua" w:hAnsi="Book Antiqua" w:cs="Times New Roman"/>
          <w:sz w:val="24"/>
          <w:szCs w:val="24"/>
          <w:lang w:val="en-US" w:eastAsia="tr-TR"/>
        </w:rPr>
        <w:t xml:space="preserve"> 12.8 ± 2.2 U/L, </w:t>
      </w:r>
      <w:r w:rsidR="00245C94" w:rsidRPr="0053750E">
        <w:rPr>
          <w:rFonts w:ascii="Book Antiqua" w:hAnsi="Book Antiqua" w:cs="Times New Roman"/>
          <w:i/>
          <w:sz w:val="24"/>
          <w:szCs w:val="24"/>
          <w:lang w:val="en-US" w:eastAsia="tr-TR"/>
        </w:rPr>
        <w:t xml:space="preserve">P &lt; </w:t>
      </w:r>
      <w:r w:rsidRPr="0053750E">
        <w:rPr>
          <w:rFonts w:ascii="Book Antiqua" w:hAnsi="Book Antiqua" w:cs="Times New Roman"/>
          <w:sz w:val="24"/>
          <w:szCs w:val="24"/>
          <w:lang w:val="en-US" w:eastAsia="tr-TR"/>
        </w:rPr>
        <w:t>0.001</w:t>
      </w:r>
      <w:r w:rsidR="002E5558" w:rsidRPr="0053750E">
        <w:rPr>
          <w:rFonts w:ascii="Book Antiqua" w:hAnsi="Book Antiqua" w:cs="Times New Roman"/>
          <w:sz w:val="24"/>
          <w:szCs w:val="24"/>
          <w:lang w:val="en-US" w:eastAsia="tr-TR"/>
        </w:rPr>
        <w:t>)</w:t>
      </w:r>
      <w:r w:rsidRPr="0053750E">
        <w:rPr>
          <w:rFonts w:ascii="Book Antiqua" w:hAnsi="Book Antiqua" w:cs="Times New Roman"/>
          <w:sz w:val="24"/>
          <w:szCs w:val="24"/>
          <w:lang w:val="en-US" w:eastAsia="tr-TR"/>
        </w:rPr>
        <w:t>. Serum AD</w:t>
      </w:r>
      <w:r w:rsidR="00A95B69" w:rsidRPr="0053750E">
        <w:rPr>
          <w:rFonts w:ascii="Book Antiqua" w:hAnsi="Book Antiqua" w:cs="Times New Roman"/>
          <w:sz w:val="24"/>
          <w:szCs w:val="24"/>
          <w:lang w:val="en-US" w:eastAsia="tr-TR"/>
        </w:rPr>
        <w:t>A levels &gt;20 U/L were found in</w:t>
      </w:r>
      <w:r w:rsidRPr="0053750E">
        <w:rPr>
          <w:rFonts w:ascii="Book Antiqua" w:hAnsi="Book Antiqua" w:cs="Times New Roman"/>
          <w:sz w:val="24"/>
          <w:szCs w:val="24"/>
          <w:lang w:val="en-US" w:eastAsia="tr-TR"/>
        </w:rPr>
        <w:t xml:space="preserve"> 64</w:t>
      </w:r>
      <w:r w:rsidR="00A95B69" w:rsidRPr="0053750E">
        <w:rPr>
          <w:rFonts w:ascii="Book Antiqua" w:hAnsi="Book Antiqua" w:cs="Times New Roman"/>
          <w:sz w:val="24"/>
          <w:szCs w:val="24"/>
          <w:lang w:val="en-US" w:eastAsia="tr-TR"/>
        </w:rPr>
        <w:t xml:space="preserve">% AIH patients and in </w:t>
      </w:r>
      <w:r w:rsidRPr="0053750E">
        <w:rPr>
          <w:rFonts w:ascii="Book Antiqua" w:hAnsi="Book Antiqua" w:cs="Times New Roman"/>
          <w:sz w:val="24"/>
          <w:szCs w:val="24"/>
          <w:lang w:val="en-US" w:eastAsia="tr-TR"/>
        </w:rPr>
        <w:t>0</w:t>
      </w:r>
      <w:r w:rsidR="00A95B69" w:rsidRPr="0053750E">
        <w:rPr>
          <w:rFonts w:ascii="Book Antiqua" w:hAnsi="Book Antiqua" w:cs="Times New Roman"/>
          <w:sz w:val="24"/>
          <w:szCs w:val="24"/>
          <w:lang w:val="en-US" w:eastAsia="tr-TR"/>
        </w:rPr>
        <w:t>%</w:t>
      </w:r>
      <w:r w:rsidRPr="0053750E">
        <w:rPr>
          <w:rFonts w:ascii="Book Antiqua" w:hAnsi="Book Antiqua" w:cs="Times New Roman"/>
          <w:sz w:val="24"/>
          <w:szCs w:val="24"/>
          <w:lang w:val="en-US" w:eastAsia="tr-TR"/>
        </w:rPr>
        <w:t xml:space="preserve"> healthy controls, </w:t>
      </w:r>
      <w:r w:rsidR="00245C94" w:rsidRPr="0053750E">
        <w:rPr>
          <w:rFonts w:ascii="Book Antiqua" w:hAnsi="Book Antiqua" w:cs="Times New Roman"/>
          <w:i/>
          <w:sz w:val="24"/>
          <w:szCs w:val="24"/>
          <w:lang w:val="en-US" w:eastAsia="tr-TR"/>
        </w:rPr>
        <w:t xml:space="preserve">P &lt; </w:t>
      </w:r>
      <w:r w:rsidRPr="0053750E">
        <w:rPr>
          <w:rFonts w:ascii="Book Antiqua" w:hAnsi="Book Antiqua" w:cs="Times New Roman"/>
          <w:sz w:val="24"/>
          <w:szCs w:val="24"/>
          <w:lang w:val="en-US" w:eastAsia="tr-TR"/>
        </w:rPr>
        <w:t xml:space="preserve">0.001. Mean serum ADA levels were signiﬁcantly increased in each </w:t>
      </w:r>
      <w:r w:rsidR="00C92607" w:rsidRPr="0053750E">
        <w:rPr>
          <w:rFonts w:ascii="Book Antiqua" w:hAnsi="Book Antiqua" w:cs="Times New Roman"/>
          <w:sz w:val="24"/>
          <w:szCs w:val="24"/>
          <w:lang w:val="en-US" w:eastAsia="tr-TR"/>
        </w:rPr>
        <w:t>stage</w:t>
      </w:r>
      <w:r w:rsidRPr="0053750E">
        <w:rPr>
          <w:rFonts w:ascii="Book Antiqua" w:hAnsi="Book Antiqua" w:cs="Times New Roman"/>
          <w:sz w:val="24"/>
          <w:szCs w:val="24"/>
          <w:lang w:val="en-US" w:eastAsia="tr-TR"/>
        </w:rPr>
        <w:t xml:space="preserve"> of histological activity, 15.2 ± 3.5 U/L for patients with mild interface hepatitis, 23.1 ± 10.0 U/L for patients with moderate interface hepatitis and 30.9 ± 7.0 U/L for patients with severe interface hepatitis, </w:t>
      </w:r>
      <w:r w:rsidR="00245C94" w:rsidRPr="0053750E">
        <w:rPr>
          <w:rFonts w:ascii="Book Antiqua" w:hAnsi="Book Antiqua" w:cs="Times New Roman"/>
          <w:i/>
          <w:sz w:val="24"/>
          <w:szCs w:val="24"/>
          <w:lang w:val="en-US" w:eastAsia="tr-TR"/>
        </w:rPr>
        <w:t xml:space="preserve">P &lt; </w:t>
      </w:r>
      <w:r w:rsidRPr="0053750E">
        <w:rPr>
          <w:rFonts w:ascii="Book Antiqua" w:hAnsi="Book Antiqua" w:cs="Times New Roman"/>
          <w:sz w:val="24"/>
          <w:szCs w:val="24"/>
          <w:lang w:val="en-US" w:eastAsia="tr-TR"/>
        </w:rPr>
        <w:t>0.0</w:t>
      </w:r>
      <w:r w:rsidR="002E5558" w:rsidRPr="0053750E">
        <w:rPr>
          <w:rFonts w:ascii="Book Antiqua" w:hAnsi="Book Antiqua" w:cs="Times New Roman"/>
          <w:sz w:val="24"/>
          <w:szCs w:val="24"/>
          <w:lang w:val="en-US" w:eastAsia="tr-TR"/>
        </w:rPr>
        <w:t>0</w:t>
      </w:r>
      <w:r w:rsidRPr="0053750E">
        <w:rPr>
          <w:rFonts w:ascii="Book Antiqua" w:hAnsi="Book Antiqua" w:cs="Times New Roman"/>
          <w:sz w:val="24"/>
          <w:szCs w:val="24"/>
          <w:lang w:val="en-US" w:eastAsia="tr-TR"/>
        </w:rPr>
        <w:t>1. Correlation analysis showed that</w:t>
      </w:r>
      <w:r w:rsidR="002E5558" w:rsidRPr="0053750E">
        <w:rPr>
          <w:rFonts w:ascii="Book Antiqua" w:hAnsi="Book Antiqua" w:cs="Times New Roman"/>
          <w:sz w:val="24"/>
          <w:szCs w:val="24"/>
          <w:lang w:val="en-US" w:eastAsia="tr-TR"/>
        </w:rPr>
        <w:t xml:space="preserve"> there was a</w:t>
      </w:r>
      <w:r w:rsidRPr="0053750E">
        <w:rPr>
          <w:rFonts w:ascii="Book Antiqua" w:hAnsi="Book Antiqua" w:cs="Times New Roman"/>
          <w:sz w:val="24"/>
          <w:szCs w:val="24"/>
          <w:lang w:val="en-US" w:eastAsia="tr-TR"/>
        </w:rPr>
        <w:t xml:space="preserve"> positive association between serum ADA levels and histological activity (r</w:t>
      </w:r>
      <w:r w:rsidR="00991EF3" w:rsidRPr="0053750E">
        <w:rPr>
          <w:rFonts w:ascii="Book Antiqua" w:hAnsi="Book Antiqua" w:cs="Times New Roman"/>
          <w:sz w:val="24"/>
          <w:szCs w:val="24"/>
          <w:lang w:val="en-US" w:eastAsia="tr-TR"/>
        </w:rPr>
        <w:t xml:space="preserve">  </w:t>
      </w:r>
      <w:r w:rsidR="004326D4" w:rsidRPr="0053750E">
        <w:rPr>
          <w:rFonts w:ascii="Book Antiqua" w:hAnsi="Book Antiqua" w:cs="Times New Roman"/>
          <w:sz w:val="24"/>
          <w:szCs w:val="24"/>
          <w:lang w:val="en-US" w:eastAsia="tr-TR"/>
        </w:rPr>
        <w:t>=</w:t>
      </w:r>
      <w:r w:rsidR="00991EF3" w:rsidRPr="0053750E">
        <w:rPr>
          <w:rFonts w:ascii="Book Antiqua" w:hAnsi="Book Antiqua" w:cs="Times New Roman"/>
          <w:sz w:val="24"/>
          <w:szCs w:val="24"/>
          <w:lang w:val="en-US" w:eastAsia="tr-TR"/>
        </w:rPr>
        <w:t xml:space="preserve">  </w:t>
      </w:r>
      <w:r w:rsidRPr="0053750E">
        <w:rPr>
          <w:rFonts w:ascii="Book Antiqua" w:hAnsi="Book Antiqua" w:cs="Times New Roman"/>
          <w:sz w:val="24"/>
          <w:szCs w:val="24"/>
          <w:lang w:val="en-US" w:eastAsia="tr-TR"/>
        </w:rPr>
        <w:t xml:space="preserve">0.71, </w:t>
      </w:r>
      <w:r w:rsidR="00245C94" w:rsidRPr="0053750E">
        <w:rPr>
          <w:rFonts w:ascii="Book Antiqua" w:hAnsi="Book Antiqua" w:cs="Times New Roman"/>
          <w:i/>
          <w:sz w:val="24"/>
          <w:szCs w:val="24"/>
          <w:lang w:val="en-US" w:eastAsia="tr-TR"/>
        </w:rPr>
        <w:t xml:space="preserve">P &lt; </w:t>
      </w:r>
      <w:r w:rsidRPr="0053750E">
        <w:rPr>
          <w:rFonts w:ascii="Book Antiqua" w:hAnsi="Book Antiqua" w:cs="Times New Roman"/>
          <w:sz w:val="24"/>
          <w:szCs w:val="24"/>
          <w:lang w:val="en-US" w:eastAsia="tr-TR"/>
        </w:rPr>
        <w:t xml:space="preserve">0.001). </w:t>
      </w:r>
      <w:r w:rsidR="00C41EB4" w:rsidRPr="0053750E">
        <w:rPr>
          <w:rFonts w:ascii="Book Antiqua" w:hAnsi="Book Antiqua" w:cs="Times New Roman"/>
          <w:sz w:val="24"/>
          <w:szCs w:val="24"/>
          <w:lang w:val="en-US" w:eastAsia="tr-TR"/>
        </w:rPr>
        <w:t xml:space="preserve">Receiver-operating characteristic </w:t>
      </w:r>
      <w:r w:rsidRPr="0053750E">
        <w:rPr>
          <w:rFonts w:ascii="Book Antiqua" w:hAnsi="Book Antiqua" w:cs="Times New Roman"/>
          <w:sz w:val="24"/>
          <w:szCs w:val="24"/>
          <w:lang w:val="en-US" w:eastAsia="tr-TR"/>
        </w:rPr>
        <w:t>analysis suggested that 24.5 U/L was the optimum cut off point of ADA level for severe interface hepatitis (se</w:t>
      </w:r>
      <w:r w:rsidR="00A95B69" w:rsidRPr="0053750E">
        <w:rPr>
          <w:rFonts w:ascii="Book Antiqua" w:hAnsi="Book Antiqua" w:cs="Times New Roman"/>
          <w:sz w:val="24"/>
          <w:szCs w:val="24"/>
          <w:lang w:val="en-US" w:eastAsia="tr-TR"/>
        </w:rPr>
        <w:t>nsitivity 88%, speciﬁcity 85.2</w:t>
      </w:r>
      <w:r w:rsidRPr="0053750E">
        <w:rPr>
          <w:rFonts w:ascii="Book Antiqua" w:hAnsi="Book Antiqua" w:cs="Times New Roman"/>
          <w:sz w:val="24"/>
          <w:szCs w:val="24"/>
          <w:lang w:val="en-US" w:eastAsia="tr-TR"/>
        </w:rPr>
        <w:t>%, area under the curve</w:t>
      </w:r>
      <w:r w:rsidR="00521162" w:rsidRPr="0053750E">
        <w:rPr>
          <w:rFonts w:ascii="Book Antiqua" w:hAnsi="Book Antiqua" w:cs="Times New Roman"/>
          <w:sz w:val="24"/>
          <w:szCs w:val="24"/>
          <w:lang w:val="en-US" w:eastAsia="tr-TR"/>
        </w:rPr>
        <w:t>:</w:t>
      </w:r>
      <w:r w:rsidR="00991EF3" w:rsidRPr="0053750E">
        <w:rPr>
          <w:rFonts w:ascii="Book Antiqua" w:hAnsi="Book Antiqua" w:cs="Times New Roman"/>
          <w:sz w:val="24"/>
          <w:szCs w:val="24"/>
          <w:lang w:val="en-US" w:eastAsia="tr-TR"/>
        </w:rPr>
        <w:t xml:space="preserve">  </w:t>
      </w:r>
      <w:r w:rsidRPr="0053750E">
        <w:rPr>
          <w:rFonts w:ascii="Book Antiqua" w:hAnsi="Book Antiqua" w:cs="Times New Roman"/>
          <w:sz w:val="24"/>
          <w:szCs w:val="24"/>
          <w:lang w:val="en-US" w:eastAsia="tr-TR"/>
        </w:rPr>
        <w:t>0.88)</w:t>
      </w:r>
      <w:r w:rsidR="001E13F6" w:rsidRPr="0053750E">
        <w:rPr>
          <w:rFonts w:ascii="Book Antiqua" w:hAnsi="Book Antiqua" w:cs="Times New Roman"/>
          <w:sz w:val="24"/>
          <w:szCs w:val="24"/>
          <w:lang w:val="en-US" w:eastAsia="tr-TR"/>
        </w:rPr>
        <w:t>.</w:t>
      </w:r>
    </w:p>
    <w:p w:rsidR="001E13F6" w:rsidRPr="0053750E" w:rsidRDefault="001E13F6" w:rsidP="001C799D">
      <w:pPr>
        <w:pStyle w:val="a4"/>
        <w:spacing w:line="360" w:lineRule="auto"/>
        <w:jc w:val="both"/>
        <w:rPr>
          <w:rFonts w:ascii="Book Antiqua" w:hAnsi="Book Antiqua" w:cs="Times New Roman"/>
          <w:sz w:val="24"/>
          <w:szCs w:val="24"/>
          <w:lang w:val="en-US" w:eastAsia="tr-TR"/>
        </w:rPr>
      </w:pPr>
    </w:p>
    <w:p w:rsidR="001E13F6" w:rsidRPr="0053750E" w:rsidRDefault="001E13F6" w:rsidP="001C799D">
      <w:pPr>
        <w:pStyle w:val="a4"/>
        <w:spacing w:line="360" w:lineRule="auto"/>
        <w:jc w:val="both"/>
        <w:rPr>
          <w:rFonts w:ascii="Book Antiqua" w:hAnsi="Book Antiqua" w:cs="Times New Roman"/>
          <w:i/>
          <w:sz w:val="24"/>
          <w:szCs w:val="24"/>
          <w:lang w:val="en-US" w:eastAsia="tr-TR"/>
        </w:rPr>
      </w:pPr>
      <w:r w:rsidRPr="0053750E">
        <w:rPr>
          <w:rFonts w:ascii="Book Antiqua" w:hAnsi="Book Antiqua" w:cs="Times New Roman"/>
          <w:b/>
          <w:i/>
          <w:sz w:val="24"/>
          <w:szCs w:val="24"/>
          <w:lang w:val="en-US" w:eastAsia="tr-TR"/>
        </w:rPr>
        <w:t>CONCLUSION</w:t>
      </w:r>
    </w:p>
    <w:p w:rsidR="008C2DE9" w:rsidRPr="0053750E" w:rsidRDefault="00E95808" w:rsidP="001C799D">
      <w:pPr>
        <w:pStyle w:val="a4"/>
        <w:spacing w:line="360" w:lineRule="auto"/>
        <w:jc w:val="both"/>
        <w:rPr>
          <w:rFonts w:ascii="Book Antiqua" w:hAnsi="Book Antiqua" w:cs="Times New Roman"/>
          <w:sz w:val="24"/>
          <w:szCs w:val="24"/>
          <w:lang w:val="en-US" w:eastAsia="tr-TR"/>
        </w:rPr>
      </w:pPr>
      <w:r w:rsidRPr="0053750E">
        <w:rPr>
          <w:rFonts w:ascii="Book Antiqua" w:hAnsi="Book Antiqua" w:cs="Times New Roman"/>
          <w:sz w:val="24"/>
          <w:szCs w:val="24"/>
          <w:lang w:val="en-US" w:eastAsia="tr-TR"/>
        </w:rPr>
        <w:t xml:space="preserve">Because of the positive correlation with </w:t>
      </w:r>
      <w:r w:rsidR="008C2DE9" w:rsidRPr="0053750E">
        <w:rPr>
          <w:rFonts w:ascii="Book Antiqua" w:hAnsi="Book Antiqua" w:cs="Times New Roman"/>
          <w:sz w:val="24"/>
          <w:szCs w:val="24"/>
          <w:lang w:val="en-US" w:eastAsia="tr-TR"/>
        </w:rPr>
        <w:t>inflamma</w:t>
      </w:r>
      <w:r w:rsidRPr="0053750E">
        <w:rPr>
          <w:rFonts w:ascii="Book Antiqua" w:hAnsi="Book Antiqua" w:cs="Times New Roman"/>
          <w:sz w:val="24"/>
          <w:szCs w:val="24"/>
          <w:lang w:val="en-US" w:eastAsia="tr-TR"/>
        </w:rPr>
        <w:t>tory activity, s</w:t>
      </w:r>
      <w:r w:rsidR="008C2DE9" w:rsidRPr="0053750E">
        <w:rPr>
          <w:rFonts w:ascii="Book Antiqua" w:hAnsi="Book Antiqua" w:cs="Times New Roman"/>
          <w:sz w:val="24"/>
          <w:szCs w:val="24"/>
          <w:lang w:val="en-US" w:eastAsia="tr-TR"/>
        </w:rPr>
        <w:t>erum ADA</w:t>
      </w:r>
      <w:r w:rsidR="00190CE0" w:rsidRPr="0053750E">
        <w:rPr>
          <w:rFonts w:ascii="Book Antiqua" w:hAnsi="Book Antiqua" w:cs="Times New Roman"/>
          <w:sz w:val="24"/>
          <w:szCs w:val="24"/>
          <w:lang w:val="en-US" w:eastAsia="tr-TR"/>
        </w:rPr>
        <w:t xml:space="preserve"> level</w:t>
      </w:r>
      <w:r w:rsidR="008C2DE9" w:rsidRPr="0053750E">
        <w:rPr>
          <w:rFonts w:ascii="Book Antiqua" w:hAnsi="Book Antiqua" w:cs="Times New Roman"/>
          <w:sz w:val="24"/>
          <w:szCs w:val="24"/>
          <w:lang w:val="en-US" w:eastAsia="tr-TR"/>
        </w:rPr>
        <w:t xml:space="preserve"> m</w:t>
      </w:r>
      <w:r w:rsidR="00190CE0" w:rsidRPr="0053750E">
        <w:rPr>
          <w:rFonts w:ascii="Book Antiqua" w:hAnsi="Book Antiqua" w:cs="Times New Roman"/>
          <w:sz w:val="24"/>
          <w:szCs w:val="24"/>
          <w:lang w:val="en-US" w:eastAsia="tr-TR"/>
        </w:rPr>
        <w:t>ay be a potential biomarker for</w:t>
      </w:r>
      <w:r w:rsidR="008C2DE9" w:rsidRPr="0053750E">
        <w:rPr>
          <w:rFonts w:ascii="Book Antiqua" w:hAnsi="Book Antiqua" w:cs="Times New Roman"/>
          <w:sz w:val="24"/>
          <w:szCs w:val="24"/>
          <w:lang w:val="en-US" w:eastAsia="tr-TR"/>
        </w:rPr>
        <w:t xml:space="preserve"> predicting or monitoring histological activity in patients with AIH. </w:t>
      </w:r>
    </w:p>
    <w:p w:rsidR="008C2DE9" w:rsidRPr="0053750E" w:rsidRDefault="008C2DE9" w:rsidP="001C799D">
      <w:pPr>
        <w:pStyle w:val="a4"/>
        <w:spacing w:line="360" w:lineRule="auto"/>
        <w:jc w:val="both"/>
        <w:rPr>
          <w:rFonts w:ascii="Book Antiqua" w:hAnsi="Book Antiqua" w:cs="Times New Roman"/>
          <w:sz w:val="24"/>
          <w:szCs w:val="24"/>
          <w:lang w:val="en-US"/>
        </w:rPr>
      </w:pPr>
    </w:p>
    <w:p w:rsidR="002A1478" w:rsidRPr="0053750E" w:rsidRDefault="002A1478" w:rsidP="001C799D">
      <w:pPr>
        <w:pStyle w:val="a4"/>
        <w:spacing w:line="360" w:lineRule="auto"/>
        <w:jc w:val="both"/>
        <w:rPr>
          <w:rFonts w:ascii="Book Antiqua" w:hAnsi="Book Antiqua" w:cs="Times New Roman" w:hint="eastAsia"/>
          <w:sz w:val="24"/>
          <w:szCs w:val="24"/>
          <w:lang w:val="en-US" w:eastAsia="zh-CN"/>
        </w:rPr>
      </w:pPr>
      <w:r w:rsidRPr="0053750E">
        <w:rPr>
          <w:rFonts w:ascii="Book Antiqua" w:hAnsi="Book Antiqua" w:cs="Times New Roman"/>
          <w:b/>
          <w:sz w:val="24"/>
          <w:szCs w:val="24"/>
          <w:lang w:val="en-US"/>
        </w:rPr>
        <w:t>Key</w:t>
      </w:r>
      <w:r w:rsidR="00245C94" w:rsidRPr="0053750E">
        <w:rPr>
          <w:rFonts w:ascii="Book Antiqua" w:hAnsi="Book Antiqua" w:cs="Times New Roman"/>
          <w:b/>
          <w:sz w:val="24"/>
          <w:szCs w:val="24"/>
          <w:lang w:val="en-US"/>
        </w:rPr>
        <w:t xml:space="preserve"> </w:t>
      </w:r>
      <w:r w:rsidRPr="0053750E">
        <w:rPr>
          <w:rFonts w:ascii="Book Antiqua" w:hAnsi="Book Antiqua" w:cs="Times New Roman"/>
          <w:b/>
          <w:sz w:val="24"/>
          <w:szCs w:val="24"/>
          <w:lang w:val="en-US"/>
        </w:rPr>
        <w:t>words</w:t>
      </w:r>
      <w:r w:rsidR="00521162" w:rsidRPr="0053750E">
        <w:rPr>
          <w:rFonts w:ascii="Book Antiqua" w:hAnsi="Book Antiqua" w:cs="Times New Roman"/>
          <w:b/>
          <w:sz w:val="24"/>
          <w:szCs w:val="24"/>
          <w:lang w:val="en-US"/>
        </w:rPr>
        <w:t>:</w:t>
      </w:r>
      <w:r w:rsidR="00D9101F">
        <w:rPr>
          <w:rFonts w:ascii="Book Antiqua" w:hAnsi="Book Antiqua" w:cs="Times New Roman"/>
          <w:b/>
          <w:sz w:val="24"/>
          <w:szCs w:val="24"/>
          <w:lang w:val="en-US"/>
        </w:rPr>
        <w:t xml:space="preserve"> </w:t>
      </w:r>
      <w:bookmarkStart w:id="17" w:name="_GoBack"/>
      <w:r w:rsidRPr="0053750E">
        <w:rPr>
          <w:rFonts w:ascii="Book Antiqua" w:hAnsi="Book Antiqua" w:cs="Times New Roman"/>
          <w:sz w:val="24"/>
          <w:szCs w:val="24"/>
          <w:lang w:val="en-US"/>
        </w:rPr>
        <w:t>Autoimmune hepatitis</w:t>
      </w:r>
      <w:r w:rsidR="00521162" w:rsidRPr="0053750E">
        <w:rPr>
          <w:rFonts w:ascii="Book Antiqua" w:hAnsi="Book Antiqua" w:cs="Times New Roman"/>
          <w:sz w:val="24"/>
          <w:szCs w:val="24"/>
          <w:lang w:val="en-US"/>
        </w:rPr>
        <w:t>;</w:t>
      </w:r>
      <w:r w:rsidR="00D9101F">
        <w:rPr>
          <w:rFonts w:ascii="Book Antiqua" w:hAnsi="Book Antiqua" w:cs="Times New Roman"/>
          <w:sz w:val="24"/>
          <w:szCs w:val="24"/>
          <w:lang w:val="en-US"/>
        </w:rPr>
        <w:t xml:space="preserve"> </w:t>
      </w:r>
      <w:r w:rsidRPr="0053750E">
        <w:rPr>
          <w:rFonts w:ascii="Book Antiqua" w:hAnsi="Book Antiqua" w:cs="Times New Roman"/>
          <w:sz w:val="24"/>
          <w:szCs w:val="24"/>
          <w:lang w:val="en-US"/>
        </w:rPr>
        <w:t>Adenosine deaminase</w:t>
      </w:r>
      <w:r w:rsidR="00521162" w:rsidRPr="0053750E">
        <w:rPr>
          <w:rFonts w:ascii="Book Antiqua" w:hAnsi="Book Antiqua" w:cs="Times New Roman"/>
          <w:sz w:val="24"/>
          <w:szCs w:val="24"/>
          <w:lang w:val="en-US"/>
        </w:rPr>
        <w:t>;</w:t>
      </w:r>
      <w:r w:rsidR="00D9101F">
        <w:rPr>
          <w:rFonts w:ascii="Book Antiqua" w:hAnsi="Book Antiqua" w:cs="Times New Roman"/>
          <w:sz w:val="24"/>
          <w:szCs w:val="24"/>
          <w:lang w:val="en-US"/>
        </w:rPr>
        <w:t xml:space="preserve"> </w:t>
      </w:r>
      <w:r w:rsidRPr="0053750E">
        <w:rPr>
          <w:rFonts w:ascii="Book Antiqua" w:hAnsi="Book Antiqua" w:cs="Times New Roman"/>
          <w:sz w:val="24"/>
          <w:szCs w:val="24"/>
          <w:lang w:val="en-US"/>
        </w:rPr>
        <w:t>Non-invasive method</w:t>
      </w:r>
      <w:r w:rsidR="00521162" w:rsidRPr="0053750E">
        <w:rPr>
          <w:rFonts w:ascii="Book Antiqua" w:hAnsi="Book Antiqua" w:cs="Times New Roman"/>
          <w:sz w:val="24"/>
          <w:szCs w:val="24"/>
          <w:lang w:val="en-US"/>
        </w:rPr>
        <w:t>;</w:t>
      </w:r>
      <w:r w:rsidR="00D9101F">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Liver </w:t>
      </w:r>
      <w:r w:rsidR="00A357CE" w:rsidRPr="0053750E">
        <w:rPr>
          <w:rFonts w:ascii="Book Antiqua" w:hAnsi="Book Antiqua" w:cs="Times New Roman"/>
          <w:sz w:val="24"/>
          <w:szCs w:val="24"/>
          <w:lang w:val="en-US"/>
        </w:rPr>
        <w:t>biopsy</w:t>
      </w:r>
      <w:bookmarkEnd w:id="17"/>
    </w:p>
    <w:p w:rsidR="00245C94" w:rsidRPr="0053750E" w:rsidRDefault="00245C94" w:rsidP="001C799D">
      <w:pPr>
        <w:pStyle w:val="a4"/>
        <w:spacing w:line="360" w:lineRule="auto"/>
        <w:jc w:val="both"/>
        <w:rPr>
          <w:rFonts w:ascii="Book Antiqua" w:hAnsi="Book Antiqua" w:cs="Times New Roman"/>
          <w:b/>
          <w:sz w:val="24"/>
          <w:szCs w:val="24"/>
          <w:lang w:val="en-US"/>
        </w:rPr>
      </w:pPr>
    </w:p>
    <w:p w:rsidR="00245C94" w:rsidRPr="0053750E" w:rsidRDefault="00245C94" w:rsidP="00245C94">
      <w:pPr>
        <w:widowControl w:val="0"/>
        <w:adjustRightInd w:val="0"/>
        <w:snapToGrid w:val="0"/>
        <w:rPr>
          <w:rFonts w:ascii="Book Antiqua" w:eastAsia="宋体" w:hAnsi="Book Antiqua"/>
          <w:color w:val="000000"/>
          <w:kern w:val="2"/>
          <w:szCs w:val="24"/>
          <w:lang w:val="en-US" w:eastAsia="zh-CN"/>
        </w:rPr>
      </w:pPr>
      <w:r w:rsidRPr="0053750E">
        <w:rPr>
          <w:rFonts w:ascii="Book Antiqua" w:eastAsia="宋体" w:hAnsi="Book Antiqua"/>
          <w:b/>
          <w:color w:val="000000"/>
          <w:kern w:val="2"/>
          <w:szCs w:val="24"/>
          <w:lang w:val="en-US" w:eastAsia="zh-CN"/>
        </w:rPr>
        <w:t>© The Author(s) 2017.</w:t>
      </w:r>
      <w:r w:rsidRPr="0053750E">
        <w:rPr>
          <w:rFonts w:ascii="Book Antiqua" w:eastAsia="宋体" w:hAnsi="Book Antiqua"/>
          <w:color w:val="000000"/>
          <w:kern w:val="2"/>
          <w:szCs w:val="24"/>
          <w:lang w:val="en-US" w:eastAsia="zh-CN"/>
        </w:rPr>
        <w:t xml:space="preserve"> Published by </w:t>
      </w:r>
      <w:proofErr w:type="spellStart"/>
      <w:r w:rsidRPr="0053750E">
        <w:rPr>
          <w:rFonts w:ascii="Book Antiqua" w:eastAsia="宋体" w:hAnsi="Book Antiqua"/>
          <w:color w:val="000000"/>
          <w:kern w:val="2"/>
          <w:szCs w:val="24"/>
          <w:lang w:val="en-US" w:eastAsia="zh-CN"/>
        </w:rPr>
        <w:t>Baishideng</w:t>
      </w:r>
      <w:proofErr w:type="spellEnd"/>
      <w:r w:rsidRPr="0053750E">
        <w:rPr>
          <w:rFonts w:ascii="Book Antiqua" w:eastAsia="宋体" w:hAnsi="Book Antiqua"/>
          <w:color w:val="000000"/>
          <w:kern w:val="2"/>
          <w:szCs w:val="24"/>
          <w:lang w:val="en-US" w:eastAsia="zh-CN"/>
        </w:rPr>
        <w:t xml:space="preserve"> Publishing Group Inc. All rights reserved.</w:t>
      </w:r>
    </w:p>
    <w:p w:rsidR="00A3018E" w:rsidRPr="0053750E" w:rsidRDefault="00A3018E" w:rsidP="001C799D">
      <w:pPr>
        <w:pStyle w:val="a4"/>
        <w:spacing w:line="360" w:lineRule="auto"/>
        <w:jc w:val="both"/>
        <w:rPr>
          <w:rFonts w:ascii="Book Antiqua" w:hAnsi="Book Antiqua" w:cs="Times New Roman"/>
          <w:b/>
          <w:sz w:val="24"/>
          <w:szCs w:val="24"/>
          <w:lang w:val="en-US"/>
        </w:rPr>
      </w:pPr>
    </w:p>
    <w:p w:rsidR="00240FBC" w:rsidRPr="0053750E" w:rsidRDefault="00B5344A"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Core tip</w:t>
      </w:r>
      <w:r w:rsidR="00521162" w:rsidRPr="0053750E">
        <w:rPr>
          <w:rFonts w:ascii="Book Antiqua" w:hAnsi="Book Antiqua" w:cs="Times New Roman"/>
          <w:b/>
          <w:sz w:val="24"/>
          <w:szCs w:val="24"/>
          <w:lang w:val="en-US"/>
        </w:rPr>
        <w:t>:</w:t>
      </w:r>
      <w:r w:rsidR="00991EF3" w:rsidRPr="0053750E">
        <w:rPr>
          <w:rFonts w:ascii="Book Antiqua" w:hAnsi="Book Antiqua" w:cs="Times New Roman"/>
          <w:b/>
          <w:sz w:val="24"/>
          <w:szCs w:val="24"/>
          <w:lang w:val="en-US"/>
        </w:rPr>
        <w:t xml:space="preserve">  </w:t>
      </w:r>
      <w:r w:rsidR="00240FBC" w:rsidRPr="0053750E">
        <w:rPr>
          <w:rFonts w:ascii="Book Antiqua" w:hAnsi="Book Antiqua" w:cs="Times New Roman"/>
          <w:sz w:val="24"/>
          <w:szCs w:val="24"/>
          <w:lang w:val="en-US"/>
        </w:rPr>
        <w:t xml:space="preserve">Autoimmune hepatitis (AIH) is a chronic liver disease which can causes cirrhosis. Liver biopsy is still used as the gold standard in determining grade of fibrosis and disease activity in AIH. However, it is an invasive and difficult-to-repeat method with some minor and major complications. In this study, we aimed to compare the AIH patients’ serum </w:t>
      </w:r>
      <w:r w:rsidR="00245C94" w:rsidRPr="0053750E">
        <w:rPr>
          <w:rFonts w:ascii="Book Antiqua" w:hAnsi="Book Antiqua" w:cs="Times New Roman"/>
          <w:sz w:val="24"/>
          <w:szCs w:val="24"/>
          <w:lang w:val="en-US" w:eastAsia="tr-TR"/>
        </w:rPr>
        <w:t xml:space="preserve">adenosine deaminase (ADA) </w:t>
      </w:r>
      <w:r w:rsidR="00240FBC" w:rsidRPr="0053750E">
        <w:rPr>
          <w:rFonts w:ascii="Book Antiqua" w:hAnsi="Book Antiqua" w:cs="Times New Roman"/>
          <w:sz w:val="24"/>
          <w:szCs w:val="24"/>
          <w:lang w:val="en-US"/>
        </w:rPr>
        <w:t>level with histopathological features of liver biopsy. To our knowledge it is the first study investigating serum ADA activity in AIH. We showed that ADA level was a useful laboratory parameter that reflected histological activity in AIH.</w:t>
      </w: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5C94" w:rsidRPr="0053750E" w:rsidRDefault="00245C94" w:rsidP="00245C94">
      <w:pPr>
        <w:adjustRightInd w:val="0"/>
        <w:snapToGrid w:val="0"/>
        <w:rPr>
          <w:rFonts w:ascii="Book Antiqua" w:hAnsi="Book Antiqua"/>
          <w:color w:val="000000"/>
        </w:rPr>
      </w:pPr>
      <w:proofErr w:type="spellStart"/>
      <w:r w:rsidRPr="0053750E">
        <w:rPr>
          <w:rFonts w:ascii="Book Antiqua" w:eastAsia="仿宋" w:hAnsi="Book Antiqua"/>
          <w:szCs w:val="24"/>
          <w:lang w:val="en-US"/>
        </w:rPr>
        <w:t>Torgutalp</w:t>
      </w:r>
      <w:proofErr w:type="spellEnd"/>
      <w:r w:rsidRPr="0053750E">
        <w:rPr>
          <w:rFonts w:ascii="Book Antiqua" w:eastAsia="仿宋" w:hAnsi="Book Antiqua"/>
          <w:szCs w:val="24"/>
          <w:lang w:val="en-US"/>
        </w:rPr>
        <w:t xml:space="preserve"> M, </w:t>
      </w:r>
      <w:proofErr w:type="spellStart"/>
      <w:r w:rsidRPr="0053750E">
        <w:rPr>
          <w:rFonts w:ascii="Book Antiqua" w:eastAsia="仿宋" w:hAnsi="Book Antiqua"/>
          <w:szCs w:val="24"/>
          <w:lang w:val="en-US"/>
        </w:rPr>
        <w:t>Efe</w:t>
      </w:r>
      <w:proofErr w:type="spellEnd"/>
      <w:r w:rsidRPr="0053750E">
        <w:rPr>
          <w:rFonts w:ascii="Book Antiqua" w:eastAsia="仿宋" w:hAnsi="Book Antiqua"/>
          <w:szCs w:val="24"/>
          <w:lang w:val="en-US"/>
        </w:rPr>
        <w:t xml:space="preserve"> C, </w:t>
      </w:r>
      <w:proofErr w:type="spellStart"/>
      <w:r w:rsidRPr="0053750E">
        <w:rPr>
          <w:rFonts w:ascii="Book Antiqua" w:eastAsia="仿宋" w:hAnsi="Book Antiqua"/>
          <w:szCs w:val="24"/>
          <w:lang w:val="en-US"/>
        </w:rPr>
        <w:t>Babaoglu</w:t>
      </w:r>
      <w:proofErr w:type="spellEnd"/>
      <w:r w:rsidRPr="0053750E">
        <w:rPr>
          <w:rFonts w:ascii="Book Antiqua" w:eastAsia="仿宋" w:hAnsi="Book Antiqua"/>
          <w:szCs w:val="24"/>
          <w:lang w:val="en-US"/>
        </w:rPr>
        <w:t xml:space="preserve"> H, </w:t>
      </w:r>
      <w:proofErr w:type="spellStart"/>
      <w:r w:rsidRPr="0053750E">
        <w:rPr>
          <w:rFonts w:ascii="Book Antiqua" w:eastAsia="仿宋" w:hAnsi="Book Antiqua"/>
          <w:szCs w:val="24"/>
          <w:lang w:val="en-US"/>
        </w:rPr>
        <w:t>Kav</w:t>
      </w:r>
      <w:proofErr w:type="spellEnd"/>
      <w:r w:rsidRPr="0053750E">
        <w:rPr>
          <w:rFonts w:ascii="Book Antiqua" w:eastAsia="仿宋" w:hAnsi="Book Antiqua"/>
          <w:szCs w:val="24"/>
          <w:lang w:val="en-US"/>
        </w:rPr>
        <w:t xml:space="preserve"> T. </w:t>
      </w:r>
      <w:r w:rsidRPr="0053750E">
        <w:rPr>
          <w:rFonts w:ascii="Book Antiqua" w:hAnsi="Book Antiqua"/>
          <w:szCs w:val="24"/>
          <w:lang w:val="en-US" w:eastAsia="tr-TR"/>
        </w:rPr>
        <w:t xml:space="preserve">Relationship between serum adenosine deaminase levels and liver histology in autoimmune hepatitis. </w:t>
      </w:r>
      <w:r w:rsidRPr="0053750E">
        <w:rPr>
          <w:rFonts w:ascii="Book Antiqua" w:hAnsi="Book Antiqua"/>
          <w:i/>
          <w:color w:val="000000"/>
        </w:rPr>
        <w:t xml:space="preserve">World J Gastroenterol </w:t>
      </w:r>
      <w:r w:rsidRPr="0053750E">
        <w:rPr>
          <w:rFonts w:ascii="Book Antiqua" w:hAnsi="Book Antiqua"/>
          <w:color w:val="000000"/>
        </w:rPr>
        <w:t>2017</w:t>
      </w:r>
      <w:r w:rsidR="00521162" w:rsidRPr="0053750E">
        <w:rPr>
          <w:rFonts w:ascii="Book Antiqua" w:hAnsi="Book Antiqua"/>
          <w:color w:val="000000"/>
        </w:rPr>
        <w:t>;</w:t>
      </w:r>
      <w:r w:rsidR="00991EF3" w:rsidRPr="0053750E">
        <w:rPr>
          <w:rFonts w:ascii="Book Antiqua" w:hAnsi="Book Antiqua"/>
          <w:color w:val="000000"/>
        </w:rPr>
        <w:t xml:space="preserve">  </w:t>
      </w:r>
      <w:r w:rsidRPr="0053750E">
        <w:rPr>
          <w:rFonts w:ascii="Book Antiqua" w:hAnsi="Book Antiqua"/>
          <w:color w:val="000000"/>
        </w:rPr>
        <w:t>In press</w:t>
      </w:r>
    </w:p>
    <w:p w:rsidR="00245C94" w:rsidRPr="0053750E" w:rsidRDefault="00245C94" w:rsidP="00245C94">
      <w:pPr>
        <w:pStyle w:val="a4"/>
        <w:spacing w:line="360" w:lineRule="auto"/>
        <w:jc w:val="both"/>
        <w:rPr>
          <w:rFonts w:ascii="Book Antiqua" w:hAnsi="Book Antiqua" w:cs="Times New Roman"/>
          <w:sz w:val="24"/>
          <w:szCs w:val="24"/>
          <w:lang w:val="en-US" w:eastAsia="tr-TR"/>
        </w:rPr>
      </w:pPr>
    </w:p>
    <w:p w:rsidR="00245C94" w:rsidRPr="0053750E" w:rsidRDefault="00245C94" w:rsidP="00245C94">
      <w:pPr>
        <w:pStyle w:val="a4"/>
        <w:spacing w:line="360" w:lineRule="auto"/>
        <w:jc w:val="both"/>
        <w:rPr>
          <w:rFonts w:ascii="Book Antiqua" w:eastAsia="仿宋" w:hAnsi="Book Antiqua" w:cs="Times New Roman"/>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240FBC" w:rsidRPr="0053750E" w:rsidRDefault="00240FBC" w:rsidP="001C799D">
      <w:pPr>
        <w:pStyle w:val="a4"/>
        <w:spacing w:line="360" w:lineRule="auto"/>
        <w:jc w:val="both"/>
        <w:rPr>
          <w:rFonts w:ascii="Book Antiqua" w:hAnsi="Book Antiqua" w:cs="Times New Roman"/>
          <w:b/>
          <w:sz w:val="24"/>
          <w:szCs w:val="24"/>
          <w:lang w:val="en-US"/>
        </w:rPr>
      </w:pPr>
    </w:p>
    <w:p w:rsidR="00954CB2" w:rsidRPr="0053750E" w:rsidRDefault="00A3018E"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lastRenderedPageBreak/>
        <w:t>INTRODUCTION</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Autoimmune hepatitis (AIH) is a chronic inflammatory liver disease that can lead end stage liver disease, cirrhosis and death</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"10.1056/NEJMra050408", "ISSN" : "1533-4406", "PMID" : "16394302", "author" : [ { "dropping-particle" : "", "family" : "Krawitt", "given" : "Edward L", "non-dropping-particle" : "", "parse-names" : false, "suffix" : "" } ], "container-title" : "The New England journal of medicine", "id" : "ITEM-1", "issue" : "1", "issued" : { "date-parts" : [ [ "2006", "1", "5" ] ] }, "page" : "54-66", "title" : "Autoimmune hepatitis.", "type" : "article-journal", "volume" : "354" }, "uris" : [ "http://www.mendeley.com/documents/?uuid=4a308133-c753-4d1e-99ce-62c0501da07d" ] } ], "mendeley" : { "formattedCitation" : "&lt;sup&gt;[1]&lt;/sup&gt;", "plainTextFormattedCitation" : "[1]", "previouslyFormattedCitation" : "&lt;sup&gt;[1]&lt;/sup&gt;"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[1]</w:t>
      </w:r>
      <w:r w:rsidR="00257198"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xml:space="preserve">. </w:t>
      </w:r>
      <w:r w:rsidR="00C92607" w:rsidRPr="0053750E">
        <w:rPr>
          <w:rFonts w:ascii="Book Antiqua" w:hAnsi="Book Antiqua" w:cs="Times New Roman"/>
          <w:sz w:val="24"/>
          <w:szCs w:val="24"/>
          <w:lang w:val="en-US"/>
        </w:rPr>
        <w:t xml:space="preserve">The international Autoimmune Hepatitis Group (IAIHG) suggested that </w:t>
      </w:r>
      <w:r w:rsidRPr="0053750E">
        <w:rPr>
          <w:rFonts w:ascii="Book Antiqua" w:hAnsi="Book Antiqua" w:cs="Times New Roman"/>
          <w:sz w:val="24"/>
          <w:szCs w:val="24"/>
          <w:lang w:val="en-US"/>
        </w:rPr>
        <w:t>simplified criteria</w:t>
      </w:r>
      <w:r w:rsidR="00257198" w:rsidRPr="0053750E">
        <w:rPr>
          <w:rFonts w:ascii="Book Antiqua" w:hAnsi="Book Antiqua" w:cs="Times New Roman"/>
          <w:sz w:val="24"/>
          <w:szCs w:val="24"/>
          <w:lang w:val="en-US"/>
        </w:rPr>
        <w:t xml:space="preserve"> </w:t>
      </w:r>
      <w:r w:rsidR="00C92607" w:rsidRPr="0053750E">
        <w:rPr>
          <w:rFonts w:ascii="Book Antiqua" w:hAnsi="Book Antiqua" w:cs="Times New Roman"/>
          <w:sz w:val="24"/>
          <w:szCs w:val="24"/>
          <w:lang w:val="en-US"/>
        </w:rPr>
        <w:t>which are require hyperglobulinemia,</w:t>
      </w:r>
      <w:r w:rsidR="00257198" w:rsidRPr="0053750E">
        <w:rPr>
          <w:rFonts w:ascii="Book Antiqua" w:hAnsi="Book Antiqua" w:cs="Times New Roman"/>
          <w:sz w:val="24"/>
          <w:szCs w:val="24"/>
          <w:lang w:val="en-US"/>
        </w:rPr>
        <w:t xml:space="preserve"> </w:t>
      </w:r>
      <w:r w:rsidR="00C92607" w:rsidRPr="0053750E">
        <w:rPr>
          <w:rFonts w:ascii="Book Antiqua" w:hAnsi="Book Antiqua" w:cs="Times New Roman"/>
          <w:sz w:val="24"/>
          <w:szCs w:val="24"/>
          <w:lang w:val="en-US"/>
        </w:rPr>
        <w:t>presence of circulating autoantibodies, interface hepatitis on histological examination and absence of viral hepatitis</w:t>
      </w:r>
      <w:r w:rsidR="00991EF3" w:rsidRPr="0053750E">
        <w:rPr>
          <w:rFonts w:ascii="Book Antiqua" w:hAnsi="Book Antiqua" w:cs="Times New Roman"/>
          <w:sz w:val="24"/>
          <w:szCs w:val="24"/>
          <w:lang w:val="en-US"/>
        </w:rPr>
        <w:t xml:space="preserve">  </w:t>
      </w:r>
      <w:r w:rsidR="00C92607" w:rsidRPr="0053750E">
        <w:rPr>
          <w:rFonts w:ascii="Book Antiqua" w:hAnsi="Book Antiqua" w:cs="Times New Roman"/>
          <w:sz w:val="24"/>
          <w:szCs w:val="24"/>
          <w:lang w:val="en-US"/>
        </w:rPr>
        <w:t>for diagnosis of AIH</w:t>
      </w:r>
      <w:r w:rsidR="00257198" w:rsidRPr="0053750E">
        <w:rPr>
          <w:rFonts w:ascii="Book Antiqua" w:hAnsi="Book Antiqua" w:cs="Times New Roman"/>
          <w:sz w:val="24"/>
          <w:szCs w:val="24"/>
          <w:lang w:val="en-US"/>
        </w:rPr>
        <w:t xml:space="preserve"> </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"ISSN" : "0168-8278", "PMID" : "10580593", "author" : [ { "dropping-particle" : "", "family" : "Alvarez", "given" : "F", "non-dropping-particle" : "", "parse-names" : false, "suffix" : "" }, { "dropping-particle" : "", "family" : "Berg", "given" : "P A", "non-dropping-particle" : "", "parse-names" : false, "suffix" : "" }, { "dropping-particle" : "", "family" : "Bianchi", "given" : "F B", "non-dropping-particle" : "", "parse-names" : false, "suffix" : "" }, { "dropping-particle" : "", "family" : "Bianchi", "given" : "L", "non-dropping-particle" : "", "parse-names" : false, "suffix" : "" }, { "dropping-particle" : "", "family" : "Burroughs", "given" : "A K", "non-dropping-particle" : "", "parse-names" : false, "suffix" : "" }, { "dropping-particle" : "", "family" : "Cancado", "given" : "E L", "non-dropping-particle" : "", "parse-names" : false, "suffix" : "" }, { "dropping-particle" : "", "family" : "Chapman", "given" : "R W", "non-dropping-particle" : "", "parse-names" : false, "suffix" : "" }, { "dropping-particle" : "", "family" : "Cooksley", "given" : "W G", "non-dropping-particle" : "", "parse-names" : false, "suffix" : "" }, { "dropping-particle" : "", "family" : "Czaja", "given" : "A J", "non-dropping-particle" : "", "parse-names" : false, "suffix" : "" }, { "dropping-particle" : "", "family" : "Desmet", "given" : "V J", "non-dropping-particle" : "", "parse-names" : false, "suffix" : "" }, { "dropping-particle" : "", "family" : "Donaldson", "given" : "P T", "non-dropping-particle" : "", "parse-names" : false, "suffix" : "" }, { "dropping-particle" : "", "family" : "Eddleston", "given" : "A L", "non-dropping-particle" : "", "parse-names" : false, "suffix" : "" }, { "dropping-particle" : "", "family" : "Fainboim", "given" : "L", "non-dropping-particle" : "", "parse-names" : false, "suffix" : "" }, { "dropping-particle" : "", "family" : "Heathcote", "given" : "J", "non-dropping-particle" : "", "parse-names" : false, "suffix" : "" }, { "dropping-particle" : "", "family" : "Homberg", "given" : "J C", "non-dropping-particle" : "", "parse-names" : false, "suffix" : "" }, { "dropping-particle" : "", "family" : "Hoofnagle", "given" : "J H", "non-dropping-particle" : "", "parse-names" : false, "suffix" : "" }, { "dropping-particle" : "", "family" : "Kakumu", "given" : "S", "non-dropping-particle" : "", "parse-names" : false, "suffix" : "" }, { "dropping-particle" : "", "family" : "Krawitt", "given" : "E L", "non-dropping-particle" : "", "parse-names" : false, "suffix" : "" }, { "dropping-particle" : "", "family" : "Mackay", "given" : "I R", "non-dropping-particle" : "", "parse-names" : false, "suffix" : "" }, { "dropping-particle" : "", "family" : "MacSween", "given" : "R N", "non-dropping-particle" : "", "parse-names" : false, "suffix" : "" }, { "dropping-particle" : "", "family" : "Maddrey", "given" : "W C", "non-dropping-particle" : "", "parse-names" : false, "suffix" : "" }, { "dropping-particle" : "", "family" : "Manns", "given" : "M P", "non-dropping-particle" : "", "parse-names" : false, "suffix" : "" }, { "dropping-particle" : "", "family" : "McFarlane", "given" : "I G", "non-dropping-particle" : "", "parse-names" : false, "suffix" : "" }, { "dropping-particle" : "", "family" : "Meyer zum B\u00fcschenfelde", "given" : "K H", "non-dropping-particle" : "", "parse-names" : false, "suffix" : "" }, { "dropping-particle" : "", "family" : "Zeniya", "given" : "M", "non-dropping-particle" : "", "parse-names" : false, "suffix" : "" } ], "container-title" : "Journal of hepatology", "id" : "ITEM-1", "issue" : "5", "issued" : { "date-parts" : [ [ "1999", "11" ] ] }, "page" : "929-38", "title" : "International Autoimmune Hepatitis Group Report: review of criteria for diagnosis of autoimmune hepatitis.", "type" : "article-journal", "volume" : "31" }, "uris" : [ "http://www.mendeley.com/documents/?uuid=93f42f06-3349-46bf-a733-5dcb3923a064" ] }, { "id" : "ITEM-2", "itemData" : { "DOI" : "10.1002/hep.22322", "ISSN" : "1527-3350", "PMID" : "18537184", "abstract" : "UNLABELLED: Diagnosis of autoimmune hepatitis (AIH) may be challenging. However, early diagnosis is important because immunosuppression is life-saving. Diagnostic criteria of the International Autoimmune Hepatitis Group (IAIHG) were complex and purely meant for scientific purposes. This study of the IAIHG aims to define simplified diagnostic criteria for routine clinical practice. Candidate criteria included sex, age, autoantibodies, immunoglobulins, absence of viral hepatitis, and histology. The training set included 250 AIH patients and 193 controls from 11 centers worldwide. Scores were built from variables showing predictive ability in univariate analysis. Diagnostic value of each score was assessed by the area under the receiver operating characteristic (ROC) curve. The best score was validated using data of an additional 109 AIH patients and 284 controls. This score included autoantibodies, immunoglobulin G, histology, and exclusion of viral hepatitis. The area under the curve for prediction of AIH was 0.946 in the training set and 0.91 in the validation set. Based on the ROC curves, two cutoff points were chosen. The score was found to have 88% sensitivity and 97% specificity (cutoff &gt; or =6) and 81% sensitivity and 99% specificity (cutoff &gt; or =7) in the validation set.\n\nCONCLUSION: A reliable diagnosis of AIH can be made using a very simple diagnostic score. We propose the diagnosis of probable AIH at a cutoff point greater than 6 points and definite AIH 7 points or higher.", "author" : [ { "dropping-particle" : "", "family" : "Hennes", "given" : "Elke M", "non-dropping-particle" : "", "parse-names" : false, "suffix" : "" }, { "dropping-particle" : "", "family" : "Zeniya", "given" : "Mikio", "non-dropping-particle" : "", "parse-names" : false, "suffix" : "" }, { "dropping-particle" : "", "family" : "Czaja", "given" : "Albert J", "non-dropping-particle" : "", "parse-names" : false, "suffix" : "" }, { "dropping-particle" : "", "family" : "Par\u00e9s", "given" : "Albert", "non-dropping-particle" : "", "parse-names" : false, "suffix" : "" }, { "dropping-particle" : "", "family" : "Dalekos", "given" : "George N", "non-dropping-particle" : "", "parse-names" : false, "suffix" : "" }, { "dropping-particle" : "", "family" : "Krawitt", "given" : "Edward L",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"Boberg", "given" : "Kirsten M", "non-dropping-particle" : "", "parse-names" : false, "suffix" : "" }, { "dropping-particle" : "", "family" : "Hofer", "given" : "Harald", "non-dropping-particle" : "", "parse-names" : false, "suffix" : "" }, { "dropping-particle" : "", "family" : "Bianchi", "given" : "Francesco B", "non-dropping-particle" : "", "parse-names" : false, "suffix" : "" }, { "dropping-particle" : "", "family" : "Shibata", "given" : "Minoru", "non-dropping-particle" : "", "parse-names" : false, "suffix" : "" }, { "dropping-particle" : "", "family" : "Schramm", "given" : "Christoph", "non-dropping-particle" : "", "parse-names" : false, "suffix" : "" }, { "dropping-particle" : "", "family" : "Eisenmann de Torres", "given" : "Barbara", "non-dropping-particle" : "", "parse-names" : false, "suffix" : "" }, { "dropping-particle" : "", "family" : "Galle", "given" : "Peter R", "non-dropping-particle" : "", "parse-names" : false, "suffix" : "" }, { "dropping-particle" : "", "family" : "McFarlane", "given" : "Ian", "non-dropping-particle" : "", "parse-names" : false, "suffix" : "" }, { "dropping-particle" : "", "family" : "Dienes", "given" : "Hans-Peter", "non-dropping-particle" : "", "parse-names" : false, "suffix" : "" }, { "dropping-particle" : "", "family" : "Lohse", "given" : "Ansgar W", "non-dropping-particle" : "", "parse-names" : false, "suffix" : "" } ], "container-title" : "Hepatology (Baltimore, Md.)", "id" : "ITEM-2", "issue" : "1", "issued" : { "date-parts" : [ [ "2008", "7" ] ] }, "page" : "169-76", "title" : "Simplified criteria for the diagnosis of autoimmune hepatitis.", "type" : "article-journal", "volume" : "48" }, "uris" : [ "http://www.mendeley.com/documents/?uuid=8e7afed7-b79e-4877-a44c-811b1dd16f12" ] } ], "mendeley" : { "formattedCitation" : "&lt;sup&gt;[2,3]&lt;/sup&gt;", "plainTextFormattedCitation" : "[2,3]", "previouslyFormattedCitation" : "&lt;sup&gt;[2,3]&lt;/sup&gt;"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[2,3]</w:t>
      </w:r>
      <w:r w:rsidR="00257198" w:rsidRPr="0053750E">
        <w:rPr>
          <w:rFonts w:ascii="Book Antiqua" w:hAnsi="Book Antiqua" w:cs="Times New Roman"/>
          <w:sz w:val="24"/>
          <w:szCs w:val="24"/>
          <w:lang w:val="en-US"/>
        </w:rPr>
        <w:fldChar w:fldCharType="end"/>
      </w:r>
      <w:r w:rsidR="00C92607" w:rsidRPr="0053750E">
        <w:rPr>
          <w:rFonts w:ascii="Book Antiqua" w:hAnsi="Book Antiqua" w:cs="Times New Roman"/>
          <w:sz w:val="24"/>
          <w:szCs w:val="24"/>
          <w:lang w:val="en-US"/>
        </w:rPr>
        <w:t>.</w:t>
      </w:r>
    </w:p>
    <w:p w:rsidR="00FB30B9" w:rsidRPr="0053750E" w:rsidRDefault="00FB30B9" w:rsidP="00245C94">
      <w:pPr>
        <w:pStyle w:val="a4"/>
        <w:spacing w:line="360" w:lineRule="auto"/>
        <w:ind w:firstLineChars="100" w:firstLine="240"/>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The etiology and pathophysiology of AIH is not well understood. It is believed that genetic factors, </w:t>
      </w:r>
      <w:r w:rsidR="004E1593" w:rsidRPr="0053750E">
        <w:rPr>
          <w:rFonts w:ascii="Book Antiqua" w:hAnsi="Book Antiqua" w:cs="Times New Roman"/>
          <w:sz w:val="24"/>
          <w:szCs w:val="24"/>
          <w:lang w:val="en-US"/>
        </w:rPr>
        <w:t>environmental</w:t>
      </w:r>
      <w:r w:rsidRPr="0053750E">
        <w:rPr>
          <w:rFonts w:ascii="Book Antiqua" w:hAnsi="Book Antiqua" w:cs="Times New Roman"/>
          <w:sz w:val="24"/>
          <w:szCs w:val="24"/>
          <w:lang w:val="en-US"/>
        </w:rPr>
        <w:t xml:space="preserve"> factors and immune dysregulation act together by inducing autoreactive B and T-cell </w:t>
      </w:r>
      <w:r w:rsidR="004E1593" w:rsidRPr="0053750E">
        <w:rPr>
          <w:rFonts w:ascii="Book Antiqua" w:hAnsi="Book Antiqua" w:cs="Times New Roman"/>
          <w:sz w:val="24"/>
          <w:szCs w:val="24"/>
          <w:lang w:val="en-US"/>
        </w:rPr>
        <w:t>responses</w:t>
      </w:r>
      <w:r w:rsidRPr="0053750E">
        <w:rPr>
          <w:rFonts w:ascii="Book Antiqua" w:hAnsi="Book Antiqua" w:cs="Times New Roman"/>
          <w:sz w:val="24"/>
          <w:szCs w:val="24"/>
          <w:lang w:val="en-US"/>
        </w:rPr>
        <w:t xml:space="preserve"> against autoantigens causing hepatocyte </w:t>
      </w:r>
      <w:r w:rsidR="004E1593" w:rsidRPr="0053750E">
        <w:rPr>
          <w:rFonts w:ascii="Book Antiqua" w:hAnsi="Book Antiqua" w:cs="Times New Roman"/>
          <w:sz w:val="24"/>
          <w:szCs w:val="24"/>
          <w:lang w:val="en-US"/>
        </w:rPr>
        <w:t>destruction</w:t>
      </w:r>
      <w:r w:rsidRPr="0053750E">
        <w:rPr>
          <w:rFonts w:ascii="Book Antiqua" w:hAnsi="Book Antiqua" w:cs="Times New Roman"/>
          <w:sz w:val="24"/>
          <w:szCs w:val="24"/>
          <w:lang w:val="en-US"/>
        </w:rPr>
        <w:t xml:space="preserve"> and inflammation</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"10.1016/j.bpg.2011.09.009", "ISSN" : "1532-1916", "PMID" : "22117632", "abstract" : "The mechanisms underlying the pathogenesis of autoimmune hepatitis are not fully understood, though there is growing evidence that genetic predisposition, molecular mimicry and/or impairment of regulatory T-cells are involved in the initiation and perpetuation of the autoimmune liver attack. The histological picture of interface hepatitis, characterized by a dense portal mononuclear cell infiltrate, was the first to suggest an autoaggressive cellular immune attack in the pathogenesis of this condition. Liver damage is likely to be orchestrated by CD4(pos) T-cells recognizing an autoantigenic liver peptide. For autoimmunity to arise, the peptide must be presented by antigen-presenting cells to na\u00efve CD4(pos) T-helper (Th0) cells. Once activated, Th0-cells can differentiate into Th1-, Th2-, or Th17-cells, initiating a cascade of immune reactions that are determined by the cytokines they produce. Autoantigen recognition and the above effector mechanisms are opposed by regulatory T-cells, a cell subset numerically and functionally impaired in autoimmune hepatitis.", "author" : [ { "dropping-particle" : "", "family" : "Liberal", "given" : "Rodrigo", "non-dropping-particle" : "", "parse-names" : false, "suffix" : "" }, { "dropping-particle" : "", "family" : "Longhi", "given" : "Maria Serena", "non-dropping-particle" : "", "parse-names" : false, "suffix" : "" }, { "dropping-particle" : "", "family" : "Mieli-Vergani", "given" : "Giorgina", "non-dropping-particle" : "", "parse-names" : false, "suffix" : "" }, { "dropping-particle" : "", "family" : "Vergani", "given" : "Diego", "non-dropping-particle" : "", "parse-names" : false, "suffix" : "" } ], "container-title" : "Best practice &amp; research. Clinical gastroenterology", "id" : "ITEM-1", "issue" : "6", "issued" : { "date-parts" : [ [ "2011", "12" ] ] }, "page" : "653-64", "title" : "Pathogenesis of autoimmune hepatitis.", "type" : "article-journal", "volume" : "25" }, "uris" : [ "http://www.mendeley.com/documents/?uuid=1a6ab70a-3cba-42ad-abf5-faa424906a99" ] }, { "id" : "ITEM-2", "itemData" : { "DOI" : "10.1007/s10620-014-3267-3", "ISSN" : "1573-2568", "PMID" : "25002309", "abstract" : "BACKGROUND AND AIM: 25-Hydroxyvitamin D [25(OH)D] has an important role in fibrosis progression and inflammatory response in patients with various etiologies of chronic liver disease. However, its influence on autoimmune hepatitis (AIH) has not been investigated. We evaluated the association of serum 25(OH)D levels with clinical, biochemical and histological features and response to therapy in AIH.\n\nMATERIALS AND METHODS: Serum 25(OH)D levels were quantified in 68 therapy na\u00efve AIH patients and 34 healthy controls.\n\nRESULTS: Mean serum 25(OH)D levels were significantly lower in AIH compared to healthy controls (16.8 \u00b1 9.2 vs. 35.7 \u00b1 13.6, p &lt; 0.0001). Low levels of 25(OH)D (&lt;30 \u00b5g/L) were independently associated with advance fibrosis and severe interface hepatitis in AIH patients [p = 0.014; odds ratio (OR) 0.12, 95% confidence interval (CI) 0.02-0.65 and p = 0.020; OR 0.17, 95% CI 0.04-0.76, respectively]. Severe 25(OH)D deficiency (&lt;10 \u00b5g/L) was associated with advance fibrosis, severe interface hepatitis, low platelet counts and sampling time in a univariate analysis. Only interface hepatitis and fibrosis scores were independently associated with 25(OH)D deficiency in a multiple regression analysis (p = 0.005; OR 0.12, 95% CI 0.03-0.53 and p = 0.022; OR 0.15, 95% CI 0.03-0.75, respectively). Mean serum 25(OH)D levels were lower in non-responders compared to responders (9.2 \u00b1 4.8 vs. 17.1 \u00b1 9.4, p = 0.015), and 25(OH)D deficiency was more commonly observed in non-responders than the responders (80 vs. 43%, p = 0.036).\n\nCONCLUSIONS: Low 25(OH)D levels are associated with advance fibrosis and severe inflammation in AIH. Our study suggests that vitamin D may be a potential biomarker that predicts response to therapy and histological features in AIH.", "author" : [ { "dropping-particle" : "", "family" : "Efe", "given" : "Cumali", "non-dropping-particle" : "", "parse-names" : false, "suffix" : "" }, { "dropping-particle" : "", "family" : "Kav", "given" : "Taylan", "non-dropping-particle" : "", "parse-names" : false, "suffix" : "" }, { "dropping-particle" : "", "family" : "Aydin", "given" : "Cisel", "non-dropping-particle" : "", "parse-names" : false, "suffix" : "" }, { "dropping-particle" : "", "family" : "Cengiz", "given" : "Mustafa", "non-dropping-particle" : "", "parse-names" : false, "suffix" : "" }, { "dropping-particle" : "", "family" : "Imga", "given" : "Narin Nas\u0131roglu", "non-dropping-particle" : "", "parse-names" : false, "suffix" : "" }, { "dropping-particle" : "", "family" : "Purnak", "given" : "Tugrul", "non-dropping-particle" : "", "parse-names" : false, "suffix" : "" }, { "dropping-particle" : "", "family" : "Smyk", "given" : "Daniel S", "non-dropping-particle" : "", "parse-names" : false, "suffix" : "" }, { "dropping-particle" : "", "family" : "Torgutalp", "given" : "Murat", "non-dropping-particle" : "", "parse-names" : false, "suffix" : "" }, { "dropping-particle" : "", "family" : "Turhan", "given" : "Turan", "non-dropping-particle" : "", "parse-names" : false, "suffix" : "" }, { "dropping-particle" : "", "family" : "Ozenirler", "given" : "Seren", "non-dropping-particle" : "", "parse-names" : false, "suffix" : "" }, { "dropping-particle" : "", "family" : "Ozaslan", "given" : "Ersan", "non-dropping-particle" : "", "parse-names" : false, "suffix" : "" }, { "dropping-particle" : "", "family" : "Bogdanos", "given" : "Dimitrios P", "non-dropping-particle" : "", "parse-names" : false, "suffix" : "" } ], "container-title" : "Digestive diseases and sciences", "id" : "ITEM-2", "issue" : "12", "issued" : { "date-parts" : [ [ "2014", "12" ] ] }, "page" : "3035-42", "title" : "Low serum vitamin D levels are associated with severe histological features and poor response to therapy in patients with autoimmune hepatitis.", "type" : "article-journal", "volume" : "59" }, "uris" : [ "http://www.mendeley.com/documents/?uuid=eab7731a-235b-490d-94d7-8082e49d093f" ] } ], "mendeley" : { "formattedCitation" : "&lt;sup&gt;[4,5]&lt;/sup&gt;", "plainTextFormattedCitation" : "[4,5]", "previouslyFormattedCitation" : "&lt;sup&gt;[4,5]&lt;/sup&gt;"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[4,5]</w:t>
      </w:r>
      <w:r w:rsidR="00257198"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xml:space="preserve">. </w:t>
      </w:r>
    </w:p>
    <w:p w:rsidR="00FB30B9" w:rsidRPr="0053750E" w:rsidRDefault="00FB30B9" w:rsidP="00245C94">
      <w:pPr>
        <w:pStyle w:val="a4"/>
        <w:spacing w:line="360" w:lineRule="auto"/>
        <w:ind w:firstLineChars="100" w:firstLine="240"/>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Adenosine deaminase (ADA), an enzyme involved in the catabolism of purine bases, </w:t>
      </w:r>
      <w:r w:rsidR="004E1593" w:rsidRPr="0053750E">
        <w:rPr>
          <w:rFonts w:ascii="Book Antiqua" w:hAnsi="Book Antiqua" w:cs="Times New Roman"/>
          <w:sz w:val="24"/>
          <w:szCs w:val="24"/>
          <w:lang w:val="en-US"/>
        </w:rPr>
        <w:t>catalysis</w:t>
      </w:r>
      <w:r w:rsidRPr="0053750E">
        <w:rPr>
          <w:rFonts w:ascii="Book Antiqua" w:hAnsi="Book Antiqua" w:cs="Times New Roman"/>
          <w:sz w:val="24"/>
          <w:szCs w:val="24"/>
          <w:lang w:val="en-US"/>
        </w:rPr>
        <w:t xml:space="preserve"> the irreversible </w:t>
      </w:r>
      <w:r w:rsidR="004E1593" w:rsidRPr="0053750E">
        <w:rPr>
          <w:rFonts w:ascii="Book Antiqua" w:hAnsi="Book Antiqua" w:cs="Times New Roman"/>
          <w:sz w:val="24"/>
          <w:szCs w:val="24"/>
          <w:lang w:val="en-US"/>
        </w:rPr>
        <w:t>conversion</w:t>
      </w:r>
      <w:r w:rsidR="00257198" w:rsidRPr="0053750E">
        <w:rPr>
          <w:rFonts w:ascii="Book Antiqua" w:hAnsi="Book Antiqua" w:cs="Times New Roman"/>
          <w:sz w:val="24"/>
          <w:szCs w:val="24"/>
          <w:lang w:val="en-US"/>
        </w:rPr>
        <w:t xml:space="preserve"> </w:t>
      </w:r>
      <w:r w:rsidR="004E1593" w:rsidRPr="0053750E">
        <w:rPr>
          <w:rFonts w:ascii="Book Antiqua" w:hAnsi="Book Antiqua" w:cs="Times New Roman"/>
          <w:sz w:val="24"/>
          <w:szCs w:val="24"/>
          <w:lang w:val="en-US"/>
        </w:rPr>
        <w:t>of (</w:t>
      </w:r>
      <w:r w:rsidRPr="0053750E">
        <w:rPr>
          <w:rFonts w:ascii="Book Antiqua" w:hAnsi="Book Antiqua" w:cs="Times New Roman"/>
          <w:sz w:val="24"/>
          <w:szCs w:val="24"/>
          <w:lang w:val="en-US"/>
        </w:rPr>
        <w:t>deoxy) adenosine to (deoxy) inosine</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"10.3389/fimmu.2012.00265", "ISBN" : "1664-3224 (Electronic)\\r1664-3224 (Linking)", "ISSN" : "16643224", "PMID" : "22969765", "abstract" : "Genetic defects in the adenosine deaminase (ADA) gene are among the most common causes for severe combined immunodeficiency (SCID). ADA-SCID patients suffer from lymphopenia, severely impaired cellular and humoral immunity, failure to thrive, and recurrent infections. Currently available therapeutic options for this otherwise fatal disorder include bone marrow transplantation (BMT), enzyme replacement therapy with bovine ADA (PEG-ADA), or hematopoietic stem cell gene therapy (HSC-GT). Although varying degrees of immune reconstitution can be achieved by these treatments, breakdown of tolerance is a major concern in ADA-SCID. Immune dysregulation such as autoimmune hypothyroidism, diabetes mellitus, hemolytic anemia, and immune thrombocytopenia are frequently observed in milder forms of the disease. However, several reports document similar complications also in patients on long-term PEG-ADA and after BMT or GT treatment. A skewed repertoire and decreased immune functions have been implicated in autoimmunity observed in certain B-cell and/or T-cell immunodeficiencies, but it remains unclear to what extent specific mechanisms of tolerance are affected in ADA deficiency. Herein we provide an overview about ADA-SCID and the autoimmune manifestations reported in these patients before and after treatment. We also assess the value of the ADA-deficient mouse model as a useful tool to study both immune and metabolic disease mechanisms. With focus on regulatory T- and B-cells we discuss the lymphocyte subpopulations particularly prone to contribute to the loss of self-tolerance and onset of autoimmunity in ADA deficiency. Moreover we address which aspects of immune dysregulation are specifically related to alterations in purine metabolism caused by the lack of ADA and the subsequent accumulation of metabolites with immunomodulatory properties.", "author" : [ { "dropping-particle" : "", "family" : "Sauer", "given" : "AishaVanessa", "non-dropping-particle" : "", "parse-names" : false, "suffix" : "" }, { "dropping-particle" : "", "family" : "Brigida", "given" : "Immacolata", "non-dropping-particle" : "", "parse-names" : false, "suffix" : "" }, { "dropping-particle" : "", "family" : "Carriglio", "given" : "Nicola", "non-dropping-particle" : "", "parse-names" : false, "suffix" : "" }, { "dropping-particle" : "", "family" : "Aiuti", "given" : "Alessandro", "non-dropping-particle" : "", "parse-names" : false, "suffix" : "" } ], "container-title" : "Frontiers in Immunology", "id" : "ITEM-1", "issue" : "AUG", "issued" : { "date-parts" : [ [ "2012" ] ] }, "page" : "1-19", "title" : "Autoimmune dysregulation and purine metabolism in adenosine deaminase deficiency", "type" : "article-journal", "volume" : "3" }, "uris" : [ "http://www.mendeley.com/documents/?uuid=8a34c513-25c6-4434-bb77-a7dacd176de8" ] } ], "mendeley" : { "formattedCitation" : "&lt;sup&gt;[6]&lt;/sup&gt;", "plainTextFormattedCitation" : "[6]", "previouslyFormattedCitation" : "&lt;sup&gt;[6]&lt;/sup&gt;"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[6]</w:t>
      </w:r>
      <w:r w:rsidR="00257198"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xml:space="preserve">. ADA </w:t>
      </w:r>
      <w:r w:rsidR="002854E2" w:rsidRPr="0053750E">
        <w:rPr>
          <w:rFonts w:ascii="Book Antiqua" w:hAnsi="Book Antiqua" w:cs="Times New Roman"/>
          <w:sz w:val="24"/>
          <w:szCs w:val="24"/>
          <w:lang w:val="en-US"/>
        </w:rPr>
        <w:t>may be</w:t>
      </w:r>
      <w:r w:rsidRPr="0053750E">
        <w:rPr>
          <w:rFonts w:ascii="Book Antiqua" w:hAnsi="Book Antiqua" w:cs="Times New Roman"/>
          <w:sz w:val="24"/>
          <w:szCs w:val="24"/>
          <w:lang w:val="en-US"/>
        </w:rPr>
        <w:t xml:space="preserve"> present in various tissues and body fluids</w:t>
      </w:r>
      <w:r w:rsidR="00C92607" w:rsidRPr="0053750E">
        <w:rPr>
          <w:rFonts w:ascii="Book Antiqua" w:hAnsi="Book Antiqua" w:cs="Times New Roman"/>
          <w:sz w:val="24"/>
          <w:szCs w:val="24"/>
          <w:lang w:val="en-US"/>
        </w:rPr>
        <w:t xml:space="preserve"> but</w:t>
      </w:r>
      <w:r w:rsidRPr="0053750E">
        <w:rPr>
          <w:rFonts w:ascii="Book Antiqua" w:hAnsi="Book Antiqua" w:cs="Times New Roman"/>
          <w:sz w:val="24"/>
          <w:szCs w:val="24"/>
          <w:lang w:val="en-US"/>
        </w:rPr>
        <w:t>, its major function is in lymphoid tissues where it is essential for lymphocytic proliferation and differentiation</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"ISSN" : "1873-5592", "PMID" : "22250650", "abstract" : "The adenosine pathway is a powerful evolutionarily selected mechanism aimed at a fine modulation of inflammatory responses and protection of tissues from injuries. Adenosine exerts its modulatory effects via interaction with G protein-coupled receptors, designated as A(1), A(2A), A(2B) and A(3). In this regard, extracellular adenosine concentrations are critical in determining its ability of regulating several biological functions. The levels achieved by adenosine in close proximity of its receptors are strictly regulated by a variety of dynamic mechanisms, including intracellular and extracellular biosynthesis, transport and metabolism, based on tissue energy status. In this context, the catabolic enzyme adenosine deaminase (ADA) represents a critical checkpoint in the regulation of extracellular adenosine levels and, consequently, in the control of receptor stimulation, thus playing a pivotal role in the modulation of purinergic responses to several pathophysiological events, such as chronic pulmonary diseases, rheumatoid arthritis, inflammatory bowel diseases and sepsis. This article reviews current data on the role played by ADA in the regulation of immune system activity through its modulation of adenosine pathways. Particular attention has been paid to the involvement of ADA in the pathophysiology of relevant inflammatory diseases. In addition, the interest in designing and developing novel ADA inhibitors, as new tools potentially useful for the therapeutic management of inflammatory disorders, has been discussed.", "author" : [ { "dropping-particle" : "", "family" : "Antonioli", "given" : "Luca", "non-dropping-particle" : "", "parse-names" : false, "suffix" : "" }, { "dropping-particle" : "", "family" : "Colucci", "given" : "Rocchina", "non-dropping-particle" : "", "parse-names" : false, "suffix" : "" }, { "dropping-particle" : "", "family" : "Motta", "given" : "Concettina", "non-dropping-particle" : "La", "parse-names" : false, "suffix" : "" }, { "dropping-particle" : "", "family" : "Tuccori", "given" : "Marco", "non-dropping-particle" : "", "parse-names" : false, "suffix" : "" }, { "dropping-particle" : "", "family" : "Awwad", "given" : "Oriana", "non-dropping-particle" : "", "parse-names" : false, "suffix" : "" }, { "dropping-particle" : "", "family" : "Settimo", "given" : "Federico", "non-dropping-particle" : "Da", "parse-names" : false, "suffix" : "" }, { "dropping-particle" : "", "family" : "Blandizzi", "given" : "Corrado", "non-dropping-particle" : "", "parse-names" : false, "suffix" : "" }, { "dropping-particle" : "", "family" : "Fornai", "given" : "Matteo", "non-dropping-particle" : "", "parse-names" : false, "suffix" : "" } ], "container-title" : "Current drug targets", "id" : "ITEM-1", "issue" : "6", "issued" : { "date-parts" : [ [ "2012", "6" ] ] }, "page" : "842-62", "title" : "Adenosine deaminase in the modulation of immune system and its potential as a novel target for treatment of inflammatory disorders.", "type" : "article-journal", "volume" : "13" }, "uris" : [ "http://www.mendeley.com/documents/?uuid=fcd835ee-a3c2-4ee9-b358-5a13f5f2fbc4" ] } ], "mendeley" : { "formattedCitation" : "&lt;sup&gt;[7]&lt;/sup&gt;", "plainTextFormattedCitation" : "[7]", "previouslyFormattedCitation" : "&lt;sup&gt;[7]&lt;/sup&gt;"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[7]</w:t>
      </w:r>
      <w:r w:rsidR="00257198"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Adenosine is an endogenous anti-inflammatory molecule which is decreased in inflammatory conditions with increased ADA activity</w:t>
      </w:r>
      <w:r w:rsidR="00257198"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"ISSN" : "8750-7587", "PMID" : "8175547", "abstract" : "Adenosine receptors are present on most cells and organs, yet, although the physiological effects of adenosine were first described over 60 years ago, the potential therapeutic uses of adenosine have only been recognized and realized recently. A decade ago the potent anti-inflammatory effects of adenosine were first described; adenosine, acting at specific A2 receptors, inhibits some, but not all, neutrophil functions. Adenosine inhibits phagocytosis, generation of toxic oxygen metabolites, and adhesion (to some surfaces and to endothelial cells) but does not inhibit degranulation or chemotaxis. Occupancy of adenosine A2 receptors modulates leukocyte function by a novel mechanism. Although adenosine A2 receptors are classically linked to heterotrimeric GS signaling proteins and stimulation of adenylate cyclase, adenosine 3',5'-cyclic monophosphate does not act as the second messenger for inhibition of leukocyte function. By a mechanism that still remains obscure, occupancy of adenosine A2 receptors on neutrophils \"uncouples\" chemoattractant receptors from their stimulus-transduction proteins. The concentrations of adenosine that inhibit inflammatory cell function are similar to those observed in vivo and suggest a role for adenosine in the modulation of inflammation in vivo. Indeed, recent studies indicate that nonmetabolized adenosine receptor agonists are potent anti-inflammatory agents, and other studies indicate that methotrexate, a commonly used anti-inflammatory agent, diminishes inflammation by increasing adenosine release at inflamed sites. The observations reviewed here suggest that adenosine and agents that act through adenosine are excellent candidates for development as anti-inflammatory agents.", "author" : [ { "dropping-particle" : "", "family" : "Cronstein", "given" : "B N", "non-dropping-particle" : "", "parse-names" : false, "suffix" : "" } ], "container-title" : "Journal of applied physiology (Bethesda, Md. : 1985)", "id" : "ITEM-1", "issue" : "1", "issued" : { "date-parts" : [ [ "1994", "1" ] ] }, "page" : "5-13", "title" : "Adenosine, an endogenous anti-inflammatory agent.", "type" : "article-journal", "volume" : "76" }, "uris" : [ "http://www.mendeley.com/documents/?uuid=d39cbc93-40f4-4fa7-b0da-4cff487dae4c" ] } ], "mendeley" : { "formattedCitation" : "&lt;sup&gt;[8]&lt;/sup&gt;", "plainTextFormattedCitation" : "[8]", "previouslyFormattedCitation" : "&lt;sup&gt;[8]&lt;/sup&gt;" }, "properties" : { "noteIndex" : 0 }, "schema" : "https://github.com/citation-style-language/schema/raw/master/csl-citation.json" }</w:instrText>
      </w:r>
      <w:r w:rsidR="00257198"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[8]</w:t>
      </w:r>
      <w:r w:rsidR="00257198"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xml:space="preserve">. </w:t>
      </w:r>
      <w:r w:rsidR="002854E2" w:rsidRPr="0053750E">
        <w:rPr>
          <w:rFonts w:ascii="Book Antiqua" w:hAnsi="Book Antiqua" w:cs="Times New Roman"/>
          <w:sz w:val="24"/>
          <w:szCs w:val="24"/>
          <w:lang w:val="en-US"/>
        </w:rPr>
        <w:t>I</w:t>
      </w:r>
      <w:r w:rsidRPr="0053750E">
        <w:rPr>
          <w:rFonts w:ascii="Book Antiqua" w:hAnsi="Book Antiqua" w:cs="Times New Roman"/>
          <w:sz w:val="24"/>
          <w:szCs w:val="24"/>
          <w:lang w:val="en-US"/>
        </w:rPr>
        <w:t xml:space="preserve">ncreased ADA activity has </w:t>
      </w:r>
      <w:r w:rsidR="002854E2" w:rsidRPr="0053750E">
        <w:rPr>
          <w:rFonts w:ascii="Book Antiqua" w:hAnsi="Book Antiqua" w:cs="Times New Roman"/>
          <w:sz w:val="24"/>
          <w:szCs w:val="24"/>
          <w:lang w:val="en-US"/>
        </w:rPr>
        <w:t xml:space="preserve">been </w:t>
      </w:r>
      <w:r w:rsidRPr="0053750E">
        <w:rPr>
          <w:rFonts w:ascii="Book Antiqua" w:hAnsi="Book Antiqua" w:cs="Times New Roman"/>
          <w:sz w:val="24"/>
          <w:szCs w:val="24"/>
          <w:lang w:val="en-US"/>
        </w:rPr>
        <w:t xml:space="preserve">shown in </w:t>
      </w:r>
      <w:r w:rsidR="002854E2" w:rsidRPr="0053750E">
        <w:rPr>
          <w:rFonts w:ascii="Book Antiqua" w:hAnsi="Book Antiqua" w:cs="Times New Roman"/>
          <w:sz w:val="24"/>
          <w:szCs w:val="24"/>
          <w:lang w:val="en-US"/>
        </w:rPr>
        <w:t xml:space="preserve">various </w:t>
      </w:r>
      <w:r w:rsidRPr="0053750E">
        <w:rPr>
          <w:rFonts w:ascii="Book Antiqua" w:hAnsi="Book Antiqua" w:cs="Times New Roman"/>
          <w:sz w:val="24"/>
          <w:szCs w:val="24"/>
          <w:lang w:val="en-US"/>
        </w:rPr>
        <w:t>autoimmune diseases such as systemic lupus erythematosus, rheumatoid arthritis</w:t>
      </w:r>
      <w:r w:rsidR="002854E2" w:rsidRPr="0053750E">
        <w:rPr>
          <w:rFonts w:ascii="Book Antiqua" w:hAnsi="Book Antiqua" w:cs="Times New Roman"/>
          <w:sz w:val="24"/>
          <w:szCs w:val="24"/>
          <w:lang w:val="en-US"/>
        </w:rPr>
        <w:t xml:space="preserve"> and Crohn’s disease</w:t>
      </w:r>
      <w:r w:rsidR="00954CB2"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"10.1007/s00296-011-1836-8", "ISSN" : "1437-160X", "PMID" : "21350874", "abstract" : "Adenosine deaminase (ADA) plays a crucial role in the development and maintenance of normal immune system. So, any immunological imbalances could associate with its altered activity in serum. This study evaluated the activity of total ADA and its isoenzymes in serum of 45 patients with systemic lupus erythematosus (SLE). Included were 23 patients with active SLE, 22 during the inactive phase of the disease, and 45 healthy subjects. Our results provided evidence that the significantly elevated total ADA activity in serum of SLE patients is correlated mainly with the increased ADA2 level. The highest mean ADA2 activity during the relapse phase of the disease could be an indication to the macrophages, the main source of ADA2. It might be concluded that ADA and its isoenzymes analysis in serum of patients could be used as a useful and non-invasive diagnostic tool in evaluation of SLE active phase and the disease severity.", "author" : [ { "dropping-particle" : "", "family" : "Saghiri", "given" : "Reza", "non-dropping-particle" : "", "parse-names" : false, "suffix" : "" }, { "dropping-particle" : "", "family" : "Ghashghai", "given" : "Niloufar", "non-dropping-particle" : "", "parse-names" : false, "suffix" : "" }, { "dropping-particle" : "", "family" : "Movaseghi", "given" : "Shafieh", "non-dropping-particle" : "", "parse-names" : false, "suffix" : "" }, { "dropping-particle" : "", "family" : "Poursharifi", "given" : "Pegah", "non-dropping-particle" : "", "parse-names" : false, "suffix" : "" }, { "dropping-particle" : "", "family" : "Jalilfar", "given" : "Shohreh", "non-dropping-particle" : "", "parse-names" : false, "suffix" : "" }, { "dropping-particle" : "", "family" : "Bidhendi", "given" : "Manijeh Ahmadi", "non-dropping-particle" : "", "parse-names" : false, "suffix" : "" }, { "dropping-particle" : "", "family" : "Ghazizadeh", "given" : "Leila", "non-dropping-particle" : "", "parse-names" : false, "suffix" : "" }, { "dropping-particle" : "", "family" : "Ebrahimi-Rad", "given" : "Mina", "non-dropping-particle" : "", "parse-names" : false, "suffix" : "" } ], "container-title" : "Rheumatology international", "id" : "ITEM-1", "issue" : "6", "issued" : { "date-parts" : [ [ "2012", "6" ] ] }, "page" : "1633-8", "title" : "Serum adenosine deaminase activity in patients with systemic lupus erythematosus: a study based on ADA1 and ADA2 isoenzymes pattern.", "type" : "article-journal", "volume" : "32" }, "uris" : [ "http://www.mendeley.com/documents/?uuid=32a83395-e5b9-401a-91fb-48a2f7f9ae49" ] }, { "id" : "ITEM-2", "itemData" : { "ISSN" : "0770-3198", "PMID" : "11771524", "abstract" : "Adenosine deaminase (ADA) is involved in purine metabolism and plays a significant role in the mechanisms of the immune system. The aim of this study was to investigate the activity of total ADA (tADA) and its isoenzymes ADA1 and ADA2 in serum and peripheral blood lymphocytes (PBLs) of children with juvenile rheumatoid arthritis (JRA) and systemic lupus erythematosus (SLE) in different phases of the diseases. The study comprised 34 patients with rheumatic disease, 24 with JRA and 10 with SLE, and 64 healthy controls. The tADA activity and its isoenzymes were measured in serum and PBLs of all patients by the method of Giusti and by the presence or absence of EHNA (erythro-9-(2-hydroxy-3-nonyl)adenine) during the active phase of the disease (before treatment), as well as during remission and relapse. Our data show that increased tADA activity in the serum and PBLs of patients with JRA and SLE is correlated mainly to increased levels of ADA2 activity in serum and ADA1 activity in PBLs. It also closely correlates with clinical disease activity and relapse. The cause of this increased tADA/ADA2 activity in serum and tADA/ADA1 activity in PBLs in JRA and SLE remains to be elucidated. Nevertheless, it may be noted that the measurement of tADA activity, together with ADA2 activity in serum and tADA with ADA1 activity in PBLs, could offer a biochemical approach to the assessment of the pathophysiology of JRA and SLE. Also, tADA and its isoenzymes could be used as alternative parameters representing disease activity.", "author" : [ { "dropping-particle" : "", "family" : "Hitoglou", "given" : "S", "non-dropping-particle" : "", "parse-names" : false, "suffix" : "" }, { "dropping-particle" : "", "family" : "Hatzistilianou", "given" : "M", "non-dropping-particle" : "", "parse-names" : false, "suffix" : "" }, { "dropping-particle" : "", "family" : "Gougoustamou", "given" : "D", "non-dropping-particle" : "", "parse-names" : false, "suffix" : "" }, { "dropping-particle" : "", "family" : "Athanassiadou", "given" : "F", "non-dropping-particle" : "", "parse-names" : false, "suffix" : "" }, { "dropping-particle" : "", "family" : "Kotsis", "given" : "A", "non-dropping-particle" : "", "parse-names" : false, "suffix" : "" }, { "dropping-particle" : "", "family" : "Catriu", "given" : "D", "non-dropping-particle" : "", "parse-names" : false, "suffix" : "" } ], "container-title" : "Clinical rheumatology", "id" : "ITEM-2", "issue" : "6", "issued" : { "date-parts" : [ [ "2001", "1" ] ] }, "page" : "411-6", "title" : "Adenosine deaminase activity and its isoenzyme pattern in patients with juvenile rheumatoid arthritis and systemic lupus erythematosus.", "type" : "article-journal", "volume" : "20" }, "uris" : [ "http://www.mendeley.com/documents/?uuid=31878fd9-fea2-4257-b6ed-8b7adf20ffc7" ] }, { "id" : "ITEM-3", "itemData" : { "DOI" : "10.1097/MEG.0b013e328346e205", "ISSN" : "1473-5687", "PMID" : "21593678", "abstract" : "BACKGROUND: Crohn's disease (CD) is a common chronic inflammatory bowel disease. During the disease a cascade of immunologic events occur including mucosal influx of inflammatory cells like neutrophils. Adenosine deaminase (ADA) is important in inflammatory responses and serves as a marker of activated leukocytes.\n\nMATERIALS AND METHODS: In this study, we investigated the activity of total ADA (tADA) and its isoenzymes, ADA1 and ADA2, in serum and neutrophils derived from 20 active patients with CD, 20 patients in remission, as well as in 15 healthy controls.\n\nRESULTS: Patients with active disease had significantly (P&lt;0.001) higher levels of tADA in serum (22.9\u00b14.9 U/l) than patients in remission or healthy controls (14.0\u00b13.4 U/l and 13.2\u00b12.4 U/l respectively). ADA2, the main isoenzyme in the serum was higher in active patients by 60% as compared with patients in remission and healthy controls (19.7\u00b11.9 U/l, 12.3\u00b11.2 U/l, and 12.2\u00b10.9 U/l respectively). We did not find a significant difference in these parameters between healthy controls and stable patients. There was a positive correlation (R=0.516) between tADA activity and C-reactive protein levels in patients with CD. Enhanced activity in tADA was also detected in neutrophils that were obtained from all patients with CD as compared with healthy controls (15.3\u00b12.9 U/g, 14.1\u00b12.3 U/g, and 9.4\u00b12.9 U/g protein, respectively). This is mainly due to a significant increment (up to 51%) in ADA1 activity, the main isoenzyme in the neutrophils (84% out of the tADA). The cause of this increment remains to be elucidated.\n\nCONCLUSION: The results obtained in this study demonstrated elevated levels of tADA and ADA2 in patients with active disease. As the patient improves and becomes clinically stable these levels decrease, approaching normal values. tADA and ADA2 can be used as markers of inflammation, and provide a supportive indicator of CD activity.", "author" : [ { "dropping-particle" : "", "family" : "Maor", "given" : "Irit", "non-dropping-particle" : "", "parse-names" : false, "suffix" : "" }, { "dropping-particle" : "", "family" : "Rainis", "given" : "Tova", "non-dropping-particle" : "", "parse-names" : false, "suffix" : "" }, { "dropping-particle" : "", "family" : "Lanir", "given" : "Amos", "non-dropping-particle" : "", "parse-names" : false, "suffix" : "" }, { "dropping-particle" : "", "family" : "Lavy", "given" : "Alexandra", "non-dropping-particle" : "", "parse-names" : false, "suffix" : "" } ], "container-title" : "European journal of gastroenterology &amp; hepatology", "id" : "ITEM-3", "issue" : "7", "issued" : { "date-parts" : [ [ "2011", "7" ] ] }, "page" : "598-602", "title" : "Adenosine deaminase activity in patients with Crohn's disease: distinction between active and nonactive disease.", "type" : "article-journal", "volume" : "23" }, "uris" : [ "http://www.mendeley.com/documents/?uuid=7be76384-12e1-4cea-afa1-1b93e43982be" ] } ], "mendeley" : { "formattedCitation" : "&lt;sup&gt;[9\u201311]&lt;/sup&gt;", "plainTextFormattedCitation" : "[9\u201311]", "previouslyFormattedCitation" : "&lt;sup&gt;[9\u201311]&lt;/sup&gt;" }, "properties" : { "noteIndex" : 0 }, "schema" : "https://github.com/citation-style-language/schema/raw/master/csl-citation.json" }</w:instrText>
      </w:r>
      <w:r w:rsidR="00954CB2"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[9–11]</w:t>
      </w:r>
      <w:r w:rsidR="00954CB2" w:rsidRPr="0053750E">
        <w:rPr>
          <w:rFonts w:ascii="Book Antiqua" w:hAnsi="Book Antiqua" w:cs="Times New Roman"/>
          <w:sz w:val="24"/>
          <w:szCs w:val="24"/>
          <w:lang w:val="en-US"/>
        </w:rPr>
        <w:fldChar w:fldCharType="end"/>
      </w:r>
      <w:r w:rsidR="002854E2" w:rsidRPr="0053750E">
        <w:rPr>
          <w:rFonts w:ascii="Book Antiqua" w:hAnsi="Book Antiqua" w:cs="Times New Roman"/>
          <w:sz w:val="24"/>
          <w:szCs w:val="24"/>
          <w:lang w:val="en-US"/>
        </w:rPr>
        <w:t xml:space="preserve">. </w:t>
      </w:r>
      <w:r w:rsidR="00954CB2" w:rsidRPr="0053750E">
        <w:rPr>
          <w:rFonts w:ascii="Book Antiqua" w:hAnsi="Book Antiqua" w:cs="Times New Roman"/>
          <w:sz w:val="24"/>
          <w:szCs w:val="24"/>
        </w:rPr>
        <w:t>Some</w:t>
      </w:r>
      <w:r w:rsidR="002854E2" w:rsidRPr="0053750E">
        <w:rPr>
          <w:rFonts w:ascii="Book Antiqua" w:hAnsi="Book Antiqua" w:cs="Times New Roman"/>
          <w:sz w:val="24"/>
          <w:szCs w:val="24"/>
          <w:lang w:val="en-US"/>
        </w:rPr>
        <w:t xml:space="preserve"> studies have suggested that ADA levels</w:t>
      </w:r>
      <w:r w:rsidR="00954CB2" w:rsidRPr="0053750E">
        <w:rPr>
          <w:rFonts w:ascii="Book Antiqua" w:hAnsi="Book Antiqua" w:cs="Times New Roman"/>
          <w:sz w:val="24"/>
          <w:szCs w:val="24"/>
          <w:lang w:val="en-US"/>
        </w:rPr>
        <w:t xml:space="preserve"> </w:t>
      </w:r>
      <w:r w:rsidR="002854E2" w:rsidRPr="0053750E">
        <w:rPr>
          <w:rFonts w:ascii="Book Antiqua" w:hAnsi="Book Antiqua" w:cs="Times New Roman"/>
          <w:sz w:val="24"/>
          <w:szCs w:val="24"/>
          <w:lang w:val="en-US"/>
        </w:rPr>
        <w:t>are associated with disease activation</w:t>
      </w:r>
      <w:r w:rsidR="00954CB2" w:rsidRPr="0053750E">
        <w:rPr>
          <w:rFonts w:ascii="Book Antiqua" w:hAnsi="Book Antiqua" w:cs="Times New Roman"/>
          <w:sz w:val="24"/>
          <w:szCs w:val="24"/>
          <w:lang w:val="en-US"/>
        </w:rPr>
        <w:t xml:space="preserve"> in </w:t>
      </w:r>
      <w:r w:rsidR="00954CB2" w:rsidRPr="0053750E">
        <w:rPr>
          <w:rFonts w:ascii="Book Antiqua" w:hAnsi="Book Antiqua" w:cs="Times New Roman"/>
          <w:sz w:val="24"/>
          <w:szCs w:val="24"/>
        </w:rPr>
        <w:t>viral hepatitis</w:t>
      </w:r>
      <w:r w:rsidR="00954CB2"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"ISSN" : "1684-1182", "PMID" : "17712462", "abstract" : "BACKGROUND AND PURPOSE: The evaluation of adenosine deaminase (ADA) activity in sera of patients with hepatitis should be considered a useful tool in the monitoring of their clinical status. In this study, we aimed to determine the relationship between viral load, transaminase levels, and serum ADA levels in hepatitis B virus (HBV)- and hepatitis C virus (HCV)-infected patients.\n\nMETHODS: Seventy three patients with hepatitis B, 71 patients with hepatitis C and 40 healthy individuals were included. Patients with HBV and HCV infections were classified into 3 groups according to viral load. Serum ADA levels were investigated by colorimetric assays.\n\nRESULTS: Serum alanine aminotransferase (ALT), aspartate aminotransferase (AST), and ADA levels of HBV- and HCV-infected patients were higher than those of the control group. These differences were statistically significant for the levels of all enzymes in HCV-infected patients (p&lt;0.05), and all except AST (p&gt;0.05) in HBV-infected patients. ADA levels of HBV-infected patients with high viral loads were higher than those in HBV-infected patients with intermediate and low viral loads, and the difference was detectably significant between patients with high and intermediate viral loads. Evaluation of HCV-infected patients according to viral load showed no statistically significant relationship between viral load and serum ADA, ALT, and AST levels (p&gt;0.05). HBV- and HCV-infected patients with high ALT and AST levels showed statistically significantly higher levels of ADA than patients with normal ALT and AST levels (p&lt;0.001).\n\nCONCLUSIONS: We suggest that serum ADA levels are associated more with the level of serum transaminases than viral load in HBV- and HCV-infected patients. In the treatment of patients with hepatitis, serum ADA levels should be considered a useful tool for the monitoring of liver condition.", "author" : [ { "dropping-particle" : "", "family" : "Kaya", "given" : "Sel\u00e7uk", "non-dropping-particle" : "", "parse-names" : false, "suffix" : "" }, { "dropping-particle" : "", "family" : "Cetin", "given" : "Emel Sesli", "non-dropping-particle" : "", "parse-names" : false, "suffix" : "" }, { "dropping-particle" : "", "family" : "Aridogan", "given" : "Buket Cicioglu", "non-dropping-particle" : "", "parse-names" : false, "suffix" : "" }, { "dropping-particle" : "", "family" : "Arikan", "given" : "Salih", "non-dropping-particle" : "", "parse-names" : false, "suffix" : "" }, { "dropping-particle" : "", "family" : "Demirci", "given" : "Mustafa", "non-dropping-particle" : "", "parse-names" : false, "suffix" : "" } ], "container-title" : "Journal of microbiology, immunology, and infection = Wei mian yu gan ran za zhi", "id" : "ITEM-1", "issue" : "4", "issued" : { "date-parts" : [ [ "2007", "8" ] ] }, "page" : "288-92", "title" : "Adenosine deaminase activity in serum of patients with hepatitis -- a useful tool in monitoring clinical status.", "type" : "article-journal", "volume" : "40" }, "uris" : [ "http://www.mendeley.com/documents/?uuid=7099dc2a-201f-44aa-9096-82bf720554f9" ] }, { "id" : "ITEM-2", "itemData" : { "author" : [ { "dropping-particle" : "", "family" : "Umaramani", "given" : "G", "non-dropping-particle" : "", "parse-names" : false, "suffix" : "" }, { "dropping-particle" : "", "family" : "Sameera", "given" : "K", "non-dropping-particle" : "", "parse-names" : false, "suffix" : "" }, { "dropping-particle" : "", "family" : "Suryanarayana", "given" : "D", "non-dropping-particle" : "", "parse-names" : false, "suffix" : "" } ], "container-title" : "Int J Biol Med Res", "id" : "ITEM-2", "issue" : "1", "issued" : { "date-parts" : [ [ "2012" ] ] }, "page" : "2017-2019", "title" : "Evaluation of Serum Adenosine Deaminase Activity in Viral Hepatitis", "type" : "article-journal", "volume" : "3" }, "uris" : [ "http://www.mendeley.com/documents/?uuid=be028fca-14d1-4171-879b-4067dffbb4f9" ] } ], "mendeley" : { "formattedCitation" : "&lt;sup&gt;[12,13]&lt;/sup&gt;", "plainTextFormattedCitation" : "[12,13]", "previouslyFormattedCitation" : "&lt;sup&gt;[12,13]&lt;/sup&gt;" }, "properties" : { "noteIndex" : 0 }, "schema" : "https://github.com/citation-style-language/schema/raw/master/csl-citation.json" }</w:instrText>
      </w:r>
      <w:r w:rsidR="00954CB2"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[12,13]</w:t>
      </w:r>
      <w:r w:rsidR="00954CB2" w:rsidRPr="0053750E">
        <w:rPr>
          <w:rFonts w:ascii="Book Antiqua" w:hAnsi="Book Antiqua" w:cs="Times New Roman"/>
          <w:sz w:val="24"/>
          <w:szCs w:val="24"/>
          <w:lang w:val="en-US"/>
        </w:rPr>
        <w:fldChar w:fldCharType="end"/>
      </w:r>
      <w:r w:rsidR="002854E2" w:rsidRPr="0053750E">
        <w:rPr>
          <w:rFonts w:ascii="Book Antiqua" w:hAnsi="Book Antiqua" w:cs="Times New Roman"/>
          <w:sz w:val="24"/>
          <w:szCs w:val="24"/>
          <w:lang w:val="en-US"/>
        </w:rPr>
        <w:t>.</w:t>
      </w:r>
    </w:p>
    <w:p w:rsidR="00FB30B9" w:rsidRPr="0053750E" w:rsidRDefault="00FB30B9" w:rsidP="00245C94">
      <w:pPr>
        <w:pStyle w:val="a4"/>
        <w:spacing w:line="360" w:lineRule="auto"/>
        <w:ind w:firstLineChars="100" w:firstLine="240"/>
        <w:jc w:val="both"/>
        <w:rPr>
          <w:rFonts w:ascii="Book Antiqua" w:hAnsi="Book Antiqua" w:cs="Times New Roman"/>
          <w:sz w:val="24"/>
          <w:szCs w:val="24"/>
          <w:lang w:val="en-US"/>
        </w:rPr>
      </w:pPr>
      <w:r w:rsidRPr="0053750E">
        <w:rPr>
          <w:rFonts w:ascii="Book Antiqua" w:hAnsi="Book Antiqua" w:cs="Times New Roman"/>
          <w:sz w:val="24"/>
          <w:szCs w:val="24"/>
          <w:lang w:val="en-US"/>
        </w:rPr>
        <w:t>In this study, we aimed to compare the AIH patients’ serum ADA level with histopathological features of liver biopsy. To our knowledge it is the first study investigating serum ADA activity in AIH and its results will be useful tool in the monitoring of clinical status of AIH patients.</w:t>
      </w:r>
    </w:p>
    <w:p w:rsidR="00954CB2" w:rsidRPr="0053750E" w:rsidRDefault="00954CB2" w:rsidP="001C799D">
      <w:pPr>
        <w:pStyle w:val="a4"/>
        <w:spacing w:line="360" w:lineRule="auto"/>
        <w:jc w:val="both"/>
        <w:rPr>
          <w:rFonts w:ascii="Book Antiqua" w:hAnsi="Book Antiqua" w:cs="Times New Roman"/>
          <w:sz w:val="24"/>
          <w:szCs w:val="24"/>
          <w:lang w:val="en-US"/>
        </w:rPr>
      </w:pPr>
    </w:p>
    <w:p w:rsidR="00954CB2" w:rsidRPr="0053750E" w:rsidRDefault="00A3018E"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MATERIALS AND METHODS</w:t>
      </w:r>
    </w:p>
    <w:p w:rsidR="00FB30B9" w:rsidRPr="0053750E" w:rsidRDefault="00FB30B9" w:rsidP="001C799D">
      <w:pPr>
        <w:pStyle w:val="a4"/>
        <w:spacing w:line="360" w:lineRule="auto"/>
        <w:jc w:val="both"/>
        <w:rPr>
          <w:rFonts w:ascii="Book Antiqua" w:hAnsi="Book Antiqua"/>
          <w:sz w:val="24"/>
          <w:szCs w:val="24"/>
          <w:lang w:val="en-US"/>
        </w:rPr>
      </w:pPr>
      <w:r w:rsidRPr="0053750E">
        <w:rPr>
          <w:rFonts w:ascii="Book Antiqua" w:hAnsi="Book Antiqua" w:cs="Times New Roman"/>
          <w:sz w:val="24"/>
          <w:szCs w:val="24"/>
          <w:lang w:val="en-US"/>
        </w:rPr>
        <w:t>Th</w:t>
      </w:r>
      <w:r w:rsidR="00954CB2" w:rsidRPr="0053750E">
        <w:rPr>
          <w:rFonts w:ascii="Book Antiqua" w:hAnsi="Book Antiqua" w:cs="Times New Roman"/>
          <w:sz w:val="24"/>
          <w:szCs w:val="24"/>
          <w:lang w:val="en-US"/>
        </w:rPr>
        <w:t xml:space="preserve">e study was carried out between </w:t>
      </w:r>
      <w:r w:rsidRPr="0053750E">
        <w:rPr>
          <w:rFonts w:ascii="Book Antiqua" w:hAnsi="Book Antiqua" w:cs="Times New Roman"/>
          <w:sz w:val="24"/>
          <w:szCs w:val="24"/>
          <w:lang w:val="en-US"/>
        </w:rPr>
        <w:t>2010-2015 on newly diagnosed</w:t>
      </w:r>
      <w:r w:rsidR="007E2A1B" w:rsidRPr="0053750E">
        <w:rPr>
          <w:rFonts w:ascii="Book Antiqua" w:hAnsi="Book Antiqua" w:cs="Times New Roman"/>
          <w:sz w:val="24"/>
          <w:szCs w:val="24"/>
          <w:lang w:val="en-US"/>
        </w:rPr>
        <w:t xml:space="preserve"> 52</w:t>
      </w:r>
      <w:r w:rsidRPr="0053750E">
        <w:rPr>
          <w:rFonts w:ascii="Book Antiqua" w:hAnsi="Book Antiqua" w:cs="Times New Roman"/>
          <w:sz w:val="24"/>
          <w:szCs w:val="24"/>
          <w:lang w:val="en-US"/>
        </w:rPr>
        <w:t xml:space="preserve"> AIH patients</w:t>
      </w:r>
      <w:r w:rsidR="0009458F" w:rsidRPr="0053750E">
        <w:rPr>
          <w:rFonts w:ascii="Book Antiqua" w:hAnsi="Book Antiqua" w:cs="Times New Roman"/>
          <w:sz w:val="24"/>
          <w:szCs w:val="24"/>
          <w:lang w:val="en-US"/>
        </w:rPr>
        <w:t xml:space="preserve"> who</w:t>
      </w:r>
      <w:r w:rsidRPr="0053750E">
        <w:rPr>
          <w:rFonts w:ascii="Book Antiqua" w:hAnsi="Book Antiqua" w:cs="Times New Roman"/>
          <w:sz w:val="24"/>
          <w:szCs w:val="24"/>
          <w:lang w:val="en-US"/>
        </w:rPr>
        <w:t xml:space="preserve"> admitted to the </w:t>
      </w:r>
      <w:proofErr w:type="spellStart"/>
      <w:r w:rsidRPr="0053750E">
        <w:rPr>
          <w:rFonts w:ascii="Book Antiqua" w:hAnsi="Book Antiqua" w:cs="Times New Roman"/>
          <w:sz w:val="24"/>
          <w:szCs w:val="24"/>
          <w:lang w:val="en-US"/>
        </w:rPr>
        <w:t>Hacettepe</w:t>
      </w:r>
      <w:proofErr w:type="spellEnd"/>
      <w:r w:rsidRPr="0053750E">
        <w:rPr>
          <w:rFonts w:ascii="Book Antiqua" w:hAnsi="Book Antiqua" w:cs="Times New Roman"/>
          <w:sz w:val="24"/>
          <w:szCs w:val="24"/>
          <w:lang w:val="en-US"/>
        </w:rPr>
        <w:t xml:space="preserve"> University gastroenterology department. Patients were excluded if they had concomitant hepatitis B virus (HBV), </w:t>
      </w:r>
      <w:proofErr w:type="spellStart"/>
      <w:r w:rsidRPr="0053750E">
        <w:rPr>
          <w:rFonts w:ascii="Book Antiqua" w:hAnsi="Book Antiqua" w:cs="Times New Roman"/>
          <w:sz w:val="24"/>
          <w:szCs w:val="24"/>
          <w:lang w:val="en-US"/>
        </w:rPr>
        <w:t>hepatits</w:t>
      </w:r>
      <w:proofErr w:type="spellEnd"/>
      <w:r w:rsidRPr="0053750E">
        <w:rPr>
          <w:rFonts w:ascii="Book Antiqua" w:hAnsi="Book Antiqua" w:cs="Times New Roman"/>
          <w:sz w:val="24"/>
          <w:szCs w:val="24"/>
          <w:lang w:val="en-US"/>
        </w:rPr>
        <w:t xml:space="preserve"> C virus (HCV), human immunodeficiency virus infections, primary biliary </w:t>
      </w:r>
      <w:r w:rsidR="00F27668" w:rsidRPr="0053750E">
        <w:rPr>
          <w:rFonts w:ascii="Book Antiqua" w:hAnsi="Book Antiqua" w:cs="Times New Roman"/>
          <w:sz w:val="24"/>
          <w:szCs w:val="24"/>
          <w:lang w:val="en-US"/>
        </w:rPr>
        <w:t>cholangitis (PBC)</w:t>
      </w:r>
      <w:r w:rsidRPr="0053750E">
        <w:rPr>
          <w:rFonts w:ascii="Book Antiqua" w:hAnsi="Book Antiqua" w:cs="Times New Roman"/>
          <w:sz w:val="24"/>
          <w:szCs w:val="24"/>
          <w:lang w:val="en-US"/>
        </w:rPr>
        <w:t xml:space="preserve">, primary </w:t>
      </w:r>
      <w:proofErr w:type="spellStart"/>
      <w:r w:rsidRPr="0053750E">
        <w:rPr>
          <w:rFonts w:ascii="Book Antiqua" w:hAnsi="Book Antiqua" w:cs="Times New Roman"/>
          <w:sz w:val="24"/>
          <w:szCs w:val="24"/>
          <w:lang w:val="en-US"/>
        </w:rPr>
        <w:t>sclerosing</w:t>
      </w:r>
      <w:proofErr w:type="spellEnd"/>
      <w:r w:rsidRPr="0053750E">
        <w:rPr>
          <w:rFonts w:ascii="Book Antiqua" w:hAnsi="Book Antiqua" w:cs="Times New Roman"/>
          <w:sz w:val="24"/>
          <w:szCs w:val="24"/>
          <w:lang w:val="en-US"/>
        </w:rPr>
        <w:t xml:space="preserve"> cholangitis</w:t>
      </w:r>
      <w:r w:rsidR="00F27668" w:rsidRPr="0053750E">
        <w:rPr>
          <w:rFonts w:ascii="Book Antiqua" w:hAnsi="Book Antiqua" w:cs="Times New Roman"/>
          <w:sz w:val="24"/>
          <w:szCs w:val="24"/>
          <w:lang w:val="en-US"/>
        </w:rPr>
        <w:t xml:space="preserve"> (PSC)</w:t>
      </w:r>
      <w:r w:rsidRPr="0053750E">
        <w:rPr>
          <w:rFonts w:ascii="Book Antiqua" w:hAnsi="Book Antiqua" w:cs="Times New Roman"/>
          <w:sz w:val="24"/>
          <w:szCs w:val="24"/>
          <w:lang w:val="en-US"/>
        </w:rPr>
        <w:t xml:space="preserve">, excessive alcohol consumption, </w:t>
      </w:r>
      <w:proofErr w:type="spellStart"/>
      <w:r w:rsidRPr="0053750E">
        <w:rPr>
          <w:rFonts w:ascii="Book Antiqua" w:hAnsi="Book Antiqua" w:cs="Times New Roman"/>
          <w:sz w:val="24"/>
          <w:szCs w:val="24"/>
          <w:lang w:val="en-US"/>
        </w:rPr>
        <w:t>decompansated</w:t>
      </w:r>
      <w:proofErr w:type="spellEnd"/>
      <w:r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lastRenderedPageBreak/>
        <w:t xml:space="preserve">cirrhosis, </w:t>
      </w:r>
      <w:proofErr w:type="spellStart"/>
      <w:r w:rsidRPr="0053750E">
        <w:rPr>
          <w:rFonts w:ascii="Book Antiqua" w:hAnsi="Book Antiqua" w:cs="Times New Roman"/>
          <w:sz w:val="24"/>
          <w:szCs w:val="24"/>
          <w:lang w:val="en-US"/>
        </w:rPr>
        <w:t>hemochoromatosis</w:t>
      </w:r>
      <w:proofErr w:type="spellEnd"/>
      <w:r w:rsidRPr="0053750E">
        <w:rPr>
          <w:rFonts w:ascii="Book Antiqua" w:hAnsi="Book Antiqua" w:cs="Times New Roman"/>
          <w:sz w:val="24"/>
          <w:szCs w:val="24"/>
          <w:lang w:val="en-US"/>
        </w:rPr>
        <w:t xml:space="preserve">, Wilson’s disease, α1-anti trypsin deficiency, hepatic and extra hepatic </w:t>
      </w:r>
      <w:proofErr w:type="spellStart"/>
      <w:r w:rsidRPr="0053750E">
        <w:rPr>
          <w:rFonts w:ascii="Book Antiqua" w:hAnsi="Book Antiqua" w:cs="Times New Roman"/>
          <w:sz w:val="24"/>
          <w:szCs w:val="24"/>
          <w:lang w:val="en-US"/>
        </w:rPr>
        <w:t>malignacies</w:t>
      </w:r>
      <w:proofErr w:type="spellEnd"/>
      <w:r w:rsidRPr="0053750E">
        <w:rPr>
          <w:rFonts w:ascii="Book Antiqua" w:hAnsi="Book Antiqua" w:cs="Times New Roman"/>
          <w:sz w:val="24"/>
          <w:szCs w:val="24"/>
          <w:lang w:val="en-US"/>
        </w:rPr>
        <w:t>, inflammatory bowel diseases and other autoimmune diseases. Patients who had infections that alter serum ADA levels such as tuberculosis and brucellosis were also excluded. Clinical characteristics of patients were record</w:t>
      </w:r>
      <w:r w:rsidR="00F27668" w:rsidRPr="0053750E">
        <w:rPr>
          <w:rFonts w:ascii="Book Antiqua" w:hAnsi="Book Antiqua" w:cs="Times New Roman"/>
          <w:sz w:val="24"/>
          <w:szCs w:val="24"/>
          <w:lang w:val="en-US"/>
        </w:rPr>
        <w:t>ed at the time of AIH diagnosis.</w:t>
      </w:r>
      <w:r w:rsidRPr="0053750E">
        <w:rPr>
          <w:rFonts w:ascii="Book Antiqua" w:hAnsi="Book Antiqua" w:cs="Times New Roman"/>
          <w:sz w:val="24"/>
          <w:szCs w:val="24"/>
          <w:lang w:val="en-US"/>
        </w:rPr>
        <w:t xml:space="preserve"> AIH was diagnosed according to the simplified criteria suggested by IAIHG</w:t>
      </w:r>
      <w:r w:rsidR="007E2A1B"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"10.1002/hep.22322", "ISSN" : "1527-3350", "PMID" : "18537184", "abstract" : "UNLABELLED: Diagnosis of autoimmune hepatitis (AIH) may be challenging. However, early diagnosis is important because immunosuppression is life-saving. Diagnostic criteria of the International Autoimmune Hepatitis Group (IAIHG) were complex and purely meant for scientific purposes. This study of the IAIHG aims to define simplified diagnostic criteria for routine clinical practice. Candidate criteria included sex, age, autoantibodies, immunoglobulins, absence of viral hepatitis, and histology. The training set included 250 AIH patients and 193 controls from 11 centers worldwide. Scores were built from variables showing predictive ability in univariate analysis. Diagnostic value of each score was assessed by the area under the receiver operating characteristic (ROC) curve. The best score was validated using data of an additional 109 AIH patients and 284 controls. This score included autoantibodies, immunoglobulin G, histology, and exclusion of viral hepatitis. The area under the curve for prediction of AIH was 0.946 in the training set and 0.91 in the validation set. Based on the ROC curves, two cutoff points were chosen. The score was found to have 88% sensitivity and 97% specificity (cutoff &gt; or =6) and 81% sensitivity and 99% specificity (cutoff &gt; or =7) in the validation set.\n\nCONCLUSION: A reliable diagnosis of AIH can be made using a very simple diagnostic score. We propose the diagnosis of probable AIH at a cutoff point greater than 6 points and definite AIH 7 points or higher.", "author" : [ { "dropping-particle" : "", "family" : "Hennes", "given" : "Elke M", "non-dropping-particle" : "", "parse-names" : false, "suffix" : "" }, { "dropping-particle" : "", "family" : "Zeniya", "given" : "Mikio", "non-dropping-particle" : "", "parse-names" : false, "suffix" : "" }, { "dropping-particle" : "", "family" : "Czaja", "given" : "Albert J", "non-dropping-particle" : "", "parse-names" : false, "suffix" : "" }, { "dropping-particle" : "", "family" : "Par\u00e9s", "given" : "Albert", "non-dropping-particle" : "", "parse-names" : false, "suffix" : "" }, { "dropping-particle" : "", "family" : "Dalekos", "given" : "George N", "non-dropping-particle" : "", "parse-names" : false, "suffix" : "" }, { "dropping-particle" : "", "family" : "Krawitt", "given" : "Edward L",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"Boberg", "given" : "Kirsten M", "non-dropping-particle" : "", "parse-names" : false, "suffix" : "" }, { "dropping-particle" : "", "family" : "Hofer", "given" : "Harald", "non-dropping-particle" : "", "parse-names" : false, "suffix" : "" }, { "dropping-particle" : "", "family" : "Bianchi", "given" : "Francesco B", "non-dropping-particle" : "", "parse-names" : false, "suffix" : "" }, { "dropping-particle" : "", "family" : "Shibata", "given" : "Minoru", "non-dropping-particle" : "", "parse-names" : false, "suffix" : "" }, { "dropping-particle" : "", "family" : "Schramm", "given" : "Christoph", "non-dropping-particle" : "", "parse-names" : false, "suffix" : "" }, { "dropping-particle" : "", "family" : "Eisenmann de Torres", "given" : "Barbara", "non-dropping-particle" : "", "parse-names" : false, "suffix" : "" }, { "dropping-particle" : "", "family" : "Galle", "given" : "Peter R", "non-dropping-particle" : "", "parse-names" : false, "suffix" : "" }, { "dropping-particle" : "", "family" : "McFarlane", "given" : "Ian", "non-dropping-particle" : "", "parse-names" : false, "suffix" : "" }, { "dropping-particle" : "", "family" : "Dienes", "given" : "Hans-Peter", "non-dropping-particle" : "", "parse-names" : false, "suffix" : "" }, { "dropping-particle" : "", "family" : "Lohse", "given" : "Ansgar W", "non-dropping-particle" : "", "parse-names" : false, "suffix" : "" } ], "container-title" : "Hepatology (Baltimore, Md.)", "id" : "ITEM-1", "issue" : "1", "issued" : { "date-parts" : [ [ "2008", "7" ] ] }, "page" : "169-76", "title" : "Simplified criteria for the diagnosis of autoimmune hepatitis.", "type" : "article-journal", "volume" : "48" }, "uris" : [ "http://www.mendeley.com/documents/?uuid=8e7afed7-b79e-4877-a44c-811b1dd16f12" ] } ], "mendeley" : { "formattedCitation" : "&lt;sup&gt;[3]&lt;/sup&gt;", "plainTextFormattedCitation" : "[3]", "previouslyFormattedCitation" : "&lt;sup&gt;[3]&lt;/sup&gt;" }, "properties" : { "noteIndex" : 0 }, "schema" : "https://github.com/citation-style-language/schema/raw/master/csl-citation.json" }</w:instrText>
      </w:r>
      <w:r w:rsidR="007E2A1B"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[3]</w:t>
      </w:r>
      <w:r w:rsidR="007E2A1B"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The diagnosis of patients was confirmed by a liver biopsy. After collection of the serum samples, the patients were treated with prednisone (30-60 mg/day) alone or in combination with azathioprine (50-100 mg/</w:t>
      </w:r>
      <w:r w:rsidR="00245C94" w:rsidRPr="0053750E">
        <w:rPr>
          <w:rFonts w:ascii="Book Antiqua" w:hAnsi="Book Antiqua" w:cs="Times New Roman"/>
          <w:sz w:val="24"/>
          <w:szCs w:val="24"/>
          <w:lang w:val="en-US"/>
        </w:rPr>
        <w:t>d</w:t>
      </w:r>
      <w:r w:rsidRPr="0053750E">
        <w:rPr>
          <w:rFonts w:ascii="Book Antiqua" w:hAnsi="Book Antiqua" w:cs="Times New Roman"/>
          <w:sz w:val="24"/>
          <w:szCs w:val="24"/>
          <w:lang w:val="en-US"/>
        </w:rPr>
        <w:t>). Biochemical remission was defined as the normalization of aminotransferase and IgG levels while receiving treatment, relapse was defined as rise in aminotransferases of more than threefold the upper limit of normal after a response or remission</w:t>
      </w:r>
      <w:r w:rsidRPr="0053750E">
        <w:rPr>
          <w:rFonts w:ascii="Book Antiqua" w:hAnsi="Book Antiqua"/>
          <w:sz w:val="24"/>
          <w:szCs w:val="24"/>
          <w:lang w:val="en-US"/>
        </w:rPr>
        <w:t>.</w:t>
      </w:r>
      <w:r w:rsidR="00991EF3" w:rsidRPr="0053750E">
        <w:rPr>
          <w:rFonts w:ascii="Book Antiqua" w:hAnsi="Book Antiqua"/>
          <w:sz w:val="24"/>
          <w:szCs w:val="24"/>
          <w:lang w:val="en-US"/>
        </w:rPr>
        <w:t xml:space="preserve">      </w:t>
      </w:r>
    </w:p>
    <w:p w:rsidR="00954CB2" w:rsidRPr="0053750E" w:rsidRDefault="00954CB2" w:rsidP="001C799D">
      <w:pPr>
        <w:pStyle w:val="a4"/>
        <w:spacing w:line="360" w:lineRule="auto"/>
        <w:jc w:val="both"/>
        <w:rPr>
          <w:rFonts w:ascii="Book Antiqua" w:hAnsi="Book Antiqua"/>
          <w:sz w:val="24"/>
          <w:szCs w:val="24"/>
          <w:lang w:val="en-US"/>
        </w:rPr>
      </w:pPr>
    </w:p>
    <w:p w:rsidR="0009458F" w:rsidRPr="0053750E" w:rsidRDefault="00FB30B9" w:rsidP="001C799D">
      <w:pPr>
        <w:pStyle w:val="a4"/>
        <w:spacing w:line="360" w:lineRule="auto"/>
        <w:jc w:val="both"/>
        <w:rPr>
          <w:rFonts w:ascii="Book Antiqua" w:hAnsi="Book Antiqua" w:cs="Times New Roman"/>
          <w:b/>
          <w:i/>
          <w:sz w:val="24"/>
          <w:szCs w:val="24"/>
        </w:rPr>
      </w:pPr>
      <w:r w:rsidRPr="0053750E">
        <w:rPr>
          <w:rFonts w:ascii="Book Antiqua" w:hAnsi="Book Antiqua" w:cs="Times New Roman"/>
          <w:b/>
          <w:i/>
          <w:sz w:val="24"/>
          <w:szCs w:val="24"/>
          <w:lang w:val="en-US"/>
        </w:rPr>
        <w:t xml:space="preserve">Control </w:t>
      </w:r>
      <w:r w:rsidR="00245C94" w:rsidRPr="0053750E">
        <w:rPr>
          <w:rFonts w:ascii="Book Antiqua" w:hAnsi="Book Antiqua" w:cs="Times New Roman"/>
          <w:b/>
          <w:i/>
          <w:sz w:val="24"/>
          <w:szCs w:val="24"/>
          <w:lang w:val="en-US"/>
        </w:rPr>
        <w:t>g</w:t>
      </w:r>
      <w:r w:rsidRPr="0053750E">
        <w:rPr>
          <w:rFonts w:ascii="Book Antiqua" w:hAnsi="Book Antiqua" w:cs="Times New Roman"/>
          <w:b/>
          <w:i/>
          <w:sz w:val="24"/>
          <w:szCs w:val="24"/>
          <w:lang w:val="en-US"/>
        </w:rPr>
        <w:t>roup</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We included age- and sex-matched healthy subjects who did not have evidence of liver diseases or other chronic disorders. Neither patients nor controls had the diagnose or sign of tuberculosis.</w:t>
      </w:r>
    </w:p>
    <w:p w:rsidR="00FB30B9" w:rsidRPr="0053750E" w:rsidRDefault="00FB30B9" w:rsidP="001C799D">
      <w:pPr>
        <w:pStyle w:val="a4"/>
        <w:spacing w:line="360" w:lineRule="auto"/>
        <w:jc w:val="both"/>
        <w:rPr>
          <w:rFonts w:ascii="Book Antiqua" w:hAnsi="Book Antiqua"/>
          <w:sz w:val="24"/>
          <w:szCs w:val="24"/>
          <w:lang w:val="en-US"/>
        </w:rPr>
      </w:pPr>
    </w:p>
    <w:p w:rsidR="00954CB2"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 xml:space="preserve">Serological </w:t>
      </w:r>
      <w:r w:rsidR="00245C94" w:rsidRPr="0053750E">
        <w:rPr>
          <w:rFonts w:ascii="Book Antiqua" w:hAnsi="Book Antiqua" w:cs="Times New Roman"/>
          <w:b/>
          <w:i/>
          <w:sz w:val="24"/>
          <w:szCs w:val="24"/>
          <w:lang w:val="en-US"/>
        </w:rPr>
        <w:t>a</w:t>
      </w:r>
      <w:r w:rsidRPr="0053750E">
        <w:rPr>
          <w:rFonts w:ascii="Book Antiqua" w:hAnsi="Book Antiqua" w:cs="Times New Roman"/>
          <w:b/>
          <w:i/>
          <w:sz w:val="24"/>
          <w:szCs w:val="24"/>
          <w:lang w:val="en-US"/>
        </w:rPr>
        <w:t>ssessment</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Antinuclear </w:t>
      </w:r>
      <w:r w:rsidR="0009458F" w:rsidRPr="0053750E">
        <w:rPr>
          <w:rFonts w:ascii="Book Antiqua" w:hAnsi="Book Antiqua" w:cs="Times New Roman"/>
          <w:sz w:val="24"/>
          <w:szCs w:val="24"/>
          <w:lang w:val="en-US"/>
        </w:rPr>
        <w:t>antibodies (ANA), smooth muscle antibody (SMA), liver–kidney microsomal antibodies (LKM-1), were</w:t>
      </w:r>
      <w:r w:rsidRPr="0053750E">
        <w:rPr>
          <w:rFonts w:ascii="Book Antiqua" w:hAnsi="Book Antiqua" w:cs="Times New Roman"/>
          <w:sz w:val="24"/>
          <w:szCs w:val="24"/>
          <w:lang w:val="en-US"/>
        </w:rPr>
        <w:t xml:space="preserve"> detected according to standard autoantibody testing procedures and laboratory </w:t>
      </w:r>
      <w:r w:rsidR="0009458F" w:rsidRPr="0053750E">
        <w:rPr>
          <w:rFonts w:ascii="Book Antiqua" w:hAnsi="Book Antiqua" w:cs="Times New Roman"/>
          <w:sz w:val="24"/>
          <w:szCs w:val="24"/>
          <w:lang w:val="en-US"/>
        </w:rPr>
        <w:t xml:space="preserve">standards. </w:t>
      </w:r>
      <w:r w:rsidRPr="0053750E">
        <w:rPr>
          <w:rFonts w:ascii="Book Antiqua" w:hAnsi="Book Antiqua" w:cs="Times New Roman"/>
          <w:sz w:val="24"/>
          <w:szCs w:val="24"/>
          <w:lang w:val="en-US"/>
        </w:rPr>
        <w:t>An indirect immunofluorescence titer of 1</w:t>
      </w:r>
      <w:r w:rsidR="00521162"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40 or higher for ANA, SMA and LKM-1 was considered to be positive.</w:t>
      </w:r>
    </w:p>
    <w:p w:rsidR="007E2A1B" w:rsidRPr="0053750E" w:rsidRDefault="007E2A1B" w:rsidP="001C799D">
      <w:pPr>
        <w:pStyle w:val="a4"/>
        <w:spacing w:line="360" w:lineRule="auto"/>
        <w:jc w:val="both"/>
        <w:rPr>
          <w:rFonts w:ascii="Book Antiqua" w:hAnsi="Book Antiqua" w:cs="Times New Roman"/>
          <w:sz w:val="24"/>
          <w:szCs w:val="24"/>
          <w:lang w:val="en-US"/>
        </w:rPr>
      </w:pPr>
    </w:p>
    <w:p w:rsidR="007E2A1B"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 xml:space="preserve">Assessment of </w:t>
      </w:r>
      <w:r w:rsidR="000C5C80" w:rsidRPr="0053750E">
        <w:rPr>
          <w:rFonts w:ascii="Book Antiqua" w:hAnsi="Book Antiqua" w:cs="Times New Roman"/>
          <w:b/>
          <w:i/>
          <w:sz w:val="24"/>
          <w:szCs w:val="24"/>
          <w:lang w:val="en-US"/>
        </w:rPr>
        <w:t>s</w:t>
      </w:r>
      <w:r w:rsidRPr="0053750E">
        <w:rPr>
          <w:rFonts w:ascii="Book Antiqua" w:hAnsi="Book Antiqua" w:cs="Times New Roman"/>
          <w:b/>
          <w:i/>
          <w:sz w:val="24"/>
          <w:szCs w:val="24"/>
          <w:lang w:val="en-US"/>
        </w:rPr>
        <w:t>erum ADA activity</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Fasting serum blood samples were collected from peripheral vein and were </w:t>
      </w:r>
      <w:proofErr w:type="spellStart"/>
      <w:r w:rsidRPr="0053750E">
        <w:rPr>
          <w:rFonts w:ascii="Book Antiqua" w:hAnsi="Book Antiqua" w:cs="Times New Roman"/>
          <w:sz w:val="24"/>
          <w:szCs w:val="24"/>
          <w:lang w:val="en-US"/>
        </w:rPr>
        <w:t>transfered</w:t>
      </w:r>
      <w:proofErr w:type="spellEnd"/>
      <w:r w:rsidRPr="0053750E">
        <w:rPr>
          <w:rFonts w:ascii="Book Antiqua" w:hAnsi="Book Antiqua" w:cs="Times New Roman"/>
          <w:sz w:val="24"/>
          <w:szCs w:val="24"/>
          <w:lang w:val="en-US"/>
        </w:rPr>
        <w:t xml:space="preserve"> into the anticoagulant-free tubes. Tubes were centrifuged at 3500 rpm for 10 min and stored at -80 °C until the biochemical estimation of ADA activity. Serum ADA levels were measured with commercially </w:t>
      </w:r>
      <w:proofErr w:type="spellStart"/>
      <w:r w:rsidRPr="0053750E">
        <w:rPr>
          <w:rFonts w:ascii="Book Antiqua" w:hAnsi="Book Antiqua" w:cs="Times New Roman"/>
          <w:sz w:val="24"/>
          <w:szCs w:val="24"/>
          <w:lang w:val="en-US"/>
        </w:rPr>
        <w:t>avaiable</w:t>
      </w:r>
      <w:proofErr w:type="spellEnd"/>
      <w:r w:rsidRPr="0053750E">
        <w:rPr>
          <w:rFonts w:ascii="Book Antiqua" w:hAnsi="Book Antiqua" w:cs="Times New Roman"/>
          <w:sz w:val="24"/>
          <w:szCs w:val="24"/>
          <w:lang w:val="en-US"/>
        </w:rPr>
        <w:t xml:space="preserve"> ADA Quantitative UV Assay Kit (Ben </w:t>
      </w:r>
      <w:proofErr w:type="spellStart"/>
      <w:r w:rsidRPr="0053750E">
        <w:rPr>
          <w:rFonts w:ascii="Book Antiqua" w:hAnsi="Book Antiqua" w:cs="Times New Roman"/>
          <w:sz w:val="24"/>
          <w:szCs w:val="24"/>
          <w:lang w:val="en-US"/>
        </w:rPr>
        <w:t>S.r.l</w:t>
      </w:r>
      <w:proofErr w:type="spellEnd"/>
      <w:r w:rsidRPr="0053750E">
        <w:rPr>
          <w:rFonts w:ascii="Book Antiqua" w:hAnsi="Book Antiqua" w:cs="Times New Roman"/>
          <w:sz w:val="24"/>
          <w:szCs w:val="24"/>
          <w:lang w:val="en-US"/>
        </w:rPr>
        <w:t>. Biochemical Enterprise</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Milano, Italy) on COBAS MIRA (Roche Diagnostics</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Basel, Switzerland) spectrophotometric chemistry analyzer. Serum </w:t>
      </w:r>
      <w:r w:rsidRPr="0053750E">
        <w:rPr>
          <w:rFonts w:ascii="Book Antiqua" w:hAnsi="Book Antiqua" w:cs="Times New Roman"/>
          <w:sz w:val="24"/>
          <w:szCs w:val="24"/>
          <w:lang w:val="en-US"/>
        </w:rPr>
        <w:lastRenderedPageBreak/>
        <w:t>ADA values between 5-20 U/</w:t>
      </w:r>
      <w:r w:rsidR="00245C94" w:rsidRPr="0053750E">
        <w:rPr>
          <w:rFonts w:ascii="Book Antiqua" w:hAnsi="Book Antiqua" w:cs="Times New Roman"/>
          <w:sz w:val="24"/>
          <w:szCs w:val="24"/>
          <w:lang w:val="en-US"/>
        </w:rPr>
        <w:t xml:space="preserve">L </w:t>
      </w:r>
      <w:r w:rsidRPr="0053750E">
        <w:rPr>
          <w:rFonts w:ascii="Book Antiqua" w:hAnsi="Book Antiqua" w:cs="Times New Roman"/>
          <w:sz w:val="24"/>
          <w:szCs w:val="24"/>
          <w:lang w:val="en-US"/>
        </w:rPr>
        <w:t>were considered to be within the normal range according to the manufacturer’s instructions.</w:t>
      </w:r>
    </w:p>
    <w:p w:rsidR="00FB30B9" w:rsidRPr="0053750E" w:rsidRDefault="00FB30B9" w:rsidP="001C799D">
      <w:pPr>
        <w:pStyle w:val="a4"/>
        <w:spacing w:line="360" w:lineRule="auto"/>
        <w:jc w:val="both"/>
        <w:rPr>
          <w:rFonts w:ascii="Book Antiqua" w:hAnsi="Book Antiqua"/>
          <w:sz w:val="24"/>
          <w:szCs w:val="24"/>
          <w:lang w:val="en-US"/>
        </w:rPr>
      </w:pPr>
    </w:p>
    <w:p w:rsidR="00FB30B9"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 xml:space="preserve">Histological </w:t>
      </w:r>
      <w:proofErr w:type="spellStart"/>
      <w:r w:rsidR="00245C94" w:rsidRPr="0053750E">
        <w:rPr>
          <w:rFonts w:ascii="Book Antiqua" w:hAnsi="Book Antiqua" w:cs="Times New Roman"/>
          <w:b/>
          <w:i/>
          <w:sz w:val="24"/>
          <w:szCs w:val="24"/>
          <w:lang w:val="en-US"/>
        </w:rPr>
        <w:t>a</w:t>
      </w:r>
      <w:r w:rsidRPr="0053750E">
        <w:rPr>
          <w:rFonts w:ascii="Book Antiqua" w:hAnsi="Book Antiqua" w:cs="Times New Roman"/>
          <w:b/>
          <w:i/>
          <w:sz w:val="24"/>
          <w:szCs w:val="24"/>
          <w:lang w:val="en-US"/>
        </w:rPr>
        <w:t>ssesment</w:t>
      </w:r>
      <w:proofErr w:type="spellEnd"/>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The METAVİR score was used for staging liver fibrosis on a five (0-4)-point scale, where F0</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no fibrosis</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F1</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portal fibrosis without septa</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F2</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few septa</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F3</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numerous septa without cirrhosis</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F4</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cirrhosis</w:t>
      </w:r>
      <w:r w:rsidR="007E2A1B"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"10.1002/hep.510240201", "ISSN" : "0270-9139", "PMID" : "8690394", "abstract" : "Histological activity reflects the global assessment of basic necroinflammatory lesions and is a criterion of major importance in chronic hepatitis C. The aim of this study was to propose and test the accuracy of a simple algorithm that generates a single activity score based on basic pathological features. A panel of 10 pathologists reviewed 363 chronic hepatitis C liver biopsies and graded the activity of hepatitis according to their own experience (reference activity). Then, a consensual algorithm on the grading of activity was established by the 10 experts in a panel discussion. Finally, stepwise discriminant analysis was performed to define which basic features had been intuitively used in the reference activity (statistical activity). To test the accuracy of the algorithm, concordance between the activity defined by the algorithm and the reference activity was assessed. It was compared with concordance between the activity defined by the statistical model and the reference activity. The algorithm proposed by the panel for the grading of activity included piecemeal necrosis and lobular necrosis. Concordance between reference activity and activity defined by the algorithm was substantial (305 cases, 84%, kappa = .75). Discriminant analysis showed that piecemeal necrosis, lobular necrosis, and portal inflammation were independently used to grade the activity. Concordance between reference activity and activity defined by the statistical model was substantial (300 cases, 83%, kappa = .73), virtually identical to the concordance between reference activity and activity defined by algorithm. This study proposes a simple algorithm for the grading of activity in chronic hepatitis. Its accuracy is as high as that obtained using a statistical approach.", "author" : [ { "dropping-particle" : "", "family" : "Bedossa", "given" : "P", "non-dropping-particle" : "", "parse-names" : false, "suffix" : "" }, { "dropping-particle" : "", "family" : "Poynard", "given" : "T", "non-dropping-particle" : "", "parse-names" : false, "suffix" : "" } ], "container-title" : "Hepatology (Baltimore, Md.)", "id" : "ITEM-1", "issue" : "2", "issued" : { "date-parts" : [ [ "1996", "8" ] ] }, "page" : "289-93", "title" : "An algorithm for the grading of activity in chronic hepatitis C. The METAVIR Cooperative Study Group.", "type" : "article-journal", "volume" : "24" }, "uris" : [ "http://www.mendeley.com/documents/?uuid=14036273-77c1-460e-8307-e6d75805f8e0" ] } ], "mendeley" : { "formattedCitation" : "&lt;sup&gt;[14]&lt;/sup&gt;", "plainTextFormattedCitation" : "[14]", "previouslyFormattedCitation" : "&lt;sup&gt;[14]&lt;/sup&gt;" }, "properties" : { "noteIndex" : 0 }, "schema" : "https://github.com/citation-style-language/schema/raw/master/csl-citation.json" }</w:instrText>
      </w:r>
      <w:r w:rsidR="007E2A1B"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[14]</w:t>
      </w:r>
      <w:r w:rsidR="007E2A1B"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Presence of lymphocytic piecemeal necrosis was graded as mild (necrosis around 1–2 portal tracts), moderate (necrosis at the periphery of about half of the portal tracts) and severe (necrosis surrounding more than half of the circumference of almost all portal tracts). The typical and compatible histology for AIH was defined according to the IAIHG criteria</w:t>
      </w:r>
      <w:r w:rsidR="007E2A1B" w:rsidRPr="0053750E">
        <w:rPr>
          <w:rFonts w:ascii="Book Antiqua" w:hAnsi="Book Antiqua" w:cs="Times New Roman"/>
          <w:sz w:val="24"/>
          <w:szCs w:val="24"/>
          <w:lang w:val="en-US"/>
        </w:rPr>
        <w:t xml:space="preserve"> </w:t>
      </w:r>
      <w:r w:rsidR="007E2A1B"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"10.1002/hep.22322", "ISSN" : "1527-3350", "PMID" : "18537184", "abstract" : "UNLABELLED: Diagnosis of autoimmune hepatitis (AIH) may be challenging. However, early diagnosis is important because immunosuppression is life-saving. Diagnostic criteria of the International Autoimmune Hepatitis Group (IAIHG) were complex and purely meant for scientific purposes. This study of the IAIHG aims to define simplified diagnostic criteria for routine clinical practice. Candidate criteria included sex, age, autoantibodies, immunoglobulins, absence of viral hepatitis, and histology. The training set included 250 AIH patients and 193 controls from 11 centers worldwide. Scores were built from variables showing predictive ability in univariate analysis. Diagnostic value of each score was assessed by the area under the receiver operating characteristic (ROC) curve. The best score was validated using data of an additional 109 AIH patients and 284 controls. This score included autoantibodies, immunoglobulin G, histology, and exclusion of viral hepatitis. The area under the curve for prediction of AIH was 0.946 in the training set and 0.91 in the validation set. Based on the ROC curves, two cutoff points were chosen. The score was found to have 88% sensitivity and 97% specificity (cutoff &gt; or =6) and 81% sensitivity and 99% specificity (cutoff &gt; or =7) in the validation set.\n\nCONCLUSION: A reliable diagnosis of AIH can be made using a very simple diagnostic score. We propose the diagnosis of probable AIH at a cutoff point greater than 6 points and definite AIH 7 points or higher.", "author" : [ { "dropping-particle" : "", "family" : "Hennes", "given" : "Elke M", "non-dropping-particle" : "", "parse-names" : false, "suffix" : "" }, { "dropping-particle" : "", "family" : "Zeniya", "given" : "Mikio", "non-dropping-particle" : "", "parse-names" : false, "suffix" : "" }, { "dropping-particle" : "", "family" : "Czaja", "given" : "Albert J", "non-dropping-particle" : "", "parse-names" : false, "suffix" : "" }, { "dropping-particle" : "", "family" : "Par\u00e9s", "given" : "Albert", "non-dropping-particle" : "", "parse-names" : false, "suffix" : "" }, { "dropping-particle" : "", "family" : "Dalekos", "given" : "George N", "non-dropping-particle" : "", "parse-names" : false, "suffix" : "" }, { "dropping-particle" : "", "family" : "Krawitt", "given" : "Edward L",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"Boberg", "given" : "Kirsten M", "non-dropping-particle" : "", "parse-names" : false, "suffix" : "" }, { "dropping-particle" : "", "family" : "Hofer", "given" : "Harald", "non-dropping-particle" : "", "parse-names" : false, "suffix" : "" }, { "dropping-particle" : "", "family" : "Bianchi", "given" : "Francesco B", "non-dropping-particle" : "", "parse-names" : false, "suffix" : "" }, { "dropping-particle" : "", "family" : "Shibata", "given" : "Minoru", "non-dropping-particle" : "", "parse-names" : false, "suffix" : "" }, { "dropping-particle" : "", "family" : "Schramm", "given" : "Christoph", "non-dropping-particle" : "", "parse-names" : false, "suffix" : "" }, { "dropping-particle" : "", "family" : "Eisenmann de Torres", "given" : "Barbara", "non-dropping-particle" : "", "parse-names" : false, "suffix" : "" }, { "dropping-particle" : "", "family" : "Galle", "given" : "Peter R", "non-dropping-particle" : "", "parse-names" : false, "suffix" : "" }, { "dropping-particle" : "", "family" : "McFarlane", "given" : "Ian", "non-dropping-particle" : "", "parse-names" : false, "suffix" : "" }, { "dropping-particle" : "", "family" : "Dienes", "given" : "Hans-Peter", "non-dropping-particle" : "", "parse-names" : false, "suffix" : "" }, { "dropping-particle" : "", "family" : "Lohse", "given" : "Ansgar W", "non-dropping-particle" : "", "parse-names" : false, "suffix" : "" } ], "container-title" : "Hepatology (Baltimore, Md.)", "id" : "ITEM-1", "issue" : "1", "issued" : { "date-parts" : [ [ "2008", "7" ] ] }, "page" : "169-76", "title" : "Simplified criteria for the diagnosis of autoimmune hepatitis.", "type" : "article-journal", "volume" : "48" }, "uris" : [ "http://www.mendeley.com/documents/?uuid=8e7afed7-b79e-4877-a44c-811b1dd16f12" ] } ], "mendeley" : { "formattedCitation" : "&lt;sup&gt;[3]&lt;/sup&gt;", "plainTextFormattedCitation" : "[3]", "previouslyFormattedCitation" : "&lt;sup&gt;[3]&lt;/sup&gt;" }, "properties" : { "noteIndex" : 0 }, "schema" : "https://github.com/citation-style-language/schema/raw/master/csl-citation.json" }</w:instrText>
      </w:r>
      <w:r w:rsidR="007E2A1B"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[3]</w:t>
      </w:r>
      <w:r w:rsidR="007E2A1B"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w:t>
      </w:r>
    </w:p>
    <w:p w:rsidR="00C46E15" w:rsidRPr="0053750E" w:rsidRDefault="00C46E15" w:rsidP="001C799D">
      <w:pPr>
        <w:pStyle w:val="a4"/>
        <w:spacing w:line="360" w:lineRule="auto"/>
        <w:jc w:val="both"/>
        <w:rPr>
          <w:rFonts w:ascii="Book Antiqua" w:hAnsi="Book Antiqua" w:cs="Times New Roman"/>
          <w:sz w:val="24"/>
          <w:szCs w:val="24"/>
          <w:lang w:val="en-US"/>
        </w:rPr>
      </w:pPr>
    </w:p>
    <w:p w:rsidR="007E2A1B"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 xml:space="preserve">Statistical </w:t>
      </w:r>
      <w:r w:rsidR="00245C94" w:rsidRPr="0053750E">
        <w:rPr>
          <w:rFonts w:ascii="Book Antiqua" w:hAnsi="Book Antiqua" w:cs="Times New Roman"/>
          <w:b/>
          <w:i/>
          <w:sz w:val="24"/>
          <w:szCs w:val="24"/>
          <w:lang w:val="en-US"/>
        </w:rPr>
        <w:t>a</w:t>
      </w:r>
      <w:r w:rsidRPr="0053750E">
        <w:rPr>
          <w:rFonts w:ascii="Book Antiqua" w:hAnsi="Book Antiqua" w:cs="Times New Roman"/>
          <w:b/>
          <w:i/>
          <w:sz w:val="24"/>
          <w:szCs w:val="24"/>
          <w:lang w:val="en-US"/>
        </w:rPr>
        <w:t>nalysis</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Statistical analyses were performed using the SPSS software version 21 (SPSS, Chicago, IL, USA). The variables were investigated using visual (histograms, probability plots) and analytical methods (Kolmogorov-</w:t>
      </w:r>
      <w:proofErr w:type="spellStart"/>
      <w:r w:rsidRPr="0053750E">
        <w:rPr>
          <w:rFonts w:ascii="Book Antiqua" w:hAnsi="Book Antiqua" w:cs="Times New Roman"/>
          <w:sz w:val="24"/>
          <w:szCs w:val="24"/>
          <w:lang w:val="en-US"/>
        </w:rPr>
        <w:t>Simirnov</w:t>
      </w:r>
      <w:proofErr w:type="spellEnd"/>
      <w:r w:rsidRPr="0053750E">
        <w:rPr>
          <w:rFonts w:ascii="Book Antiqua" w:hAnsi="Book Antiqua" w:cs="Times New Roman"/>
          <w:sz w:val="24"/>
          <w:szCs w:val="24"/>
          <w:lang w:val="en-US"/>
        </w:rPr>
        <w:t>/</w:t>
      </w:r>
      <w:proofErr w:type="spellStart"/>
      <w:r w:rsidRPr="0053750E">
        <w:rPr>
          <w:rFonts w:ascii="Book Antiqua" w:hAnsi="Book Antiqua" w:cs="Times New Roman"/>
          <w:sz w:val="24"/>
          <w:szCs w:val="24"/>
          <w:lang w:val="en-US"/>
        </w:rPr>
        <w:t>ShapiroWilk’s</w:t>
      </w:r>
      <w:proofErr w:type="spellEnd"/>
      <w:r w:rsidRPr="0053750E">
        <w:rPr>
          <w:rFonts w:ascii="Book Antiqua" w:hAnsi="Book Antiqua" w:cs="Times New Roman"/>
          <w:sz w:val="24"/>
          <w:szCs w:val="24"/>
          <w:lang w:val="en-US"/>
        </w:rPr>
        <w:t xml:space="preserve"> test) to determine whether or not they are normally </w:t>
      </w:r>
      <w:proofErr w:type="spellStart"/>
      <w:r w:rsidRPr="0053750E">
        <w:rPr>
          <w:rFonts w:ascii="Book Antiqua" w:hAnsi="Book Antiqua" w:cs="Times New Roman"/>
          <w:sz w:val="24"/>
          <w:szCs w:val="24"/>
          <w:lang w:val="en-US"/>
        </w:rPr>
        <w:t>distrubuted</w:t>
      </w:r>
      <w:proofErr w:type="spellEnd"/>
      <w:r w:rsidRPr="0053750E">
        <w:rPr>
          <w:rFonts w:ascii="Book Antiqua" w:hAnsi="Book Antiqua" w:cs="Times New Roman"/>
          <w:sz w:val="24"/>
          <w:szCs w:val="24"/>
          <w:lang w:val="en-US"/>
        </w:rPr>
        <w:t xml:space="preserve">. Descriptive analyses were presented using means and </w:t>
      </w:r>
      <w:proofErr w:type="spellStart"/>
      <w:r w:rsidRPr="0053750E">
        <w:rPr>
          <w:rFonts w:ascii="Book Antiqua" w:hAnsi="Book Antiqua" w:cs="Times New Roman"/>
          <w:sz w:val="24"/>
          <w:szCs w:val="24"/>
          <w:lang w:val="en-US"/>
        </w:rPr>
        <w:t>standart</w:t>
      </w:r>
      <w:proofErr w:type="spellEnd"/>
      <w:r w:rsidRPr="0053750E">
        <w:rPr>
          <w:rFonts w:ascii="Book Antiqua" w:hAnsi="Book Antiqua" w:cs="Times New Roman"/>
          <w:sz w:val="24"/>
          <w:szCs w:val="24"/>
          <w:lang w:val="en-US"/>
        </w:rPr>
        <w:t xml:space="preserve"> deviations for normally </w:t>
      </w:r>
      <w:proofErr w:type="spellStart"/>
      <w:r w:rsidRPr="0053750E">
        <w:rPr>
          <w:rFonts w:ascii="Book Antiqua" w:hAnsi="Book Antiqua" w:cs="Times New Roman"/>
          <w:sz w:val="24"/>
          <w:szCs w:val="24"/>
          <w:lang w:val="en-US"/>
        </w:rPr>
        <w:t>distrubuted</w:t>
      </w:r>
      <w:proofErr w:type="spellEnd"/>
      <w:r w:rsidRPr="0053750E">
        <w:rPr>
          <w:rFonts w:ascii="Book Antiqua" w:hAnsi="Book Antiqua" w:cs="Times New Roman"/>
          <w:sz w:val="24"/>
          <w:szCs w:val="24"/>
          <w:lang w:val="en-US"/>
        </w:rPr>
        <w:t xml:space="preserve"> variables and using medians and interquartile range (IQR) for the non-normally </w:t>
      </w:r>
      <w:proofErr w:type="spellStart"/>
      <w:r w:rsidRPr="0053750E">
        <w:rPr>
          <w:rFonts w:ascii="Book Antiqua" w:hAnsi="Book Antiqua" w:cs="Times New Roman"/>
          <w:sz w:val="24"/>
          <w:szCs w:val="24"/>
          <w:lang w:val="en-US"/>
        </w:rPr>
        <w:t>distrubuted</w:t>
      </w:r>
      <w:proofErr w:type="spellEnd"/>
      <w:r w:rsidRPr="0053750E">
        <w:rPr>
          <w:rFonts w:ascii="Book Antiqua" w:hAnsi="Book Antiqua" w:cs="Times New Roman"/>
          <w:sz w:val="24"/>
          <w:szCs w:val="24"/>
          <w:lang w:val="en-US"/>
        </w:rPr>
        <w:t xml:space="preserve"> and ordinal variables. The Chi-square test or Fisher’s exact test, where appropriate, was used to compare proportions in different groups. Since the age and ADA levels were normally </w:t>
      </w:r>
      <w:proofErr w:type="spellStart"/>
      <w:r w:rsidRPr="0053750E">
        <w:rPr>
          <w:rFonts w:ascii="Book Antiqua" w:hAnsi="Book Antiqua" w:cs="Times New Roman"/>
          <w:sz w:val="24"/>
          <w:szCs w:val="24"/>
          <w:lang w:val="en-US"/>
        </w:rPr>
        <w:t>distrubuted</w:t>
      </w:r>
      <w:proofErr w:type="spellEnd"/>
      <w:r w:rsidRPr="0053750E">
        <w:rPr>
          <w:rFonts w:ascii="Book Antiqua" w:hAnsi="Book Antiqua" w:cs="Times New Roman"/>
          <w:sz w:val="24"/>
          <w:szCs w:val="24"/>
          <w:lang w:val="en-US"/>
        </w:rPr>
        <w:t xml:space="preserve">, Student’s </w:t>
      </w:r>
      <w:r w:rsidRPr="0053750E">
        <w:rPr>
          <w:rFonts w:ascii="Book Antiqua" w:hAnsi="Book Antiqua" w:cs="Times New Roman"/>
          <w:i/>
          <w:sz w:val="24"/>
          <w:szCs w:val="24"/>
          <w:lang w:val="en-US"/>
        </w:rPr>
        <w:t>t</w:t>
      </w:r>
      <w:r w:rsidRPr="0053750E">
        <w:rPr>
          <w:rFonts w:ascii="Book Antiqua" w:hAnsi="Book Antiqua" w:cs="Times New Roman"/>
          <w:sz w:val="24"/>
          <w:szCs w:val="24"/>
          <w:lang w:val="en-US"/>
        </w:rPr>
        <w:t xml:space="preserve">-test was used to compare between patients/control groups and in the interface hepatitis levels. The Mann-Whitney </w:t>
      </w:r>
      <w:r w:rsidRPr="0053750E">
        <w:rPr>
          <w:rFonts w:ascii="Book Antiqua" w:hAnsi="Book Antiqua" w:cs="Times New Roman"/>
          <w:i/>
          <w:sz w:val="24"/>
          <w:szCs w:val="24"/>
          <w:lang w:val="en-US"/>
        </w:rPr>
        <w:t>U</w:t>
      </w:r>
      <w:r w:rsidRPr="0053750E">
        <w:rPr>
          <w:rFonts w:ascii="Book Antiqua" w:hAnsi="Book Antiqua" w:cs="Times New Roman"/>
          <w:sz w:val="24"/>
          <w:szCs w:val="24"/>
          <w:lang w:val="en-US"/>
        </w:rPr>
        <w:t xml:space="preserve"> test was used to compare non normally </w:t>
      </w:r>
      <w:proofErr w:type="spellStart"/>
      <w:r w:rsidRPr="0053750E">
        <w:rPr>
          <w:rFonts w:ascii="Book Antiqua" w:hAnsi="Book Antiqua" w:cs="Times New Roman"/>
          <w:sz w:val="24"/>
          <w:szCs w:val="24"/>
          <w:lang w:val="en-US"/>
        </w:rPr>
        <w:t>distrubuted</w:t>
      </w:r>
      <w:proofErr w:type="spellEnd"/>
      <w:r w:rsidRPr="0053750E">
        <w:rPr>
          <w:rFonts w:ascii="Book Antiqua" w:hAnsi="Book Antiqua" w:cs="Times New Roman"/>
          <w:sz w:val="24"/>
          <w:szCs w:val="24"/>
          <w:lang w:val="en-US"/>
        </w:rPr>
        <w:t xml:space="preserve"> variables.</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One-way ANOVA was used to compare ADA levels among the interface hepatitis (mild, </w:t>
      </w:r>
      <w:proofErr w:type="spellStart"/>
      <w:r w:rsidRPr="0053750E">
        <w:rPr>
          <w:rFonts w:ascii="Book Antiqua" w:hAnsi="Book Antiqua" w:cs="Times New Roman"/>
          <w:sz w:val="24"/>
          <w:szCs w:val="24"/>
          <w:lang w:val="en-US"/>
        </w:rPr>
        <w:t>modorate</w:t>
      </w:r>
      <w:proofErr w:type="spellEnd"/>
      <w:r w:rsidRPr="0053750E">
        <w:rPr>
          <w:rFonts w:ascii="Book Antiqua" w:hAnsi="Book Antiqua" w:cs="Times New Roman"/>
          <w:sz w:val="24"/>
          <w:szCs w:val="24"/>
          <w:lang w:val="en-US"/>
        </w:rPr>
        <w:t xml:space="preserve">, severe) groups. </w:t>
      </w:r>
      <w:proofErr w:type="spellStart"/>
      <w:r w:rsidRPr="0053750E">
        <w:rPr>
          <w:rFonts w:ascii="Book Antiqua" w:hAnsi="Book Antiqua" w:cs="Times New Roman"/>
          <w:sz w:val="24"/>
          <w:szCs w:val="24"/>
          <w:lang w:val="en-US"/>
        </w:rPr>
        <w:t>Levene</w:t>
      </w:r>
      <w:proofErr w:type="spellEnd"/>
      <w:r w:rsidRPr="0053750E">
        <w:rPr>
          <w:rFonts w:ascii="Book Antiqua" w:hAnsi="Book Antiqua" w:cs="Times New Roman"/>
          <w:sz w:val="24"/>
          <w:szCs w:val="24"/>
          <w:lang w:val="en-US"/>
        </w:rPr>
        <w:t xml:space="preserve"> test was used to assess the homogeneity of variances. </w:t>
      </w:r>
    </w:p>
    <w:p w:rsidR="00FB30B9" w:rsidRPr="0053750E" w:rsidRDefault="00FB30B9" w:rsidP="00245C94">
      <w:pPr>
        <w:pStyle w:val="a4"/>
        <w:spacing w:line="360" w:lineRule="auto"/>
        <w:ind w:firstLineChars="100" w:firstLine="240"/>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Spearman’s rank correlation coefficients were used to evaluate the correlations between serum ADA levels and the inflammatory level of AIH. The capacity ADA level in predicting presence of inflammation was </w:t>
      </w:r>
      <w:r w:rsidR="00C41EB4" w:rsidRPr="0053750E">
        <w:rPr>
          <w:rFonts w:ascii="Book Antiqua" w:hAnsi="Book Antiqua" w:cs="Times New Roman"/>
          <w:sz w:val="24"/>
          <w:szCs w:val="24"/>
          <w:lang w:val="en-US"/>
        </w:rPr>
        <w:t>analyzed</w:t>
      </w:r>
      <w:r w:rsidRPr="0053750E">
        <w:rPr>
          <w:rFonts w:ascii="Book Antiqua" w:hAnsi="Book Antiqua" w:cs="Times New Roman"/>
          <w:sz w:val="24"/>
          <w:szCs w:val="24"/>
          <w:lang w:val="en-US"/>
        </w:rPr>
        <w:t xml:space="preserve"> using Receiver-operating </w:t>
      </w:r>
      <w:r w:rsidRPr="0053750E">
        <w:rPr>
          <w:rFonts w:ascii="Book Antiqua" w:hAnsi="Book Antiqua" w:cs="Times New Roman"/>
          <w:sz w:val="24"/>
          <w:szCs w:val="24"/>
          <w:lang w:val="en-US"/>
        </w:rPr>
        <w:lastRenderedPageBreak/>
        <w:t>characteristic (ROC) curve analysis. When a significant cut-off value was observed, the sensitivity, specificity</w:t>
      </w:r>
      <w:r w:rsidR="00C41EB4" w:rsidRPr="0053750E">
        <w:rPr>
          <w:rFonts w:ascii="Book Antiqua" w:hAnsi="Book Antiqua" w:cs="Times New Roman"/>
          <w:sz w:val="24"/>
          <w:szCs w:val="24"/>
          <w:lang w:val="en-US"/>
        </w:rPr>
        <w:t>, positive</w:t>
      </w:r>
      <w:r w:rsidRPr="0053750E">
        <w:rPr>
          <w:rFonts w:ascii="Book Antiqua" w:hAnsi="Book Antiqua" w:cs="Times New Roman"/>
          <w:sz w:val="24"/>
          <w:szCs w:val="24"/>
          <w:lang w:val="en-US"/>
        </w:rPr>
        <w:t xml:space="preserve"> predictive values (PPV) and negative predictive values </w:t>
      </w:r>
      <w:r w:rsidR="00245C94" w:rsidRPr="0053750E">
        <w:rPr>
          <w:rFonts w:ascii="Book Antiqua" w:hAnsi="Book Antiqua" w:cs="Times New Roman"/>
          <w:sz w:val="24"/>
          <w:szCs w:val="24"/>
          <w:lang w:val="en-US"/>
        </w:rPr>
        <w:t xml:space="preserve">(NPV) were presented. A </w:t>
      </w:r>
      <w:r w:rsidR="00245C94" w:rsidRPr="0053750E">
        <w:rPr>
          <w:rFonts w:ascii="Book Antiqua" w:hAnsi="Book Antiqua" w:cs="Times New Roman"/>
          <w:i/>
          <w:sz w:val="24"/>
          <w:szCs w:val="24"/>
          <w:lang w:val="en-US"/>
        </w:rPr>
        <w:t>P</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value of less than 0.05 was considered to show a statistically significant result.</w:t>
      </w:r>
    </w:p>
    <w:p w:rsidR="00DF2B3E" w:rsidRPr="0053750E" w:rsidRDefault="00DF2B3E" w:rsidP="001C799D">
      <w:pPr>
        <w:pStyle w:val="a4"/>
        <w:spacing w:line="360" w:lineRule="auto"/>
        <w:jc w:val="both"/>
        <w:rPr>
          <w:rFonts w:ascii="Book Antiqua" w:hAnsi="Book Antiqua" w:cs="Times New Roman"/>
          <w:sz w:val="24"/>
          <w:szCs w:val="24"/>
          <w:lang w:val="en-US"/>
        </w:rPr>
      </w:pPr>
    </w:p>
    <w:p w:rsidR="007E2A1B" w:rsidRPr="0053750E" w:rsidRDefault="00A3018E"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RESULTS</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The baseline features of AIH patients are presented in Table 1. A total of 52 </w:t>
      </w:r>
      <w:r w:rsidR="0009458F" w:rsidRPr="0053750E">
        <w:rPr>
          <w:rFonts w:ascii="Book Antiqua" w:hAnsi="Book Antiqua" w:cs="Times New Roman"/>
          <w:sz w:val="24"/>
          <w:szCs w:val="24"/>
          <w:lang w:val="en-US"/>
        </w:rPr>
        <w:t>patients</w:t>
      </w:r>
      <w:r w:rsidRPr="0053750E">
        <w:rPr>
          <w:rFonts w:ascii="Book Antiqua" w:hAnsi="Book Antiqua" w:cs="Times New Roman"/>
          <w:sz w:val="24"/>
          <w:szCs w:val="24"/>
          <w:lang w:val="en-US"/>
        </w:rPr>
        <w:t xml:space="preserve"> (37 women, 15 men), with a mean age of 40.1</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12.8 and 28 </w:t>
      </w:r>
      <w:r w:rsidR="0009458F" w:rsidRPr="0053750E">
        <w:rPr>
          <w:rFonts w:ascii="Book Antiqua" w:hAnsi="Book Antiqua" w:cs="Times New Roman"/>
          <w:sz w:val="24"/>
          <w:szCs w:val="24"/>
          <w:lang w:val="en-US"/>
        </w:rPr>
        <w:t>healthy</w:t>
      </w:r>
      <w:r w:rsidRPr="0053750E">
        <w:rPr>
          <w:rFonts w:ascii="Book Antiqua" w:hAnsi="Book Antiqua" w:cs="Times New Roman"/>
          <w:sz w:val="24"/>
          <w:szCs w:val="24"/>
          <w:lang w:val="en-US"/>
        </w:rPr>
        <w:t xml:space="preserve"> controls, with a mean age of 45.1±10.7 were included in this study. Nine </w:t>
      </w:r>
      <w:r w:rsidR="0009458F" w:rsidRPr="0053750E">
        <w:rPr>
          <w:rFonts w:ascii="Book Antiqua" w:hAnsi="Book Antiqua" w:cs="Times New Roman"/>
          <w:sz w:val="24"/>
          <w:szCs w:val="24"/>
          <w:lang w:val="en-US"/>
        </w:rPr>
        <w:t>patients (</w:t>
      </w:r>
      <w:r w:rsidRPr="0053750E">
        <w:rPr>
          <w:rFonts w:ascii="Book Antiqua" w:hAnsi="Book Antiqua" w:cs="Times New Roman"/>
          <w:sz w:val="24"/>
          <w:szCs w:val="24"/>
          <w:lang w:val="en-US"/>
        </w:rPr>
        <w:t>17.3%) had mil</w:t>
      </w:r>
      <w:r w:rsidR="00A95B69" w:rsidRPr="0053750E">
        <w:rPr>
          <w:rFonts w:ascii="Book Antiqua" w:hAnsi="Book Antiqua" w:cs="Times New Roman"/>
          <w:sz w:val="24"/>
          <w:szCs w:val="24"/>
          <w:lang w:val="en-US"/>
        </w:rPr>
        <w:t>d interface hepatitis, 18 (34.6</w:t>
      </w:r>
      <w:r w:rsidRPr="0053750E">
        <w:rPr>
          <w:rFonts w:ascii="Book Antiqua" w:hAnsi="Book Antiqua" w:cs="Times New Roman"/>
          <w:sz w:val="24"/>
          <w:szCs w:val="24"/>
          <w:lang w:val="en-US"/>
        </w:rPr>
        <w:t>%) had moderate interface hepatitis and 25 (48</w:t>
      </w:r>
      <w:r w:rsidR="00A95B69" w:rsidRPr="0053750E">
        <w:rPr>
          <w:rFonts w:ascii="Book Antiqua" w:hAnsi="Book Antiqua" w:cs="Times New Roman"/>
          <w:sz w:val="24"/>
          <w:szCs w:val="24"/>
          <w:lang w:val="en-US"/>
        </w:rPr>
        <w:t>,1</w:t>
      </w:r>
      <w:r w:rsidRPr="0053750E">
        <w:rPr>
          <w:rFonts w:ascii="Book Antiqua" w:hAnsi="Book Antiqua" w:cs="Times New Roman"/>
          <w:sz w:val="24"/>
          <w:szCs w:val="24"/>
          <w:lang w:val="en-US"/>
        </w:rPr>
        <w:t>%) had severe interface hepatitis. The fibrosis stages were F0 in 6 (11.5%) patients, F1 in 9 (17.3%), F2 in 11 (21.2%), F3 in 16 (30.8%) and F4 in 10 (19.2%).</w:t>
      </w:r>
    </w:p>
    <w:p w:rsidR="000C5C80" w:rsidRPr="0053750E" w:rsidRDefault="000C5C80" w:rsidP="001C799D">
      <w:pPr>
        <w:pStyle w:val="a4"/>
        <w:spacing w:line="360" w:lineRule="auto"/>
        <w:jc w:val="both"/>
        <w:rPr>
          <w:rFonts w:ascii="Book Antiqua" w:hAnsi="Book Antiqua" w:cs="Times New Roman"/>
          <w:sz w:val="24"/>
          <w:szCs w:val="24"/>
          <w:lang w:val="en-US"/>
        </w:rPr>
      </w:pPr>
    </w:p>
    <w:p w:rsidR="00FB30B9"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 xml:space="preserve">ADA levels </w:t>
      </w:r>
      <w:r w:rsidR="0009458F" w:rsidRPr="0053750E">
        <w:rPr>
          <w:rFonts w:ascii="Book Antiqua" w:hAnsi="Book Antiqua" w:cs="Times New Roman"/>
          <w:b/>
          <w:i/>
          <w:sz w:val="24"/>
          <w:szCs w:val="24"/>
          <w:lang w:val="en-US"/>
        </w:rPr>
        <w:t>in patients</w:t>
      </w:r>
      <w:r w:rsidRPr="0053750E">
        <w:rPr>
          <w:rFonts w:ascii="Book Antiqua" w:hAnsi="Book Antiqua" w:cs="Times New Roman"/>
          <w:b/>
          <w:i/>
          <w:sz w:val="24"/>
          <w:szCs w:val="24"/>
          <w:lang w:val="en-US"/>
        </w:rPr>
        <w:t xml:space="preserve"> with autoimmune hepatitis and </w:t>
      </w:r>
      <w:r w:rsidR="0009458F" w:rsidRPr="0053750E">
        <w:rPr>
          <w:rFonts w:ascii="Book Antiqua" w:hAnsi="Book Antiqua" w:cs="Times New Roman"/>
          <w:b/>
          <w:i/>
          <w:sz w:val="24"/>
          <w:szCs w:val="24"/>
          <w:lang w:val="en-US"/>
        </w:rPr>
        <w:t>healthy</w:t>
      </w:r>
      <w:r w:rsidRPr="0053750E">
        <w:rPr>
          <w:rFonts w:ascii="Book Antiqua" w:hAnsi="Book Antiqua" w:cs="Times New Roman"/>
          <w:b/>
          <w:i/>
          <w:sz w:val="24"/>
          <w:szCs w:val="24"/>
          <w:lang w:val="en-US"/>
        </w:rPr>
        <w:t xml:space="preserve"> controls</w:t>
      </w:r>
    </w:p>
    <w:p w:rsidR="00DF2B3E"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Table 2 shows the </w:t>
      </w:r>
      <w:r w:rsidR="0009458F" w:rsidRPr="0053750E">
        <w:rPr>
          <w:rFonts w:ascii="Book Antiqua" w:hAnsi="Book Antiqua" w:cs="Times New Roman"/>
          <w:sz w:val="24"/>
          <w:szCs w:val="24"/>
          <w:lang w:val="en-US"/>
        </w:rPr>
        <w:t>comparative</w:t>
      </w:r>
      <w:r w:rsidRPr="0053750E">
        <w:rPr>
          <w:rFonts w:ascii="Book Antiqua" w:hAnsi="Book Antiqua" w:cs="Times New Roman"/>
          <w:sz w:val="24"/>
          <w:szCs w:val="24"/>
          <w:lang w:val="en-US"/>
        </w:rPr>
        <w:t xml:space="preserve"> characteristics of AIH patients and the </w:t>
      </w:r>
      <w:r w:rsidR="0009458F" w:rsidRPr="0053750E">
        <w:rPr>
          <w:rFonts w:ascii="Book Antiqua" w:hAnsi="Book Antiqua" w:cs="Times New Roman"/>
          <w:sz w:val="24"/>
          <w:szCs w:val="24"/>
          <w:lang w:val="en-US"/>
        </w:rPr>
        <w:t>healthy</w:t>
      </w:r>
      <w:r w:rsidRPr="0053750E">
        <w:rPr>
          <w:rFonts w:ascii="Book Antiqua" w:hAnsi="Book Antiqua" w:cs="Times New Roman"/>
          <w:sz w:val="24"/>
          <w:szCs w:val="24"/>
          <w:lang w:val="en-US"/>
        </w:rPr>
        <w:t xml:space="preserve"> controls. Age and sex were similar </w:t>
      </w:r>
      <w:r w:rsidR="0009458F" w:rsidRPr="0053750E">
        <w:rPr>
          <w:rFonts w:ascii="Book Antiqua" w:hAnsi="Book Antiqua" w:cs="Times New Roman"/>
          <w:sz w:val="24"/>
          <w:szCs w:val="24"/>
          <w:lang w:val="en-US"/>
        </w:rPr>
        <w:t>in both groups</w:t>
      </w:r>
      <w:r w:rsidRPr="0053750E">
        <w:rPr>
          <w:rFonts w:ascii="Book Antiqua" w:hAnsi="Book Antiqua" w:cs="Times New Roman"/>
          <w:sz w:val="24"/>
          <w:szCs w:val="24"/>
          <w:lang w:val="en-US"/>
        </w:rPr>
        <w:t>. The mean serum ADA level was significantly higher in AIH patients than in controls (25.4</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9.6 U/L </w:t>
      </w:r>
      <w:r w:rsidR="00245C94" w:rsidRPr="0053750E">
        <w:rPr>
          <w:rFonts w:ascii="Book Antiqua" w:hAnsi="Book Antiqua" w:cs="Times New Roman"/>
          <w:i/>
          <w:sz w:val="24"/>
          <w:szCs w:val="24"/>
          <w:lang w:val="en-US"/>
        </w:rPr>
        <w:t>vs</w:t>
      </w:r>
      <w:r w:rsidRPr="0053750E">
        <w:rPr>
          <w:rFonts w:ascii="Book Antiqua" w:hAnsi="Book Antiqua" w:cs="Times New Roman"/>
          <w:sz w:val="24"/>
          <w:szCs w:val="24"/>
          <w:lang w:val="en-US"/>
        </w:rPr>
        <w:t xml:space="preserve"> 12.8</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2.2 U/L, </w:t>
      </w:r>
      <w:r w:rsidR="00245C94" w:rsidRPr="0053750E">
        <w:rPr>
          <w:rFonts w:ascii="Book Antiqua" w:hAnsi="Book Antiqua" w:cs="Times New Roman"/>
          <w:i/>
          <w:sz w:val="24"/>
          <w:szCs w:val="24"/>
          <w:lang w:val="en-US"/>
        </w:rPr>
        <w:t xml:space="preserve">P &lt; </w:t>
      </w:r>
      <w:r w:rsidRPr="0053750E">
        <w:rPr>
          <w:rFonts w:ascii="Book Antiqua" w:hAnsi="Book Antiqua" w:cs="Times New Roman"/>
          <w:sz w:val="24"/>
          <w:szCs w:val="24"/>
          <w:lang w:val="en-US"/>
        </w:rPr>
        <w:t>0.001).</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A high serum ADA level (&gt;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20 U/L) was found in 33 (63%) patients with AIH however there was no greater than 20 U/L in any of the healthy controls. </w:t>
      </w:r>
    </w:p>
    <w:p w:rsidR="00786C97" w:rsidRPr="0053750E" w:rsidRDefault="00786C97" w:rsidP="001C799D">
      <w:pPr>
        <w:pStyle w:val="a4"/>
        <w:spacing w:line="360" w:lineRule="auto"/>
        <w:jc w:val="both"/>
        <w:rPr>
          <w:rFonts w:ascii="Book Antiqua" w:hAnsi="Book Antiqua" w:cs="Times New Roman"/>
          <w:sz w:val="24"/>
          <w:szCs w:val="24"/>
          <w:lang w:val="en-US"/>
        </w:rPr>
      </w:pPr>
    </w:p>
    <w:p w:rsidR="00786C97"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Adenosine deaminase as a predictor of inflammatory activity</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A positive correlation was observed between serum ADA levels and inflammatory activity. The mean serum ADA levels increased for each step of </w:t>
      </w:r>
      <w:r w:rsidR="0009458F" w:rsidRPr="0053750E">
        <w:rPr>
          <w:rFonts w:ascii="Book Antiqua" w:hAnsi="Book Antiqua" w:cs="Times New Roman"/>
          <w:sz w:val="24"/>
          <w:szCs w:val="24"/>
          <w:lang w:val="en-US"/>
        </w:rPr>
        <w:t>inflammatory</w:t>
      </w:r>
      <w:r w:rsidRPr="0053750E">
        <w:rPr>
          <w:rFonts w:ascii="Book Antiqua" w:hAnsi="Book Antiqua" w:cs="Times New Roman"/>
          <w:sz w:val="24"/>
          <w:szCs w:val="24"/>
          <w:lang w:val="en-US"/>
        </w:rPr>
        <w:t xml:space="preserve"> activity. ADA levels for different inflammatory activity grades are shown in Figure 1. In patients with mild interface </w:t>
      </w:r>
      <w:r w:rsidR="0009458F" w:rsidRPr="0053750E">
        <w:rPr>
          <w:rFonts w:ascii="Book Antiqua" w:hAnsi="Book Antiqua" w:cs="Times New Roman"/>
          <w:sz w:val="24"/>
          <w:szCs w:val="24"/>
          <w:lang w:val="en-US"/>
        </w:rPr>
        <w:t>hepatitis</w:t>
      </w:r>
      <w:r w:rsidRPr="0053750E">
        <w:rPr>
          <w:rFonts w:ascii="Book Antiqua" w:hAnsi="Book Antiqua" w:cs="Times New Roman"/>
          <w:sz w:val="24"/>
          <w:szCs w:val="24"/>
          <w:lang w:val="en-US"/>
        </w:rPr>
        <w:t>, the mean serum ADA was 15.2</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3.5 U/L</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in patients with moderate interface hepatitis, the mean serum ADA was 23.1</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10.0 and in patients with severe interface </w:t>
      </w:r>
      <w:r w:rsidR="0009458F" w:rsidRPr="0053750E">
        <w:rPr>
          <w:rFonts w:ascii="Book Antiqua" w:hAnsi="Book Antiqua" w:cs="Times New Roman"/>
          <w:sz w:val="24"/>
          <w:szCs w:val="24"/>
          <w:lang w:val="en-US"/>
        </w:rPr>
        <w:t>hepatitis</w:t>
      </w:r>
      <w:r w:rsidRPr="0053750E">
        <w:rPr>
          <w:rFonts w:ascii="Book Antiqua" w:hAnsi="Book Antiqua" w:cs="Times New Roman"/>
          <w:sz w:val="24"/>
          <w:szCs w:val="24"/>
          <w:lang w:val="en-US"/>
        </w:rPr>
        <w:t>, the mean serum ADA was 30.9</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7.0. Age and sex were not related to interface hepatitis score but ALT and IgG were </w:t>
      </w:r>
      <w:r w:rsidR="0009458F" w:rsidRPr="0053750E">
        <w:rPr>
          <w:rFonts w:ascii="Book Antiqua" w:hAnsi="Book Antiqua" w:cs="Times New Roman"/>
          <w:sz w:val="24"/>
          <w:szCs w:val="24"/>
          <w:lang w:val="en-US"/>
        </w:rPr>
        <w:t>associated</w:t>
      </w:r>
      <w:r w:rsidRPr="0053750E">
        <w:rPr>
          <w:rFonts w:ascii="Book Antiqua" w:hAnsi="Book Antiqua" w:cs="Times New Roman"/>
          <w:sz w:val="24"/>
          <w:szCs w:val="24"/>
          <w:lang w:val="en-US"/>
        </w:rPr>
        <w:t xml:space="preserve"> with </w:t>
      </w:r>
      <w:r w:rsidR="0009458F" w:rsidRPr="0053750E">
        <w:rPr>
          <w:rFonts w:ascii="Book Antiqua" w:hAnsi="Book Antiqua" w:cs="Times New Roman"/>
          <w:sz w:val="24"/>
          <w:szCs w:val="24"/>
          <w:lang w:val="en-US"/>
        </w:rPr>
        <w:t>interface</w:t>
      </w:r>
      <w:r w:rsidRPr="0053750E">
        <w:rPr>
          <w:rFonts w:ascii="Book Antiqua" w:hAnsi="Book Antiqua" w:cs="Times New Roman"/>
          <w:sz w:val="24"/>
          <w:szCs w:val="24"/>
          <w:lang w:val="en-US"/>
        </w:rPr>
        <w:t xml:space="preserve"> hepatitis score like serum ADA level (Table 3). The differences were statistically significant between interface hepatitis grades</w:t>
      </w:r>
      <w:r w:rsidR="00521162"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mild versus moderate (</w:t>
      </w:r>
      <w:r w:rsidRPr="0053750E">
        <w:rPr>
          <w:rFonts w:ascii="Book Antiqua" w:hAnsi="Book Antiqua" w:cs="Times New Roman"/>
          <w:i/>
          <w:sz w:val="24"/>
          <w:szCs w:val="24"/>
          <w:lang w:val="en-US"/>
        </w:rPr>
        <w:t>P</w:t>
      </w:r>
      <w:r w:rsidR="00991EF3" w:rsidRPr="0053750E">
        <w:rPr>
          <w:rFonts w:ascii="Book Antiqua" w:hAnsi="Book Antiqua" w:cs="Times New Roman"/>
          <w:i/>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0.014</w:t>
      </w:r>
      <w:r w:rsidR="0009458F" w:rsidRPr="0053750E">
        <w:rPr>
          <w:rFonts w:ascii="Book Antiqua" w:hAnsi="Book Antiqua" w:cs="Times New Roman"/>
          <w:sz w:val="24"/>
          <w:szCs w:val="24"/>
          <w:lang w:val="en-US"/>
        </w:rPr>
        <w:t>),</w:t>
      </w:r>
      <w:r w:rsidRPr="0053750E">
        <w:rPr>
          <w:rFonts w:ascii="Book Antiqua" w:hAnsi="Book Antiqua" w:cs="Times New Roman"/>
          <w:sz w:val="24"/>
          <w:szCs w:val="24"/>
          <w:lang w:val="en-US"/>
        </w:rPr>
        <w:t xml:space="preserve"> moderate versus severe (</w:t>
      </w:r>
      <w:r w:rsidR="00245C94" w:rsidRPr="0053750E">
        <w:rPr>
          <w:rFonts w:ascii="Book Antiqua" w:hAnsi="Book Antiqua" w:cs="Times New Roman"/>
          <w:i/>
          <w:sz w:val="24"/>
          <w:szCs w:val="24"/>
          <w:lang w:val="en-US"/>
        </w:rPr>
        <w:t>P &lt;</w:t>
      </w:r>
      <w:r w:rsidR="00991EF3" w:rsidRPr="0053750E">
        <w:rPr>
          <w:rFonts w:ascii="Book Antiqua" w:hAnsi="Book Antiqua" w:cs="Times New Roman"/>
          <w:i/>
          <w:sz w:val="24"/>
          <w:szCs w:val="24"/>
          <w:lang w:val="en-US"/>
        </w:rPr>
        <w:t xml:space="preserve">  </w:t>
      </w:r>
      <w:r w:rsidRPr="0053750E">
        <w:rPr>
          <w:rFonts w:ascii="Book Antiqua" w:hAnsi="Book Antiqua" w:cs="Times New Roman"/>
          <w:sz w:val="24"/>
          <w:szCs w:val="24"/>
          <w:lang w:val="en-US"/>
        </w:rPr>
        <w:t xml:space="preserve">0.001). Spearman’s </w:t>
      </w:r>
      <w:r w:rsidRPr="0053750E">
        <w:rPr>
          <w:rFonts w:ascii="Book Antiqua" w:hAnsi="Book Antiqua" w:cs="Times New Roman"/>
          <w:sz w:val="24"/>
          <w:szCs w:val="24"/>
          <w:lang w:val="en-US"/>
        </w:rPr>
        <w:lastRenderedPageBreak/>
        <w:t xml:space="preserve">correlation analysis showed that </w:t>
      </w:r>
      <w:r w:rsidR="0009458F" w:rsidRPr="0053750E">
        <w:rPr>
          <w:rFonts w:ascii="Book Antiqua" w:hAnsi="Book Antiqua" w:cs="Times New Roman"/>
          <w:sz w:val="24"/>
          <w:szCs w:val="24"/>
          <w:lang w:val="en-US"/>
        </w:rPr>
        <w:t>significant association between serum</w:t>
      </w:r>
      <w:r w:rsidRPr="0053750E">
        <w:rPr>
          <w:rFonts w:ascii="Book Antiqua" w:hAnsi="Book Antiqua" w:cs="Times New Roman"/>
          <w:sz w:val="24"/>
          <w:szCs w:val="24"/>
          <w:lang w:val="en-US"/>
        </w:rPr>
        <w:t xml:space="preserve"> ADA levels </w:t>
      </w:r>
      <w:r w:rsidR="0009458F" w:rsidRPr="0053750E">
        <w:rPr>
          <w:rFonts w:ascii="Book Antiqua" w:hAnsi="Book Antiqua" w:cs="Times New Roman"/>
          <w:sz w:val="24"/>
          <w:szCs w:val="24"/>
          <w:lang w:val="en-US"/>
        </w:rPr>
        <w:t xml:space="preserve">and </w:t>
      </w:r>
      <w:r w:rsidRPr="0053750E">
        <w:rPr>
          <w:rFonts w:ascii="Book Antiqua" w:hAnsi="Book Antiqua" w:cs="Times New Roman"/>
          <w:sz w:val="24"/>
          <w:szCs w:val="24"/>
          <w:lang w:val="en-US"/>
        </w:rPr>
        <w:t>inflammatory activity (</w:t>
      </w:r>
      <w:r w:rsidRPr="0053750E">
        <w:rPr>
          <w:rFonts w:ascii="Book Antiqua" w:hAnsi="Book Antiqua" w:cs="Times New Roman"/>
          <w:i/>
          <w:sz w:val="24"/>
          <w:szCs w:val="24"/>
          <w:lang w:val="en-US"/>
        </w:rPr>
        <w:t>r</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0.71, </w:t>
      </w:r>
      <w:r w:rsidR="00245C94" w:rsidRPr="0053750E">
        <w:rPr>
          <w:rFonts w:ascii="Book Antiqua" w:hAnsi="Book Antiqua" w:cs="Times New Roman"/>
          <w:i/>
          <w:sz w:val="24"/>
          <w:szCs w:val="24"/>
          <w:lang w:val="en-US"/>
        </w:rPr>
        <w:t>P &lt;</w:t>
      </w:r>
      <w:r w:rsidR="00991EF3" w:rsidRPr="0053750E">
        <w:rPr>
          <w:rFonts w:ascii="Book Antiqua" w:hAnsi="Book Antiqua" w:cs="Times New Roman"/>
          <w:i/>
          <w:sz w:val="24"/>
          <w:szCs w:val="24"/>
          <w:lang w:val="en-US"/>
        </w:rPr>
        <w:t xml:space="preserve">  </w:t>
      </w:r>
      <w:r w:rsidRPr="0053750E">
        <w:rPr>
          <w:rFonts w:ascii="Book Antiqua" w:hAnsi="Book Antiqua" w:cs="Times New Roman"/>
          <w:sz w:val="24"/>
          <w:szCs w:val="24"/>
          <w:lang w:val="en-US"/>
        </w:rPr>
        <w:t>0.001) (Figure 2).</w:t>
      </w:r>
    </w:p>
    <w:p w:rsidR="00FB30B9"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Optimal ADA cut-off level for interface hepatitis is shown in Table 4. A 24.55 U/L cut-off point had 88% sensitivity, 85.2% specificity, 84.6% negative predictive value (NPV) and 88.5% positive predictive value (PPV). A cut-off </w:t>
      </w:r>
      <w:r w:rsidR="00D013CE" w:rsidRPr="0053750E">
        <w:rPr>
          <w:rFonts w:ascii="Book Antiqua" w:hAnsi="Book Antiqua" w:cs="Times New Roman"/>
          <w:sz w:val="24"/>
          <w:szCs w:val="24"/>
          <w:lang w:val="en-US"/>
        </w:rPr>
        <w:t xml:space="preserve">point of 25.25 U/L </w:t>
      </w:r>
      <w:r w:rsidRPr="0053750E">
        <w:rPr>
          <w:rFonts w:ascii="Book Antiqua" w:hAnsi="Book Antiqua" w:cs="Times New Roman"/>
          <w:sz w:val="24"/>
          <w:szCs w:val="24"/>
          <w:lang w:val="en-US"/>
        </w:rPr>
        <w:t>had 84% sensitivity, 88.9% specificity, 87.5% NPV, 85.7% PPV and area under curve (AUC) was 0.88 (95% CI 0.77-0.99) (Figure 3).</w:t>
      </w:r>
    </w:p>
    <w:p w:rsidR="00FB30B9" w:rsidRPr="0053750E" w:rsidRDefault="00FB30B9" w:rsidP="001C799D">
      <w:pPr>
        <w:pStyle w:val="a4"/>
        <w:spacing w:line="360" w:lineRule="auto"/>
        <w:jc w:val="both"/>
        <w:rPr>
          <w:rFonts w:ascii="Book Antiqua" w:hAnsi="Book Antiqua" w:cs="Times New Roman"/>
          <w:sz w:val="24"/>
          <w:szCs w:val="24"/>
          <w:lang w:val="en-US"/>
        </w:rPr>
      </w:pPr>
    </w:p>
    <w:p w:rsidR="00FB30B9" w:rsidRPr="0053750E" w:rsidRDefault="00FB30B9"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Adenosine deaminase level and liver fibrosis</w:t>
      </w:r>
    </w:p>
    <w:p w:rsidR="009E6A72" w:rsidRPr="0053750E" w:rsidRDefault="00FB30B9"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The mean serum ADA level was 17.4</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5 U/L in patients with fibrosis score 0 (F0), 21.8±8.7 U/L in patients with F1, 28.5</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w:t>
      </w:r>
      <w:r w:rsidR="00245C94"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9.5 U/L in patients with F2, 27.3±9 U/L in patients with F3 and 25.5±9.6 U/L with patients with F4. There was no statistically difference b</w:t>
      </w:r>
      <w:r w:rsidR="00C31510" w:rsidRPr="0053750E">
        <w:rPr>
          <w:rFonts w:ascii="Book Antiqua" w:hAnsi="Book Antiqua" w:cs="Times New Roman"/>
          <w:sz w:val="24"/>
          <w:szCs w:val="24"/>
          <w:lang w:val="en-US"/>
        </w:rPr>
        <w:t>etween these groups (</w:t>
      </w:r>
      <w:r w:rsidR="00C31510" w:rsidRPr="0053750E">
        <w:rPr>
          <w:rFonts w:ascii="Book Antiqua" w:hAnsi="Book Antiqua" w:cs="Times New Roman"/>
          <w:i/>
          <w:sz w:val="24"/>
          <w:szCs w:val="24"/>
          <w:lang w:val="en-US"/>
        </w:rPr>
        <w:t>P</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00C31510" w:rsidRPr="0053750E">
        <w:rPr>
          <w:rFonts w:ascii="Book Antiqua" w:hAnsi="Book Antiqua" w:cs="Times New Roman"/>
          <w:sz w:val="24"/>
          <w:szCs w:val="24"/>
          <w:lang w:val="en-US"/>
        </w:rPr>
        <w:t xml:space="preserve">0.102). </w:t>
      </w:r>
      <w:r w:rsidRPr="0053750E">
        <w:rPr>
          <w:rFonts w:ascii="Book Antiqua" w:hAnsi="Book Antiqua" w:cs="Times New Roman"/>
          <w:sz w:val="24"/>
          <w:szCs w:val="24"/>
          <w:lang w:val="en-US"/>
        </w:rPr>
        <w:t>Spearman’s correlation analysis also did not show an association between serum ADA levels and liver fibrosis (r</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 xml:space="preserve">0.22, </w:t>
      </w:r>
      <w:r w:rsidRPr="0053750E">
        <w:rPr>
          <w:rFonts w:ascii="Book Antiqua" w:hAnsi="Book Antiqua" w:cs="Times New Roman"/>
          <w:i/>
          <w:sz w:val="24"/>
          <w:szCs w:val="24"/>
          <w:lang w:val="en-US"/>
        </w:rPr>
        <w:t>P</w:t>
      </w:r>
      <w:r w:rsidR="00991EF3" w:rsidRPr="0053750E">
        <w:rPr>
          <w:rFonts w:ascii="Book Antiqua" w:hAnsi="Book Antiqua" w:cs="Times New Roman"/>
          <w:sz w:val="24"/>
          <w:szCs w:val="24"/>
          <w:lang w:val="en-US"/>
        </w:rPr>
        <w:t xml:space="preserve">  </w:t>
      </w:r>
      <w:r w:rsidR="004326D4" w:rsidRPr="0053750E">
        <w:rPr>
          <w:rFonts w:ascii="Book Antiqua" w:hAnsi="Book Antiqua" w:cs="Times New Roman"/>
          <w:sz w:val="24"/>
          <w:szCs w:val="24"/>
          <w:lang w:val="en-US"/>
        </w:rPr>
        <w:t>=</w:t>
      </w:r>
      <w:r w:rsidR="00991EF3" w:rsidRPr="0053750E">
        <w:rPr>
          <w:rFonts w:ascii="Book Antiqua" w:hAnsi="Book Antiqua" w:cs="Times New Roman"/>
          <w:sz w:val="24"/>
          <w:szCs w:val="24"/>
          <w:lang w:val="en-US"/>
        </w:rPr>
        <w:t xml:space="preserve">  </w:t>
      </w:r>
      <w:r w:rsidRPr="0053750E">
        <w:rPr>
          <w:rFonts w:ascii="Book Antiqua" w:hAnsi="Book Antiqua" w:cs="Times New Roman"/>
          <w:sz w:val="24"/>
          <w:szCs w:val="24"/>
          <w:lang w:val="en-US"/>
        </w:rPr>
        <w:t>0.123).</w:t>
      </w:r>
    </w:p>
    <w:p w:rsidR="006A5322" w:rsidRPr="0053750E" w:rsidRDefault="006A5322" w:rsidP="001C799D">
      <w:pPr>
        <w:pStyle w:val="a4"/>
        <w:spacing w:line="360" w:lineRule="auto"/>
        <w:jc w:val="both"/>
        <w:rPr>
          <w:rFonts w:ascii="Book Antiqua" w:hAnsi="Book Antiqua" w:cs="Times New Roman"/>
          <w:sz w:val="24"/>
          <w:szCs w:val="24"/>
          <w:lang w:val="en-US"/>
        </w:rPr>
      </w:pPr>
    </w:p>
    <w:p w:rsidR="00786C97" w:rsidRPr="0053750E" w:rsidRDefault="00A3018E"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DISCUSSION</w:t>
      </w:r>
    </w:p>
    <w:p w:rsidR="009B344A" w:rsidRPr="0053750E" w:rsidRDefault="009B344A" w:rsidP="001C799D">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Liver inflammation is clinically relevant as it is an important factor that predicts therapy response and long-term outcome of patients with chronic liver diseases. AIH is a rare dis</w:t>
      </w:r>
      <w:r w:rsidR="00DE739F" w:rsidRPr="0053750E">
        <w:rPr>
          <w:rFonts w:ascii="Book Antiqua" w:hAnsi="Book Antiqua" w:cs="Times New Roman"/>
          <w:sz w:val="24"/>
          <w:szCs w:val="24"/>
          <w:lang w:val="en-US"/>
        </w:rPr>
        <w:t>ease</w:t>
      </w:r>
      <w:r w:rsidRPr="0053750E">
        <w:rPr>
          <w:rFonts w:ascii="Book Antiqua" w:hAnsi="Book Antiqua" w:cs="Times New Roman"/>
          <w:sz w:val="24"/>
          <w:szCs w:val="24"/>
          <w:lang w:val="en-US"/>
        </w:rPr>
        <w:t xml:space="preserve"> and its estimated prevalence is lower than for many other chronic liver diseases. </w:t>
      </w:r>
      <w:r w:rsidR="00DE739F" w:rsidRPr="0053750E">
        <w:rPr>
          <w:rFonts w:ascii="Book Antiqua" w:hAnsi="Book Antiqua" w:cs="Times New Roman"/>
          <w:sz w:val="24"/>
          <w:szCs w:val="24"/>
          <w:lang w:val="en-US"/>
        </w:rPr>
        <w:t>However, r</w:t>
      </w:r>
      <w:r w:rsidRPr="0053750E">
        <w:rPr>
          <w:rFonts w:ascii="Book Antiqua" w:hAnsi="Book Antiqua" w:cs="Times New Roman"/>
          <w:sz w:val="24"/>
          <w:szCs w:val="24"/>
          <w:lang w:val="en-US"/>
        </w:rPr>
        <w:t>ecent studies reported that the incidence of AIH is increasing and that of AIH is associated with a high morbidity and mortality</w:t>
      </w:r>
      <w:r w:rsidR="005B7146" w:rsidRPr="0053750E">
        <w:rPr>
          <w:rFonts w:ascii="Book Antiqua" w:hAnsi="Book Antiqua" w:cs="Times New Roman"/>
          <w:sz w:val="24"/>
          <w:szCs w:val="24"/>
          <w:lang w:val="en-US"/>
        </w:rPr>
        <w:fldChar w:fldCharType="begin" w:fldLock="1"/>
      </w:r>
      <w:r w:rsidR="003C3333" w:rsidRPr="0053750E">
        <w:rPr>
          <w:rFonts w:ascii="Book Antiqua" w:hAnsi="Book Antiqua" w:cs="Times New Roman"/>
          <w:sz w:val="24"/>
          <w:szCs w:val="24"/>
          <w:lang w:val="en-US"/>
        </w:rPr>
        <w:instrText>ADDIN CSL_CITATION { "citationItems" : [ { "id" : "ITEM-1", "itemData" : { "DOI" : "10.1053/j.gastro.2011.02.065", "ISSN" : "1528-0012", "PMID" : "21396370", "abstract" : "BACKGROUND &amp; AIMS: The long-term outcomes of patients treated for autoimmune hepatitis (AIH) are considered to be good. However, follow-up data beyond 10 years are limited and confined to tertiary referral centers. We assessed long-term outcomes and determinants of outcome in patients with AIH from a nontransplant center.\n\nMETHODS: We studied 245 patients (204 women; median age, 56 years; range, 2.5-87 years) with AIH (167 definite by International AIH Group criteria) managed at a single nontransplant center from 1971 to 2007.\n\nRESULTS: 229 patients (93%) achieved normal serum levels of alanine aminotransferase within 12 months after treatment. After a median follow-up period of 9.4 years (range, 0.01-36 years), 11 patients received liver transplants (2 subsequently died). Seventy other patients died (30 from liver disease), 15 were censored (moved away, defaulted, or developed primary biliary cirrhosis), and 149 were still being followed up on December 31, 2007. Survival rates from all-cause death or transplantation were 82%\u00b13% and 48%\u00b15% after 10 and 20 years, respectively, and from liver-related death or transplantation were 91%\u00b12% and 70%\u00b15%, respectively. The standardized mortality ratio was 1.63 for all-cause death (95% confidence interval [CI], 1.25-2.02), 1.86 also considering liver transplant as \"death\" (95% CI, 1.49-2.26), and 0.91 for non-liver-related death (95% CI, 0.62-1.19). By Cox regression analysis, liver decompensation, cirrhosis at any time, failure to normalize levels of alanine aminotransferase within 12 months, and &gt;4 relapses per decade were significantly associated with liver-related death or transplant.\n\nCONCLUSIONS: Despite a good initial response to immunosuppression, long-term mortality of patients with AIH is greater than that of the general population.", "author" : [ { "dropping-particle" : "", "family" : "Hoeroldt", "given" : "Barbara", "non-dropping-particle" : "", "parse-names" : false, "suffix" : "" }, { "dropping-particle" : "", "family" : "McFarlane", "given" : "Elaine", "non-dropping-particle" : "", "parse-names" : false, "suffix" : "" }, { "dropping-particle" : "", "family" : "Dube", "given" : "Asha", "non-dropping-particle" : "", "parse-names" : false, "suffix" : "" }, { "dropping-particle" : "", "family" : "Basumani", "given" : "Pandurangan", "non-dropping-particle" : "", "parse-names" : false, "suffix" : "" }, { "dropping-particle" : "", "family" : "Karajeh", "given" : "Mohammed", "non-dropping-particle" : "", "parse-names" : false, "suffix" : "" }, { "dropping-particle" : "", "family" : "Campbell", "given" : "Michael J", "non-dropping-particle" : "", "parse-names" : false, "suffix" : "" }, { "dropping-particle" : "", "family" : "Gleeson", "given" : "Dermot", "non-dropping-particle" : "", "parse-names" : false, "suffix" : "" } ], "container-title" : "Gastroenterology", "id" : "ITEM-1", "issue" : "7", "issued" : { "date-parts" : [ [ "2011", "6" ] ] }, "page" : "1980-9", "title" : "Long-term outcomes of patients with autoimmune hepatitis managed at a nontransplant center.", "type" : "article-journal", "volume" : "140" }, "uris" : [ "http://www.mendeley.com/documents/?uuid=5ee4dac1-782e-4976-8cf3-cf83fe586d70" ] }, { "id" : "ITEM-2", "itemData" : { "DOI" : "10.1016/j.jhep.2013.10.020", "ISSN" : "1600-0641", "PMID" : "24326217", "abstract" : "BACKGROUND &amp; AIMS: Population-based studies of the clinical course of autoimmune hepatitis are scarce. We conducted a nationwide study of incidence, prevalence, prognosis, and causes of death of autoimmune hepatitis in Denmark.\n\nMETHODS: From nationwide healthcare registries we identified all Danish citizens diagnosed with autoimmune hepatitis in 1994-2012 and their liver biopsy data. We followed patients through January 2013 and examined age-standardized incidence and prevalence, mortality, prognostic factors, risk of hepatocellular carcinoma, and causes of death. We used Cox regression to compare patients' mortality relative to a gender- and age-matched general population sample.\n\nRESULTS: We included 1721 autoimmune hepatitis patients. The incidence rate was 1.68 (95% confidence interval 1.60 to 1.76) per 100,000 population per year, and it doubled during the study period. Of the 1318 patients who were biopsied at diagnosis, 28.3% had cirrhosis. The 10-year cumulative risk of hepatocellular carcinoma was 0.7% (95% confidence interval 0.3 to 1.5). Male gender and cirrhosis were associated with high mortality and development of hepatocellular carcinoma. In the first year after diagnosis, patients with autoimmune hepatitis had six-fold higher mortality than the general population; later, their mortality remained two-fold higher. Their 10-year cumulative mortality was 26.4% (95% confidence interval 23.7 to 29.1). 38.6% of deaths were liver-related including 3.6% from hepatocellular carcinoma.\n\nCONCLUSIONS: This nationwide population-based study of autoimmune hepatitis showed that the incidence increased during 1994-2012, and that the disease remains associated with a high mortality, particularly in the first year after diagnosis. Male gender and cirrhosis were adverse prognostic factors.", "author" : [ { "dropping-particle" : "", "family" : "Gr\u00f8nb\u00e6k", "given" : "Lisbet", "non-dropping-particle" : "", "parse-names" : false, "suffix" : "" }, { "dropping-particle" : "", "family" : "Vilstrup", "given" : "Hendrik", "non-dropping-particle" : "", "parse-names" : false, "suffix" : "" }, { "dropping-particle" : "", "family" : "Jepsen", "given" : "Peter", "non-dropping-particle" : "", "parse-names" : false, "suffix" : "" } ], "container-title" : "Journal of hepatology", "id" : "ITEM-2", "issue" : "3", "issued" : { "date-parts" : [ [ "2014", "3" ] ] }, "page" : "612-7", "title" : "Autoimmune hepatitis in Denmark: incidence, prevalence, prognosis, and causes of death. A nationwide registry-based cohort study.", "type" : "article-journal", "volume" : "60" }, "uris" : [ "http://www.mendeley.com/documents/?uuid=6fb93879-592c-4fb3-ba60-61e522c64c16" ] } ], "mendeley" : { "formattedCitation" : "&lt;sup&gt;[15,16]&lt;/sup&gt;", "plainTextFormattedCitation" : "[15,16]", "previouslyFormattedCitation" : "&lt;sup&gt;[15,16]&lt;/sup&gt;" }, "properties" : { "noteIndex" : 0 }, "schema" : "https://github.com/citation-style-language/schema/raw/master/csl-citation.json" }</w:instrText>
      </w:r>
      <w:r w:rsidR="005B7146" w:rsidRPr="0053750E">
        <w:rPr>
          <w:rFonts w:ascii="Book Antiqua" w:hAnsi="Book Antiqua" w:cs="Times New Roman"/>
          <w:sz w:val="24"/>
          <w:szCs w:val="24"/>
          <w:lang w:val="en-US"/>
        </w:rPr>
        <w:fldChar w:fldCharType="separate"/>
      </w:r>
      <w:r w:rsidR="003C3333" w:rsidRPr="0053750E">
        <w:rPr>
          <w:rFonts w:ascii="Book Antiqua" w:hAnsi="Book Antiqua" w:cs="Times New Roman"/>
          <w:noProof/>
          <w:sz w:val="24"/>
          <w:szCs w:val="24"/>
          <w:vertAlign w:val="superscript"/>
          <w:lang w:val="en-US"/>
        </w:rPr>
        <w:t>[15,16]</w:t>
      </w:r>
      <w:r w:rsidR="005B7146" w:rsidRPr="0053750E">
        <w:rPr>
          <w:rFonts w:ascii="Book Antiqua" w:hAnsi="Book Antiqua" w:cs="Times New Roman"/>
          <w:sz w:val="24"/>
          <w:szCs w:val="24"/>
          <w:lang w:val="en-US"/>
        </w:rPr>
        <w:fldChar w:fldCharType="end"/>
      </w:r>
      <w:r w:rsidRPr="0053750E">
        <w:rPr>
          <w:rFonts w:ascii="Book Antiqua" w:hAnsi="Book Antiqua" w:cs="Times New Roman"/>
          <w:sz w:val="24"/>
          <w:szCs w:val="24"/>
          <w:lang w:val="en-US"/>
        </w:rPr>
        <w:t>. These results suggest that better treatment option and new biomarkers or radiological methods that predict disease progression are necessary in AIH.</w:t>
      </w:r>
    </w:p>
    <w:p w:rsidR="00786C97" w:rsidRPr="0053750E" w:rsidRDefault="00786C97" w:rsidP="00245C94">
      <w:pPr>
        <w:ind w:firstLineChars="100" w:firstLine="240"/>
        <w:rPr>
          <w:rFonts w:ascii="Book Antiqua" w:hAnsi="Book Antiqua"/>
          <w:szCs w:val="24"/>
          <w:lang w:val="en-GB"/>
        </w:rPr>
      </w:pPr>
      <w:r w:rsidRPr="0053750E">
        <w:rPr>
          <w:rFonts w:ascii="Book Antiqua" w:hAnsi="Book Antiqua"/>
          <w:szCs w:val="24"/>
          <w:lang w:val="en-GB"/>
        </w:rPr>
        <w:t xml:space="preserve">Liver biopsy is still used as the gold standard in determining grade of fibrosis and disease activity in </w:t>
      </w:r>
      <w:r w:rsidR="00F27668" w:rsidRPr="0053750E">
        <w:rPr>
          <w:rFonts w:ascii="Book Antiqua" w:hAnsi="Book Antiqua"/>
          <w:szCs w:val="24"/>
          <w:lang w:val="en-GB"/>
        </w:rPr>
        <w:t>liver</w:t>
      </w:r>
      <w:r w:rsidRPr="0053750E">
        <w:rPr>
          <w:rFonts w:ascii="Book Antiqua" w:hAnsi="Book Antiqua"/>
          <w:szCs w:val="24"/>
          <w:lang w:val="en-GB"/>
        </w:rPr>
        <w:t xml:space="preserve"> diseases. However, it is an invasive and </w:t>
      </w:r>
      <w:r w:rsidR="00F27668" w:rsidRPr="0053750E">
        <w:rPr>
          <w:rFonts w:ascii="Book Antiqua" w:hAnsi="Book Antiqua"/>
          <w:szCs w:val="24"/>
          <w:lang w:val="en-GB"/>
        </w:rPr>
        <w:t>difficult-</w:t>
      </w:r>
      <w:r w:rsidRPr="0053750E">
        <w:rPr>
          <w:rFonts w:ascii="Book Antiqua" w:hAnsi="Book Antiqua"/>
          <w:szCs w:val="24"/>
          <w:lang w:val="en-GB"/>
        </w:rPr>
        <w:t>to-repeat method with some</w:t>
      </w:r>
      <w:r w:rsidRPr="0053750E">
        <w:rPr>
          <w:rFonts w:ascii="Book Antiqua" w:hAnsi="Book Antiqua"/>
          <w:szCs w:val="24"/>
        </w:rPr>
        <w:t xml:space="preserve"> minor and major complications. </w:t>
      </w:r>
      <w:r w:rsidRPr="0053750E">
        <w:rPr>
          <w:rFonts w:ascii="Book Antiqua" w:hAnsi="Book Antiqua"/>
          <w:szCs w:val="24"/>
          <w:lang w:val="en-GB"/>
        </w:rPr>
        <w:t xml:space="preserve">Several non-invasive laboratory and radiological methods </w:t>
      </w:r>
      <w:r w:rsidR="00F27668" w:rsidRPr="0053750E">
        <w:rPr>
          <w:rFonts w:ascii="Book Antiqua" w:hAnsi="Book Antiqua"/>
          <w:szCs w:val="24"/>
          <w:lang w:val="en-GB"/>
        </w:rPr>
        <w:t>have been developed</w:t>
      </w:r>
      <w:r w:rsidRPr="0053750E">
        <w:rPr>
          <w:rFonts w:ascii="Book Antiqua" w:hAnsi="Book Antiqua"/>
          <w:szCs w:val="24"/>
          <w:lang w:val="en-GB"/>
        </w:rPr>
        <w:t xml:space="preserve"> to assess the </w:t>
      </w:r>
      <w:r w:rsidR="00F27668" w:rsidRPr="0053750E">
        <w:rPr>
          <w:rFonts w:ascii="Book Antiqua" w:hAnsi="Book Antiqua"/>
          <w:szCs w:val="24"/>
          <w:lang w:val="en-GB"/>
        </w:rPr>
        <w:t>stage</w:t>
      </w:r>
      <w:r w:rsidRPr="0053750E">
        <w:rPr>
          <w:rFonts w:ascii="Book Antiqua" w:hAnsi="Book Antiqua"/>
          <w:szCs w:val="24"/>
          <w:lang w:val="en-GB"/>
        </w:rPr>
        <w:t xml:space="preserve"> of fibrosis in liver diseases.</w:t>
      </w:r>
      <w:r w:rsidRPr="0053750E">
        <w:rPr>
          <w:rFonts w:ascii="Book Antiqua" w:hAnsi="Book Antiqua"/>
          <w:szCs w:val="24"/>
        </w:rPr>
        <w:t xml:space="preserve"> </w:t>
      </w:r>
      <w:r w:rsidRPr="0053750E">
        <w:rPr>
          <w:rFonts w:ascii="Book Antiqua" w:hAnsi="Book Antiqua"/>
          <w:szCs w:val="24"/>
          <w:lang w:val="en-GB"/>
        </w:rPr>
        <w:t>The</w:t>
      </w:r>
      <w:r w:rsidR="00F27668" w:rsidRPr="0053750E">
        <w:rPr>
          <w:rFonts w:ascii="Book Antiqua" w:hAnsi="Book Antiqua"/>
          <w:szCs w:val="24"/>
          <w:lang w:val="en-GB"/>
        </w:rPr>
        <w:t xml:space="preserve"> performance of these non-invasive methods</w:t>
      </w:r>
      <w:r w:rsidRPr="0053750E">
        <w:rPr>
          <w:rFonts w:ascii="Book Antiqua" w:hAnsi="Book Antiqua"/>
          <w:szCs w:val="24"/>
          <w:lang w:val="en-GB"/>
        </w:rPr>
        <w:t xml:space="preserve"> have been </w:t>
      </w:r>
      <w:r w:rsidR="00F27668" w:rsidRPr="0053750E">
        <w:rPr>
          <w:rFonts w:ascii="Book Antiqua" w:hAnsi="Book Antiqua"/>
          <w:szCs w:val="24"/>
          <w:lang w:val="en-GB"/>
        </w:rPr>
        <w:t>studied</w:t>
      </w:r>
      <w:r w:rsidRPr="0053750E">
        <w:rPr>
          <w:rFonts w:ascii="Book Antiqua" w:hAnsi="Book Antiqua"/>
          <w:szCs w:val="24"/>
          <w:lang w:val="en-GB"/>
        </w:rPr>
        <w:t xml:space="preserve"> in </w:t>
      </w:r>
      <w:r w:rsidR="00F27668" w:rsidRPr="0053750E">
        <w:rPr>
          <w:rFonts w:ascii="Book Antiqua" w:hAnsi="Book Antiqua"/>
          <w:szCs w:val="24"/>
          <w:lang w:val="en-GB"/>
        </w:rPr>
        <w:t>HCV, HBV</w:t>
      </w:r>
      <w:r w:rsidRPr="0053750E">
        <w:rPr>
          <w:rFonts w:ascii="Book Antiqua" w:hAnsi="Book Antiqua"/>
          <w:szCs w:val="24"/>
          <w:lang w:val="en-GB"/>
        </w:rPr>
        <w:t>, non</w:t>
      </w:r>
      <w:r w:rsidR="00F27668" w:rsidRPr="0053750E">
        <w:rPr>
          <w:rFonts w:ascii="Book Antiqua" w:hAnsi="Book Antiqua"/>
          <w:szCs w:val="24"/>
          <w:lang w:val="en-GB"/>
        </w:rPr>
        <w:t>-</w:t>
      </w:r>
      <w:r w:rsidRPr="0053750E">
        <w:rPr>
          <w:rFonts w:ascii="Book Antiqua" w:hAnsi="Book Antiqua"/>
          <w:szCs w:val="24"/>
          <w:lang w:val="en-GB"/>
        </w:rPr>
        <w:t xml:space="preserve">alcoholic steatohepatitis, </w:t>
      </w:r>
      <w:r w:rsidR="00F27668" w:rsidRPr="0053750E">
        <w:rPr>
          <w:rFonts w:ascii="Book Antiqua" w:hAnsi="Book Antiqua"/>
          <w:szCs w:val="24"/>
          <w:lang w:val="en-GB"/>
        </w:rPr>
        <w:t>PBC</w:t>
      </w:r>
      <w:r w:rsidRPr="0053750E">
        <w:rPr>
          <w:rFonts w:ascii="Book Antiqua" w:hAnsi="Book Antiqua"/>
          <w:szCs w:val="24"/>
          <w:lang w:val="en-GB"/>
        </w:rPr>
        <w:t xml:space="preserve">, </w:t>
      </w:r>
      <w:r w:rsidR="00F27668" w:rsidRPr="0053750E">
        <w:rPr>
          <w:rFonts w:ascii="Book Antiqua" w:hAnsi="Book Antiqua"/>
          <w:szCs w:val="24"/>
          <w:lang w:val="en-GB"/>
        </w:rPr>
        <w:t>PSC</w:t>
      </w:r>
      <w:r w:rsidRPr="0053750E">
        <w:rPr>
          <w:rFonts w:ascii="Book Antiqua" w:hAnsi="Book Antiqua"/>
          <w:szCs w:val="24"/>
          <w:lang w:val="en-GB"/>
        </w:rPr>
        <w:t xml:space="preserve"> and other liver diseases. Nevertheless, </w:t>
      </w:r>
      <w:r w:rsidRPr="0053750E">
        <w:rPr>
          <w:rFonts w:ascii="Book Antiqua" w:hAnsi="Book Antiqua"/>
          <w:szCs w:val="24"/>
          <w:lang w:val="en-GB"/>
        </w:rPr>
        <w:lastRenderedPageBreak/>
        <w:t xml:space="preserve">efficacy of these methods in AIH was confined to </w:t>
      </w:r>
      <w:r w:rsidR="00F27668" w:rsidRPr="0053750E">
        <w:rPr>
          <w:rFonts w:ascii="Book Antiqua" w:hAnsi="Book Antiqua"/>
          <w:szCs w:val="24"/>
          <w:lang w:val="en-GB"/>
        </w:rPr>
        <w:t xml:space="preserve">a few with </w:t>
      </w:r>
      <w:r w:rsidRPr="0053750E">
        <w:rPr>
          <w:rFonts w:ascii="Book Antiqua" w:hAnsi="Book Antiqua"/>
          <w:szCs w:val="24"/>
          <w:lang w:val="en-GB"/>
        </w:rPr>
        <w:t xml:space="preserve">number of small-sized </w:t>
      </w:r>
      <w:r w:rsidR="00F27668" w:rsidRPr="0053750E">
        <w:rPr>
          <w:rFonts w:ascii="Book Antiqua" w:hAnsi="Book Antiqua"/>
          <w:szCs w:val="24"/>
          <w:lang w:val="en-GB"/>
        </w:rPr>
        <w:t>studies</w:t>
      </w:r>
      <w:r w:rsidRPr="0053750E">
        <w:rPr>
          <w:rFonts w:ascii="Book Antiqua" w:hAnsi="Book Antiqua"/>
          <w:szCs w:val="24"/>
          <w:lang w:val="en-GB"/>
        </w:rPr>
        <w:t>.</w:t>
      </w:r>
    </w:p>
    <w:p w:rsidR="00786C97" w:rsidRPr="0053750E" w:rsidRDefault="00F27668" w:rsidP="00245C94">
      <w:pPr>
        <w:ind w:firstLineChars="100" w:firstLine="240"/>
        <w:rPr>
          <w:rFonts w:ascii="Book Antiqua" w:hAnsi="Book Antiqua"/>
          <w:szCs w:val="24"/>
          <w:lang w:val="en-GB"/>
        </w:rPr>
      </w:pPr>
      <w:r w:rsidRPr="0053750E">
        <w:rPr>
          <w:rFonts w:ascii="Book Antiqua" w:hAnsi="Book Antiqua"/>
          <w:szCs w:val="24"/>
          <w:lang w:val="en-GB"/>
        </w:rPr>
        <w:t>Normalization</w:t>
      </w:r>
      <w:r w:rsidR="00786C97" w:rsidRPr="0053750E">
        <w:rPr>
          <w:rFonts w:ascii="Book Antiqua" w:hAnsi="Book Antiqua"/>
          <w:szCs w:val="24"/>
          <w:lang w:val="en-GB"/>
        </w:rPr>
        <w:t xml:space="preserve"> of serum aminotransferase and IgG levels </w:t>
      </w:r>
      <w:r w:rsidRPr="0053750E">
        <w:rPr>
          <w:rFonts w:ascii="Book Antiqua" w:hAnsi="Book Antiqua"/>
          <w:szCs w:val="24"/>
          <w:lang w:val="en-GB"/>
        </w:rPr>
        <w:t xml:space="preserve">are currently described </w:t>
      </w:r>
      <w:r w:rsidR="00786C97" w:rsidRPr="0053750E">
        <w:rPr>
          <w:rFonts w:ascii="Book Antiqua" w:hAnsi="Book Antiqua"/>
          <w:szCs w:val="24"/>
          <w:lang w:val="en-GB"/>
        </w:rPr>
        <w:t xml:space="preserve">as the biochemical remission. </w:t>
      </w:r>
      <w:r w:rsidR="0019030D" w:rsidRPr="0053750E">
        <w:rPr>
          <w:rFonts w:ascii="Book Antiqua" w:hAnsi="Book Antiqua"/>
          <w:szCs w:val="24"/>
          <w:lang w:val="en-GB"/>
        </w:rPr>
        <w:t>A recent study reported that AIH patients with long-term biochemical remission had signs of inflammation on liver biopsy, and it was shown to be associated with increased liver disease-</w:t>
      </w:r>
      <w:r w:rsidR="00E5208B" w:rsidRPr="0053750E">
        <w:rPr>
          <w:rFonts w:ascii="Book Antiqua" w:hAnsi="Book Antiqua"/>
          <w:szCs w:val="24"/>
          <w:lang w:val="en-GB"/>
        </w:rPr>
        <w:t>related mortality and morbidity</w:t>
      </w:r>
      <w:r w:rsidR="0019030D" w:rsidRPr="0053750E">
        <w:rPr>
          <w:rFonts w:ascii="Book Antiqua" w:hAnsi="Book Antiqua"/>
          <w:szCs w:val="24"/>
          <w:lang w:val="en-GB"/>
        </w:rPr>
        <w:fldChar w:fldCharType="begin" w:fldLock="1"/>
      </w:r>
      <w:r w:rsidR="003C3333" w:rsidRPr="0053750E">
        <w:rPr>
          <w:rFonts w:ascii="Book Antiqua" w:hAnsi="Book Antiqua"/>
          <w:szCs w:val="24"/>
          <w:lang w:val="en-GB"/>
        </w:rPr>
        <w:instrText>ADDIN CSL_CITATION { "citationItems" : [ { "id" : "ITEM-1", "itemData" : { "DOI" : "10.1038/ajg.2015.139", "ISSN" : "0002-9270", "PMID" : "26010310", "abstract" : "OBJECTIVES Biochemical remission is widely considered a satisfactory treatment end point in autoimmune hepatitis (AIH). The significance of persisting histological activity despite biochemical remission is unknown. We aimed to assess the frequency and prognostic significance of persisting histological inflammation in patients with AIH who had achieved biochemical remission with treatment. METHODS We studied 120 patients (median age at diagnosis 57 years; 81% female) with AIH by International Criteria (59% definite), who received immunosuppressive treatment and underwent a follow-up liver biopsy after at least 6 months of sustained biochemical remission (defined as normal serum ALT and globulin). RESULTS Fifty-five patients (46%) had persisting histological activity (Ishak histological activity index (HAI) \u22654). These patients had higher serum ALT (24 vs. 18\u2009IU/l, P=0.003) and AST (27 vs. 23\u2009IU/l, P=0.03) at the time of follow-up biopsy, compared with patients who achieved histological remission (HAI \u22643). They had less frequent regression of fibrosis on follow-up biopsy compared with those achieving histological remission (32 vs. 60%, P=0.004) and had excess mortality (standardized mortality ratio 1.4 vs. 0.7, P&lt;0.05). The excess mortality was due to liver disease. On multivariate analysis, persisting histological activity was independently associated with all-cause death/transplantation (HR 3.1 (95% CI 1.2-8.1); P=0.02); an association with liver-related death/transplantation fell short of significance (HR 9.7 (95% CI 0.84-111.6; P=0.07). CONCLUSIONS Persisting histological activity, despite biochemical remission, is frequent in patients with treated AIH and is associated with lower rates of fibrosis regression and reduced long-term survival.", "author" : [ { "dropping-particle" : "", "family" : "Dhaliwal", "given" : "Harpreet K", "non-dropping-particle" : "", "parse-names" : false, "suffix" : "" }, { "dropping-particle" : "", "family" : "Hoeroldt", "given" : "Barbara S", "non-dropping-particle" : "", "parse-names" : false, "suffix" : "" }, { "dropping-particle" : "", "family" : "Dube", "given" : "Asha K", "non-dropping-particle" : "", "parse-names" : false, "suffix" : "" }, { "dropping-particle" : "", "family" : "McFarlane", "given" : "Elaine", "non-dropping-particle" : "", "parse-names" : false, "suffix" : "" }, { "dropping-particle" : "", "family" : "Underwood", "given" : "James C E", "non-dropping-particle" : "", "parse-names" : false, "suffix" : "" }, { "dropping-particle" : "", "family" : "Karajeh", "given" : "Mohammed A", "non-dropping-particle" : "", "parse-names" : false, "suffix" : "" }, { "dropping-particle" : "", "family" : "Gleeson", "given" : "Dermot", "non-dropping-particle" : "", "parse-names" : false, "suffix" : "" } ], "container-title" : "The American Journal of Gastroenterology", "id" : "ITEM-1", "issue" : "7", "issued" : { "date-parts" : [ [ "2015", "7", "26" ] ] }, "page" : "993-999", "title" : "Long-Term Prognostic Significance of Persisting Histological Activity Despite Biochemical Remission in Autoimmune Hepatitis", "type" : "article-journal", "volume" : "110" }, "uris" : [ "http://www.mendeley.com/documents/?uuid=4031b57c-4483-37db-a8db-3dba085e1dfd" ] } ], "mendeley" : { "formattedCitation" : "&lt;sup&gt;[17]&lt;/sup&gt;", "plainTextFormattedCitation" : "[17]", "previouslyFormattedCitation" : "&lt;sup&gt;[17]&lt;/sup&gt;" }, "properties" : { "noteIndex" : 0 }, "schema" : "https://github.com/citation-style-language/schema/raw/master/csl-citation.json" }</w:instrText>
      </w:r>
      <w:r w:rsidR="0019030D" w:rsidRPr="0053750E">
        <w:rPr>
          <w:rFonts w:ascii="Book Antiqua" w:hAnsi="Book Antiqua"/>
          <w:szCs w:val="24"/>
          <w:lang w:val="en-GB"/>
        </w:rPr>
        <w:fldChar w:fldCharType="separate"/>
      </w:r>
      <w:r w:rsidR="003C3333" w:rsidRPr="0053750E">
        <w:rPr>
          <w:rFonts w:ascii="Book Antiqua" w:hAnsi="Book Antiqua"/>
          <w:noProof/>
          <w:szCs w:val="24"/>
          <w:vertAlign w:val="superscript"/>
          <w:lang w:val="en-GB"/>
        </w:rPr>
        <w:t>[17]</w:t>
      </w:r>
      <w:r w:rsidR="0019030D" w:rsidRPr="0053750E">
        <w:rPr>
          <w:rFonts w:ascii="Book Antiqua" w:hAnsi="Book Antiqua"/>
          <w:szCs w:val="24"/>
          <w:lang w:val="en-GB"/>
        </w:rPr>
        <w:fldChar w:fldCharType="end"/>
      </w:r>
      <w:r w:rsidR="0019030D" w:rsidRPr="0053750E">
        <w:rPr>
          <w:rFonts w:ascii="Book Antiqua" w:hAnsi="Book Antiqua"/>
          <w:szCs w:val="24"/>
          <w:lang w:val="en-GB"/>
        </w:rPr>
        <w:t xml:space="preserve">. The results of this study strongly suggest that need for further laboratory parameters that reveals liver inflammation in AIH. In study of </w:t>
      </w:r>
      <w:proofErr w:type="spellStart"/>
      <w:r w:rsidR="0019030D" w:rsidRPr="0053750E">
        <w:rPr>
          <w:rFonts w:ascii="Book Antiqua" w:hAnsi="Book Antiqua"/>
          <w:szCs w:val="24"/>
          <w:lang w:val="en-GB"/>
        </w:rPr>
        <w:t>Gutkowski</w:t>
      </w:r>
      <w:proofErr w:type="spellEnd"/>
      <w:r w:rsidR="0019030D" w:rsidRPr="0053750E">
        <w:rPr>
          <w:rFonts w:ascii="Book Antiqua" w:hAnsi="Book Antiqua"/>
          <w:szCs w:val="24"/>
          <w:lang w:val="en-GB"/>
        </w:rPr>
        <w:t xml:space="preserve"> </w:t>
      </w:r>
      <w:r w:rsidR="00BE1713" w:rsidRPr="0053750E">
        <w:rPr>
          <w:rFonts w:ascii="Book Antiqua" w:hAnsi="Book Antiqua"/>
          <w:i/>
          <w:szCs w:val="24"/>
          <w:lang w:val="en-GB"/>
        </w:rPr>
        <w:t>et al</w:t>
      </w:r>
      <w:r w:rsidR="00245C94" w:rsidRPr="0053750E">
        <w:rPr>
          <w:rFonts w:ascii="Book Antiqua" w:hAnsi="Book Antiqua"/>
          <w:szCs w:val="24"/>
          <w:vertAlign w:val="superscript"/>
          <w:lang w:val="en-GB"/>
        </w:rPr>
        <w:t>[</w:t>
      </w:r>
      <w:r w:rsidR="00245C94" w:rsidRPr="0053750E">
        <w:rPr>
          <w:rFonts w:ascii="Book Antiqua" w:hAnsi="Book Antiqua"/>
          <w:szCs w:val="24"/>
          <w:vertAlign w:val="superscript"/>
          <w:lang w:val="en-GB"/>
        </w:rPr>
        <w:fldChar w:fldCharType="begin" w:fldLock="1"/>
      </w:r>
      <w:r w:rsidR="00245C94" w:rsidRPr="0053750E">
        <w:rPr>
          <w:rFonts w:ascii="Book Antiqua" w:hAnsi="Book Antiqua"/>
          <w:szCs w:val="24"/>
          <w:vertAlign w:val="superscript"/>
          <w:lang w:val="en-GB"/>
        </w:rPr>
        <w:instrText>ADDIN CSL_CITATION { "citationItems" : [ { "id" : "ITEM-1", "itemData" : { "DOI" : "10.1111/liv.12198", "ISSN" : "14783223", "PMID" : "23651331", "abstract" : "BACKGROUND &amp; AIMS In autoimmune hepatitis (AIH), inflammation is closely related to fibrosis. Although transaminase levels are commonly used to assess hepatic inflammation, they may not relate directly to the histology. We developed a noninvasive diagnostic score as an alternative to liver biopsy to help optimize treatment for AIH and monitor disease progress. METHODS Eighty-two participants with type 1 AIH who had undergone liver biopsy were included (44 in training and 38 in validation sets). Liver histology was assessed according to the histologic activity index (HAI; score 0-18) and Ishak's histologic fibrosis index (HFI; score 0-6). High inflammation was defined as HAI&gt;4, and advanced fibrosis was defined as HFI&gt;2. Routine laboratory test findings and stepwise linear regression were used to develop the best models predicting HAI and HFI. The best cut-off value to predict high inflammation and advanced fibrosis for these formulas was then calculated based on receiver-operating characteristic analysis. RESULTS The cut-off value for a model predicting high inflammation was \u22653.57 (AUROC\u00a0=\u00a00.93; 95% CI: 0.86-1.00), with 100% sensitivity and 85% specificity. High inflammation was confirmed with an 81% positive predictive value and excluded with a 100% negative predictive value. In the validation set, the sensitivity, specificity, positive predictive value and negative predictive values were 100, 56, 88 and 100% respectively. The diagnostic yield of the fibrosis score was unsatisfactory. CONCLUSIONS The noninvasive inflammatory score based on four routine laboratory parameters discriminated patients with and without significant hepatic inflammation and may facilitate follow-up of type 1 AIH patients.", "author" : [ { "dropping-particle" : "", "family" : "Gutkowski", "given" : "Krzysztof", "non-dropping-particle" : "", "parse-names" : false, "suffix" : "" }, { "dropping-particle" : "", "family" : "Hartleb", "given" : "Marek", "non-dropping-particle" : "", "parse-names" : false, "suffix" : "" }, { "dropping-particle" : "", "family" : "Kacperek-Hartleb", "given" : "Teresa", "non-dropping-particle" : "", "parse-names" : false, "suffix" : "" }, { "dropping-particle" : "", "family" : "Kajor", "given" : "Maciej", "non-dropping-particle" : "", "parse-names" : false, "suffix" : "" }, { "dropping-particle" : "", "family" : "Mazur", "given" : "W\u0142odzimierz", "non-dropping-particle" : "", "parse-names" : false, "suffix" : "" }, { "dropping-particle" : "", "family" : "Zych", "given" : "W\u0142odzimierz", "non-dropping-particle" : "", "parse-names" : false, "suffix" : "" }, { "dropping-particle" : "", "family" : "Walewska-Zielecka", "given" : "Bo\u017cena", "non-dropping-particle" : "", "parse-names" : false, "suffix" : "" }, { "dropping-particle" : "", "family" : "Habior", "given" : "Andrzej", "non-dropping-particle" : "", "parse-names" : false, "suffix" : "" }, { "dropping-particle" : "", "family" : "Sobolewski", "given" : "Marek", "non-dropping-particle" : "", "parse-names" : false, "suffix" : "" } ], "container-title" : "Liver International", "id" : "ITEM-1", "issue" : "9", "issued" : { "date-parts" : [ [ "2013", "10" ] ] }, "page" : "1370-1377", "title" : "Laboratory-based scoring system for prediction of hepatic inflammatory activity in patients with autoimmune hepatitis", "type" : "article-journal", "volume" : "33" }, "uris" : [ "http://www.mendeley.com/documents/?uuid=b188b777-5288-3e6c-bdf8-b5ba4d2c870d" ] } ], "mendeley" : { "formattedCitation" : "&lt;sup&gt;[18]&lt;/sup&gt;", "manualFormatting" : "16", "plainTextFormattedCitation" : "[18]", "previouslyFormattedCitation" : "&lt;sup&gt;[18]&lt;/sup&gt;" }, "properties" : { "noteIndex" : 0 }, "schema" : "https://github.com/citation-style-language/schema/raw/master/csl-citation.json" }</w:instrText>
      </w:r>
      <w:r w:rsidR="00245C94" w:rsidRPr="0053750E">
        <w:rPr>
          <w:rFonts w:ascii="Book Antiqua" w:hAnsi="Book Antiqua"/>
          <w:szCs w:val="24"/>
          <w:vertAlign w:val="superscript"/>
          <w:lang w:val="en-GB"/>
        </w:rPr>
        <w:fldChar w:fldCharType="separate"/>
      </w:r>
      <w:r w:rsidR="00245C94" w:rsidRPr="0053750E">
        <w:rPr>
          <w:rFonts w:ascii="Book Antiqua" w:hAnsi="Book Antiqua"/>
          <w:noProof/>
          <w:szCs w:val="24"/>
          <w:vertAlign w:val="superscript"/>
          <w:lang w:val="en-GB"/>
        </w:rPr>
        <w:t>1</w:t>
      </w:r>
      <w:r w:rsidR="00E5208B" w:rsidRPr="0053750E">
        <w:rPr>
          <w:rFonts w:ascii="Book Antiqua" w:hAnsi="Book Antiqua"/>
          <w:noProof/>
          <w:szCs w:val="24"/>
          <w:vertAlign w:val="superscript"/>
          <w:lang w:val="en-GB"/>
        </w:rPr>
        <w:t>8</w:t>
      </w:r>
      <w:r w:rsidR="00245C94" w:rsidRPr="0053750E">
        <w:rPr>
          <w:rFonts w:ascii="Book Antiqua" w:hAnsi="Book Antiqua"/>
          <w:szCs w:val="24"/>
          <w:vertAlign w:val="superscript"/>
          <w:lang w:val="en-GB"/>
        </w:rPr>
        <w:fldChar w:fldCharType="end"/>
      </w:r>
      <w:r w:rsidR="00245C94" w:rsidRPr="0053750E">
        <w:rPr>
          <w:rFonts w:ascii="Book Antiqua" w:hAnsi="Book Antiqua"/>
          <w:szCs w:val="24"/>
          <w:vertAlign w:val="superscript"/>
          <w:lang w:val="en-GB"/>
        </w:rPr>
        <w:t>]</w:t>
      </w:r>
      <w:r w:rsidR="0019030D" w:rsidRPr="0053750E">
        <w:rPr>
          <w:rFonts w:ascii="Book Antiqua" w:hAnsi="Book Antiqua"/>
          <w:szCs w:val="24"/>
          <w:lang w:val="en-GB"/>
        </w:rPr>
        <w:t xml:space="preserve">, authors proposed a new </w:t>
      </w:r>
      <w:r w:rsidR="00786C97" w:rsidRPr="0053750E">
        <w:rPr>
          <w:rFonts w:ascii="Book Antiqua" w:hAnsi="Book Antiqua"/>
          <w:szCs w:val="24"/>
          <w:lang w:val="en-GB"/>
        </w:rPr>
        <w:t xml:space="preserve">laboratory parameter-based model </w:t>
      </w:r>
      <w:r w:rsidR="0019030D" w:rsidRPr="0053750E">
        <w:rPr>
          <w:rFonts w:ascii="Book Antiqua" w:hAnsi="Book Antiqua"/>
          <w:szCs w:val="24"/>
          <w:lang w:val="en-GB"/>
        </w:rPr>
        <w:t>that</w:t>
      </w:r>
      <w:r w:rsidR="00786C97" w:rsidRPr="0053750E">
        <w:rPr>
          <w:rFonts w:ascii="Book Antiqua" w:hAnsi="Book Antiqua"/>
          <w:szCs w:val="24"/>
          <w:lang w:val="en-GB"/>
        </w:rPr>
        <w:t xml:space="preserve"> </w:t>
      </w:r>
      <w:r w:rsidR="00DD22B3" w:rsidRPr="0053750E">
        <w:rPr>
          <w:rFonts w:ascii="Book Antiqua" w:hAnsi="Book Antiqua"/>
          <w:szCs w:val="24"/>
          <w:lang w:val="en-GB"/>
        </w:rPr>
        <w:t>showed</w:t>
      </w:r>
      <w:r w:rsidR="00786C97" w:rsidRPr="0053750E">
        <w:rPr>
          <w:rFonts w:ascii="Book Antiqua" w:hAnsi="Book Antiqua"/>
          <w:szCs w:val="24"/>
          <w:lang w:val="en-GB"/>
        </w:rPr>
        <w:t xml:space="preserve"> </w:t>
      </w:r>
      <w:r w:rsidR="0019030D" w:rsidRPr="0053750E">
        <w:rPr>
          <w:rFonts w:ascii="Book Antiqua" w:hAnsi="Book Antiqua"/>
          <w:szCs w:val="24"/>
          <w:lang w:val="en-GB"/>
        </w:rPr>
        <w:t>degree of</w:t>
      </w:r>
      <w:r w:rsidR="00786C97" w:rsidRPr="0053750E">
        <w:rPr>
          <w:rFonts w:ascii="Book Antiqua" w:hAnsi="Book Antiqua"/>
          <w:szCs w:val="24"/>
          <w:lang w:val="en-GB"/>
        </w:rPr>
        <w:t xml:space="preserve"> inflammation in autoimmune hepatitis (AIH) with a high sensitivity and specificity. </w:t>
      </w:r>
      <w:r w:rsidR="0019030D" w:rsidRPr="0053750E">
        <w:rPr>
          <w:rFonts w:ascii="Book Antiqua" w:hAnsi="Book Antiqua"/>
          <w:szCs w:val="24"/>
          <w:lang w:val="en-GB"/>
        </w:rPr>
        <w:t xml:space="preserve">Similarly, we showed that ADA can predict severe inflammation with considerably high sensitivity </w:t>
      </w:r>
      <w:r w:rsidR="00DD22B3" w:rsidRPr="0053750E">
        <w:rPr>
          <w:rFonts w:ascii="Book Antiqua" w:hAnsi="Book Antiqua"/>
          <w:szCs w:val="24"/>
          <w:lang w:val="en-GB"/>
        </w:rPr>
        <w:t>and specificity</w:t>
      </w:r>
      <w:r w:rsidR="0019030D" w:rsidRPr="0053750E">
        <w:rPr>
          <w:rFonts w:ascii="Book Antiqua" w:hAnsi="Book Antiqua"/>
          <w:szCs w:val="24"/>
          <w:lang w:val="en-GB"/>
        </w:rPr>
        <w:t>.</w:t>
      </w:r>
    </w:p>
    <w:p w:rsidR="00786C97" w:rsidRPr="0053750E" w:rsidRDefault="00786C97" w:rsidP="00245C94">
      <w:pPr>
        <w:ind w:firstLineChars="100" w:firstLine="240"/>
        <w:rPr>
          <w:rFonts w:ascii="Book Antiqua" w:hAnsi="Book Antiqua"/>
          <w:szCs w:val="24"/>
        </w:rPr>
      </w:pPr>
      <w:r w:rsidRPr="0053750E">
        <w:rPr>
          <w:rFonts w:ascii="Book Antiqua" w:hAnsi="Book Antiqua"/>
          <w:szCs w:val="24"/>
        </w:rPr>
        <w:t>Several studies reported that AIH pathogenesis might involve excessive proliferation of cytotoxic T-cells by defective T-cell activation or impaired number and function of regulatory T-cell (Treg)</w:t>
      </w:r>
      <w:r w:rsidR="00084E1A" w:rsidRPr="0053750E">
        <w:rPr>
          <w:rFonts w:ascii="Book Antiqua" w:hAnsi="Book Antiqua"/>
          <w:szCs w:val="24"/>
        </w:rPr>
        <w:fldChar w:fldCharType="begin" w:fldLock="1"/>
      </w:r>
      <w:r w:rsidR="003C3333" w:rsidRPr="0053750E">
        <w:rPr>
          <w:rFonts w:ascii="Book Antiqua" w:hAnsi="Book Antiqua"/>
          <w:szCs w:val="24"/>
        </w:rPr>
        <w:instrText>ADDIN CSL_CITATION { "citationItems" : [ { "id" : "ITEM-1", "itemData" : { "ISSN" : "0022-1767", "PMID" : "16547287", "abstract" : "Regulatory CD4(+)CD25(+) T cells (Tregs) are defective numerically and functionally in autoimmune hepatitis (AIH). We have investigated and compared the mechanism of action of Tregs in healthy subjects and in AIH patients using Transwell experiments, where Tregs are cultured either in direct contact with or separated from their targets by a semipermeable membrane. We also studied Treg FOXP3 expression and effect on apoptosis. Direct contact is necessary for Tregs to suppress proliferation and IFN-gamma production by CD4(+)CD25(-) and CD8(+) T cells in patients and controls. Moreover, in both, direct contact of Tregs with their targets leads to increased secretion of regulatory cytokines IL-4, IL-10, and TGF-beta, suggesting a mechanism of linked immunosuppression. Tregs/CD4(+)CD25(-) T cell cocultures lead to similar changes in IFN-gamma and IL-10 secretion in patients and controls, whereas increased TGF-beta secretion is significantly lower in patients. In contrast, in patients, Tregs/CD8(+) T cell cocultures lead to a higher increase of IL-4 secretion. In AIH, Treg FOXP3 expression is lower than in normal subjects. Both in patients and controls, FOXP3 expression is present also in CD4(+)CD25(-) T cells, although at a low level and not associated to suppressive function. Both in patients and controls, addition of Tregs does not influence target cell apoptosis, but in AIH, spontaneous apoptosis of CD4(+)CD25(-) T cells is reduced. In conclusion, Tregs act through a direct contact with their targets by modifying the cytokine profile and not inducing apoptosis. Deficient CD4(+)CD25(-) T cell spontaneous apoptosis may contribute to the development of autoimmunity.", "author" : [ { "dropping-particle" : "", "family" : "Longhi", "given" : "Maria Serena", "non-dropping-particle" : "", "parse-names" : false, "suffix" : "" }, { "dropping-particle" : "", "family" : "Hussain", "given" : "Munther J", "non-dropping-particle" : "", "parse-names" : false, "suffix" : "" }, { "dropping-particle" : "", "family" : "Mitry", "given" : "Ragai R", "non-dropping-particle" : "", "parse-names" : false, "suffix" : "" }, { "dropping-particle" : "", "family" : "Arora", "given" : "Sunil K", "non-dropping-particle" : "", "parse-names" : false, "suffix" : "" }, { "dropping-particle" : "", "family" : "Mieli-Vergani", "given" : "Giorgina", "non-dropping-particle" : "", "parse-names" : false, "suffix" : "" }, { "dropping-particle" : "", "family" : "Vergani", "given" : "Diego", "non-dropping-particle" : "", "parse-names" : false, "suffix" : "" }, { "dropping-particle" : "", "family" : "Ma", "given" : "Yun", "non-dropping-particle" : "", "parse-names" : false, "suffix" : "" } ], "container-title" : "Journal of immunology (Baltimore, Md. : 1950)", "id" : "ITEM-1", "issue" : "7", "issued" : { "date-parts" : [ [ "2006", "4", "1" ] ] }, "page" : "4484-91", "title" : "Functional study of CD4+CD25+ regulatory T cells in health and autoimmune hepatitis.", "type" : "article-journal", "volume" : "176" }, "uris" : [ "http://www.mendeley.com/documents/?uuid=17e306ad-e619-403e-b4f3-db8afe542d23" ] }, { "id" : "ITEM-2", "itemData" : { "DOI" : "10.1016/j.jhep.2012.02.029", "ISSN" : "1600-0641", "PMID" : "22425700", "abstract" : "BACKGROUND &amp; AIMS: The pathogenesis of autoimmune hepatitis (AIH) is not understood, but it was suggested that AIH may be related to a numerical or functional impairment of CD4+CD25+FOXP3+ regulatory T cells (Treg), which are important mediators of immune tolerance to self-antigens. However, the role of Treg in AIH is not clear, since earlier studies reporting Treg impairment had used only CD25 as marker that cannot unambiguously distinguish Treg from activated effector T cells.\n\nMETHODS: We assessed the frequency and suppressor function of Treg using current staining protocols that can distinguish Treg from activated effector T cells.\n\nRESULTS: The frequency of CD4+CD25(high)CD127(low)FOXP3+ Treg cells in blood of AIH patients was not reduced compared to healthy subjects, as shown by flow cytometry and confirmed by quantifying Treg-specific demethylation of the FOXP3 gene. Moreover, the suppressor function of Treg isolated from AIH patients was similar to that of Treg isolated from healthy subjects, indicating that Treg function was not impaired in AIH patients. However, we observed that the Treg frequency was significantly higher in those AIH patients with active disease than in those who were in a state of remission, suggesting that the Treg frequency may increase with the degree of inflammation. Indeed, analysis of FOXP3+ Treg in liver histology revealed that the intrahepatic Treg frequency was higher in AIH patients than in NASH patients and correlated with the inflammatory activity of the liver.\n\nCONCLUSIONS: The frequency and function of circulating Treg cells is not impaired in AIH.", "author" : [ { "dropping-particle" : "", "family" : "Peiseler", "given" : "Moritz", "non-dropping-particle" : "", "parse-names" : false, "suffix" : "" }, { "dropping-particle" : "", "family" : "Sebode", "given" : "Marcial", "non-dropping-particle" : "", "parse-names" : false, "suffix" : "" }, { "dropping-particle" : "", "family" : "Franke", "given" : "Bj\u00f6rn", "non-dropping-particle" : "", "parse-names" : false, "suffix" : "" }, { "dropping-particle" : "", "family" : "Wortmann", "given" : "Frederike", "non-dropping-particle" : "", "parse-names" : false, "suffix" : "" }, { "dropping-particle" : "", "family" : "Schwinge", "given" : "Dorothee", "non-dropping-particle" : "", "parse-names" : false, "suffix" : "" }, { "dropping-particle" : "", "family" : "Quaas", "given" : "Alexander", "non-dropping-particle" : "", "parse-names" : false, "suffix" : "" }, { "dropping-particle" : "", "family" : "Baron", "given" : "Udo", "non-dropping-particle" : "", "parse-names" : false, "suffix" : "" }, { "dropping-particle" : "", "family" : "Olek", "given" : "Sven", "non-dropping-particle" : "", "parse-names" : false, "suffix" : "" }, { "dropping-particle" : "", "family" : "Wiegard", "given" : "Christiane", "non-dropping-particle" : "", "parse-names" : false, "suffix" : "" }, { "dropping-particle" : "", "family" : "Lohse", "given" : "Ansgar W", "non-dropping-particle" : "", "parse-names" : false, "suffix" : "" }, { "dropping-particle" : "", "family" : "Weiler-Normann", "given" : "Christina", "non-dropping-particle" : "", "parse-names" : false, "suffix" : "" }, { "dropping-particle" : "", "family" : "Schramm", "given" : "Christoph", "non-dropping-particle" : "", "parse-names" : false, "suffix" : "" }, { "dropping-particle" : "", "family" : "Herkel", "given" : "Johannes", "non-dropping-particle" : "", "parse-names" : false, "suffix" : "" } ], "container-title" : "Journal of hepatology", "id" : "ITEM-2", "issue" : "1", "issued" : { "date-parts" : [ [ "2012", "7" ] ] }, "page" : "125-32", "title" : "FOXP3+ regulatory T cells in autoimmune hepatitis are fully functional and not reduced in frequency.", "type" : "article-journal", "volume" : "57" }, "uris" : [ "http://www.mendeley.com/documents/?uuid=d6bd8bea-e57f-476b-af69-4323808b0bf3" ] }, { "id" : "ITEM-3", "itemData" : { "ISSN" : "0065-2423", "PMID" : "16355922", "abstract" : "Autoantibodies indicate an immune reactive state, but in liver disease they lack pathogenicity and disease specificity. Antinuclear antibodies, smooth muscle antibodies, antibodies to liver/kidney microsome type 1, antimitochondrial antibodies, and perinuclear antineutrophil cytoplasmic antibodies constitute the standard serological repertoire that should be assessed in all liver diseases of undetermined cause. Antibodies to soluble liver antigen/liver pancreas, asialoglycoprotein receptor, actin, liver cytosol type 1, nuclear antigens specific to primary biliary cirrhosis, and pore complex antigens constitute an investigational repertoire that promises to have prognostic and diagnostic value. These autoantibodies may emerge as predictors of treatment response and outcome. Antibodies to histones, doubled-stranded DNA, chromatin, and lactoferrin constitute a supplemental repertoire, and they support the immune nature of the liver disease. Final diagnoses and treatment strategies do not depend solely on serological markers. Autoantibodies are floating variables, and their behavior does not correlate closely with disease activity. There are no minimum levels of significant seropositivity, especially in children. Over-interpretation is the major pitfall in the clinical application of the serological results. New autoantibodies will emerge as the search for target antigens and key pathogenic pathways continues.", "author" : [ { "dropping-particle" : "", "family" : "Czaja", "given" : "Albert J", "non-dropping-particle" : "", "parse-names" : false, "suffix" : "" } ], "container-title" : "Advances in clinical chemistry", "id" : "ITEM-3", "issued" : { "date-parts" : [ [ "2005", "1" ] ] }, "page" : "127-64", "title" : "Autoantibodies in autoimmune liver disease.", "type" : "article-journal", "volume" : "40" }, "uris" : [ "http://www.mendeley.com/documents/?uuid=d8a6724c-bab1-455a-ba9a-527de2379879" ] } ], "mendeley" : { "formattedCitation" : "&lt;sup&gt;[19\u201321]&lt;/sup&gt;", "plainTextFormattedCitation" : "[19\u201321]", "previouslyFormattedCitation" : "&lt;sup&gt;[19\u201321]&lt;/sup&gt;" }, "properties" : { "noteIndex" : 0 }, "schema" : "https://github.com/citation-style-language/schema/raw/master/csl-citation.json" }</w:instrText>
      </w:r>
      <w:r w:rsidR="00084E1A" w:rsidRPr="0053750E">
        <w:rPr>
          <w:rFonts w:ascii="Book Antiqua" w:hAnsi="Book Antiqua"/>
          <w:szCs w:val="24"/>
        </w:rPr>
        <w:fldChar w:fldCharType="separate"/>
      </w:r>
      <w:r w:rsidR="003C3333" w:rsidRPr="0053750E">
        <w:rPr>
          <w:rFonts w:ascii="Book Antiqua" w:hAnsi="Book Antiqua"/>
          <w:noProof/>
          <w:szCs w:val="24"/>
          <w:vertAlign w:val="superscript"/>
        </w:rPr>
        <w:t>[19–21]</w:t>
      </w:r>
      <w:r w:rsidR="00084E1A" w:rsidRPr="0053750E">
        <w:rPr>
          <w:rFonts w:ascii="Book Antiqua" w:hAnsi="Book Antiqua"/>
          <w:szCs w:val="24"/>
        </w:rPr>
        <w:fldChar w:fldCharType="end"/>
      </w:r>
      <w:r w:rsidR="00084E1A" w:rsidRPr="0053750E">
        <w:rPr>
          <w:rFonts w:ascii="Book Antiqua" w:hAnsi="Book Antiqua"/>
          <w:szCs w:val="24"/>
        </w:rPr>
        <w:t>.</w:t>
      </w:r>
      <w:r w:rsidR="00084E1A" w:rsidRPr="0053750E">
        <w:rPr>
          <w:rFonts w:ascii="Book Antiqua" w:hAnsi="Book Antiqua"/>
          <w:szCs w:val="24"/>
          <w:vertAlign w:val="superscript"/>
        </w:rPr>
        <w:t xml:space="preserve"> </w:t>
      </w:r>
      <w:r w:rsidRPr="0053750E">
        <w:rPr>
          <w:rFonts w:ascii="Book Antiqua" w:hAnsi="Book Antiqua"/>
          <w:szCs w:val="24"/>
        </w:rPr>
        <w:t>Adenosine deaminase (ADA), an enzyme involved in the purine metabolism, plays an important role in growth and differentiation of lymphocytes and macrophages</w:t>
      </w:r>
      <w:r w:rsidR="00084E1A" w:rsidRPr="0053750E">
        <w:rPr>
          <w:rFonts w:ascii="Book Antiqua" w:hAnsi="Book Antiqua"/>
          <w:szCs w:val="24"/>
        </w:rPr>
        <w:fldChar w:fldCharType="begin" w:fldLock="1"/>
      </w:r>
      <w:r w:rsidR="003C3333" w:rsidRPr="0053750E">
        <w:rPr>
          <w:rFonts w:ascii="Book Antiqua" w:hAnsi="Book Antiqua"/>
          <w:szCs w:val="24"/>
        </w:rPr>
        <w:instrText>ADDIN CSL_CITATION { "citationItems" : [ { "id" : "ITEM-1", "itemData" : { "DOI" : "10.1080/09629350123332", "ISSN" : "0962-9351", "PMID" : "11577999", "abstract" : "BACKGROUND: Although myeloperoxidase (MPO) and adenosine-deaminase (ADA) levels are markers of activated leukocytes, both enzymes have not been currently addressed in inflammation models.\n\nAIMS: This study evaluates whether the concentrations of these enzymes are significantly correlated with the content of leukocytes in a pleurisy model.\n\nMETHODS: The pleurisy was induced by carrageenan (1%) in mice, and the parameters analyzed 4 and 48 h after.\n\nRESULTS: After the induction of inflammation (4h), MPO and ADA levels peaked in parallel to neutrophils (p&lt;0.01). Regarding the second phase of pleurisy (48 h), the highest concentrations of ADA were detected in parallel to the highest levels of mononuclears (p&lt;0.01). At this time, MPO levels and neutrophils remained elevated, although at lower levels than those found at 4 h. A significant positive correlation was found among neutrophiLs and MPO, and mononuclears and ADA (p&lt;0.01).\n\nCONCLUSIONS: These findings support the evidence that both enzymes are markers of the inflammatory process, and provide new tools for a better understanding of the immunoregulatory pathways that occur in inflammation.", "author" : [ { "dropping-particle" : "", "family" : "Fr\u00f6de", "given" : "T S", "non-dropping-particle" : "", "parse-names" : false, "suffix" : "" }, { "dropping-particle" : "", "family" : "Medeiros", "given" : "Y S", "non-dropping-particle" : "", "parse-names" : false, "suffix" : "" } ], "container-title" : "Mediators of inflammation", "id" : "ITEM-1", "issue" : "4", "issued" : { "date-parts" : [ [ "2001", "8" ] ] }, "page" : "223-7", "title" : "Myeloperoxidase and adenosine-deaminase levels in the pleural fluid leakage induced by carrageenan in the mouse model of pleurisy.", "type" : "article-journal", "volume" : "10" }, "uris" : [ "http://www.mendeley.com/documents/?uuid=b100ca4b-0dfb-4379-b889-296f1b251403" ] } ], "mendeley" : { "formattedCitation" : "&lt;sup&gt;[22]&lt;/sup&gt;", "plainTextFormattedCitation" : "[22]", "previouslyFormattedCitation" : "&lt;sup&gt;[22]&lt;/sup&gt;" }, "properties" : { "noteIndex" : 0 }, "schema" : "https://github.com/citation-style-language/schema/raw/master/csl-citation.json" }</w:instrText>
      </w:r>
      <w:r w:rsidR="00084E1A" w:rsidRPr="0053750E">
        <w:rPr>
          <w:rFonts w:ascii="Book Antiqua" w:hAnsi="Book Antiqua"/>
          <w:szCs w:val="24"/>
        </w:rPr>
        <w:fldChar w:fldCharType="separate"/>
      </w:r>
      <w:r w:rsidR="003C3333" w:rsidRPr="0053750E">
        <w:rPr>
          <w:rFonts w:ascii="Book Antiqua" w:hAnsi="Book Antiqua"/>
          <w:noProof/>
          <w:szCs w:val="24"/>
          <w:vertAlign w:val="superscript"/>
        </w:rPr>
        <w:t>[22]</w:t>
      </w:r>
      <w:r w:rsidR="00084E1A" w:rsidRPr="0053750E">
        <w:rPr>
          <w:rFonts w:ascii="Book Antiqua" w:hAnsi="Book Antiqua"/>
          <w:szCs w:val="24"/>
        </w:rPr>
        <w:fldChar w:fldCharType="end"/>
      </w:r>
      <w:r w:rsidRPr="0053750E">
        <w:rPr>
          <w:rFonts w:ascii="Book Antiqua" w:hAnsi="Book Antiqua"/>
          <w:szCs w:val="24"/>
        </w:rPr>
        <w:t>. Since the activity of ADA is elevated during T-cell response to antigenic stimulus, this enzyme is considered as a non-specific marker of T lymphocyte-mediated cellular immunity</w:t>
      </w:r>
      <w:r w:rsidR="00010C8C" w:rsidRPr="0053750E">
        <w:rPr>
          <w:rFonts w:ascii="Book Antiqua" w:hAnsi="Book Antiqua"/>
          <w:szCs w:val="24"/>
        </w:rPr>
        <w:fldChar w:fldCharType="begin" w:fldLock="1"/>
      </w:r>
      <w:r w:rsidR="003C3333" w:rsidRPr="0053750E">
        <w:rPr>
          <w:rFonts w:ascii="Book Antiqua" w:hAnsi="Book Antiqua"/>
          <w:szCs w:val="24"/>
        </w:rPr>
        <w:instrText>ADDIN CSL_CITATION { "citationItems" : [ { "id" : "ITEM-1", "itemData" : { "ISSN" : "0198-6325", "PMID" : "11223861", "abstract" : "Adenosine deaminase (ADA) is an enzyme of the purine metabolism which catalyzes the irreversible deamination of adenosine and deoxyadenosine to inosine and deoxyinosine, respectively. This ubiquitous enzyme has been found in a wide variety of microorganisms, plants, and invertebrates. In addition, it is present in all mammalian cells that play a central role in the differentiation and maturation of the lymphoid system. However, despite a number of studies performed to date, the physiological role played by ADA in the different tissues is not clear. Inherited ADA deficiency causes severe combined immunodeficiency disease (ADA-SCID), in which both B-cell and T-cell development is impaired. ADA-SCID has been the first disorder to be treated by gene therapy, using polyethylene glycol-modified bovine ADA (PEG-ADA). Conversely, there are several diseases in which the level of ADA is above normal. A number of ADA inhibitors have been designed and synthesized, classified as ground-state and transition-state inhibitors. They may be used to mimic the genetic deficiency of the enzyme, in lymphoproliferative disorders or immunosuppressive therapy (i.e., in graft rejection), to potentiate the effect of antileukemic or antiviral nucleosides, and, together with adenosine kinase, to reduce breakdown of adenosine in inflammation, hypertension, and ischemic injury.", "author" : [ { "dropping-particle" : "", "family" : "Cristalli", "given" : "G", "non-dropping-particle" : "", "parse-names" : false, "suffix" : "" }, { "dropping-particle" : "", "family" : "Costanzi", "given" : "S", "non-dropping-particle" : "", "parse-names" : false, "suffix" : "" }, { "dropping-particle" : "", "family" : "Lambertucci", "given" : "C", "non-dropping-particle" : "", "parse-names" : false, "suffix" : "" }, { "dropping-particle" : "", "family" : "Lupidi", "given" : "G", "non-dropping-particle" : "", "parse-names" : false, "suffix" : "" }, { "dropping-particle" : "", "family" : "Vittori", "given" : "S", "non-dropping-particle" : "", "parse-names" : false, "suffix" : "" }, { "dropping-particle" : "", "family" : "Volpini", "given" : "R", "non-dropping-particle" : "", "parse-names" : false, "suffix" : "" }, { "dropping-particle" : "", "family" : "Camaioni", "given" : "E", "non-dropping-particle" : "", "parse-names" : false, "suffix" : "" } ], "container-title" : "Medicinal research reviews", "id" : "ITEM-1", "issue" : "2", "issued" : { "date-parts" : [ [ "2001", "3" ] ] }, "page" : "105-28", "title" : "Adenosine deaminase: functional implications and different classes of inhibitors.", "type" : "article-journal", "volume" : "21" }, "uris" : [ "http://www.mendeley.com/documents/?uuid=27a73961-8469-3491-82f3-0e8075e810ac" ] } ], "mendeley" : { "formattedCitation" : "&lt;sup&gt;[23]&lt;/sup&gt;", "plainTextFormattedCitation" : "[23]", "previouslyFormattedCitation" : "&lt;sup&gt;[23]&lt;/sup&gt;" }, "properties" : { "noteIndex" : 0 }, "schema" : "https://github.com/citation-style-language/schema/raw/master/csl-citation.json" }</w:instrText>
      </w:r>
      <w:r w:rsidR="00010C8C" w:rsidRPr="0053750E">
        <w:rPr>
          <w:rFonts w:ascii="Book Antiqua" w:hAnsi="Book Antiqua"/>
          <w:szCs w:val="24"/>
        </w:rPr>
        <w:fldChar w:fldCharType="separate"/>
      </w:r>
      <w:r w:rsidR="003C3333" w:rsidRPr="0053750E">
        <w:rPr>
          <w:rFonts w:ascii="Book Antiqua" w:hAnsi="Book Antiqua"/>
          <w:noProof/>
          <w:szCs w:val="24"/>
          <w:vertAlign w:val="superscript"/>
        </w:rPr>
        <w:t>[23]</w:t>
      </w:r>
      <w:r w:rsidR="00010C8C" w:rsidRPr="0053750E">
        <w:rPr>
          <w:rFonts w:ascii="Book Antiqua" w:hAnsi="Book Antiqua"/>
          <w:szCs w:val="24"/>
        </w:rPr>
        <w:fldChar w:fldCharType="end"/>
      </w:r>
      <w:r w:rsidRPr="0053750E">
        <w:rPr>
          <w:rFonts w:ascii="Book Antiqua" w:hAnsi="Book Antiqua"/>
          <w:szCs w:val="24"/>
        </w:rPr>
        <w:t>. This association appears to imply the fact that serum ADA level may determine T-cell activity and severity of inflammation in AIH.</w:t>
      </w:r>
    </w:p>
    <w:p w:rsidR="00786C97" w:rsidRPr="0053750E" w:rsidRDefault="00786C97" w:rsidP="00245C94">
      <w:pPr>
        <w:ind w:firstLineChars="100" w:firstLine="240"/>
        <w:rPr>
          <w:rFonts w:ascii="Book Antiqua" w:hAnsi="Book Antiqua"/>
          <w:szCs w:val="24"/>
          <w:lang w:val="en-GB"/>
        </w:rPr>
      </w:pPr>
      <w:r w:rsidRPr="0053750E">
        <w:rPr>
          <w:rFonts w:ascii="Book Antiqua" w:hAnsi="Book Antiqua"/>
          <w:szCs w:val="24"/>
          <w:lang w:val="en-GB"/>
        </w:rPr>
        <w:t>ADA level was previously shown to predict s</w:t>
      </w:r>
      <w:r w:rsidR="00EC7A63" w:rsidRPr="0053750E">
        <w:rPr>
          <w:rFonts w:ascii="Book Antiqua" w:hAnsi="Book Antiqua"/>
          <w:szCs w:val="24"/>
          <w:lang w:val="en-GB"/>
        </w:rPr>
        <w:t xml:space="preserve">everity of disease </w:t>
      </w:r>
      <w:r w:rsidRPr="0053750E">
        <w:rPr>
          <w:rFonts w:ascii="Book Antiqua" w:hAnsi="Book Antiqua"/>
          <w:szCs w:val="24"/>
          <w:lang w:val="en-GB"/>
        </w:rPr>
        <w:t>in hepatitis B and C</w:t>
      </w:r>
      <w:r w:rsidR="00BD1024" w:rsidRPr="0053750E">
        <w:rPr>
          <w:rFonts w:ascii="Book Antiqua" w:hAnsi="Book Antiqua"/>
          <w:szCs w:val="24"/>
          <w:lang w:val="en-GB"/>
        </w:rPr>
        <w:t xml:space="preserve"> </w:t>
      </w:r>
      <w:r w:rsidR="00BD1024" w:rsidRPr="0053750E">
        <w:rPr>
          <w:rFonts w:ascii="Book Antiqua" w:hAnsi="Book Antiqua"/>
          <w:szCs w:val="24"/>
          <w:lang w:val="en-GB"/>
        </w:rPr>
        <w:fldChar w:fldCharType="begin" w:fldLock="1"/>
      </w:r>
      <w:r w:rsidR="003C3333" w:rsidRPr="0053750E">
        <w:rPr>
          <w:rFonts w:ascii="Book Antiqua" w:hAnsi="Book Antiqua"/>
          <w:szCs w:val="24"/>
          <w:lang w:val="en-GB"/>
        </w:rPr>
        <w:instrText>ADDIN CSL_CITATION { "citationItems" : [ { "id" : "ITEM-1", "itemData" : { "ISSN" : "1684-1182", "PMID" : "17712462", "abstract" : "BACKGROUND AND PURPOSE: The evaluation of adenosine deaminase (ADA) activity in sera of patients with hepatitis should be considered a useful tool in the monitoring of their clinical status. In this study, we aimed to determine the relationship between viral load, transaminase levels, and serum ADA levels in hepatitis B virus (HBV)- and hepatitis C virus (HCV)-infected patients.\n\nMETHODS: Seventy three patients with hepatitis B, 71 patients with hepatitis C and 40 healthy individuals were included. Patients with HBV and HCV infections were classified into 3 groups according to viral load. Serum ADA levels were investigated by colorimetric assays.\n\nRESULTS: Serum alanine aminotransferase (ALT), aspartate aminotransferase (AST), and ADA levels of HBV- and HCV-infected patients were higher than those of the control group. These differences were statistically significant for the levels of all enzymes in HCV-infected patients (p&lt;0.05), and all except AST (p&gt;0.05) in HBV-infected patients. ADA levels of HBV-infected patients with high viral loads were higher than those in HBV-infected patients with intermediate and low viral loads, and the difference was detectably significant between patients with high and intermediate viral loads. Evaluation of HCV-infected patients according to viral load showed no statistically significant relationship between viral load and serum ADA, ALT, and AST levels (p&gt;0.05). HBV- and HCV-infected patients with high ALT and AST levels showed statistically significantly higher levels of ADA than patients with normal ALT and AST levels (p&lt;0.001).\n\nCONCLUSIONS: We suggest that serum ADA levels are associated more with the level of serum transaminases than viral load in HBV- and HCV-infected patients. In the treatment of patients with hepatitis, serum ADA levels should be considered a useful tool for the monitoring of liver condition.", "author" : [ { "dropping-particle" : "", "family" : "Kaya", "given" : "Sel\u00e7uk", "non-dropping-particle" : "", "parse-names" : false, "suffix" : "" }, { "dropping-particle" : "", "family" : "Cetin", "given" : "Emel Sesli", "non-dropping-particle" : "", "parse-names" : false, "suffix" : "" }, { "dropping-particle" : "", "family" : "Aridogan", "given" : "Buket Cicioglu", "non-dropping-particle" : "", "parse-names" : false, "suffix" : "" }, { "dropping-particle" : "", "family" : "Arikan", "given" : "Salih", "non-dropping-particle" : "", "parse-names" : false, "suffix" : "" }, { "dropping-particle" : "", "family" : "Demirci", "given" : "Mustafa", "non-dropping-particle" : "", "parse-names" : false, "suffix" : "" } ], "container-title" : "Journal of microbiology, immunology, and infection = Wei mian yu gan ran za zhi", "id" : "ITEM-1", "issue" : "4", "issued" : { "date-parts" : [ [ "2007", "8" ] ] }, "page" : "288-92", "title" : "Adenosine deaminase activity in serum of patients with hepatitis -- a useful tool in monitoring clinical status.", "type" : "article-journal", "volume" : "40" }, "uris" : [ "http://www.mendeley.com/documents/?uuid=7099dc2a-201f-44aa-9096-82bf720554f9" ] }, { "id" : "ITEM-2", "itemData" : { "author" : [ { "dropping-particle" : "", "family" : "Umaramani", "given" : "G", "non-dropping-particle" : "", "parse-names" : false, "suffix" : "" }, { "dropping-particle" : "", "family" : "Sameera", "given" : "K", "non-dropping-particle" : "", "parse-names" : false, "suffix" : "" }, { "dropping-particle" : "", "family" : "Suryanarayana", "given" : "D", "non-dropping-particle" : "", "parse-names" : false, "suffix" : "" } ], "container-title" : "Int J Biol Med Res", "id" : "ITEM-2", "issue" : "1", "issued" : { "date-parts" : [ [ "2012" ] ] }, "page" : "2017-2019", "title" : "Evaluation of Serum Adenosine Deaminase Activity in Viral Hepatitis", "type" : "article-journal", "volume" : "3" }, "uris" : [ "http://www.mendeley.com/documents/?uuid=be028fca-14d1-4171-879b-4067dffbb4f9" ] } ], "mendeley" : { "formattedCitation" : "&lt;sup&gt;[12,13]&lt;/sup&gt;", "plainTextFormattedCitation" : "[12,13]", "previouslyFormattedCitation" : "&lt;sup&gt;[12,13]&lt;/sup&gt;" }, "properties" : { "noteIndex" : 0 }, "schema" : "https://github.com/citation-style-language/schema/raw/master/csl-citation.json" }</w:instrText>
      </w:r>
      <w:r w:rsidR="00BD1024" w:rsidRPr="0053750E">
        <w:rPr>
          <w:rFonts w:ascii="Book Antiqua" w:hAnsi="Book Antiqua"/>
          <w:szCs w:val="24"/>
          <w:lang w:val="en-GB"/>
        </w:rPr>
        <w:fldChar w:fldCharType="separate"/>
      </w:r>
      <w:r w:rsidR="003C3333" w:rsidRPr="0053750E">
        <w:rPr>
          <w:rFonts w:ascii="Book Antiqua" w:hAnsi="Book Antiqua"/>
          <w:noProof/>
          <w:szCs w:val="24"/>
          <w:vertAlign w:val="superscript"/>
          <w:lang w:val="en-GB"/>
        </w:rPr>
        <w:t>[12,13]</w:t>
      </w:r>
      <w:r w:rsidR="00BD1024" w:rsidRPr="0053750E">
        <w:rPr>
          <w:rFonts w:ascii="Book Antiqua" w:hAnsi="Book Antiqua"/>
          <w:szCs w:val="24"/>
          <w:lang w:val="en-GB"/>
        </w:rPr>
        <w:fldChar w:fldCharType="end"/>
      </w:r>
      <w:r w:rsidRPr="0053750E">
        <w:rPr>
          <w:rFonts w:ascii="Book Antiqua" w:hAnsi="Book Antiqua"/>
          <w:szCs w:val="24"/>
          <w:lang w:val="en-GB"/>
        </w:rPr>
        <w:t>. In our study, we demonstrated that serum ADA level was markedly elevated at every grade of the hepatic inflammation. Furthermore, ADA level</w:t>
      </w:r>
      <w:r w:rsidR="00DD22B3" w:rsidRPr="0053750E">
        <w:rPr>
          <w:rFonts w:ascii="Book Antiqua" w:hAnsi="Book Antiqua"/>
          <w:szCs w:val="24"/>
          <w:lang w:val="en-GB"/>
        </w:rPr>
        <w:t>s had a 85% sensitivity and 88% specificity fo</w:t>
      </w:r>
      <w:r w:rsidR="003168E8" w:rsidRPr="0053750E">
        <w:rPr>
          <w:rFonts w:ascii="Book Antiqua" w:hAnsi="Book Antiqua"/>
          <w:szCs w:val="24"/>
          <w:lang w:val="en-GB"/>
        </w:rPr>
        <w:t>r</w:t>
      </w:r>
      <w:r w:rsidR="00DD22B3" w:rsidRPr="0053750E">
        <w:rPr>
          <w:rFonts w:ascii="Book Antiqua" w:hAnsi="Book Antiqua"/>
          <w:szCs w:val="24"/>
          <w:lang w:val="en-GB"/>
        </w:rPr>
        <w:t xml:space="preserve"> </w:t>
      </w:r>
      <w:r w:rsidRPr="0053750E">
        <w:rPr>
          <w:rFonts w:ascii="Book Antiqua" w:hAnsi="Book Antiqua"/>
          <w:szCs w:val="24"/>
          <w:lang w:val="en-GB"/>
        </w:rPr>
        <w:t xml:space="preserve">severe inflammation in </w:t>
      </w:r>
      <w:r w:rsidR="00DD22B3" w:rsidRPr="0053750E">
        <w:rPr>
          <w:rFonts w:ascii="Book Antiqua" w:hAnsi="Book Antiqua"/>
          <w:szCs w:val="24"/>
          <w:lang w:val="en-GB"/>
        </w:rPr>
        <w:t>AIH</w:t>
      </w:r>
      <w:r w:rsidRPr="0053750E">
        <w:rPr>
          <w:rFonts w:ascii="Book Antiqua" w:hAnsi="Book Antiqua"/>
          <w:szCs w:val="24"/>
          <w:lang w:val="en-GB"/>
        </w:rPr>
        <w:t>.</w:t>
      </w:r>
    </w:p>
    <w:p w:rsidR="00786C97" w:rsidRPr="0053750E" w:rsidRDefault="00786C97" w:rsidP="00245C94">
      <w:pPr>
        <w:ind w:firstLineChars="100" w:firstLine="240"/>
        <w:rPr>
          <w:rFonts w:ascii="Book Antiqua" w:hAnsi="Book Antiqua"/>
          <w:szCs w:val="24"/>
          <w:lang w:val="en-GB"/>
        </w:rPr>
      </w:pPr>
      <w:bookmarkStart w:id="18" w:name="_gjdgxs" w:colFirst="0" w:colLast="0"/>
      <w:bookmarkEnd w:id="18"/>
      <w:r w:rsidRPr="0053750E">
        <w:rPr>
          <w:rFonts w:ascii="Book Antiqua" w:hAnsi="Book Antiqua"/>
          <w:szCs w:val="24"/>
          <w:lang w:val="en-GB"/>
        </w:rPr>
        <w:t>Association between ADA level</w:t>
      </w:r>
      <w:r w:rsidR="008C62E9" w:rsidRPr="0053750E">
        <w:rPr>
          <w:rFonts w:ascii="Book Antiqua" w:hAnsi="Book Antiqua"/>
          <w:szCs w:val="24"/>
          <w:lang w:val="en-GB"/>
        </w:rPr>
        <w:t>s</w:t>
      </w:r>
      <w:r w:rsidRPr="0053750E">
        <w:rPr>
          <w:rFonts w:ascii="Book Antiqua" w:hAnsi="Book Antiqua"/>
          <w:szCs w:val="24"/>
          <w:lang w:val="en-GB"/>
        </w:rPr>
        <w:t xml:space="preserve"> and disease activity was also investigated </w:t>
      </w:r>
      <w:r w:rsidR="00DD22B3" w:rsidRPr="0053750E">
        <w:rPr>
          <w:rFonts w:ascii="Book Antiqua" w:hAnsi="Book Antiqua"/>
          <w:szCs w:val="24"/>
          <w:lang w:val="en-GB"/>
        </w:rPr>
        <w:t>in patients with</w:t>
      </w:r>
      <w:r w:rsidRPr="0053750E">
        <w:rPr>
          <w:rFonts w:ascii="Book Antiqua" w:hAnsi="Book Antiqua"/>
          <w:szCs w:val="24"/>
          <w:lang w:val="en-GB"/>
        </w:rPr>
        <w:t xml:space="preserve"> inflammatory bowel diseases. While some studies reported an association between serum ADA level</w:t>
      </w:r>
      <w:r w:rsidR="00DD22B3" w:rsidRPr="0053750E">
        <w:rPr>
          <w:rFonts w:ascii="Book Antiqua" w:hAnsi="Book Antiqua"/>
          <w:szCs w:val="24"/>
          <w:lang w:val="en-GB"/>
        </w:rPr>
        <w:t>s</w:t>
      </w:r>
      <w:r w:rsidRPr="0053750E">
        <w:rPr>
          <w:rFonts w:ascii="Book Antiqua" w:hAnsi="Book Antiqua"/>
          <w:szCs w:val="24"/>
          <w:lang w:val="en-GB"/>
        </w:rPr>
        <w:t xml:space="preserve"> and disease activation both in ulcerati</w:t>
      </w:r>
      <w:r w:rsidR="00245C94" w:rsidRPr="0053750E">
        <w:rPr>
          <w:rFonts w:ascii="Book Antiqua" w:hAnsi="Book Antiqua"/>
          <w:szCs w:val="24"/>
          <w:lang w:val="en-GB"/>
        </w:rPr>
        <w:t>ve colitis and Crohn’s disease</w:t>
      </w:r>
      <w:r w:rsidR="00BD1024" w:rsidRPr="0053750E">
        <w:rPr>
          <w:rFonts w:ascii="Book Antiqua" w:hAnsi="Book Antiqua"/>
          <w:szCs w:val="24"/>
          <w:lang w:val="en-GB"/>
        </w:rPr>
        <w:fldChar w:fldCharType="begin" w:fldLock="1"/>
      </w:r>
      <w:r w:rsidR="003C3333" w:rsidRPr="0053750E">
        <w:rPr>
          <w:rFonts w:ascii="Book Antiqua" w:hAnsi="Book Antiqua"/>
          <w:szCs w:val="24"/>
          <w:lang w:val="en-GB"/>
        </w:rPr>
        <w:instrText>ADDIN CSL_CITATION { "citationItems" : [ { "id" : "ITEM-1", "itemData" : { "DOI" : "10.1097/MEG.0b013e328346e205", "ISSN" : "1473-5687", "PMID" : "21593678", "abstract" : "BACKGROUND: Crohn's disease (CD) is a common chronic inflammatory bowel disease. During the disease a cascade of immunologic events occur including mucosal influx of inflammatory cells like neutrophils. Adenosine deaminase (ADA) is important in inflammatory responses and serves as a marker of activated leukocytes.\n\nMATERIALS AND METHODS: In this study, we investigated the activity of total ADA (tADA) and its isoenzymes, ADA1 and ADA2, in serum and neutrophils derived from 20 active patients with CD, 20 patients in remission, as well as in 15 healthy controls.\n\nRESULTS: Patients with active disease had significantly (P&lt;0.001) higher levels of tADA in serum (22.9\u00b14.9 U/l) than patients in remission or healthy controls (14.0\u00b13.4 U/l and 13.2\u00b12.4 U/l respectively). ADA2, the main isoenzyme in the serum was higher in active patients by 60% as compared with patients in remission and healthy controls (19.7\u00b11.9 U/l, 12.3\u00b11.2 U/l, and 12.2\u00b10.9 U/l respectively). We did not find a significant difference in these parameters between healthy controls and stable patients. There was a positive correlation (R=0.516) between tADA activity and C-reactive protein levels in patients with CD. Enhanced activity in tADA was also detected in neutrophils that were obtained from all patients with CD as compared with healthy controls (15.3\u00b12.9 U/g, 14.1\u00b12.3 U/g, and 9.4\u00b12.9 U/g protein, respectively). This is mainly due to a significant increment (up to 51%) in ADA1 activity, the main isoenzyme in the neutrophils (84% out of the tADA). The cause of this increment remains to be elucidated.\n\nCONCLUSION: The results obtained in this study demonstrated elevated levels of tADA and ADA2 in patients with active disease. As the patient improves and becomes clinically stable these levels decrease, approaching normal values. tADA and ADA2 can be used as markers of inflammation, and provide a supportive indicator of CD activity.", "author" : [ { "dropping-particle" : "", "family" : "Maor", "given" : "Irit", "non-dropping-particle" : "", "parse-names" : false, "suffix" : "" }, { "dropping-particle" : "", "family" : "Rainis", "given" : "Tova", "non-dropping-particle" : "", "parse-names" : false, "suffix" : "" }, { "dropping-particle" : "", "family" : "Lanir", "given" : "Amos", "non-dropping-particle" : "", "parse-names" : false, "suffix" : "" }, { "dropping-particle" : "", "family" : "Lavy", "given" : "Alexandra", "non-dropping-particle" : "", "parse-names" : false, "suffix" : "" } ], "container-title" : "European journal of gastroenterology &amp; hepatology", "id" : "ITEM-1", "issue" : "7", "issued" : { "date-parts" : [ [ "2011", "7" ] ] }, "page" : "598-602", "title" : "Adenosine deaminase activity in patients with Crohn's disease: distinction between active and nonactive disease.", "type" : "article-journal", "volume" : "23" }, "uris" : [ "http://www.mendeley.com/documents/?uuid=7be76384-12e1-4cea-afa1-1b93e43982be" ] }, { "id" : "ITEM-2", "itemData" : { "DOI" : "10.1016/j.crohns.2011.07.010", "ISSN" : "1876-4479", "PMID" : "22261534", "abstract" : "BACKGROUND AND AIM: Ulcerative colitis (UC) is a chronic inflammatory disease characterized by recurrent inflammation and ulcerations of colonic mucosa and an inappropriate and delayed healing. Adenosine deaminase (ADA) is a cytoplasmic enzyme involved in the catabolism of purine bases, capable of catalyzing the deamination of adenosine, forming inosine in the result process. Although ADA has been shown to increase in several inflammatory conditions, there are no literature data indicating an alteration in UC.\n\nMETHODS: This study evaluated the activity of total ADA in serum of 43 patients with UC and 18 healthy controls. Patients' age, disease duration, drug intake, and other medical history were all noted for each subject. Complete blood count, erythrocyte sedimentation rate (ESR), and C-reactive protein (CRP) were determined for both patients and controls. Correlation analysis was also performed between ADA and other inflammation markers of UC.\n\nRESULTS: Serum mean ADA levels were 11.12 \u00b1 2.03 and 7.99 \u00b1 2.04 U/l for patients with UC in active state and in remission and 8.55 \u00b1 2.26 U/l in the healthy control group. Mean serum ADA levels were significantly elevated in active UC patients compared with patients with UC in remission and control groups. Overall accuracy of ADA in determination of active UC was 83.7 with sensitivity 83.3%, specificity 84.2%.\n\nCONCLUSIONS: Serum ADA levels were found to be elevated in UC patients in active state suggesting a partial role of activated T-cell response in the disease pathophysiology. Further randomized controlled studies are warranted to demonstrate the role of ADA in UC patients, with a special interest in specifically targeted therapies against ADA for achieving disease remission.", "author" : [ { "dropping-particle" : "", "family" : "Beyazit", "given" : "Yavuz", "non-dropping-particle" : "", "parse-names" : false, "suffix" : "" }, { "dropping-particle" : "", "family" : "Koklu", "given" : "Seyfettin", "non-dropping-particle" : "", "parse-names" : false, "suffix" : "" }, { "dropping-particle" : "", "family" : "Tas", "given" : "Adnan", "non-dropping-particle" : "", "parse-names" : false, "suffix" : "" }, { "dropping-particle" : "", "family" : "Purnak", "given" : "Tugrul", "non-dropping-particle" : "", "parse-names" : false, "suffix" : "" }, { "dropping-particle" : "", "family" : "Sayilir", "given" : "Abdurrahim", "non-dropping-particle" : "", "parse-names" : false, "suffix" : "" }, { "dropping-particle" : "", "family" : "Kurt", "given" : "Mevlut", "non-dropping-particle" : "", "parse-names" : false, "suffix" : "" }, { "dropping-particle" : "", "family" : "Turhan", "given" : "Turan", "non-dropping-particle" : "", "parse-names" : false, "suffix" : "" }, { "dropping-particle" : "", "family" : "Celik", "given" : "Tugrul", "non-dropping-particle" : "", "parse-names" : false, "suffix" : "" }, { "dropping-particle" : "", "family" : "Suvak", "given" : "Burak", "non-dropping-particle" : "", "parse-names" : false, "suffix" : "" }, { "dropping-particle" : "", "family" : "Torun", "given" : "Serkan", "non-dropping-particle" : "", "parse-names" : false, "suffix" : "" }, { "dropping-particle" : "", "family" : "Akbal", "given" : "Erdem", "non-dropping-particle" : "", "parse-names" : false, "suffix" : "" } ], "container-title" : "Journal of Crohn's &amp; colitis", "id" : "ITEM-2", "issue" : "1", "issued" : { "date-parts" : [ [ "2012", "2" ] ] }, "page" : "102-7", "title" : "Serum adenosine deaminase activity as a predictor of disease severity in ulcerative colitis.", "type" : "article-journal", "volume" : "6" }, "uris" : [ "http://www.mendeley.com/documents/?uuid=91d8f142-d220-47b6-be85-b09b166776bf" ] } ], "mendeley" : { "formattedCitation" : "&lt;sup&gt;[11,24]&lt;/sup&gt;", "plainTextFormattedCitation" : "[11,24]", "previouslyFormattedCitation" : "&lt;sup&gt;[11,24]&lt;/sup&gt;" }, "properties" : { "noteIndex" : 0 }, "schema" : "https://github.com/citation-style-language/schema/raw/master/csl-citation.json" }</w:instrText>
      </w:r>
      <w:r w:rsidR="00BD1024" w:rsidRPr="0053750E">
        <w:rPr>
          <w:rFonts w:ascii="Book Antiqua" w:hAnsi="Book Antiqua"/>
          <w:szCs w:val="24"/>
          <w:lang w:val="en-GB"/>
        </w:rPr>
        <w:fldChar w:fldCharType="separate"/>
      </w:r>
      <w:r w:rsidR="003C3333" w:rsidRPr="0053750E">
        <w:rPr>
          <w:rFonts w:ascii="Book Antiqua" w:hAnsi="Book Antiqua"/>
          <w:noProof/>
          <w:szCs w:val="24"/>
          <w:vertAlign w:val="superscript"/>
          <w:lang w:val="en-GB"/>
        </w:rPr>
        <w:t>[11,24]</w:t>
      </w:r>
      <w:r w:rsidR="00BD1024" w:rsidRPr="0053750E">
        <w:rPr>
          <w:rFonts w:ascii="Book Antiqua" w:hAnsi="Book Antiqua"/>
          <w:szCs w:val="24"/>
          <w:lang w:val="en-GB"/>
        </w:rPr>
        <w:fldChar w:fldCharType="end"/>
      </w:r>
      <w:r w:rsidR="00BD1024" w:rsidRPr="0053750E">
        <w:rPr>
          <w:rFonts w:ascii="Book Antiqua" w:hAnsi="Book Antiqua"/>
          <w:szCs w:val="24"/>
          <w:lang w:val="en-GB"/>
        </w:rPr>
        <w:t xml:space="preserve">, </w:t>
      </w:r>
      <w:r w:rsidR="00DD22B3" w:rsidRPr="0053750E">
        <w:rPr>
          <w:rFonts w:ascii="Book Antiqua" w:hAnsi="Book Antiqua"/>
          <w:szCs w:val="24"/>
          <w:lang w:val="en-GB"/>
        </w:rPr>
        <w:t>some others</w:t>
      </w:r>
      <w:r w:rsidRPr="0053750E">
        <w:rPr>
          <w:rFonts w:ascii="Book Antiqua" w:hAnsi="Book Antiqua"/>
          <w:szCs w:val="24"/>
          <w:lang w:val="en-GB"/>
        </w:rPr>
        <w:t xml:space="preserve"> found no relation of serum ADA level</w:t>
      </w:r>
      <w:r w:rsidR="00DD22B3" w:rsidRPr="0053750E">
        <w:rPr>
          <w:rFonts w:ascii="Book Antiqua" w:hAnsi="Book Antiqua"/>
          <w:szCs w:val="24"/>
          <w:lang w:val="en-GB"/>
        </w:rPr>
        <w:t>s</w:t>
      </w:r>
      <w:r w:rsidRPr="0053750E">
        <w:rPr>
          <w:rFonts w:ascii="Book Antiqua" w:hAnsi="Book Antiqua"/>
          <w:szCs w:val="24"/>
          <w:lang w:val="en-GB"/>
        </w:rPr>
        <w:t xml:space="preserve"> and disease activity in Crohn’s disease</w:t>
      </w:r>
      <w:r w:rsidR="00BD1024" w:rsidRPr="0053750E">
        <w:rPr>
          <w:rFonts w:ascii="Book Antiqua" w:hAnsi="Book Antiqua"/>
          <w:szCs w:val="24"/>
          <w:lang w:val="en-GB"/>
        </w:rPr>
        <w:fldChar w:fldCharType="begin" w:fldLock="1"/>
      </w:r>
      <w:r w:rsidR="003C3333" w:rsidRPr="0053750E">
        <w:rPr>
          <w:rFonts w:ascii="Book Antiqua" w:hAnsi="Book Antiqua"/>
          <w:szCs w:val="24"/>
          <w:lang w:val="en-GB"/>
        </w:rPr>
        <w:instrText>ADDIN CSL_CITATION { "citationItems" : [ { "id" : "ITEM-1", "itemData" : { "DOI" : "10.1007/s10620-014-3510-y", "ISSN" : "1573-2568", "PMID" : "25652144", "abstract" : "BACKGROUND: Adenosine deaminase activity is proposed as a marker of inflammation in some inflammatory conditions.\n\nAIMS: To investigate the association of serum adenosine deaminase activity and disease activity in Crohn's disease patients.\n\nMETHODS: In a cross-sectional study, 30 consecutive known cases of Crohn's disease (15 with active disease and 15 in remission) referring to a university hospital in Tehran (Iran) and 15 age- and gender-matched healthy controls were studied. Disease activity was assessed using the Crohn's disease activity index (cutoff &gt;150). Total serum adenosine deaminase activity, C-reactive protein, erythrocyte sedimentation rate, and fecal calprotectin were evaluated in patients. Serum adenosine deaminase activity was measured in controls.\n\nRESULTS: Mean age of the patients was 36.8\u00a0\u00b1\u00a012.6\u00a0years, and 56.7\u00a0% were male. Serum adenosine deaminase activity in patients with active disease, patients in remission, and controls was 12.3\u00a0\u00b1\u00a05.9, 14.6\u00a0\u00b1\u00a06.2, and 11.9\u00a0\u00b1\u00a06.4\u00a0U/L, respectively (P\u00a0=\u00a00.458). Compared with patients in remission, those with active disease had higher erythrocyte sedimentation rate (40.4\u00a0\u00b1\u00a030.6 vs. 16.9\u00a0\u00b1\u00a016.0\u00a0mm/h, P\u00a0=\u00a00.014) and higher frequency of positive C-reactive protein (66.6 vs. 13.3\u00a0%, P\u00a0=\u00a00.004) and positive fecal calprotectin tests (86.6 vs. 33.3\u00a0%, P\u00a0=\u00a00.004). Serum adenosine deaminase activity was not correlated with erythrocyte sedimentation rate (r\u00a0=\u00a00.05, P\u00a0=\u00a00.761) and was not different between patients with positive and negative C-reactive protein (12.2\u00a0\u00b1\u00a05.4 vs. 14.2\u00a0\u00b1\u00a06.5 U/L, P\u00a0=\u00a00.393) and fecal calprotectin tests (11.7\u00a0\u00b1\u00a05.3 vs. 16.0\u00a0\u00b1\u00a06.5\u00a0U/L, P\u00a0=\u00a00.063).\n\nCONCLUSIONS: In patients with Crohn's disease, serum adenosine deaminase activity is not associated with clinical disease activity or with other inflammation markers and cannot be suggested as an inflammation marker.", "author" : [ { "dropping-particle" : "", "family" : "Sajjadi", "given" : "Mahmoud", "non-dropping-particle" : "", "parse-names" : false, "suffix" : "" }, { "dropping-particle" : "", "family" : "Gholamrezaei", "given" : "Ali", "non-dropping-particle" : "", "parse-names" : false, "suffix" : "" }, { "dropping-particle" : "", "family" : "Daryani", "given" : "Nasser Ebrahimi", "non-dropping-particle" : "", "parse-names" : false, "suffix" : "" } ], "container-title" : "Digestive diseases and sciences", "id" : "ITEM-1", "issued" : { "date-parts" : [ [ "2015", "2", "5" ] ] }, "title" : "No Association Between Serum Adenosine Deaminase Activity and Disease Activity in Crohn's Disease.", "type" : "article-journal" }, "uris" : [ "http://www.mendeley.com/documents/?uuid=87215ddc-8806-4c9d-ae4d-826c2ad513f8" ] } ], "mendeley" : { "formattedCitation" : "&lt;sup&gt;[25]&lt;/sup&gt;", "plainTextFormattedCitation" : "[25]", "previouslyFormattedCitation" : "&lt;sup&gt;[25]&lt;/sup&gt;" }, "properties" : { "noteIndex" : 0 }, "schema" : "https://github.com/citation-style-language/schema/raw/master/csl-citation.json" }</w:instrText>
      </w:r>
      <w:r w:rsidR="00BD1024" w:rsidRPr="0053750E">
        <w:rPr>
          <w:rFonts w:ascii="Book Antiqua" w:hAnsi="Book Antiqua"/>
          <w:szCs w:val="24"/>
          <w:lang w:val="en-GB"/>
        </w:rPr>
        <w:fldChar w:fldCharType="separate"/>
      </w:r>
      <w:r w:rsidR="003C3333" w:rsidRPr="0053750E">
        <w:rPr>
          <w:rFonts w:ascii="Book Antiqua" w:hAnsi="Book Antiqua"/>
          <w:noProof/>
          <w:szCs w:val="24"/>
          <w:vertAlign w:val="superscript"/>
          <w:lang w:val="en-GB"/>
        </w:rPr>
        <w:t>[25]</w:t>
      </w:r>
      <w:r w:rsidR="00BD1024" w:rsidRPr="0053750E">
        <w:rPr>
          <w:rFonts w:ascii="Book Antiqua" w:hAnsi="Book Antiqua"/>
          <w:szCs w:val="24"/>
          <w:lang w:val="en-GB"/>
        </w:rPr>
        <w:fldChar w:fldCharType="end"/>
      </w:r>
      <w:r w:rsidRPr="0053750E">
        <w:rPr>
          <w:rFonts w:ascii="Book Antiqua" w:hAnsi="Book Antiqua"/>
          <w:szCs w:val="24"/>
          <w:lang w:val="en-GB"/>
        </w:rPr>
        <w:t xml:space="preserve">. </w:t>
      </w:r>
      <w:r w:rsidR="0013372B" w:rsidRPr="0053750E">
        <w:rPr>
          <w:rFonts w:ascii="Book Antiqua" w:hAnsi="Book Antiqua"/>
          <w:szCs w:val="24"/>
          <w:lang w:val="en-GB"/>
        </w:rPr>
        <w:t xml:space="preserve">Similarly, it has been showed that </w:t>
      </w:r>
      <w:r w:rsidRPr="0053750E">
        <w:rPr>
          <w:rFonts w:ascii="Book Antiqua" w:hAnsi="Book Antiqua"/>
          <w:szCs w:val="24"/>
          <w:lang w:val="en-GB"/>
        </w:rPr>
        <w:t>ADA level</w:t>
      </w:r>
      <w:r w:rsidR="008C62E9" w:rsidRPr="0053750E">
        <w:rPr>
          <w:rFonts w:ascii="Book Antiqua" w:hAnsi="Book Antiqua"/>
          <w:szCs w:val="24"/>
          <w:lang w:val="en-GB"/>
        </w:rPr>
        <w:t>s are associated with</w:t>
      </w:r>
      <w:r w:rsidRPr="0053750E">
        <w:rPr>
          <w:rFonts w:ascii="Book Antiqua" w:hAnsi="Book Antiqua"/>
          <w:szCs w:val="24"/>
          <w:lang w:val="en-GB"/>
        </w:rPr>
        <w:t xml:space="preserve"> disease activation in </w:t>
      </w:r>
      <w:r w:rsidR="008C62E9" w:rsidRPr="0053750E">
        <w:rPr>
          <w:rFonts w:ascii="Book Antiqua" w:hAnsi="Book Antiqua"/>
          <w:szCs w:val="24"/>
          <w:lang w:val="en-GB"/>
        </w:rPr>
        <w:t xml:space="preserve">patients with </w:t>
      </w:r>
      <w:r w:rsidRPr="0053750E">
        <w:rPr>
          <w:rFonts w:ascii="Book Antiqua" w:hAnsi="Book Antiqua"/>
          <w:szCs w:val="24"/>
          <w:lang w:val="en-GB"/>
        </w:rPr>
        <w:t xml:space="preserve">other autoimmune </w:t>
      </w:r>
      <w:r w:rsidRPr="0053750E">
        <w:rPr>
          <w:rFonts w:ascii="Book Antiqua" w:hAnsi="Book Antiqua"/>
          <w:szCs w:val="24"/>
          <w:lang w:val="en-GB"/>
        </w:rPr>
        <w:lastRenderedPageBreak/>
        <w:t xml:space="preserve">diseases such as </w:t>
      </w:r>
      <w:r w:rsidR="005751C5" w:rsidRPr="0053750E">
        <w:rPr>
          <w:rFonts w:ascii="Book Antiqua" w:hAnsi="Book Antiqua"/>
          <w:szCs w:val="24"/>
          <w:lang w:val="en-GB"/>
        </w:rPr>
        <w:t xml:space="preserve">systemic lupus erythematosus, </w:t>
      </w:r>
      <w:r w:rsidRPr="0053750E">
        <w:rPr>
          <w:rFonts w:ascii="Book Antiqua" w:hAnsi="Book Antiqua"/>
          <w:szCs w:val="24"/>
          <w:lang w:val="en-GB"/>
        </w:rPr>
        <w:t xml:space="preserve">juvenile idiopathic arthritis, </w:t>
      </w:r>
      <w:r w:rsidR="005751C5" w:rsidRPr="0053750E">
        <w:rPr>
          <w:rFonts w:ascii="Book Antiqua" w:hAnsi="Book Antiqua"/>
          <w:szCs w:val="24"/>
          <w:lang w:val="en-GB"/>
        </w:rPr>
        <w:t xml:space="preserve">rheumatoid arthritis </w:t>
      </w:r>
      <w:r w:rsidRPr="0053750E">
        <w:rPr>
          <w:rFonts w:ascii="Book Antiqua" w:hAnsi="Book Antiqua"/>
          <w:szCs w:val="24"/>
          <w:lang w:val="en-GB"/>
        </w:rPr>
        <w:t>and Still’s disease</w:t>
      </w:r>
      <w:r w:rsidR="00BD1024" w:rsidRPr="0053750E">
        <w:rPr>
          <w:rFonts w:ascii="Book Antiqua" w:hAnsi="Book Antiqua"/>
          <w:szCs w:val="24"/>
          <w:lang w:val="en-GB"/>
        </w:rPr>
        <w:fldChar w:fldCharType="begin" w:fldLock="1"/>
      </w:r>
      <w:r w:rsidR="003C3333" w:rsidRPr="0053750E">
        <w:rPr>
          <w:rFonts w:ascii="Book Antiqua" w:hAnsi="Book Antiqua"/>
          <w:szCs w:val="24"/>
          <w:lang w:val="en-GB"/>
        </w:rPr>
        <w:instrText>ADDIN CSL_CITATION { "citationItems" : [ { "id" : "ITEM-1", "itemData" : { "DOI" : "10.1007/s00296-011-1836-8", "ISSN" : "1437-160X", "PMID" : "21350874", "abstract" : "Adenosine deaminase (ADA) plays a crucial role in the development and maintenance of normal immune system. So, any immunological imbalances could associate with its altered activity in serum. This study evaluated the activity of total ADA and its isoenzymes in serum of 45 patients with systemic lupus erythematosus (SLE). Included were 23 patients with active SLE, 22 during the inactive phase of the disease, and 45 healthy subjects. Our results provided evidence that the significantly elevated total ADA activity in serum of SLE patients is correlated mainly with the increased ADA2 level. The highest mean ADA2 activity during the relapse phase of the disease could be an indication to the macrophages, the main source of ADA2. It might be concluded that ADA and its isoenzymes analysis in serum of patients could be used as a useful and non-invasive diagnostic tool in evaluation of SLE active phase and the disease severity.", "author" : [ { "dropping-particle" : "", "family" : "Saghiri", "given" : "Reza", "non-dropping-particle" : "", "parse-names" : false, "suffix" : "" }, { "dropping-particle" : "", "family" : "Ghashghai", "given" : "Niloufar", "non-dropping-particle" : "", "parse-names" : false, "suffix" : "" }, { "dropping-particle" : "", "family" : "Movaseghi", "given" : "Shafieh", "non-dropping-particle" : "", "parse-names" : false, "suffix" : "" }, { "dropping-particle" : "", "family" : "Poursharifi", "given" : "Pegah", "non-dropping-particle" : "", "parse-names" : false, "suffix" : "" }, { "dropping-particle" : "", "family" : "Jalilfar", "given" : "Shohreh", "non-dropping-particle" : "", "parse-names" : false, "suffix" : "" }, { "dropping-particle" : "", "family" : "Bidhendi", "given" : "Manijeh Ahmadi", "non-dropping-particle" : "", "parse-names" : false, "suffix" : "" }, { "dropping-particle" : "", "family" : "Ghazizadeh", "given" : "Leila", "non-dropping-particle" : "", "parse-names" : false, "suffix" : "" }, { "dropping-particle" : "", "family" : "Ebrahimi-Rad", "given" : "Mina", "non-dropping-particle" : "", "parse-names" : false, "suffix" : "" } ], "container-title" : "Rheumatology international", "id" : "ITEM-1", "issue" : "6", "issued" : { "date-parts" : [ [ "2012", "6" ] ] }, "page" : "1633-8", "title" : "Serum adenosine deaminase activity in patients with systemic lupus erythematosus: a study based on ADA1 and ADA2 isoenzymes pattern.", "type" : "article-journal", "volume" : "32" }, "uris" : [ "http://www.mendeley.com/documents/?uuid=32a83395-e5b9-401a-91fb-48a2f7f9ae49" ] }, { "id" : "ITEM-2", "itemData" : { "ISSN" : "0770-3198", "PMID" : "11771524", "abstract" : "Adenosine deaminase (ADA) is involved in purine metabolism and plays a significant role in the mechanisms of the immune system. The aim of this study was to investigate the activity of total ADA (tADA) and its isoenzymes ADA1 and ADA2 in serum and peripheral blood lymphocytes (PBLs) of children with juvenile rheumatoid arthritis (JRA) and systemic lupus erythematosus (SLE) in different phases of the diseases. The study comprised 34 patients with rheumatic disease, 24 with JRA and 10 with SLE, and 64 healthy controls. The tADA activity and its isoenzymes were measured in serum and PBLs of all patients by the method of Giusti and by the presence or absence of EHNA (erythro-9-(2-hydroxy-3-nonyl)adenine) during the active phase of the disease (before treatment), as well as during remission and relapse. Our data show that increased tADA activity in the serum and PBLs of patients with JRA and SLE is correlated mainly to increased levels of ADA2 activity in serum and ADA1 activity in PBLs. It also closely correlates with clinical disease activity and relapse. The cause of this increased tADA/ADA2 activity in serum and tADA/ADA1 activity in PBLs in JRA and SLE remains to be elucidated. Nevertheless, it may be noted that the measurement of tADA activity, together with ADA2 activity in serum and tADA with ADA1 activity in PBLs, could offer a biochemical approach to the assessment of the pathophysiology of JRA and SLE. Also, tADA and its isoenzymes could be used as alternative parameters representing disease activity.", "author" : [ { "dropping-particle" : "", "family" : "Hitoglou", "given" : "S", "non-dropping-particle" : "", "parse-names" : false, "suffix" : "" }, { "dropping-particle" : "", "family" : "Hatzistilianou", "given" : "M", "non-dropping-particle" : "", "parse-names" : false, "suffix" : "" }, { "dropping-particle" : "", "family" : "Gougoustamou", "given" : "D", "non-dropping-particle" : "", "parse-names" : false, "suffix" : "" }, { "dropping-particle" : "", "family" : "Athanassiadou", "given" : "F", "non-dropping-particle" : "", "parse-names" : false, "suffix" : "" }, { "dropping-particle" : "", "family" : "Kotsis", "given" : "A", "non-dropping-particle" : "", "parse-names" : false, "suffix" : "" }, { "dropping-particle" : "", "family" : "Catriu", "given" : "D", "non-dropping-particle" : "", "parse-names" : false, "suffix" : "" } ], "container-title" : "Clinical rheumatology", "id" : "ITEM-2", "issue" : "6", "issued" : { "date-parts" : [ [ "2001", "1" ] ] }, "page" : "411-6", "title" : "Adenosine deaminase activity and its isoenzyme pattern in patients with juvenile rheumatoid arthritis and systemic lupus erythematosus.", "type" : "article-journal", "volume" : "20" }, "uris" : [ "http://www.mendeley.com/documents/?uuid=31878fd9-fea2-4257-b6ed-8b7adf20ffc7" ] }, { "id" : "ITEM-3", "itemData" : { "ISSN" : "0392-856X", "PMID" : "12673895", "abstract" : "OBJECTIVE: Adenosine deaminase (ADA) is involved in purine metabolism and plays a significant role in the mechanisms of the immune system. The aim of this study was to investigate the correlation between the activity of total ADA (tADA) and isoenzymes ADA1 and ADA2 and clinical activity in patients with rheumatoid arthritis (RA). METHODS: The study comprised 37 patients with rheumatoid arthritis and 30 healthy controls. Total serum ADA activity was measured spectrophotometrically. The isoenzyme pattern of ADA was analyzed using erytro-9-(2-hydroxy-3-nonyl) adenine (EHNA). Disease activity was assessed using DAS criterion. RESULTS: The means of tADA, ADA1 and ADA2 levels were found to be 22.7 +/- 5.9, 3.9 +/- 2.0 and 18.8 +/- 4.9 IU/L in patients with RA, and 15.1 +/- 4.4, 4.1 +/- 1.2 and 11.0 +/- 3.7 IU/L in healthy control subjects. When compared to the healthy controls, serum tADA and ADA2 levels were significantly higher (p &lt; 0.001) in patients with RA, but the decrease of ADA1 level was not statistically significant (p &gt; 0.05). There was a strong correlation (r = 0.527, p &lt; 0.001) between serum tADA level and disease activity by DAS (Pearson's rank correlation), and no correlation between tADA and CRP or ESR in the patient groups (p &gt; 0.05). CONCLUSION: Serum tADA and ADA2 activity is closely associated with RA and these non-invasive investigations can be used as biochemical markers for inflammation. These may provide additional information regarding disease activity along with the traditional indices such as ESR and CRP.", "author" : [ { "dropping-particle" : "", "family" : "Sari", "given" : "R A", "non-dropping-particle" : "", "parse-names" : false, "suffix" : "" }, { "dropping-particle" : "", "family" : "Taysi", "given" : "S", "non-dropping-particle" : "", "parse-names" : false, "suffix" : "" }, { "dropping-particle" : "", "family" : "Yilmaz", "given" : "O", "non-dropping-particle" : "", "parse-names" : false, "suffix" : "" }, { "dropping-particle" : "", "family" : "Bakan", "given" : "N", "non-dropping-particle" : "", "parse-names" : false, "suffix" : "" } ], "container-title" : "Clinical and experimental rheumatology", "id" : "ITEM-3", "issue" : "1", "issued" : { "date-parts" : [ [ "2003", "1" ] ] }, "page" : "87-90", "title" : "Correlation of serum levels of adenosine deaminase activity and its isoenzymes with disease activity in rheumatoid arthritis.", "type" : "article-journal", "volume" : "21" }, "uris" : [ "http://www.mendeley.com/documents/?uuid=b7932255-56f7-4ee4-8b4e-2c82662c2630" ] }, { "id" : "ITEM-4", "itemData" : { "DOI" : "10.1007/s00296-012-2532-z", "ISSN" : "0172-8172", "abstract" : "Adult-onset Still's disease (AOSD) is a systemic inflammatory autoimmune disorder of unknown etiology and pathogenesis. There are no specific laboratory tests for AOSD. To investigate the potential role of adenosine deaminase (ADA) in the diagnosis of AOSD and analyze the correlation among ADA, LDH and WBC (white blood cell count), the serum levels of ADA and LDH in 26 patients with active untreated AOSD, 40 patients with active systemic lupus erythematosus (SLE) as disease control and 48 healthy volunteers as healthy control were determined using automatic biochemical analyzer (Olympus AU2700, Japan). WBC was examined by automatic blood cell analyzer (Beckman Coulter Hmx, America). Significantly higher levels of serum ADA, LDH and WBC were found in active untreated AOSD patients than in active SLE patients and healthy volunteers (F?=?27.823; P?=?0.000; F?=?28.458, P?=?0.000; F?=?51.929, P?=?0.000). Serum ADA were related to LDH level in patients with AOSD patients (r?=?0.786, P?=?0.000?&lt;?0.01). Both ADA and LDH were not related to WBC (r?=?0.244, P?=?0.229?&gt;?0.01; r?=?0.054, P?=?0.794?&gt;?0.01). This is the first study to show that serum ADA could play an important role in AOSD and may be an important biomarker for the diagnosis of AOSD. Serum ADA could be another diagnostic marker independent from whole blood WBC.", "author" : [ { "dropping-particle" : "", "family" : "Xun", "given" : "Chunhua", "non-dropping-particle" : "", "parse-names" : false, "suffix" : "" }, { "dropping-particle" : "", "family" : "Zhao", "given" : "Yong", "non-dropping-particle" : "", "parse-names" : false, "suffix" : "" }, { "dropping-particle" : "", "family" : "Hu", "given" : "Zhi Jian", "non-dropping-particle" : "", "parse-names" : false, "suffix" : "" } ], "container-title" : "Rheumatology International", "id" : "ITEM-4", "issued" : { "date-parts" : [ [ "2012" ] ] }, "page" : "1255-1258", "title" : "Potential role of adenosine deaminase in the diagnosis of adult-onset Still\u2019s disease", "type" : "article-journal", "volume" : "33" }, "uris" : [ "http://www.mendeley.com/documents/?uuid=8274a5c6-1ca2-4e6e-adb1-0306e8984826" ] } ], "mendeley" : { "formattedCitation" : "&lt;sup&gt;[9,10,26,27]&lt;/sup&gt;", "plainTextFormattedCitation" : "[9,10,26,27]", "previouslyFormattedCitation" : "&lt;sup&gt;[9,10,26,27]&lt;/sup&gt;" }, "properties" : { "noteIndex" : 0 }, "schema" : "https://github.com/citation-style-language/schema/raw/master/csl-citation.json" }</w:instrText>
      </w:r>
      <w:r w:rsidR="00BD1024" w:rsidRPr="0053750E">
        <w:rPr>
          <w:rFonts w:ascii="Book Antiqua" w:hAnsi="Book Antiqua"/>
          <w:szCs w:val="24"/>
          <w:lang w:val="en-GB"/>
        </w:rPr>
        <w:fldChar w:fldCharType="separate"/>
      </w:r>
      <w:r w:rsidR="003C3333" w:rsidRPr="0053750E">
        <w:rPr>
          <w:rFonts w:ascii="Book Antiqua" w:hAnsi="Book Antiqua"/>
          <w:noProof/>
          <w:szCs w:val="24"/>
          <w:vertAlign w:val="superscript"/>
          <w:lang w:val="en-GB"/>
        </w:rPr>
        <w:t>[9,10,26,27]</w:t>
      </w:r>
      <w:r w:rsidR="00BD1024" w:rsidRPr="0053750E">
        <w:rPr>
          <w:rFonts w:ascii="Book Antiqua" w:hAnsi="Book Antiqua"/>
          <w:szCs w:val="24"/>
          <w:lang w:val="en-GB"/>
        </w:rPr>
        <w:fldChar w:fldCharType="end"/>
      </w:r>
      <w:r w:rsidRPr="0053750E">
        <w:rPr>
          <w:rFonts w:ascii="Book Antiqua" w:hAnsi="Book Antiqua"/>
          <w:szCs w:val="24"/>
          <w:lang w:val="en-GB"/>
        </w:rPr>
        <w:t>.</w:t>
      </w:r>
      <w:r w:rsidR="0013372B" w:rsidRPr="0053750E">
        <w:rPr>
          <w:rFonts w:ascii="Book Antiqua" w:hAnsi="Book Antiqua"/>
          <w:szCs w:val="24"/>
          <w:lang w:val="en-GB"/>
        </w:rPr>
        <w:t xml:space="preserve"> Multiple and complex mechanisms are involved in the pathogenesis of immune-mediated disorders and this process does not seem to be disease speciﬁc. Therefore, performance of ADA levels in predicting disease activation may vary among patients with org</w:t>
      </w:r>
      <w:r w:rsidR="009B344A" w:rsidRPr="0053750E">
        <w:rPr>
          <w:rFonts w:ascii="Book Antiqua" w:hAnsi="Book Antiqua"/>
          <w:szCs w:val="24"/>
          <w:lang w:val="en-GB"/>
        </w:rPr>
        <w:t>an or non-organ specific immune-</w:t>
      </w:r>
      <w:r w:rsidR="0013372B" w:rsidRPr="0053750E">
        <w:rPr>
          <w:rFonts w:ascii="Book Antiqua" w:hAnsi="Book Antiqua"/>
          <w:szCs w:val="24"/>
          <w:lang w:val="en-GB"/>
        </w:rPr>
        <w:t xml:space="preserve">mediated disease. </w:t>
      </w:r>
    </w:p>
    <w:p w:rsidR="00786C97" w:rsidRPr="0053750E" w:rsidRDefault="00C11BD4" w:rsidP="001C799D">
      <w:pPr>
        <w:rPr>
          <w:rFonts w:ascii="Book Antiqua" w:hAnsi="Book Antiqua"/>
          <w:szCs w:val="24"/>
          <w:lang w:val="en-US"/>
        </w:rPr>
      </w:pPr>
      <w:r w:rsidRPr="0053750E">
        <w:rPr>
          <w:rFonts w:ascii="Book Antiqua" w:hAnsi="Book Antiqua"/>
          <w:szCs w:val="24"/>
          <w:lang w:val="en-US"/>
        </w:rPr>
        <w:t xml:space="preserve">Our study has several limitations. First, it is not a prospective study and the value of sequential ADA measurements for predicting subsequent complications of AIH needs to be evaluated in prospective with long-term follow up studies. Secondly, small </w:t>
      </w:r>
      <w:r w:rsidR="00786C97" w:rsidRPr="0053750E">
        <w:rPr>
          <w:rFonts w:ascii="Book Antiqua" w:hAnsi="Book Antiqua"/>
          <w:szCs w:val="24"/>
          <w:lang w:val="en-US"/>
        </w:rPr>
        <w:t xml:space="preserve">sample size </w:t>
      </w:r>
      <w:r w:rsidRPr="0053750E">
        <w:rPr>
          <w:rFonts w:ascii="Book Antiqua" w:hAnsi="Book Antiqua"/>
          <w:szCs w:val="24"/>
          <w:lang w:val="en-US"/>
        </w:rPr>
        <w:t>precludes to detecting best</w:t>
      </w:r>
      <w:r w:rsidR="00786C97" w:rsidRPr="0053750E">
        <w:rPr>
          <w:rFonts w:ascii="Book Antiqua" w:hAnsi="Book Antiqua"/>
          <w:szCs w:val="24"/>
          <w:lang w:val="en-US"/>
        </w:rPr>
        <w:t xml:space="preserve"> optimal cut-off </w:t>
      </w:r>
      <w:r w:rsidRPr="0053750E">
        <w:rPr>
          <w:rFonts w:ascii="Book Antiqua" w:hAnsi="Book Antiqua"/>
          <w:szCs w:val="24"/>
          <w:lang w:val="en-US"/>
        </w:rPr>
        <w:t xml:space="preserve">values of ADA </w:t>
      </w:r>
      <w:r w:rsidR="00817115" w:rsidRPr="0053750E">
        <w:rPr>
          <w:rFonts w:ascii="Book Antiqua" w:hAnsi="Book Antiqua"/>
          <w:szCs w:val="24"/>
          <w:lang w:val="en-US"/>
        </w:rPr>
        <w:t>in determining</w:t>
      </w:r>
      <w:r w:rsidR="00786C97" w:rsidRPr="0053750E">
        <w:rPr>
          <w:rFonts w:ascii="Book Antiqua" w:hAnsi="Book Antiqua"/>
          <w:szCs w:val="24"/>
          <w:lang w:val="en-US"/>
        </w:rPr>
        <w:t xml:space="preserve"> interface</w:t>
      </w:r>
      <w:r w:rsidR="00817115" w:rsidRPr="0053750E">
        <w:rPr>
          <w:rFonts w:ascii="Book Antiqua" w:hAnsi="Book Antiqua"/>
          <w:szCs w:val="24"/>
          <w:lang w:val="en-US"/>
        </w:rPr>
        <w:t xml:space="preserve"> hepatitis</w:t>
      </w:r>
      <w:r w:rsidR="00786C97" w:rsidRPr="0053750E">
        <w:rPr>
          <w:rFonts w:ascii="Book Antiqua" w:hAnsi="Book Antiqua"/>
          <w:szCs w:val="24"/>
          <w:lang w:val="en-US"/>
        </w:rPr>
        <w:t xml:space="preserve">. Considering the </w:t>
      </w:r>
      <w:r w:rsidR="00DE739F" w:rsidRPr="0053750E">
        <w:rPr>
          <w:rFonts w:ascii="Book Antiqua" w:hAnsi="Book Antiqua"/>
          <w:szCs w:val="24"/>
          <w:lang w:val="en-US"/>
        </w:rPr>
        <w:t>low</w:t>
      </w:r>
      <w:r w:rsidR="00786C97" w:rsidRPr="0053750E">
        <w:rPr>
          <w:rFonts w:ascii="Book Antiqua" w:hAnsi="Book Antiqua"/>
          <w:szCs w:val="24"/>
          <w:lang w:val="en-US"/>
        </w:rPr>
        <w:t xml:space="preserve"> prevalence of AIH, we believe our study to constitute a base for future large-sized studies.</w:t>
      </w:r>
    </w:p>
    <w:p w:rsidR="00B5344A" w:rsidRPr="0053750E" w:rsidRDefault="00786C97" w:rsidP="00245C94">
      <w:pPr>
        <w:ind w:firstLineChars="100" w:firstLine="240"/>
        <w:rPr>
          <w:rFonts w:ascii="Book Antiqua" w:hAnsi="Book Antiqua"/>
          <w:szCs w:val="24"/>
        </w:rPr>
      </w:pPr>
      <w:r w:rsidRPr="0053750E">
        <w:rPr>
          <w:rFonts w:ascii="Book Antiqua" w:hAnsi="Book Antiqua"/>
          <w:szCs w:val="24"/>
        </w:rPr>
        <w:t>In conclusion, we showed that ADA level was a laboratory parameter that reflected histological activity in AIH. Owing to its easy-to-repeat nature and cheaper cost, it may be used as a non-invasive marker monitoring liver inflammation in AIH. Larger-sized prospective trials are warranted to show the extent of prognostic importance of ADA in AIH.</w:t>
      </w:r>
    </w:p>
    <w:p w:rsidR="004B36FB" w:rsidRPr="0053750E" w:rsidRDefault="004B36FB" w:rsidP="001C799D">
      <w:pPr>
        <w:rPr>
          <w:rFonts w:ascii="Book Antiqua" w:hAnsi="Book Antiqua"/>
          <w:szCs w:val="24"/>
        </w:rPr>
      </w:pPr>
    </w:p>
    <w:p w:rsidR="00107424" w:rsidRPr="0053750E" w:rsidRDefault="004B36FB" w:rsidP="001C799D">
      <w:pPr>
        <w:pStyle w:val="a4"/>
        <w:spacing w:line="360" w:lineRule="auto"/>
        <w:jc w:val="both"/>
        <w:rPr>
          <w:rFonts w:ascii="Book Antiqua" w:hAnsi="Book Antiqua"/>
          <w:b/>
          <w:sz w:val="24"/>
          <w:szCs w:val="24"/>
          <w:lang w:val="en-US"/>
        </w:rPr>
      </w:pPr>
      <w:r w:rsidRPr="0053750E">
        <w:rPr>
          <w:rFonts w:ascii="Book Antiqua" w:hAnsi="Book Antiqua"/>
          <w:b/>
          <w:sz w:val="24"/>
          <w:szCs w:val="24"/>
          <w:lang w:val="en-US"/>
        </w:rPr>
        <w:t>COMMENTS</w:t>
      </w:r>
    </w:p>
    <w:p w:rsidR="00C43862" w:rsidRPr="0053750E" w:rsidRDefault="00C43862" w:rsidP="001C799D">
      <w:pPr>
        <w:pStyle w:val="a4"/>
        <w:spacing w:line="360" w:lineRule="auto"/>
        <w:jc w:val="both"/>
        <w:rPr>
          <w:rFonts w:ascii="Book Antiqua" w:hAnsi="Book Antiqua"/>
          <w:b/>
          <w:i/>
          <w:sz w:val="24"/>
          <w:szCs w:val="24"/>
          <w:lang w:val="en-US"/>
        </w:rPr>
      </w:pPr>
      <w:r w:rsidRPr="0053750E">
        <w:rPr>
          <w:rFonts w:ascii="Book Antiqua" w:hAnsi="Book Antiqua"/>
          <w:b/>
          <w:i/>
          <w:sz w:val="24"/>
          <w:szCs w:val="24"/>
          <w:lang w:val="en-US"/>
        </w:rPr>
        <w:t>B</w:t>
      </w:r>
      <w:r w:rsidR="004B36FB" w:rsidRPr="0053750E">
        <w:rPr>
          <w:rFonts w:ascii="Book Antiqua" w:hAnsi="Book Antiqua"/>
          <w:b/>
          <w:i/>
          <w:sz w:val="24"/>
          <w:szCs w:val="24"/>
          <w:lang w:val="en-US"/>
        </w:rPr>
        <w:t>ackground</w:t>
      </w:r>
    </w:p>
    <w:p w:rsidR="00C43862" w:rsidRPr="0053750E" w:rsidRDefault="00C43862" w:rsidP="00C43862">
      <w:pPr>
        <w:pStyle w:val="a4"/>
        <w:spacing w:line="360" w:lineRule="auto"/>
        <w:jc w:val="both"/>
        <w:rPr>
          <w:rFonts w:ascii="Book Antiqua" w:hAnsi="Book Antiqua" w:cs="Times New Roman"/>
          <w:sz w:val="24"/>
          <w:szCs w:val="24"/>
          <w:lang w:val="en-US"/>
        </w:rPr>
      </w:pPr>
      <w:r w:rsidRPr="0053750E">
        <w:rPr>
          <w:rFonts w:ascii="Book Antiqua" w:hAnsi="Book Antiqua" w:cs="Times New Roman"/>
          <w:sz w:val="24"/>
          <w:szCs w:val="24"/>
          <w:lang w:val="en-US"/>
        </w:rPr>
        <w:t xml:space="preserve">Autoimmune hepatitis (AIH) is a chronic inflammatory liver disease that can lead end stage liver disease, cirrhosis and death. Adenosine deaminase (ADA), an enzyme involved in the catabolism of purine bases. Adenosine is an endogenous anti-inflammatory molecule which is decreased in inflammatory conditions with increased ADA activity. Liver biopsy is still used as the gold standard in determining grade of fibrosis and disease activity in AIH. However, it is an invasive and difficult-to-repeat method with some minor and major complications. In this study, </w:t>
      </w:r>
      <w:r w:rsidR="00245C94" w:rsidRPr="0053750E">
        <w:rPr>
          <w:rFonts w:ascii="Book Antiqua" w:hAnsi="Book Antiqua" w:cs="Times New Roman"/>
          <w:sz w:val="24"/>
          <w:szCs w:val="24"/>
          <w:lang w:val="en-US"/>
        </w:rPr>
        <w:t>the authors</w:t>
      </w:r>
      <w:r w:rsidRPr="0053750E">
        <w:rPr>
          <w:rFonts w:ascii="Book Antiqua" w:hAnsi="Book Antiqua" w:cs="Times New Roman"/>
          <w:sz w:val="24"/>
          <w:szCs w:val="24"/>
          <w:lang w:val="en-US"/>
        </w:rPr>
        <w:t xml:space="preserve"> aimed to compare the AIH patients’ serum ADA level with histopathological features of liver biopsy. </w:t>
      </w:r>
    </w:p>
    <w:p w:rsidR="004B36FB" w:rsidRPr="0053750E" w:rsidRDefault="004B36FB" w:rsidP="00C43862">
      <w:pPr>
        <w:pStyle w:val="a4"/>
        <w:spacing w:line="360" w:lineRule="auto"/>
        <w:jc w:val="both"/>
        <w:rPr>
          <w:rFonts w:ascii="Book Antiqua" w:hAnsi="Book Antiqua" w:cs="Times New Roman"/>
          <w:sz w:val="24"/>
          <w:szCs w:val="24"/>
          <w:lang w:val="en-US"/>
        </w:rPr>
      </w:pPr>
    </w:p>
    <w:p w:rsidR="00C43862" w:rsidRPr="0053750E" w:rsidRDefault="004B36FB" w:rsidP="001C799D">
      <w:pPr>
        <w:pStyle w:val="a4"/>
        <w:spacing w:line="360" w:lineRule="auto"/>
        <w:jc w:val="both"/>
        <w:rPr>
          <w:rFonts w:ascii="Book Antiqua" w:hAnsi="Book Antiqua"/>
          <w:b/>
          <w:i/>
          <w:sz w:val="24"/>
          <w:szCs w:val="24"/>
          <w:lang w:val="en-US"/>
        </w:rPr>
      </w:pPr>
      <w:r w:rsidRPr="0053750E">
        <w:rPr>
          <w:rFonts w:ascii="Book Antiqua" w:hAnsi="Book Antiqua"/>
          <w:b/>
          <w:i/>
          <w:sz w:val="24"/>
          <w:szCs w:val="24"/>
          <w:lang w:val="en-US"/>
        </w:rPr>
        <w:t>Research frontiers</w:t>
      </w:r>
    </w:p>
    <w:p w:rsidR="00B5344A" w:rsidRPr="0053750E" w:rsidRDefault="00DB0FB8" w:rsidP="001C799D">
      <w:pPr>
        <w:pStyle w:val="a4"/>
        <w:spacing w:line="360" w:lineRule="auto"/>
        <w:jc w:val="both"/>
        <w:rPr>
          <w:rFonts w:ascii="Book Antiqua" w:hAnsi="Book Antiqua"/>
          <w:sz w:val="24"/>
          <w:szCs w:val="24"/>
          <w:lang w:val="en-US"/>
        </w:rPr>
      </w:pPr>
      <w:r w:rsidRPr="0053750E">
        <w:rPr>
          <w:rFonts w:ascii="Book Antiqua" w:hAnsi="Book Antiqua"/>
          <w:sz w:val="24"/>
          <w:szCs w:val="24"/>
          <w:lang w:val="en-US"/>
        </w:rPr>
        <w:lastRenderedPageBreak/>
        <w:t>The result of this study contribute to using serum ADA level as a non-invasive marker monitoring liver inflammation in AIH.</w:t>
      </w:r>
    </w:p>
    <w:p w:rsidR="004B36FB" w:rsidRPr="0053750E" w:rsidRDefault="004B36FB" w:rsidP="001C799D">
      <w:pPr>
        <w:pStyle w:val="a4"/>
        <w:spacing w:line="360" w:lineRule="auto"/>
        <w:jc w:val="both"/>
        <w:rPr>
          <w:rFonts w:ascii="Book Antiqua" w:hAnsi="Book Antiqua"/>
          <w:sz w:val="24"/>
          <w:szCs w:val="24"/>
          <w:lang w:val="en-US" w:eastAsia="zh-CN"/>
        </w:rPr>
      </w:pPr>
    </w:p>
    <w:p w:rsidR="00DB0FB8" w:rsidRPr="0053750E" w:rsidRDefault="004B36FB" w:rsidP="001C799D">
      <w:pPr>
        <w:pStyle w:val="a4"/>
        <w:spacing w:line="360" w:lineRule="auto"/>
        <w:jc w:val="both"/>
        <w:rPr>
          <w:rFonts w:ascii="Book Antiqua" w:hAnsi="Book Antiqua"/>
          <w:b/>
          <w:i/>
          <w:sz w:val="24"/>
          <w:szCs w:val="24"/>
          <w:lang w:val="en-US"/>
        </w:rPr>
      </w:pPr>
      <w:r w:rsidRPr="0053750E">
        <w:rPr>
          <w:rFonts w:ascii="Book Antiqua" w:hAnsi="Book Antiqua"/>
          <w:b/>
          <w:i/>
          <w:sz w:val="24"/>
          <w:szCs w:val="24"/>
          <w:lang w:val="en-US"/>
        </w:rPr>
        <w:t>Innovations and breakthroughs</w:t>
      </w:r>
    </w:p>
    <w:p w:rsidR="00DB0FB8" w:rsidRPr="0053750E" w:rsidRDefault="00DB0FB8" w:rsidP="001C799D">
      <w:pPr>
        <w:pStyle w:val="a4"/>
        <w:spacing w:line="360" w:lineRule="auto"/>
        <w:jc w:val="both"/>
        <w:rPr>
          <w:rFonts w:ascii="Book Antiqua" w:hAnsi="Book Antiqua"/>
          <w:sz w:val="24"/>
          <w:szCs w:val="24"/>
        </w:rPr>
      </w:pPr>
      <w:r w:rsidRPr="0053750E">
        <w:rPr>
          <w:rFonts w:ascii="Book Antiqua" w:hAnsi="Book Antiqua"/>
          <w:sz w:val="24"/>
          <w:szCs w:val="24"/>
          <w:lang w:val="en-US"/>
        </w:rPr>
        <w:t>In this study, ADA was a useful tool for reflecting histological activity in AIH. The concordance rate between ADA and inf</w:t>
      </w:r>
      <w:r w:rsidR="00A95B69" w:rsidRPr="0053750E">
        <w:rPr>
          <w:rFonts w:ascii="Book Antiqua" w:hAnsi="Book Antiqua"/>
          <w:sz w:val="24"/>
          <w:szCs w:val="24"/>
          <w:lang w:val="en-US"/>
        </w:rPr>
        <w:t>lammation on liver biopsy was 71</w:t>
      </w:r>
      <w:r w:rsidRPr="0053750E">
        <w:rPr>
          <w:rFonts w:ascii="Book Antiqua" w:hAnsi="Book Antiqua"/>
          <w:sz w:val="24"/>
          <w:szCs w:val="24"/>
          <w:lang w:val="en-US"/>
        </w:rPr>
        <w:t xml:space="preserve">%. </w:t>
      </w:r>
      <w:r w:rsidRPr="0053750E">
        <w:rPr>
          <w:rFonts w:ascii="Book Antiqua" w:hAnsi="Book Antiqua" w:cs="Times New Roman"/>
          <w:sz w:val="24"/>
          <w:szCs w:val="24"/>
          <w:lang w:val="en-US"/>
        </w:rPr>
        <w:t xml:space="preserve">To our knowledge it is the first study investigating serum ADA activity in AIH. </w:t>
      </w:r>
      <w:r w:rsidRPr="0053750E">
        <w:rPr>
          <w:rFonts w:ascii="Book Antiqua" w:hAnsi="Book Antiqua"/>
          <w:sz w:val="24"/>
          <w:szCs w:val="24"/>
        </w:rPr>
        <w:t>Owing to its easy-to-repeat nature and cheaper cost, ADA may be used as a non-invasive marker monitoring liver inflammation in AIH.</w:t>
      </w:r>
    </w:p>
    <w:p w:rsidR="004B36FB" w:rsidRPr="0053750E" w:rsidRDefault="004B36FB" w:rsidP="001C799D">
      <w:pPr>
        <w:pStyle w:val="a4"/>
        <w:spacing w:line="360" w:lineRule="auto"/>
        <w:jc w:val="both"/>
        <w:rPr>
          <w:rFonts w:ascii="Book Antiqua" w:hAnsi="Book Antiqua"/>
          <w:sz w:val="24"/>
          <w:szCs w:val="24"/>
        </w:rPr>
      </w:pPr>
    </w:p>
    <w:p w:rsidR="004B36FB" w:rsidRPr="0053750E" w:rsidRDefault="004B36FB" w:rsidP="001C799D">
      <w:pPr>
        <w:pStyle w:val="a4"/>
        <w:spacing w:line="360" w:lineRule="auto"/>
        <w:jc w:val="both"/>
        <w:rPr>
          <w:rFonts w:ascii="Book Antiqua" w:hAnsi="Book Antiqua"/>
          <w:b/>
          <w:i/>
          <w:sz w:val="24"/>
          <w:szCs w:val="24"/>
        </w:rPr>
      </w:pPr>
      <w:r w:rsidRPr="0053750E">
        <w:rPr>
          <w:rFonts w:ascii="Book Antiqua" w:hAnsi="Book Antiqua"/>
          <w:b/>
          <w:i/>
          <w:sz w:val="24"/>
          <w:szCs w:val="24"/>
        </w:rPr>
        <w:t>Applications</w:t>
      </w:r>
    </w:p>
    <w:p w:rsidR="00DB0FB8" w:rsidRPr="0053750E" w:rsidRDefault="00FA4A2E" w:rsidP="001C799D">
      <w:pPr>
        <w:pStyle w:val="a4"/>
        <w:spacing w:line="360" w:lineRule="auto"/>
        <w:jc w:val="both"/>
        <w:rPr>
          <w:rFonts w:ascii="Book Antiqua" w:hAnsi="Book Antiqua"/>
          <w:sz w:val="24"/>
          <w:szCs w:val="24"/>
          <w:lang w:val="en-US"/>
        </w:rPr>
      </w:pPr>
      <w:r w:rsidRPr="0053750E">
        <w:rPr>
          <w:rFonts w:ascii="Book Antiqua" w:hAnsi="Book Antiqua"/>
          <w:sz w:val="24"/>
          <w:szCs w:val="24"/>
          <w:lang w:val="en-US"/>
        </w:rPr>
        <w:t>This study suggests that serum ADA level is useful parameter for predicting inflammation in AIH.</w:t>
      </w:r>
      <w:r w:rsidR="009550EA" w:rsidRPr="0053750E">
        <w:rPr>
          <w:rFonts w:ascii="Book Antiqua" w:hAnsi="Book Antiqua"/>
          <w:sz w:val="24"/>
          <w:szCs w:val="24"/>
          <w:lang w:val="en-US"/>
        </w:rPr>
        <w:t xml:space="preserve"> During the follow up period, ADA can be used instead of liver biopsy for determining inflammation in AIH patients.</w:t>
      </w:r>
    </w:p>
    <w:p w:rsidR="004B36FB" w:rsidRPr="0053750E" w:rsidRDefault="004B36FB" w:rsidP="001C799D">
      <w:pPr>
        <w:pStyle w:val="a4"/>
        <w:spacing w:line="360" w:lineRule="auto"/>
        <w:jc w:val="both"/>
        <w:rPr>
          <w:rFonts w:ascii="Book Antiqua" w:hAnsi="Book Antiqua"/>
          <w:sz w:val="24"/>
          <w:szCs w:val="24"/>
          <w:lang w:val="en-US"/>
        </w:rPr>
      </w:pPr>
    </w:p>
    <w:p w:rsidR="00FA4A2E" w:rsidRPr="0053750E" w:rsidRDefault="00FA4A2E" w:rsidP="001C799D">
      <w:pPr>
        <w:pStyle w:val="a4"/>
        <w:spacing w:line="360" w:lineRule="auto"/>
        <w:jc w:val="both"/>
        <w:rPr>
          <w:rFonts w:ascii="Book Antiqua" w:hAnsi="Book Antiqua"/>
          <w:b/>
          <w:sz w:val="24"/>
          <w:szCs w:val="24"/>
          <w:lang w:val="en-US"/>
        </w:rPr>
      </w:pPr>
      <w:r w:rsidRPr="0053750E">
        <w:rPr>
          <w:rFonts w:ascii="Book Antiqua" w:hAnsi="Book Antiqua"/>
          <w:b/>
          <w:i/>
          <w:sz w:val="24"/>
          <w:szCs w:val="24"/>
          <w:lang w:val="en-US"/>
        </w:rPr>
        <w:t>Terminology</w:t>
      </w:r>
    </w:p>
    <w:p w:rsidR="00DB0FB8" w:rsidRPr="0053750E" w:rsidRDefault="00137C2D" w:rsidP="001C799D">
      <w:pPr>
        <w:pStyle w:val="a4"/>
        <w:spacing w:line="360" w:lineRule="auto"/>
        <w:jc w:val="both"/>
        <w:rPr>
          <w:rFonts w:ascii="Book Antiqua" w:hAnsi="Book Antiqua"/>
          <w:sz w:val="24"/>
          <w:szCs w:val="24"/>
        </w:rPr>
      </w:pPr>
      <w:r w:rsidRPr="0053750E">
        <w:rPr>
          <w:rFonts w:ascii="Book Antiqua" w:hAnsi="Book Antiqua"/>
          <w:sz w:val="24"/>
          <w:szCs w:val="24"/>
        </w:rPr>
        <w:t>ADA is a laboratory parameter that is measured form serum. Because of its easy-to-repeat nature and cheaper cost, it may be used as a non-invasive marker monitoring liver inflammation in AIH.</w:t>
      </w:r>
    </w:p>
    <w:p w:rsidR="004B36FB" w:rsidRPr="0053750E" w:rsidRDefault="004B36FB" w:rsidP="001C799D">
      <w:pPr>
        <w:pStyle w:val="a4"/>
        <w:spacing w:line="360" w:lineRule="auto"/>
        <w:jc w:val="both"/>
        <w:rPr>
          <w:rFonts w:ascii="Book Antiqua" w:hAnsi="Book Antiqua" w:cs="Times New Roman"/>
          <w:sz w:val="24"/>
          <w:szCs w:val="24"/>
          <w:lang w:val="en-US"/>
        </w:rPr>
      </w:pPr>
    </w:p>
    <w:p w:rsidR="00DB0FB8" w:rsidRPr="0053750E" w:rsidRDefault="00873D52" w:rsidP="001C799D">
      <w:pPr>
        <w:pStyle w:val="a4"/>
        <w:spacing w:line="360" w:lineRule="auto"/>
        <w:jc w:val="both"/>
        <w:rPr>
          <w:rFonts w:ascii="Book Antiqua" w:hAnsi="Book Antiqua" w:cs="Times New Roman"/>
          <w:b/>
          <w:i/>
          <w:sz w:val="24"/>
          <w:szCs w:val="24"/>
          <w:lang w:val="en-US"/>
        </w:rPr>
      </w:pPr>
      <w:r w:rsidRPr="0053750E">
        <w:rPr>
          <w:rFonts w:ascii="Book Antiqua" w:hAnsi="Book Antiqua" w:cs="Times New Roman"/>
          <w:b/>
          <w:i/>
          <w:sz w:val="24"/>
          <w:szCs w:val="24"/>
          <w:lang w:val="en-US"/>
        </w:rPr>
        <w:t>Peer-review</w:t>
      </w:r>
    </w:p>
    <w:p w:rsidR="006022F6" w:rsidRPr="0053750E" w:rsidRDefault="00137C2D" w:rsidP="006022F6">
      <w:pPr>
        <w:rPr>
          <w:rFonts w:ascii="Book Antiqua" w:hAnsi="Book Antiqua"/>
          <w:szCs w:val="24"/>
        </w:rPr>
      </w:pPr>
      <w:r w:rsidRPr="0053750E">
        <w:rPr>
          <w:rFonts w:ascii="Book Antiqua" w:hAnsi="Book Antiqua"/>
          <w:szCs w:val="24"/>
          <w:lang w:val="en-US"/>
        </w:rPr>
        <w:t>The author of this paper evaluated the efficacy of serum ADA level for predicti</w:t>
      </w:r>
      <w:r w:rsidR="006022F6" w:rsidRPr="0053750E">
        <w:rPr>
          <w:rFonts w:ascii="Book Antiqua" w:hAnsi="Book Antiqua"/>
          <w:szCs w:val="24"/>
          <w:lang w:val="en-US"/>
        </w:rPr>
        <w:t xml:space="preserve">ng inflammation in AIH. A promising correlation between serum ADA levels and liver biopsy was found. </w:t>
      </w:r>
      <w:r w:rsidR="006022F6" w:rsidRPr="0053750E">
        <w:rPr>
          <w:rFonts w:ascii="Book Antiqua" w:hAnsi="Book Antiqua"/>
          <w:szCs w:val="24"/>
        </w:rPr>
        <w:t>Larger-sized prospective trials are warranted to show the extent of prognostic importance of ADA in AIH.</w:t>
      </w: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rPr>
      </w:pPr>
    </w:p>
    <w:p w:rsidR="004B36FB" w:rsidRPr="0053750E" w:rsidRDefault="004B36FB" w:rsidP="006022F6">
      <w:pPr>
        <w:rPr>
          <w:rFonts w:ascii="Book Antiqua" w:hAnsi="Book Antiqua"/>
          <w:szCs w:val="24"/>
          <w:lang w:val="en-US"/>
        </w:rPr>
      </w:pPr>
    </w:p>
    <w:p w:rsidR="00107424" w:rsidRPr="0053750E" w:rsidRDefault="00B023C3" w:rsidP="001C799D">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REFERENCES</w:t>
      </w:r>
    </w:p>
    <w:p w:rsidR="003C3333" w:rsidRPr="0053750E" w:rsidRDefault="00257198" w:rsidP="00521162">
      <w:pPr>
        <w:widowControl w:val="0"/>
        <w:autoSpaceDE w:val="0"/>
        <w:autoSpaceDN w:val="0"/>
        <w:adjustRightInd w:val="0"/>
        <w:snapToGrid w:val="0"/>
        <w:rPr>
          <w:rFonts w:ascii="Book Antiqua" w:hAnsi="Book Antiqua"/>
          <w:noProof/>
          <w:szCs w:val="24"/>
        </w:rPr>
      </w:pPr>
      <w:r w:rsidRPr="0053750E">
        <w:rPr>
          <w:rFonts w:ascii="Book Antiqua" w:hAnsi="Book Antiqua"/>
          <w:szCs w:val="24"/>
          <w:lang w:val="en-US"/>
        </w:rPr>
        <w:fldChar w:fldCharType="begin" w:fldLock="1"/>
      </w:r>
      <w:r w:rsidRPr="0053750E">
        <w:rPr>
          <w:rFonts w:ascii="Book Antiqua" w:hAnsi="Book Antiqua"/>
          <w:szCs w:val="24"/>
          <w:lang w:val="en-US"/>
        </w:rPr>
        <w:instrText xml:space="preserve">ADDIN Mendeley Bibliography CSL_BIBLIOGRAPHY </w:instrText>
      </w:r>
      <w:r w:rsidRPr="0053750E">
        <w:rPr>
          <w:rFonts w:ascii="Book Antiqua" w:hAnsi="Book Antiqua"/>
          <w:szCs w:val="24"/>
          <w:lang w:val="en-US"/>
        </w:rPr>
        <w:fldChar w:fldCharType="separate"/>
      </w:r>
      <w:r w:rsidR="00521162" w:rsidRPr="0053750E">
        <w:rPr>
          <w:rFonts w:ascii="Book Antiqua" w:hAnsi="Book Antiqua"/>
          <w:noProof/>
          <w:szCs w:val="24"/>
        </w:rPr>
        <w:t xml:space="preserve">1 </w:t>
      </w:r>
      <w:r w:rsidR="003C3333" w:rsidRPr="0053750E">
        <w:rPr>
          <w:rFonts w:ascii="Book Antiqua" w:hAnsi="Book Antiqua"/>
          <w:b/>
          <w:noProof/>
          <w:szCs w:val="24"/>
        </w:rPr>
        <w:t>Krawitt EL</w:t>
      </w:r>
      <w:r w:rsidR="003C3333" w:rsidRPr="0053750E">
        <w:rPr>
          <w:rFonts w:ascii="Book Antiqua" w:hAnsi="Book Antiqua"/>
          <w:noProof/>
          <w:szCs w:val="24"/>
        </w:rPr>
        <w:t xml:space="preserve">. Autoimmune hepatitis. </w:t>
      </w:r>
      <w:r w:rsidR="003C3333" w:rsidRPr="0053750E">
        <w:rPr>
          <w:rFonts w:ascii="Book Antiqua" w:hAnsi="Book Antiqua"/>
          <w:i/>
          <w:iCs/>
          <w:noProof/>
          <w:szCs w:val="24"/>
        </w:rPr>
        <w:t>N Engl J Med</w:t>
      </w:r>
      <w:r w:rsidR="001A61D5" w:rsidRPr="0053750E">
        <w:rPr>
          <w:rFonts w:ascii="Book Antiqua" w:hAnsi="Book Antiqua"/>
          <w:noProof/>
          <w:szCs w:val="24"/>
        </w:rPr>
        <w:t xml:space="preserve"> 2006</w:t>
      </w:r>
      <w:r w:rsidR="00521162"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354</w:t>
      </w:r>
      <w:r w:rsidR="00521162"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54–66 [PMID</w:t>
      </w:r>
      <w:r w:rsidR="00521162"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16394302 DOI</w:t>
      </w:r>
      <w:r w:rsidR="00521162"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10.1056/NEJMra050408]</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 </w:t>
      </w:r>
      <w:r w:rsidR="003C3333" w:rsidRPr="0053750E">
        <w:rPr>
          <w:rFonts w:ascii="Book Antiqua" w:hAnsi="Book Antiqua"/>
          <w:b/>
          <w:noProof/>
          <w:szCs w:val="24"/>
        </w:rPr>
        <w:t>Alvarez F</w:t>
      </w:r>
      <w:r w:rsidR="003C3333" w:rsidRPr="0053750E">
        <w:rPr>
          <w:rFonts w:ascii="Book Antiqua" w:hAnsi="Book Antiqua"/>
          <w:noProof/>
          <w:szCs w:val="24"/>
        </w:rPr>
        <w:t>,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review of criteria for diagnosis of autoimmune hepatitis. </w:t>
      </w:r>
      <w:r w:rsidR="003C3333" w:rsidRPr="0053750E">
        <w:rPr>
          <w:rFonts w:ascii="Book Antiqua" w:hAnsi="Book Antiqua"/>
          <w:i/>
          <w:iCs/>
          <w:noProof/>
          <w:szCs w:val="24"/>
        </w:rPr>
        <w:t>J Hepatol</w:t>
      </w:r>
      <w:r w:rsidR="001A61D5" w:rsidRPr="0053750E">
        <w:rPr>
          <w:rFonts w:ascii="Book Antiqua" w:hAnsi="Book Antiqua"/>
          <w:noProof/>
          <w:szCs w:val="24"/>
        </w:rPr>
        <w:t xml:space="preserve"> 1999</w:t>
      </w:r>
      <w:r w:rsidRPr="0053750E">
        <w:rPr>
          <w:rFonts w:ascii="Book Antiqua" w:hAnsi="Book Antiqua"/>
          <w:noProof/>
          <w:szCs w:val="24"/>
        </w:rPr>
        <w:t xml:space="preserve">; </w:t>
      </w:r>
      <w:r w:rsidR="003C3333" w:rsidRPr="0053750E">
        <w:rPr>
          <w:rFonts w:ascii="Book Antiqua" w:hAnsi="Book Antiqua"/>
          <w:b/>
          <w:bCs/>
          <w:noProof/>
          <w:szCs w:val="24"/>
        </w:rPr>
        <w:t>31</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929–</w:t>
      </w:r>
      <w:r w:rsidRPr="0053750E">
        <w:rPr>
          <w:rFonts w:ascii="Book Antiqua" w:hAnsi="Book Antiqua"/>
          <w:noProof/>
          <w:szCs w:val="24"/>
        </w:rPr>
        <w:t>9</w:t>
      </w:r>
      <w:r w:rsidR="003C3333" w:rsidRPr="0053750E">
        <w:rPr>
          <w:rFonts w:ascii="Book Antiqua" w:hAnsi="Book Antiqua"/>
          <w:noProof/>
          <w:szCs w:val="24"/>
        </w:rPr>
        <w:t>38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10580593]</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3 </w:t>
      </w:r>
      <w:r w:rsidR="003C3333" w:rsidRPr="0053750E">
        <w:rPr>
          <w:rFonts w:ascii="Book Antiqua" w:hAnsi="Book Antiqua"/>
          <w:b/>
          <w:noProof/>
          <w:szCs w:val="24"/>
        </w:rPr>
        <w:t>Hennes EM</w:t>
      </w:r>
      <w:r w:rsidR="003C3333" w:rsidRPr="0053750E">
        <w:rPr>
          <w:rFonts w:ascii="Book Antiqua" w:hAnsi="Book Antiqua"/>
          <w:noProof/>
          <w:szCs w:val="24"/>
        </w:rPr>
        <w:t xml:space="preserve">, Zeniya M, Czaja AJ, Parés A, Dalekos GN, Krawitt EL, Bittencourt PL, Porta G, Boberg KM, Hofer H, Bianchi FB, Shibata M, Schramm C, Eisenmann de Torres B, Galle PR, McFarlane I, Dienes H-P, Lohse AW. Simplified criteria for the diagnosis of autoimmune hepatitis. </w:t>
      </w:r>
      <w:r w:rsidR="003C3333" w:rsidRPr="0053750E">
        <w:rPr>
          <w:rFonts w:ascii="Book Antiqua" w:hAnsi="Book Antiqua"/>
          <w:i/>
          <w:iCs/>
          <w:noProof/>
          <w:szCs w:val="24"/>
        </w:rPr>
        <w:t>Hepatology</w:t>
      </w:r>
      <w:r w:rsidR="001A61D5" w:rsidRPr="0053750E">
        <w:rPr>
          <w:rFonts w:ascii="Book Antiqua" w:hAnsi="Book Antiqua"/>
          <w:noProof/>
          <w:szCs w:val="24"/>
        </w:rPr>
        <w:t xml:space="preserve"> </w:t>
      </w:r>
      <w:r w:rsidR="003C3333" w:rsidRPr="0053750E">
        <w:rPr>
          <w:rFonts w:ascii="Book Antiqua" w:hAnsi="Book Antiqua"/>
          <w:noProof/>
          <w:szCs w:val="24"/>
        </w:rPr>
        <w:t>2008</w:t>
      </w:r>
      <w:r w:rsidRPr="0053750E">
        <w:rPr>
          <w:rFonts w:ascii="Book Antiqua" w:hAnsi="Book Antiqua"/>
          <w:noProof/>
          <w:szCs w:val="24"/>
        </w:rPr>
        <w:t xml:space="preserve">; </w:t>
      </w:r>
      <w:r w:rsidR="003C3333" w:rsidRPr="0053750E">
        <w:rPr>
          <w:rFonts w:ascii="Book Antiqua" w:hAnsi="Book Antiqua"/>
          <w:b/>
          <w:bCs/>
          <w:noProof/>
          <w:szCs w:val="24"/>
        </w:rPr>
        <w:t>48</w:t>
      </w:r>
      <w:r w:rsidRPr="0053750E">
        <w:rPr>
          <w:rFonts w:ascii="Book Antiqua" w:hAnsi="Book Antiqua"/>
          <w:noProof/>
          <w:szCs w:val="24"/>
        </w:rPr>
        <w:t xml:space="preserve">: </w:t>
      </w:r>
      <w:r w:rsidR="003C3333" w:rsidRPr="0053750E">
        <w:rPr>
          <w:rFonts w:ascii="Book Antiqua" w:hAnsi="Book Antiqua"/>
          <w:noProof/>
          <w:szCs w:val="24"/>
        </w:rPr>
        <w:t>169–76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w:t>
      </w:r>
      <w:r w:rsidR="001A61D5" w:rsidRPr="0053750E">
        <w:rPr>
          <w:rFonts w:ascii="Book Antiqua" w:hAnsi="Book Antiqua"/>
          <w:noProof/>
          <w:szCs w:val="24"/>
        </w:rPr>
        <w:t>8537184 DOI</w:t>
      </w:r>
      <w:r w:rsidRPr="0053750E">
        <w:rPr>
          <w:rFonts w:ascii="Book Antiqua" w:hAnsi="Book Antiqua"/>
          <w:noProof/>
          <w:szCs w:val="24"/>
        </w:rPr>
        <w:t>:</w:t>
      </w:r>
      <w:r w:rsidR="00991EF3" w:rsidRPr="0053750E">
        <w:rPr>
          <w:rFonts w:ascii="Book Antiqua" w:hAnsi="Book Antiqua"/>
          <w:noProof/>
          <w:szCs w:val="24"/>
        </w:rPr>
        <w:t xml:space="preserve">  </w:t>
      </w:r>
      <w:r w:rsidR="001A61D5" w:rsidRPr="0053750E">
        <w:rPr>
          <w:rFonts w:ascii="Book Antiqua" w:hAnsi="Book Antiqua"/>
          <w:noProof/>
          <w:szCs w:val="24"/>
        </w:rPr>
        <w:t>10.1002/hep.22322]</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4 </w:t>
      </w:r>
      <w:r w:rsidR="003C3333" w:rsidRPr="0053750E">
        <w:rPr>
          <w:rFonts w:ascii="Book Antiqua" w:hAnsi="Book Antiqua"/>
          <w:b/>
          <w:noProof/>
          <w:szCs w:val="24"/>
        </w:rPr>
        <w:t>Liberal R</w:t>
      </w:r>
      <w:r w:rsidR="003C3333" w:rsidRPr="0053750E">
        <w:rPr>
          <w:rFonts w:ascii="Book Antiqua" w:hAnsi="Book Antiqua"/>
          <w:noProof/>
          <w:szCs w:val="24"/>
        </w:rPr>
        <w:t xml:space="preserve">, Longhi MS, Mieli-Vergani G, Vergani D. Pathogenesis of autoimmune hepatitis. </w:t>
      </w:r>
      <w:r w:rsidR="003C3333" w:rsidRPr="0053750E">
        <w:rPr>
          <w:rFonts w:ascii="Book Antiqua" w:hAnsi="Book Antiqua"/>
          <w:i/>
          <w:iCs/>
          <w:noProof/>
          <w:szCs w:val="24"/>
        </w:rPr>
        <w:t>Best Pract Res Clin Gastroenterol</w:t>
      </w:r>
      <w:r w:rsidR="001A61D5" w:rsidRPr="0053750E">
        <w:rPr>
          <w:rFonts w:ascii="Book Antiqua" w:hAnsi="Book Antiqua"/>
          <w:noProof/>
          <w:szCs w:val="24"/>
        </w:rPr>
        <w:t xml:space="preserve"> 2011</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25</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653–</w:t>
      </w:r>
      <w:r w:rsidRPr="0053750E">
        <w:rPr>
          <w:rFonts w:ascii="Book Antiqua" w:hAnsi="Book Antiqua"/>
          <w:noProof/>
          <w:szCs w:val="24"/>
        </w:rPr>
        <w:t>6</w:t>
      </w:r>
      <w:r w:rsidR="003C3333" w:rsidRPr="0053750E">
        <w:rPr>
          <w:rFonts w:ascii="Book Antiqua" w:hAnsi="Book Antiqua"/>
          <w:noProof/>
          <w:szCs w:val="24"/>
        </w:rPr>
        <w:t>64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22117632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10.1016/j.bpg.2011.09.009]</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5 </w:t>
      </w:r>
      <w:r w:rsidR="003C3333" w:rsidRPr="0053750E">
        <w:rPr>
          <w:rFonts w:ascii="Book Antiqua" w:hAnsi="Book Antiqua"/>
          <w:b/>
          <w:noProof/>
          <w:szCs w:val="24"/>
        </w:rPr>
        <w:t>Efe C</w:t>
      </w:r>
      <w:r w:rsidR="003C3333" w:rsidRPr="0053750E">
        <w:rPr>
          <w:rFonts w:ascii="Book Antiqua" w:hAnsi="Book Antiqua"/>
          <w:noProof/>
          <w:szCs w:val="24"/>
        </w:rPr>
        <w:t xml:space="preserve">, Kav T, Aydin C, Cengiz M, Imga NN, Purnak T, Smyk DS, Torgutalp M, Turhan T, Ozenirler S, Ozaslan E, Bogdanos DP. Low serum vitamin D levels are associated with severe histological features and poor response to therapy in patients with autoimmune hepatitis. </w:t>
      </w:r>
      <w:r w:rsidR="003C3333" w:rsidRPr="0053750E">
        <w:rPr>
          <w:rFonts w:ascii="Book Antiqua" w:hAnsi="Book Antiqua"/>
          <w:i/>
          <w:iCs/>
          <w:noProof/>
          <w:szCs w:val="24"/>
        </w:rPr>
        <w:t>Dig Dis Sci</w:t>
      </w:r>
      <w:r w:rsidR="00991EF3" w:rsidRPr="0053750E">
        <w:rPr>
          <w:rFonts w:ascii="Book Antiqua" w:hAnsi="Book Antiqua"/>
          <w:noProof/>
          <w:szCs w:val="24"/>
        </w:rPr>
        <w:t xml:space="preserve">  </w:t>
      </w:r>
      <w:r w:rsidR="003C3333" w:rsidRPr="0053750E">
        <w:rPr>
          <w:rFonts w:ascii="Book Antiqua" w:hAnsi="Book Antiqua"/>
          <w:noProof/>
          <w:szCs w:val="24"/>
        </w:rPr>
        <w:t>2014</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59</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3035–</w:t>
      </w:r>
      <w:r w:rsidRPr="0053750E">
        <w:rPr>
          <w:rFonts w:ascii="Book Antiqua" w:hAnsi="Book Antiqua"/>
          <w:noProof/>
          <w:szCs w:val="24"/>
        </w:rPr>
        <w:t>30</w:t>
      </w:r>
      <w:r w:rsidR="003C3333" w:rsidRPr="0053750E">
        <w:rPr>
          <w:rFonts w:ascii="Book Antiqua" w:hAnsi="Book Antiqua"/>
          <w:noProof/>
          <w:szCs w:val="24"/>
        </w:rPr>
        <w:t>42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25002309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10.1007/s10620-014-3267-3]</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6 </w:t>
      </w:r>
      <w:r w:rsidR="003C3333" w:rsidRPr="0053750E">
        <w:rPr>
          <w:rFonts w:ascii="Book Antiqua" w:hAnsi="Book Antiqua"/>
          <w:b/>
          <w:noProof/>
          <w:szCs w:val="24"/>
        </w:rPr>
        <w:t>Sauer A</w:t>
      </w:r>
      <w:r w:rsidR="003C3333" w:rsidRPr="0053750E">
        <w:rPr>
          <w:rFonts w:ascii="Book Antiqua" w:hAnsi="Book Antiqua"/>
          <w:noProof/>
          <w:szCs w:val="24"/>
        </w:rPr>
        <w:t xml:space="preserve">, Brigida I, Carriglio N, Aiuti A. Autoimmune dysregulation and purine metabolism in adenosine deaminase deficiency. </w:t>
      </w:r>
      <w:r w:rsidR="003C3333" w:rsidRPr="0053750E">
        <w:rPr>
          <w:rFonts w:ascii="Book Antiqua" w:hAnsi="Book Antiqua"/>
          <w:i/>
          <w:iCs/>
          <w:noProof/>
          <w:szCs w:val="24"/>
        </w:rPr>
        <w:t>Front Immunol</w:t>
      </w:r>
      <w:r w:rsidR="003C3333" w:rsidRPr="0053750E">
        <w:rPr>
          <w:rFonts w:ascii="Book Antiqua" w:hAnsi="Book Antiqua"/>
          <w:noProof/>
          <w:szCs w:val="24"/>
        </w:rPr>
        <w:t xml:space="preserve"> 2012</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3</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1–19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22969765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10.3389/fimmu.2012.00265]</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7 </w:t>
      </w:r>
      <w:r w:rsidR="003C3333" w:rsidRPr="0053750E">
        <w:rPr>
          <w:rFonts w:ascii="Book Antiqua" w:hAnsi="Book Antiqua"/>
          <w:b/>
          <w:noProof/>
          <w:szCs w:val="24"/>
        </w:rPr>
        <w:t>Antonioli L</w:t>
      </w:r>
      <w:r w:rsidR="003C3333" w:rsidRPr="0053750E">
        <w:rPr>
          <w:rFonts w:ascii="Book Antiqua" w:hAnsi="Book Antiqua"/>
          <w:noProof/>
          <w:szCs w:val="24"/>
        </w:rPr>
        <w:t xml:space="preserve">, Colucci R, La Motta C, Tuccori M, Awwad O, Da Settimo F, Blandizzi C, Fornai M. Adenosine deaminase in the modulation of immune system and its potential as a novel target for treatment of inflammatory disorders. </w:t>
      </w:r>
      <w:r w:rsidR="003C3333" w:rsidRPr="0053750E">
        <w:rPr>
          <w:rFonts w:ascii="Book Antiqua" w:hAnsi="Book Antiqua"/>
          <w:i/>
          <w:iCs/>
          <w:noProof/>
          <w:szCs w:val="24"/>
        </w:rPr>
        <w:t>Curr Drug Targets</w:t>
      </w:r>
      <w:r w:rsidR="001A61D5" w:rsidRPr="0053750E">
        <w:rPr>
          <w:rFonts w:ascii="Book Antiqua" w:hAnsi="Book Antiqua"/>
          <w:noProof/>
          <w:szCs w:val="24"/>
        </w:rPr>
        <w:t xml:space="preserve"> </w:t>
      </w:r>
      <w:r w:rsidR="001A61D5" w:rsidRPr="0053750E">
        <w:rPr>
          <w:rFonts w:ascii="Book Antiqua" w:hAnsi="Book Antiqua"/>
          <w:noProof/>
          <w:szCs w:val="24"/>
        </w:rPr>
        <w:lastRenderedPageBreak/>
        <w:t>2012</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13</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842–</w:t>
      </w:r>
      <w:r w:rsidRPr="0053750E">
        <w:rPr>
          <w:rFonts w:ascii="Book Antiqua" w:hAnsi="Book Antiqua"/>
          <w:noProof/>
          <w:szCs w:val="24"/>
        </w:rPr>
        <w:t>8</w:t>
      </w:r>
      <w:r w:rsidR="003C3333" w:rsidRPr="0053750E">
        <w:rPr>
          <w:rFonts w:ascii="Book Antiqua" w:hAnsi="Book Antiqua"/>
          <w:noProof/>
          <w:szCs w:val="24"/>
        </w:rPr>
        <w:t>62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22250650]</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8 </w:t>
      </w:r>
      <w:r w:rsidR="003C3333" w:rsidRPr="0053750E">
        <w:rPr>
          <w:rFonts w:ascii="Book Antiqua" w:hAnsi="Book Antiqua"/>
          <w:b/>
          <w:noProof/>
          <w:szCs w:val="24"/>
        </w:rPr>
        <w:t>Cronstein BN</w:t>
      </w:r>
      <w:r w:rsidR="003C3333" w:rsidRPr="0053750E">
        <w:rPr>
          <w:rFonts w:ascii="Book Antiqua" w:hAnsi="Book Antiqua"/>
          <w:noProof/>
          <w:szCs w:val="24"/>
        </w:rPr>
        <w:t xml:space="preserve">. Adenosine, an endogenous anti-inflammatory agent. </w:t>
      </w:r>
      <w:r w:rsidR="003C3333" w:rsidRPr="0053750E">
        <w:rPr>
          <w:rFonts w:ascii="Book Antiqua" w:hAnsi="Book Antiqua"/>
          <w:i/>
          <w:iCs/>
          <w:noProof/>
          <w:szCs w:val="24"/>
        </w:rPr>
        <w:t>J Appl Physiol</w:t>
      </w:r>
      <w:r w:rsidR="003C3333" w:rsidRPr="0053750E">
        <w:rPr>
          <w:rFonts w:ascii="Book Antiqua" w:hAnsi="Book Antiqua"/>
          <w:noProof/>
          <w:szCs w:val="24"/>
        </w:rPr>
        <w:t xml:space="preserve"> 1994</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76</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5–13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8175547]</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9 </w:t>
      </w:r>
      <w:r w:rsidR="003C3333" w:rsidRPr="0053750E">
        <w:rPr>
          <w:rFonts w:ascii="Book Antiqua" w:hAnsi="Book Antiqua"/>
          <w:b/>
          <w:noProof/>
          <w:szCs w:val="24"/>
        </w:rPr>
        <w:t>Saghiri R</w:t>
      </w:r>
      <w:r w:rsidR="003C3333" w:rsidRPr="0053750E">
        <w:rPr>
          <w:rFonts w:ascii="Book Antiqua" w:hAnsi="Book Antiqua"/>
          <w:noProof/>
          <w:szCs w:val="24"/>
        </w:rPr>
        <w:t>, Ghashghai N, Movaseghi S, Poursharifi P, Jalilfar S, Bidhendi MA, Ghazizadeh L, Ebrahimi-Rad M. Serum adenosine deaminase activity in patients with systemic lupus erythematosus</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a study based on ADA1 and ADA2 isoenzymes pattern. </w:t>
      </w:r>
      <w:r w:rsidR="003C3333" w:rsidRPr="0053750E">
        <w:rPr>
          <w:rFonts w:ascii="Book Antiqua" w:hAnsi="Book Antiqua"/>
          <w:i/>
          <w:iCs/>
          <w:noProof/>
          <w:szCs w:val="24"/>
        </w:rPr>
        <w:t>Rheumatol Int</w:t>
      </w:r>
      <w:r w:rsidR="001A61D5" w:rsidRPr="0053750E">
        <w:rPr>
          <w:rFonts w:ascii="Book Antiqua" w:hAnsi="Book Antiqua"/>
          <w:noProof/>
          <w:szCs w:val="24"/>
        </w:rPr>
        <w:t xml:space="preserve"> </w:t>
      </w:r>
      <w:r w:rsidR="003C3333" w:rsidRPr="0053750E">
        <w:rPr>
          <w:rFonts w:ascii="Book Antiqua" w:hAnsi="Book Antiqua"/>
          <w:noProof/>
          <w:szCs w:val="24"/>
        </w:rPr>
        <w:t>2012</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32</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1633–</w:t>
      </w:r>
      <w:r w:rsidRPr="0053750E">
        <w:rPr>
          <w:rFonts w:ascii="Book Antiqua" w:hAnsi="Book Antiqua"/>
          <w:noProof/>
          <w:szCs w:val="24"/>
        </w:rPr>
        <w:t>163</w:t>
      </w:r>
      <w:r w:rsidR="003C3333" w:rsidRPr="0053750E">
        <w:rPr>
          <w:rFonts w:ascii="Book Antiqua" w:hAnsi="Book Antiqua"/>
          <w:noProof/>
          <w:szCs w:val="24"/>
        </w:rPr>
        <w:t>8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21350874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10.1007/s00296-011-1836-8]</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10 </w:t>
      </w:r>
      <w:r w:rsidR="003C3333" w:rsidRPr="0053750E">
        <w:rPr>
          <w:rFonts w:ascii="Book Antiqua" w:hAnsi="Book Antiqua"/>
          <w:b/>
          <w:noProof/>
          <w:szCs w:val="24"/>
        </w:rPr>
        <w:t>Hitoglou S</w:t>
      </w:r>
      <w:r w:rsidR="003C3333" w:rsidRPr="0053750E">
        <w:rPr>
          <w:rFonts w:ascii="Book Antiqua" w:hAnsi="Book Antiqua"/>
          <w:noProof/>
          <w:szCs w:val="24"/>
        </w:rPr>
        <w:t xml:space="preserve">, Hatzistilianou M, Gougoustamou D, Athanassiadou F, Kotsis A, Catriu D. Adenosine deaminase activity and its isoenzyme pattern in patients with juvenile rheumatoid arthritis and systemic lupus erythematosus. </w:t>
      </w:r>
      <w:r w:rsidR="003C3333" w:rsidRPr="0053750E">
        <w:rPr>
          <w:rFonts w:ascii="Book Antiqua" w:hAnsi="Book Antiqua"/>
          <w:i/>
          <w:iCs/>
          <w:noProof/>
          <w:szCs w:val="24"/>
        </w:rPr>
        <w:t>Clin Rheumatol</w:t>
      </w:r>
      <w:r w:rsidR="003C3333" w:rsidRPr="0053750E">
        <w:rPr>
          <w:rFonts w:ascii="Book Antiqua" w:hAnsi="Book Antiqua"/>
          <w:noProof/>
          <w:szCs w:val="24"/>
        </w:rPr>
        <w:t xml:space="preserve"> 2001</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20</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411–</w:t>
      </w:r>
      <w:r w:rsidRPr="0053750E">
        <w:rPr>
          <w:rFonts w:ascii="Book Antiqua" w:hAnsi="Book Antiqua"/>
          <w:noProof/>
          <w:szCs w:val="24"/>
        </w:rPr>
        <w:t>41</w:t>
      </w:r>
      <w:r w:rsidR="003C3333" w:rsidRPr="0053750E">
        <w:rPr>
          <w:rFonts w:ascii="Book Antiqua" w:hAnsi="Book Antiqua"/>
          <w:noProof/>
          <w:szCs w:val="24"/>
        </w:rPr>
        <w:t>6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11771524]</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11 </w:t>
      </w:r>
      <w:r w:rsidR="003C3333" w:rsidRPr="0053750E">
        <w:rPr>
          <w:rFonts w:ascii="Book Antiqua" w:hAnsi="Book Antiqua"/>
          <w:b/>
          <w:noProof/>
          <w:szCs w:val="24"/>
        </w:rPr>
        <w:t>Maor I</w:t>
      </w:r>
      <w:r w:rsidR="003C3333" w:rsidRPr="0053750E">
        <w:rPr>
          <w:rFonts w:ascii="Book Antiqua" w:hAnsi="Book Antiqua"/>
          <w:noProof/>
          <w:szCs w:val="24"/>
        </w:rPr>
        <w:t>, Rainis T, Lanir A, Lavy A. Adenosine deaminase activity in patients with Crohn’s disease</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distinction between active and nonactive disease. </w:t>
      </w:r>
      <w:r w:rsidR="003C3333" w:rsidRPr="0053750E">
        <w:rPr>
          <w:rFonts w:ascii="Book Antiqua" w:hAnsi="Book Antiqua"/>
          <w:i/>
          <w:iCs/>
          <w:noProof/>
          <w:szCs w:val="24"/>
        </w:rPr>
        <w:t>Eur J Gastroenterol Hepatol</w:t>
      </w:r>
      <w:r w:rsidR="001A61D5" w:rsidRPr="0053750E">
        <w:rPr>
          <w:rFonts w:ascii="Book Antiqua" w:hAnsi="Book Antiqua"/>
          <w:noProof/>
          <w:szCs w:val="24"/>
        </w:rPr>
        <w:t xml:space="preserve"> </w:t>
      </w:r>
      <w:r w:rsidR="003C3333" w:rsidRPr="0053750E">
        <w:rPr>
          <w:rFonts w:ascii="Book Antiqua" w:hAnsi="Book Antiqua"/>
          <w:noProof/>
          <w:szCs w:val="24"/>
        </w:rPr>
        <w:t>2011</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23</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598–602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21593678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10.1097/MEG.0b013e328346e205]</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12 </w:t>
      </w:r>
      <w:r w:rsidR="003C3333" w:rsidRPr="0053750E">
        <w:rPr>
          <w:rFonts w:ascii="Book Antiqua" w:hAnsi="Book Antiqua"/>
          <w:b/>
          <w:noProof/>
          <w:szCs w:val="24"/>
        </w:rPr>
        <w:t>Kaya S</w:t>
      </w:r>
      <w:r w:rsidR="003C3333" w:rsidRPr="0053750E">
        <w:rPr>
          <w:rFonts w:ascii="Book Antiqua" w:hAnsi="Book Antiqua"/>
          <w:noProof/>
          <w:szCs w:val="24"/>
        </w:rPr>
        <w:t xml:space="preserve">, Cetin ES, Aridogan BC, Arikan S, Demirci M. Adenosine deaminase activity in serum of patients with hepatitis -- a useful tool in monitoring clinical status. </w:t>
      </w:r>
      <w:r w:rsidR="003C3333" w:rsidRPr="0053750E">
        <w:rPr>
          <w:rFonts w:ascii="Book Antiqua" w:hAnsi="Book Antiqua"/>
          <w:i/>
          <w:iCs/>
          <w:noProof/>
          <w:szCs w:val="24"/>
        </w:rPr>
        <w:t>J Microbiol Immunol Infect</w:t>
      </w:r>
      <w:r w:rsidR="001A61D5" w:rsidRPr="0053750E">
        <w:rPr>
          <w:rFonts w:ascii="Book Antiqua" w:hAnsi="Book Antiqua"/>
          <w:noProof/>
          <w:szCs w:val="24"/>
        </w:rPr>
        <w:t xml:space="preserve"> </w:t>
      </w:r>
      <w:r w:rsidR="003C3333" w:rsidRPr="0053750E">
        <w:rPr>
          <w:rFonts w:ascii="Book Antiqua" w:hAnsi="Book Antiqua"/>
          <w:noProof/>
          <w:szCs w:val="24"/>
        </w:rPr>
        <w:t>2007</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40</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288–92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17712462]</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13 </w:t>
      </w:r>
      <w:r w:rsidR="003C3333" w:rsidRPr="0053750E">
        <w:rPr>
          <w:rFonts w:ascii="Book Antiqua" w:hAnsi="Book Antiqua"/>
          <w:b/>
          <w:noProof/>
          <w:szCs w:val="24"/>
        </w:rPr>
        <w:t>Umaramani G</w:t>
      </w:r>
      <w:r w:rsidR="003C3333" w:rsidRPr="0053750E">
        <w:rPr>
          <w:rFonts w:ascii="Book Antiqua" w:hAnsi="Book Antiqua"/>
          <w:noProof/>
          <w:szCs w:val="24"/>
        </w:rPr>
        <w:t xml:space="preserve">, Sameera K, Suryanarayana D. Evaluation of Serum Adenosine Deaminase Activity in Viral Hepatitis. </w:t>
      </w:r>
      <w:r w:rsidR="003C3333" w:rsidRPr="0053750E">
        <w:rPr>
          <w:rFonts w:ascii="Book Antiqua" w:hAnsi="Book Antiqua"/>
          <w:i/>
          <w:iCs/>
          <w:noProof/>
          <w:szCs w:val="24"/>
        </w:rPr>
        <w:t>Int J Biol Med Res</w:t>
      </w:r>
      <w:r w:rsidR="003C3333" w:rsidRPr="0053750E">
        <w:rPr>
          <w:rFonts w:ascii="Book Antiqua" w:hAnsi="Book Antiqua"/>
          <w:noProof/>
          <w:szCs w:val="24"/>
        </w:rPr>
        <w:t xml:space="preserve"> 2012</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3</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2017–</w:t>
      </w:r>
      <w:r w:rsidRPr="0053750E">
        <w:rPr>
          <w:rFonts w:ascii="Book Antiqua" w:hAnsi="Book Antiqua"/>
          <w:noProof/>
          <w:szCs w:val="24"/>
        </w:rPr>
        <w:t>201</w:t>
      </w:r>
      <w:r w:rsidR="003C3333" w:rsidRPr="0053750E">
        <w:rPr>
          <w:rFonts w:ascii="Book Antiqua" w:hAnsi="Book Antiqua"/>
          <w:noProof/>
          <w:szCs w:val="24"/>
        </w:rPr>
        <w:t xml:space="preserve">9 </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14 </w:t>
      </w:r>
      <w:r w:rsidR="003C3333" w:rsidRPr="0053750E">
        <w:rPr>
          <w:rFonts w:ascii="Book Antiqua" w:hAnsi="Book Antiqua"/>
          <w:b/>
          <w:noProof/>
          <w:szCs w:val="24"/>
        </w:rPr>
        <w:t>Bedossa P</w:t>
      </w:r>
      <w:r w:rsidR="003C3333" w:rsidRPr="0053750E">
        <w:rPr>
          <w:rFonts w:ascii="Book Antiqua" w:hAnsi="Book Antiqua"/>
          <w:noProof/>
          <w:szCs w:val="24"/>
        </w:rPr>
        <w:t xml:space="preserve">, Poynard T. An algorithm for the grading of activity in chronic hepatitis C. The METAVIR Cooperative Study Group. </w:t>
      </w:r>
      <w:r w:rsidR="003C3333" w:rsidRPr="0053750E">
        <w:rPr>
          <w:rFonts w:ascii="Book Antiqua" w:hAnsi="Book Antiqua"/>
          <w:i/>
          <w:iCs/>
          <w:noProof/>
          <w:szCs w:val="24"/>
        </w:rPr>
        <w:t>Hepatology</w:t>
      </w:r>
      <w:r w:rsidR="00991EF3" w:rsidRPr="0053750E">
        <w:rPr>
          <w:rFonts w:ascii="Book Antiqua" w:hAnsi="Book Antiqua"/>
          <w:noProof/>
          <w:szCs w:val="24"/>
        </w:rPr>
        <w:t xml:space="preserve">  </w:t>
      </w:r>
      <w:r w:rsidRPr="0053750E">
        <w:rPr>
          <w:rFonts w:ascii="Book Antiqua" w:hAnsi="Book Antiqua"/>
          <w:noProof/>
          <w:szCs w:val="24"/>
        </w:rPr>
        <w:t>1996;</w:t>
      </w:r>
      <w:r w:rsidR="00991EF3" w:rsidRPr="0053750E">
        <w:rPr>
          <w:rFonts w:ascii="Book Antiqua" w:hAnsi="Book Antiqua"/>
          <w:noProof/>
          <w:szCs w:val="24"/>
        </w:rPr>
        <w:t xml:space="preserve">  </w:t>
      </w:r>
      <w:r w:rsidR="003C3333" w:rsidRPr="0053750E">
        <w:rPr>
          <w:rFonts w:ascii="Book Antiqua" w:hAnsi="Book Antiqua"/>
          <w:b/>
          <w:bCs/>
          <w:noProof/>
          <w:szCs w:val="24"/>
        </w:rPr>
        <w:t>24</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289–</w:t>
      </w:r>
      <w:r w:rsidRPr="0053750E">
        <w:rPr>
          <w:rFonts w:ascii="Book Antiqua" w:hAnsi="Book Antiqua"/>
          <w:noProof/>
          <w:szCs w:val="24"/>
        </w:rPr>
        <w:t>2</w:t>
      </w:r>
      <w:r w:rsidR="003C3333" w:rsidRPr="0053750E">
        <w:rPr>
          <w:rFonts w:ascii="Book Antiqua" w:hAnsi="Book Antiqua"/>
          <w:noProof/>
          <w:szCs w:val="24"/>
        </w:rPr>
        <w:t>93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8690394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10.1002/hep.510240201]</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15 </w:t>
      </w:r>
      <w:r w:rsidR="003C3333" w:rsidRPr="0053750E">
        <w:rPr>
          <w:rFonts w:ascii="Book Antiqua" w:hAnsi="Book Antiqua"/>
          <w:b/>
          <w:noProof/>
          <w:szCs w:val="24"/>
        </w:rPr>
        <w:t>Hoeroldt B</w:t>
      </w:r>
      <w:r w:rsidR="003C3333" w:rsidRPr="0053750E">
        <w:rPr>
          <w:rFonts w:ascii="Book Antiqua" w:hAnsi="Book Antiqua"/>
          <w:noProof/>
          <w:szCs w:val="24"/>
        </w:rPr>
        <w:t xml:space="preserve">, McFarlane E, Dube A, Basumani P, Karajeh M, Campbell MJ, Gleeson D. Long-term outcomes of patients with autoimmune hepatitis managed at a nontransplant center. </w:t>
      </w:r>
      <w:r w:rsidR="003C3333" w:rsidRPr="0053750E">
        <w:rPr>
          <w:rFonts w:ascii="Book Antiqua" w:hAnsi="Book Antiqua"/>
          <w:i/>
          <w:iCs/>
          <w:noProof/>
          <w:szCs w:val="24"/>
        </w:rPr>
        <w:t>Gastroenterology</w:t>
      </w:r>
      <w:r w:rsidR="00991EF3" w:rsidRPr="0053750E">
        <w:rPr>
          <w:rFonts w:ascii="Book Antiqua" w:hAnsi="Book Antiqua"/>
          <w:noProof/>
          <w:szCs w:val="24"/>
        </w:rPr>
        <w:t xml:space="preserve">  </w:t>
      </w:r>
      <w:r w:rsidR="003C3333" w:rsidRPr="0053750E">
        <w:rPr>
          <w:rFonts w:ascii="Book Antiqua" w:hAnsi="Book Antiqua"/>
          <w:noProof/>
          <w:szCs w:val="24"/>
        </w:rPr>
        <w:t>2011</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b/>
          <w:bCs/>
          <w:noProof/>
          <w:szCs w:val="24"/>
        </w:rPr>
        <w:t>140</w:t>
      </w:r>
      <w:r w:rsidRPr="0053750E">
        <w:rPr>
          <w:rFonts w:ascii="Book Antiqua" w:hAnsi="Book Antiqua"/>
          <w:noProof/>
          <w:szCs w:val="24"/>
        </w:rPr>
        <w:t xml:space="preserve">: </w:t>
      </w:r>
      <w:r w:rsidR="003C3333" w:rsidRPr="0053750E">
        <w:rPr>
          <w:rFonts w:ascii="Book Antiqua" w:hAnsi="Book Antiqua"/>
          <w:noProof/>
          <w:szCs w:val="24"/>
        </w:rPr>
        <w:t>1980–</w:t>
      </w:r>
      <w:r w:rsidRPr="0053750E">
        <w:rPr>
          <w:rFonts w:ascii="Book Antiqua" w:hAnsi="Book Antiqua"/>
          <w:noProof/>
          <w:szCs w:val="24"/>
        </w:rPr>
        <w:t>198</w:t>
      </w:r>
      <w:r w:rsidR="003C3333" w:rsidRPr="0053750E">
        <w:rPr>
          <w:rFonts w:ascii="Book Antiqua" w:hAnsi="Book Antiqua"/>
          <w:noProof/>
          <w:szCs w:val="24"/>
        </w:rPr>
        <w:t>9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21396370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10.1053/j.gastro.2011.02.065]</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16 </w:t>
      </w:r>
      <w:r w:rsidR="003C3333" w:rsidRPr="0053750E">
        <w:rPr>
          <w:rFonts w:ascii="Book Antiqua" w:hAnsi="Book Antiqua"/>
          <w:b/>
          <w:noProof/>
          <w:szCs w:val="24"/>
        </w:rPr>
        <w:t>Grønbæk L</w:t>
      </w:r>
      <w:r w:rsidR="003C3333" w:rsidRPr="0053750E">
        <w:rPr>
          <w:rFonts w:ascii="Book Antiqua" w:hAnsi="Book Antiqua"/>
          <w:noProof/>
          <w:szCs w:val="24"/>
        </w:rPr>
        <w:t>, Vilstrup H, Jepsen P. Autoimmune hepatitis in Denmark</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incidence, prevalence, prognosis, and causes of death. A nationwide registry-based cohort study. </w:t>
      </w:r>
      <w:r w:rsidR="003C3333" w:rsidRPr="0053750E">
        <w:rPr>
          <w:rFonts w:ascii="Book Antiqua" w:hAnsi="Book Antiqua"/>
          <w:i/>
          <w:iCs/>
          <w:noProof/>
          <w:szCs w:val="24"/>
        </w:rPr>
        <w:t>J Hepatol</w:t>
      </w:r>
      <w:r w:rsidR="00E820E7" w:rsidRPr="0053750E">
        <w:rPr>
          <w:rFonts w:ascii="Book Antiqua" w:hAnsi="Book Antiqua"/>
          <w:noProof/>
          <w:szCs w:val="24"/>
        </w:rPr>
        <w:t xml:space="preserve"> </w:t>
      </w:r>
      <w:r w:rsidR="003C3333" w:rsidRPr="0053750E">
        <w:rPr>
          <w:rFonts w:ascii="Book Antiqua" w:hAnsi="Book Antiqua"/>
          <w:noProof/>
          <w:szCs w:val="24"/>
        </w:rPr>
        <w:t>2014</w:t>
      </w:r>
      <w:r w:rsidRPr="0053750E">
        <w:rPr>
          <w:rFonts w:ascii="Book Antiqua" w:hAnsi="Book Antiqua"/>
          <w:noProof/>
          <w:szCs w:val="24"/>
        </w:rPr>
        <w:t xml:space="preserve">; </w:t>
      </w:r>
      <w:r w:rsidR="003C3333" w:rsidRPr="0053750E">
        <w:rPr>
          <w:rFonts w:ascii="Book Antiqua" w:hAnsi="Book Antiqua"/>
          <w:b/>
          <w:bCs/>
          <w:noProof/>
          <w:szCs w:val="24"/>
        </w:rPr>
        <w:t>60</w:t>
      </w:r>
      <w:r w:rsidRPr="0053750E">
        <w:rPr>
          <w:rFonts w:ascii="Book Antiqua" w:hAnsi="Book Antiqua"/>
          <w:noProof/>
          <w:szCs w:val="24"/>
        </w:rPr>
        <w:t xml:space="preserve">: </w:t>
      </w:r>
      <w:r w:rsidR="003C3333" w:rsidRPr="0053750E">
        <w:rPr>
          <w:rFonts w:ascii="Book Antiqua" w:hAnsi="Book Antiqua"/>
          <w:noProof/>
          <w:szCs w:val="24"/>
        </w:rPr>
        <w:t>612–</w:t>
      </w:r>
      <w:r w:rsidRPr="0053750E">
        <w:rPr>
          <w:rFonts w:ascii="Book Antiqua" w:hAnsi="Book Antiqua"/>
          <w:noProof/>
          <w:szCs w:val="24"/>
        </w:rPr>
        <w:t>61</w:t>
      </w:r>
      <w:r w:rsidR="003C3333" w:rsidRPr="0053750E">
        <w:rPr>
          <w:rFonts w:ascii="Book Antiqua" w:hAnsi="Book Antiqua"/>
          <w:noProof/>
          <w:szCs w:val="24"/>
        </w:rPr>
        <w:t>7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24326217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10.1016/j.jhep.2013.10.020]</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17 </w:t>
      </w:r>
      <w:r w:rsidR="003C3333" w:rsidRPr="0053750E">
        <w:rPr>
          <w:rFonts w:ascii="Book Antiqua" w:hAnsi="Book Antiqua"/>
          <w:b/>
          <w:noProof/>
          <w:szCs w:val="24"/>
        </w:rPr>
        <w:t>Dhaliwal HK</w:t>
      </w:r>
      <w:r w:rsidR="003C3333" w:rsidRPr="0053750E">
        <w:rPr>
          <w:rFonts w:ascii="Book Antiqua" w:hAnsi="Book Antiqua"/>
          <w:noProof/>
          <w:szCs w:val="24"/>
        </w:rPr>
        <w:t xml:space="preserve">, Hoeroldt BS, Dube AK, McFarlane E, Underwood JCE, Karajeh MA, </w:t>
      </w:r>
      <w:r w:rsidR="003C3333" w:rsidRPr="0053750E">
        <w:rPr>
          <w:rFonts w:ascii="Book Antiqua" w:hAnsi="Book Antiqua"/>
          <w:noProof/>
          <w:szCs w:val="24"/>
        </w:rPr>
        <w:lastRenderedPageBreak/>
        <w:t xml:space="preserve">Gleeson D. Long-Term Prognostic Significance of Persisting Histological Activity Despite Biochemical Remission in Autoimmune Hepatitis. </w:t>
      </w:r>
      <w:r w:rsidR="003C3333" w:rsidRPr="0053750E">
        <w:rPr>
          <w:rFonts w:ascii="Book Antiqua" w:hAnsi="Book Antiqua"/>
          <w:i/>
          <w:iCs/>
          <w:noProof/>
          <w:szCs w:val="24"/>
        </w:rPr>
        <w:t>Am J Gastroenterol</w:t>
      </w:r>
      <w:r w:rsidR="00991EF3" w:rsidRPr="0053750E">
        <w:rPr>
          <w:rFonts w:ascii="Book Antiqua" w:hAnsi="Book Antiqua"/>
          <w:noProof/>
          <w:szCs w:val="24"/>
        </w:rPr>
        <w:t xml:space="preserve">  </w:t>
      </w:r>
      <w:r w:rsidR="003C3333" w:rsidRPr="0053750E">
        <w:rPr>
          <w:rFonts w:ascii="Book Antiqua" w:hAnsi="Book Antiqua"/>
          <w:noProof/>
          <w:szCs w:val="24"/>
        </w:rPr>
        <w:t>2015</w:t>
      </w:r>
      <w:r w:rsidRPr="0053750E">
        <w:rPr>
          <w:rFonts w:ascii="Book Antiqua" w:hAnsi="Book Antiqua"/>
          <w:noProof/>
          <w:szCs w:val="24"/>
        </w:rPr>
        <w:t xml:space="preserve">; </w:t>
      </w:r>
      <w:r w:rsidR="003C3333" w:rsidRPr="0053750E">
        <w:rPr>
          <w:rFonts w:ascii="Book Antiqua" w:hAnsi="Book Antiqua"/>
          <w:b/>
          <w:bCs/>
          <w:noProof/>
          <w:szCs w:val="24"/>
        </w:rPr>
        <w:t>110</w:t>
      </w:r>
      <w:r w:rsidRPr="0053750E">
        <w:rPr>
          <w:rFonts w:ascii="Book Antiqua" w:hAnsi="Book Antiqua"/>
          <w:noProof/>
          <w:szCs w:val="24"/>
        </w:rPr>
        <w:t xml:space="preserve">: </w:t>
      </w:r>
      <w:r w:rsidR="003C3333" w:rsidRPr="0053750E">
        <w:rPr>
          <w:rFonts w:ascii="Book Antiqua" w:hAnsi="Book Antiqua"/>
          <w:noProof/>
          <w:szCs w:val="24"/>
        </w:rPr>
        <w:t>993–9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2601</w:t>
      </w:r>
      <w:r w:rsidR="00E820E7" w:rsidRPr="0053750E">
        <w:rPr>
          <w:rFonts w:ascii="Book Antiqua" w:hAnsi="Book Antiqua"/>
          <w:noProof/>
          <w:szCs w:val="24"/>
        </w:rPr>
        <w:t>0310 DOI</w:t>
      </w:r>
      <w:r w:rsidRPr="0053750E">
        <w:rPr>
          <w:rFonts w:ascii="Book Antiqua" w:hAnsi="Book Antiqua"/>
          <w:noProof/>
          <w:szCs w:val="24"/>
        </w:rPr>
        <w:t>:</w:t>
      </w:r>
      <w:r w:rsidR="00991EF3" w:rsidRPr="0053750E">
        <w:rPr>
          <w:rFonts w:ascii="Book Antiqua" w:hAnsi="Book Antiqua"/>
          <w:noProof/>
          <w:szCs w:val="24"/>
        </w:rPr>
        <w:t xml:space="preserve">  </w:t>
      </w:r>
      <w:r w:rsidR="00E820E7" w:rsidRPr="0053750E">
        <w:rPr>
          <w:rFonts w:ascii="Book Antiqua" w:hAnsi="Book Antiqua"/>
          <w:noProof/>
          <w:szCs w:val="24"/>
        </w:rPr>
        <w:t>10.1038/ajg.2015.139]</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18 </w:t>
      </w:r>
      <w:r w:rsidR="003C3333" w:rsidRPr="0053750E">
        <w:rPr>
          <w:rFonts w:ascii="Book Antiqua" w:hAnsi="Book Antiqua"/>
          <w:b/>
          <w:noProof/>
          <w:szCs w:val="24"/>
        </w:rPr>
        <w:t>Gutkowski K</w:t>
      </w:r>
      <w:r w:rsidR="003C3333" w:rsidRPr="0053750E">
        <w:rPr>
          <w:rFonts w:ascii="Book Antiqua" w:hAnsi="Book Antiqua"/>
          <w:noProof/>
          <w:szCs w:val="24"/>
        </w:rPr>
        <w:t xml:space="preserve">, Hartleb M, Kacperek-Hartleb T, Kajor M, Mazur W, Zych W, Walewska-Zielecka B, Habior A, Sobolewski M. Laboratory-based scoring system for prediction of hepatic inflammatory activity in patients with autoimmune hepatitis. </w:t>
      </w:r>
      <w:r w:rsidR="003C3333" w:rsidRPr="0053750E">
        <w:rPr>
          <w:rFonts w:ascii="Book Antiqua" w:hAnsi="Book Antiqua"/>
          <w:i/>
          <w:iCs/>
          <w:noProof/>
          <w:szCs w:val="24"/>
        </w:rPr>
        <w:t>Liver Int</w:t>
      </w:r>
      <w:r w:rsidR="003C3333" w:rsidRPr="0053750E">
        <w:rPr>
          <w:rFonts w:ascii="Book Antiqua" w:hAnsi="Book Antiqua"/>
          <w:noProof/>
          <w:szCs w:val="24"/>
        </w:rPr>
        <w:t xml:space="preserve"> 2013</w:t>
      </w:r>
      <w:r w:rsidRPr="0053750E">
        <w:rPr>
          <w:rFonts w:ascii="Book Antiqua" w:hAnsi="Book Antiqua"/>
          <w:noProof/>
          <w:szCs w:val="24"/>
        </w:rPr>
        <w:t xml:space="preserve">; </w:t>
      </w:r>
      <w:r w:rsidR="003C3333" w:rsidRPr="0053750E">
        <w:rPr>
          <w:rFonts w:ascii="Book Antiqua" w:hAnsi="Book Antiqua"/>
          <w:b/>
          <w:bCs/>
          <w:noProof/>
          <w:szCs w:val="24"/>
        </w:rPr>
        <w:t>33</w:t>
      </w:r>
      <w:r w:rsidRPr="0053750E">
        <w:rPr>
          <w:rFonts w:ascii="Book Antiqua" w:hAnsi="Book Antiqua"/>
          <w:noProof/>
          <w:szCs w:val="24"/>
        </w:rPr>
        <w:t xml:space="preserve">: </w:t>
      </w:r>
      <w:r w:rsidR="003C3333" w:rsidRPr="0053750E">
        <w:rPr>
          <w:rFonts w:ascii="Book Antiqua" w:hAnsi="Book Antiqua"/>
          <w:noProof/>
          <w:szCs w:val="24"/>
        </w:rPr>
        <w:t>1370–</w:t>
      </w:r>
      <w:r w:rsidRPr="0053750E">
        <w:rPr>
          <w:rFonts w:ascii="Book Antiqua" w:hAnsi="Book Antiqua"/>
          <w:noProof/>
          <w:szCs w:val="24"/>
        </w:rPr>
        <w:t>137</w:t>
      </w:r>
      <w:r w:rsidR="003C3333" w:rsidRPr="0053750E">
        <w:rPr>
          <w:rFonts w:ascii="Book Antiqua" w:hAnsi="Book Antiqua"/>
          <w:noProof/>
          <w:szCs w:val="24"/>
        </w:rPr>
        <w:t>7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23651331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10.1111/liv.12198]</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19 </w:t>
      </w:r>
      <w:r w:rsidR="003C3333" w:rsidRPr="0053750E">
        <w:rPr>
          <w:rFonts w:ascii="Book Antiqua" w:hAnsi="Book Antiqua"/>
          <w:b/>
          <w:noProof/>
          <w:szCs w:val="24"/>
        </w:rPr>
        <w:t>Longhi MS</w:t>
      </w:r>
      <w:r w:rsidR="003C3333" w:rsidRPr="0053750E">
        <w:rPr>
          <w:rFonts w:ascii="Book Antiqua" w:hAnsi="Book Antiqua"/>
          <w:noProof/>
          <w:szCs w:val="24"/>
        </w:rPr>
        <w:t xml:space="preserve">, Hussain MJ, Mitry RR, Arora SK, Mieli-Vergani G, Vergani D, Ma Y. Functional study of CD4+CD25+ regulatory T cells in health and autoimmune hepatitis. </w:t>
      </w:r>
      <w:r w:rsidR="003C3333" w:rsidRPr="0053750E">
        <w:rPr>
          <w:rFonts w:ascii="Book Antiqua" w:hAnsi="Book Antiqua"/>
          <w:i/>
          <w:iCs/>
          <w:noProof/>
          <w:szCs w:val="24"/>
        </w:rPr>
        <w:t>J Immunol</w:t>
      </w:r>
      <w:r w:rsidR="003C3333" w:rsidRPr="0053750E">
        <w:rPr>
          <w:rFonts w:ascii="Book Antiqua" w:hAnsi="Book Antiqua"/>
          <w:noProof/>
          <w:szCs w:val="24"/>
        </w:rPr>
        <w:t xml:space="preserve"> 2006</w:t>
      </w:r>
      <w:r w:rsidRPr="0053750E">
        <w:rPr>
          <w:rFonts w:ascii="Book Antiqua" w:hAnsi="Book Antiqua"/>
          <w:noProof/>
          <w:szCs w:val="24"/>
        </w:rPr>
        <w:t xml:space="preserve">; </w:t>
      </w:r>
      <w:r w:rsidR="003C3333" w:rsidRPr="0053750E">
        <w:rPr>
          <w:rFonts w:ascii="Book Antiqua" w:hAnsi="Book Antiqua"/>
          <w:b/>
          <w:bCs/>
          <w:noProof/>
          <w:szCs w:val="24"/>
        </w:rPr>
        <w:t>176</w:t>
      </w:r>
      <w:r w:rsidRPr="0053750E">
        <w:rPr>
          <w:rFonts w:ascii="Book Antiqua" w:hAnsi="Book Antiqua"/>
          <w:noProof/>
          <w:szCs w:val="24"/>
        </w:rPr>
        <w:t xml:space="preserve">: </w:t>
      </w:r>
      <w:r w:rsidR="003C3333" w:rsidRPr="0053750E">
        <w:rPr>
          <w:rFonts w:ascii="Book Antiqua" w:hAnsi="Book Antiqua"/>
          <w:noProof/>
          <w:szCs w:val="24"/>
        </w:rPr>
        <w:t>4484–</w:t>
      </w:r>
      <w:r w:rsidRPr="0053750E">
        <w:rPr>
          <w:rFonts w:ascii="Book Antiqua" w:hAnsi="Book Antiqua"/>
          <w:noProof/>
          <w:szCs w:val="24"/>
        </w:rPr>
        <w:t>44</w:t>
      </w:r>
      <w:r w:rsidR="003C3333" w:rsidRPr="0053750E">
        <w:rPr>
          <w:rFonts w:ascii="Book Antiqua" w:hAnsi="Book Antiqua"/>
          <w:noProof/>
          <w:szCs w:val="24"/>
        </w:rPr>
        <w:t>91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16547287]</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20 </w:t>
      </w:r>
      <w:r w:rsidR="003C3333" w:rsidRPr="0053750E">
        <w:rPr>
          <w:rFonts w:ascii="Book Antiqua" w:hAnsi="Book Antiqua"/>
          <w:b/>
          <w:noProof/>
          <w:szCs w:val="24"/>
        </w:rPr>
        <w:t>Peiseler M</w:t>
      </w:r>
      <w:r w:rsidR="003C3333" w:rsidRPr="0053750E">
        <w:rPr>
          <w:rFonts w:ascii="Book Antiqua" w:hAnsi="Book Antiqua"/>
          <w:noProof/>
          <w:szCs w:val="24"/>
        </w:rPr>
        <w:t xml:space="preserve">, Sebode M, Franke B, Wortmann F, Schwinge D, Quaas A, Baron U, Olek S, Wiegard C, Lohse AW, Weiler-Normann C, Schramm C, Herkel J. FOXP3+ regulatory T cells in autoimmune hepatitis are fully functional and not reduced in frequency. </w:t>
      </w:r>
      <w:r w:rsidR="003C3333" w:rsidRPr="0053750E">
        <w:rPr>
          <w:rFonts w:ascii="Book Antiqua" w:hAnsi="Book Antiqua"/>
          <w:i/>
          <w:iCs/>
          <w:noProof/>
          <w:szCs w:val="24"/>
        </w:rPr>
        <w:t>J Hepatol</w:t>
      </w:r>
      <w:r w:rsidR="00003FAF" w:rsidRPr="0053750E">
        <w:rPr>
          <w:rFonts w:ascii="Book Antiqua" w:hAnsi="Book Antiqua"/>
          <w:i/>
          <w:iCs/>
          <w:noProof/>
          <w:szCs w:val="24"/>
        </w:rPr>
        <w:t xml:space="preserve"> </w:t>
      </w:r>
      <w:r w:rsidR="00003FAF" w:rsidRPr="0053750E">
        <w:rPr>
          <w:rFonts w:ascii="Book Antiqua" w:hAnsi="Book Antiqua"/>
          <w:noProof/>
          <w:szCs w:val="24"/>
        </w:rPr>
        <w:t>2012</w:t>
      </w:r>
      <w:r w:rsidRPr="0053750E">
        <w:rPr>
          <w:rFonts w:ascii="Book Antiqua" w:hAnsi="Book Antiqua"/>
          <w:noProof/>
          <w:szCs w:val="24"/>
        </w:rPr>
        <w:t xml:space="preserve">; </w:t>
      </w:r>
      <w:r w:rsidR="003C3333" w:rsidRPr="0053750E">
        <w:rPr>
          <w:rFonts w:ascii="Book Antiqua" w:hAnsi="Book Antiqua"/>
          <w:b/>
          <w:bCs/>
          <w:noProof/>
          <w:szCs w:val="24"/>
        </w:rPr>
        <w:t>57</w:t>
      </w:r>
      <w:r w:rsidRPr="0053750E">
        <w:rPr>
          <w:rFonts w:ascii="Book Antiqua" w:hAnsi="Book Antiqua"/>
          <w:noProof/>
          <w:szCs w:val="24"/>
        </w:rPr>
        <w:t xml:space="preserve">: </w:t>
      </w:r>
      <w:r w:rsidR="003C3333" w:rsidRPr="0053750E">
        <w:rPr>
          <w:rFonts w:ascii="Book Antiqua" w:hAnsi="Book Antiqua"/>
          <w:noProof/>
          <w:szCs w:val="24"/>
        </w:rPr>
        <w:t>125–</w:t>
      </w:r>
      <w:r w:rsidRPr="0053750E">
        <w:rPr>
          <w:rFonts w:ascii="Book Antiqua" w:hAnsi="Book Antiqua"/>
          <w:noProof/>
          <w:szCs w:val="24"/>
        </w:rPr>
        <w:t>1</w:t>
      </w:r>
      <w:r w:rsidR="003C3333" w:rsidRPr="0053750E">
        <w:rPr>
          <w:rFonts w:ascii="Book Antiqua" w:hAnsi="Book Antiqua"/>
          <w:noProof/>
          <w:szCs w:val="24"/>
        </w:rPr>
        <w:t>32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22425700 D</w:t>
      </w:r>
      <w:r w:rsidR="00003FAF" w:rsidRPr="0053750E">
        <w:rPr>
          <w:rFonts w:ascii="Book Antiqua" w:hAnsi="Book Antiqua"/>
          <w:noProof/>
          <w:szCs w:val="24"/>
        </w:rPr>
        <w:t>OI</w:t>
      </w:r>
      <w:r w:rsidRPr="0053750E">
        <w:rPr>
          <w:rFonts w:ascii="Book Antiqua" w:hAnsi="Book Antiqua"/>
          <w:noProof/>
          <w:szCs w:val="24"/>
        </w:rPr>
        <w:t>:</w:t>
      </w:r>
      <w:r w:rsidR="00991EF3" w:rsidRPr="0053750E">
        <w:rPr>
          <w:rFonts w:ascii="Book Antiqua" w:hAnsi="Book Antiqua"/>
          <w:noProof/>
          <w:szCs w:val="24"/>
        </w:rPr>
        <w:t xml:space="preserve">  </w:t>
      </w:r>
      <w:r w:rsidR="00003FAF" w:rsidRPr="0053750E">
        <w:rPr>
          <w:rFonts w:ascii="Book Antiqua" w:hAnsi="Book Antiqua"/>
          <w:noProof/>
          <w:szCs w:val="24"/>
        </w:rPr>
        <w:t>10.1016/j.jhep.2012.02.029]</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21 </w:t>
      </w:r>
      <w:r w:rsidR="003C3333" w:rsidRPr="0053750E">
        <w:rPr>
          <w:rFonts w:ascii="Book Antiqua" w:hAnsi="Book Antiqua"/>
          <w:b/>
          <w:noProof/>
          <w:szCs w:val="24"/>
        </w:rPr>
        <w:t>Czaja AJ</w:t>
      </w:r>
      <w:r w:rsidR="003C3333" w:rsidRPr="0053750E">
        <w:rPr>
          <w:rFonts w:ascii="Book Antiqua" w:hAnsi="Book Antiqua"/>
          <w:noProof/>
          <w:szCs w:val="24"/>
        </w:rPr>
        <w:t xml:space="preserve">. Autoantibodies in autoimmune liver disease. </w:t>
      </w:r>
      <w:r w:rsidR="003C3333" w:rsidRPr="0053750E">
        <w:rPr>
          <w:rFonts w:ascii="Book Antiqua" w:hAnsi="Book Antiqua"/>
          <w:i/>
          <w:iCs/>
          <w:noProof/>
          <w:szCs w:val="24"/>
        </w:rPr>
        <w:t>Adv Clin Chem</w:t>
      </w:r>
      <w:r w:rsidR="00991EF3" w:rsidRPr="0053750E">
        <w:rPr>
          <w:rFonts w:ascii="Book Antiqua" w:hAnsi="Book Antiqua"/>
          <w:noProof/>
          <w:szCs w:val="24"/>
        </w:rPr>
        <w:t xml:space="preserve">  </w:t>
      </w:r>
      <w:r w:rsidR="003C3333" w:rsidRPr="0053750E">
        <w:rPr>
          <w:rFonts w:ascii="Book Antiqua" w:hAnsi="Book Antiqua"/>
          <w:noProof/>
          <w:szCs w:val="24"/>
        </w:rPr>
        <w:t>2005</w:t>
      </w:r>
      <w:r w:rsidRPr="0053750E">
        <w:rPr>
          <w:rFonts w:ascii="Book Antiqua" w:hAnsi="Book Antiqua"/>
          <w:noProof/>
          <w:szCs w:val="24"/>
        </w:rPr>
        <w:t xml:space="preserve">; </w:t>
      </w:r>
      <w:r w:rsidR="003C3333" w:rsidRPr="0053750E">
        <w:rPr>
          <w:rFonts w:ascii="Book Antiqua" w:hAnsi="Book Antiqua"/>
          <w:b/>
          <w:bCs/>
          <w:noProof/>
          <w:szCs w:val="24"/>
        </w:rPr>
        <w:t>40</w:t>
      </w:r>
      <w:r w:rsidRPr="0053750E">
        <w:rPr>
          <w:rFonts w:ascii="Book Antiqua" w:hAnsi="Book Antiqua"/>
          <w:noProof/>
          <w:szCs w:val="24"/>
        </w:rPr>
        <w:t xml:space="preserve">: </w:t>
      </w:r>
      <w:r w:rsidR="003C3333" w:rsidRPr="0053750E">
        <w:rPr>
          <w:rFonts w:ascii="Book Antiqua" w:hAnsi="Book Antiqua"/>
          <w:noProof/>
          <w:szCs w:val="24"/>
        </w:rPr>
        <w:t>127–</w:t>
      </w:r>
      <w:r w:rsidRPr="0053750E">
        <w:rPr>
          <w:rFonts w:ascii="Book Antiqua" w:hAnsi="Book Antiqua"/>
          <w:noProof/>
          <w:szCs w:val="24"/>
        </w:rPr>
        <w:t>1</w:t>
      </w:r>
      <w:r w:rsidR="00003FAF" w:rsidRPr="0053750E">
        <w:rPr>
          <w:rFonts w:ascii="Book Antiqua" w:hAnsi="Book Antiqua"/>
          <w:noProof/>
          <w:szCs w:val="24"/>
        </w:rPr>
        <w:t>64 [PMID</w:t>
      </w:r>
      <w:r w:rsidRPr="0053750E">
        <w:rPr>
          <w:rFonts w:ascii="Book Antiqua" w:hAnsi="Book Antiqua"/>
          <w:noProof/>
          <w:szCs w:val="24"/>
        </w:rPr>
        <w:t>:</w:t>
      </w:r>
      <w:r w:rsidR="00991EF3" w:rsidRPr="0053750E">
        <w:rPr>
          <w:rFonts w:ascii="Book Antiqua" w:hAnsi="Book Antiqua"/>
          <w:noProof/>
          <w:szCs w:val="24"/>
        </w:rPr>
        <w:t xml:space="preserve">  </w:t>
      </w:r>
      <w:r w:rsidR="00003FAF" w:rsidRPr="0053750E">
        <w:rPr>
          <w:rFonts w:ascii="Book Antiqua" w:hAnsi="Book Antiqua"/>
          <w:noProof/>
          <w:szCs w:val="24"/>
        </w:rPr>
        <w:t>16355922]</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22 </w:t>
      </w:r>
      <w:r w:rsidR="003C3333" w:rsidRPr="0053750E">
        <w:rPr>
          <w:rFonts w:ascii="Book Antiqua" w:hAnsi="Book Antiqua"/>
          <w:b/>
          <w:noProof/>
          <w:szCs w:val="24"/>
        </w:rPr>
        <w:t>Fröde TS</w:t>
      </w:r>
      <w:r w:rsidR="003C3333" w:rsidRPr="0053750E">
        <w:rPr>
          <w:rFonts w:ascii="Book Antiqua" w:hAnsi="Book Antiqua"/>
          <w:noProof/>
          <w:szCs w:val="24"/>
        </w:rPr>
        <w:t xml:space="preserve">, Medeiros YS. Myeloperoxidase and adenosine-deaminase levels in the pleural fluid leakage induced by carrageenan in the mouse model of pleurisy. </w:t>
      </w:r>
      <w:r w:rsidR="003C3333" w:rsidRPr="0053750E">
        <w:rPr>
          <w:rFonts w:ascii="Book Antiqua" w:hAnsi="Book Antiqua"/>
          <w:i/>
          <w:iCs/>
          <w:noProof/>
          <w:szCs w:val="24"/>
        </w:rPr>
        <w:t>Mediators Inflamm</w:t>
      </w:r>
      <w:r w:rsidR="003C3333" w:rsidRPr="0053750E">
        <w:rPr>
          <w:rFonts w:ascii="Book Antiqua" w:hAnsi="Book Antiqua"/>
          <w:noProof/>
          <w:szCs w:val="24"/>
        </w:rPr>
        <w:t xml:space="preserve"> 2001</w:t>
      </w:r>
      <w:r w:rsidRPr="0053750E">
        <w:rPr>
          <w:rFonts w:ascii="Book Antiqua" w:hAnsi="Book Antiqua"/>
          <w:noProof/>
          <w:szCs w:val="24"/>
        </w:rPr>
        <w:t xml:space="preserve">; </w:t>
      </w:r>
      <w:r w:rsidR="003C3333" w:rsidRPr="0053750E">
        <w:rPr>
          <w:rFonts w:ascii="Book Antiqua" w:hAnsi="Book Antiqua"/>
          <w:b/>
          <w:bCs/>
          <w:noProof/>
          <w:szCs w:val="24"/>
        </w:rPr>
        <w:t>10</w:t>
      </w:r>
      <w:r w:rsidRPr="0053750E">
        <w:rPr>
          <w:rFonts w:ascii="Book Antiqua" w:hAnsi="Book Antiqua"/>
          <w:noProof/>
          <w:szCs w:val="24"/>
        </w:rPr>
        <w:t xml:space="preserve">: </w:t>
      </w:r>
      <w:r w:rsidR="003C3333" w:rsidRPr="0053750E">
        <w:rPr>
          <w:rFonts w:ascii="Book Antiqua" w:hAnsi="Book Antiqua"/>
          <w:noProof/>
          <w:szCs w:val="24"/>
        </w:rPr>
        <w:t>223–</w:t>
      </w:r>
      <w:r w:rsidRPr="0053750E">
        <w:rPr>
          <w:rFonts w:ascii="Book Antiqua" w:hAnsi="Book Antiqua"/>
          <w:noProof/>
          <w:szCs w:val="24"/>
        </w:rPr>
        <w:t>22</w:t>
      </w:r>
      <w:r w:rsidR="003C3333" w:rsidRPr="0053750E">
        <w:rPr>
          <w:rFonts w:ascii="Book Antiqua" w:hAnsi="Book Antiqua"/>
          <w:noProof/>
          <w:szCs w:val="24"/>
        </w:rPr>
        <w:t>7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11577999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10.1080/09629350123332]</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23 </w:t>
      </w:r>
      <w:r w:rsidR="003C3333" w:rsidRPr="0053750E">
        <w:rPr>
          <w:rFonts w:ascii="Book Antiqua" w:hAnsi="Book Antiqua"/>
          <w:b/>
          <w:noProof/>
          <w:szCs w:val="24"/>
        </w:rPr>
        <w:t>Cristalli G</w:t>
      </w:r>
      <w:r w:rsidR="003C3333" w:rsidRPr="0053750E">
        <w:rPr>
          <w:rFonts w:ascii="Book Antiqua" w:hAnsi="Book Antiqua"/>
          <w:noProof/>
          <w:szCs w:val="24"/>
        </w:rPr>
        <w:t>, Costanzi S, Lambertucci C, Lupidi G, Vittori S, Volpini R, Camaioni E. Adenosine deaminase</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functional implications and different classes of inhibitors. </w:t>
      </w:r>
      <w:r w:rsidR="003C3333" w:rsidRPr="0053750E">
        <w:rPr>
          <w:rFonts w:ascii="Book Antiqua" w:hAnsi="Book Antiqua"/>
          <w:i/>
          <w:iCs/>
          <w:noProof/>
          <w:szCs w:val="24"/>
        </w:rPr>
        <w:t>Med Res Rev</w:t>
      </w:r>
      <w:r w:rsidR="00003FAF" w:rsidRPr="0053750E">
        <w:rPr>
          <w:rFonts w:ascii="Book Antiqua" w:hAnsi="Book Antiqua"/>
          <w:noProof/>
          <w:szCs w:val="24"/>
        </w:rPr>
        <w:t xml:space="preserve"> </w:t>
      </w:r>
      <w:r w:rsidR="003C3333" w:rsidRPr="0053750E">
        <w:rPr>
          <w:rFonts w:ascii="Book Antiqua" w:hAnsi="Book Antiqua"/>
          <w:noProof/>
          <w:szCs w:val="24"/>
        </w:rPr>
        <w:t>2001</w:t>
      </w:r>
      <w:r w:rsidRPr="0053750E">
        <w:rPr>
          <w:rFonts w:ascii="Book Antiqua" w:hAnsi="Book Antiqua"/>
          <w:noProof/>
          <w:szCs w:val="24"/>
        </w:rPr>
        <w:t xml:space="preserve">; </w:t>
      </w:r>
      <w:r w:rsidR="003C3333" w:rsidRPr="0053750E">
        <w:rPr>
          <w:rFonts w:ascii="Book Antiqua" w:hAnsi="Book Antiqua"/>
          <w:b/>
          <w:bCs/>
          <w:noProof/>
          <w:szCs w:val="24"/>
        </w:rPr>
        <w:t>21</w:t>
      </w:r>
      <w:r w:rsidRPr="0053750E">
        <w:rPr>
          <w:rFonts w:ascii="Book Antiqua" w:hAnsi="Book Antiqua"/>
          <w:noProof/>
          <w:szCs w:val="24"/>
        </w:rPr>
        <w:t xml:space="preserve">: </w:t>
      </w:r>
      <w:r w:rsidR="003C3333" w:rsidRPr="0053750E">
        <w:rPr>
          <w:rFonts w:ascii="Book Antiqua" w:hAnsi="Book Antiqua"/>
          <w:noProof/>
          <w:szCs w:val="24"/>
        </w:rPr>
        <w:t>105–</w:t>
      </w:r>
      <w:r w:rsidRPr="0053750E">
        <w:rPr>
          <w:rFonts w:ascii="Book Antiqua" w:hAnsi="Book Antiqua"/>
          <w:noProof/>
          <w:szCs w:val="24"/>
        </w:rPr>
        <w:t>1</w:t>
      </w:r>
      <w:r w:rsidR="003C3333" w:rsidRPr="0053750E">
        <w:rPr>
          <w:rFonts w:ascii="Book Antiqua" w:hAnsi="Book Antiqua"/>
          <w:noProof/>
          <w:szCs w:val="24"/>
        </w:rPr>
        <w:t>28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11223861]</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24 </w:t>
      </w:r>
      <w:r w:rsidR="003C3333" w:rsidRPr="0053750E">
        <w:rPr>
          <w:rFonts w:ascii="Book Antiqua" w:hAnsi="Book Antiqua"/>
          <w:b/>
          <w:noProof/>
          <w:szCs w:val="24"/>
        </w:rPr>
        <w:t>Beyazit Y</w:t>
      </w:r>
      <w:r w:rsidR="003C3333" w:rsidRPr="0053750E">
        <w:rPr>
          <w:rFonts w:ascii="Book Antiqua" w:hAnsi="Book Antiqua"/>
          <w:noProof/>
          <w:szCs w:val="24"/>
        </w:rPr>
        <w:t xml:space="preserve">, Koklu S, Tas A, Purnak T, Sayilir A, Kurt M, Turhan T, Celik T, Suvak B, Torun S, Akbal E. Serum adenosine deaminase activity as a predictor of disease severity in ulcerative colitis. </w:t>
      </w:r>
      <w:r w:rsidR="003C3333" w:rsidRPr="0053750E">
        <w:rPr>
          <w:rFonts w:ascii="Book Antiqua" w:hAnsi="Book Antiqua"/>
          <w:i/>
          <w:iCs/>
          <w:noProof/>
          <w:szCs w:val="24"/>
        </w:rPr>
        <w:t>J Crohns Colitis</w:t>
      </w:r>
      <w:r w:rsidR="00991EF3" w:rsidRPr="0053750E">
        <w:rPr>
          <w:rFonts w:ascii="Book Antiqua" w:hAnsi="Book Antiqua"/>
          <w:noProof/>
          <w:szCs w:val="24"/>
        </w:rPr>
        <w:t xml:space="preserve">  </w:t>
      </w:r>
      <w:r w:rsidR="009A3B10" w:rsidRPr="0053750E">
        <w:rPr>
          <w:rFonts w:ascii="Book Antiqua" w:hAnsi="Book Antiqua"/>
          <w:noProof/>
          <w:szCs w:val="24"/>
        </w:rPr>
        <w:t>2012</w:t>
      </w:r>
      <w:r w:rsidRPr="0053750E">
        <w:rPr>
          <w:rFonts w:ascii="Book Antiqua" w:hAnsi="Book Antiqua"/>
          <w:noProof/>
          <w:szCs w:val="24"/>
        </w:rPr>
        <w:t xml:space="preserve">; </w:t>
      </w:r>
      <w:r w:rsidR="003C3333" w:rsidRPr="0053750E">
        <w:rPr>
          <w:rFonts w:ascii="Book Antiqua" w:hAnsi="Book Antiqua"/>
          <w:b/>
          <w:bCs/>
          <w:noProof/>
          <w:szCs w:val="24"/>
        </w:rPr>
        <w:t>6</w:t>
      </w:r>
      <w:r w:rsidRPr="0053750E">
        <w:rPr>
          <w:rFonts w:ascii="Book Antiqua" w:hAnsi="Book Antiqua"/>
          <w:noProof/>
          <w:szCs w:val="24"/>
        </w:rPr>
        <w:t xml:space="preserve">: </w:t>
      </w:r>
      <w:r w:rsidR="003C3333" w:rsidRPr="0053750E">
        <w:rPr>
          <w:rFonts w:ascii="Book Antiqua" w:hAnsi="Book Antiqua"/>
          <w:noProof/>
          <w:szCs w:val="24"/>
        </w:rPr>
        <w:t>102–</w:t>
      </w:r>
      <w:r w:rsidRPr="0053750E">
        <w:rPr>
          <w:rFonts w:ascii="Book Antiqua" w:hAnsi="Book Antiqua"/>
          <w:noProof/>
          <w:szCs w:val="24"/>
        </w:rPr>
        <w:t>10</w:t>
      </w:r>
      <w:r w:rsidR="003C3333" w:rsidRPr="0053750E">
        <w:rPr>
          <w:rFonts w:ascii="Book Antiqua" w:hAnsi="Book Antiqua"/>
          <w:noProof/>
          <w:szCs w:val="24"/>
        </w:rPr>
        <w:t>7 [PMID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22261534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10.1016/j.cro</w:t>
      </w:r>
      <w:r w:rsidR="00003FAF" w:rsidRPr="0053750E">
        <w:rPr>
          <w:rFonts w:ascii="Book Antiqua" w:hAnsi="Book Antiqua"/>
          <w:noProof/>
          <w:szCs w:val="24"/>
        </w:rPr>
        <w:t>hns.2011.07.010]</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25 </w:t>
      </w:r>
      <w:r w:rsidR="003C3333" w:rsidRPr="0053750E">
        <w:rPr>
          <w:rFonts w:ascii="Book Antiqua" w:hAnsi="Book Antiqua"/>
          <w:b/>
          <w:noProof/>
          <w:szCs w:val="24"/>
        </w:rPr>
        <w:t>Sajjadi M</w:t>
      </w:r>
      <w:r w:rsidR="003C3333" w:rsidRPr="0053750E">
        <w:rPr>
          <w:rFonts w:ascii="Book Antiqua" w:hAnsi="Book Antiqua"/>
          <w:noProof/>
          <w:szCs w:val="24"/>
        </w:rPr>
        <w:t xml:space="preserve">, Gholamrezaei A, Daryani NE. No Association Between Serum Adenosine Deaminase Activity and Disease Activity in Crohn’s Disease. </w:t>
      </w:r>
      <w:r w:rsidR="003C3333" w:rsidRPr="0053750E">
        <w:rPr>
          <w:rFonts w:ascii="Book Antiqua" w:hAnsi="Book Antiqua"/>
          <w:i/>
          <w:iCs/>
          <w:noProof/>
          <w:szCs w:val="24"/>
        </w:rPr>
        <w:t>Dig Dis Sci</w:t>
      </w:r>
      <w:r w:rsidR="003C3333" w:rsidRPr="0053750E">
        <w:rPr>
          <w:rFonts w:ascii="Book Antiqua" w:hAnsi="Book Antiqua"/>
          <w:noProof/>
          <w:szCs w:val="24"/>
        </w:rPr>
        <w:t xml:space="preserve"> 2015</w:t>
      </w:r>
      <w:r w:rsidRPr="0053750E">
        <w:rPr>
          <w:rFonts w:ascii="Book Antiqua" w:hAnsi="Book Antiqua"/>
          <w:noProof/>
          <w:szCs w:val="24"/>
        </w:rPr>
        <w:t xml:space="preserve">; </w:t>
      </w:r>
      <w:r w:rsidR="003C3333" w:rsidRPr="0053750E">
        <w:rPr>
          <w:rFonts w:ascii="Book Antiqua" w:hAnsi="Book Antiqua"/>
          <w:noProof/>
          <w:szCs w:val="24"/>
        </w:rPr>
        <w:t>[PMID</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 xml:space="preserve">25652144 </w:t>
      </w:r>
      <w:r w:rsidR="009A3B10" w:rsidRPr="0053750E">
        <w:rPr>
          <w:rFonts w:ascii="Book Antiqua" w:hAnsi="Book Antiqua"/>
          <w:noProof/>
          <w:szCs w:val="24"/>
        </w:rPr>
        <w:t>DOI</w:t>
      </w:r>
      <w:r w:rsidRPr="0053750E">
        <w:rPr>
          <w:rFonts w:ascii="Book Antiqua" w:hAnsi="Book Antiqua"/>
          <w:noProof/>
          <w:szCs w:val="24"/>
        </w:rPr>
        <w:t>:</w:t>
      </w:r>
      <w:r w:rsidR="00991EF3" w:rsidRPr="0053750E">
        <w:rPr>
          <w:rFonts w:ascii="Book Antiqua" w:hAnsi="Book Antiqua"/>
          <w:noProof/>
          <w:szCs w:val="24"/>
        </w:rPr>
        <w:t xml:space="preserve">  </w:t>
      </w:r>
      <w:r w:rsidR="009A3B10" w:rsidRPr="0053750E">
        <w:rPr>
          <w:rFonts w:ascii="Book Antiqua" w:hAnsi="Book Antiqua"/>
          <w:noProof/>
          <w:szCs w:val="24"/>
        </w:rPr>
        <w:t>10.1007/s10620-014-3510-y]</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26 </w:t>
      </w:r>
      <w:r w:rsidR="003C3333" w:rsidRPr="0053750E">
        <w:rPr>
          <w:rFonts w:ascii="Book Antiqua" w:hAnsi="Book Antiqua"/>
          <w:b/>
          <w:noProof/>
          <w:szCs w:val="24"/>
        </w:rPr>
        <w:t>Sari RA</w:t>
      </w:r>
      <w:r w:rsidR="003C3333" w:rsidRPr="0053750E">
        <w:rPr>
          <w:rFonts w:ascii="Book Antiqua" w:hAnsi="Book Antiqua"/>
          <w:noProof/>
          <w:szCs w:val="24"/>
        </w:rPr>
        <w:t xml:space="preserve">, Taysi S, Yilmaz O, Bakan N. Correlation of serum levels of adenosine </w:t>
      </w:r>
      <w:r w:rsidR="003C3333" w:rsidRPr="0053750E">
        <w:rPr>
          <w:rFonts w:ascii="Book Antiqua" w:hAnsi="Book Antiqua"/>
          <w:noProof/>
          <w:szCs w:val="24"/>
        </w:rPr>
        <w:lastRenderedPageBreak/>
        <w:t xml:space="preserve">deaminase activity and its isoenzymes with disease activity in rheumatoid arthritis. </w:t>
      </w:r>
      <w:r w:rsidR="003C3333" w:rsidRPr="0053750E">
        <w:rPr>
          <w:rFonts w:ascii="Book Antiqua" w:hAnsi="Book Antiqua"/>
          <w:i/>
          <w:iCs/>
          <w:noProof/>
          <w:szCs w:val="24"/>
        </w:rPr>
        <w:t>Clin Exp Rheumatol</w:t>
      </w:r>
      <w:r w:rsidR="003C3333" w:rsidRPr="0053750E">
        <w:rPr>
          <w:rFonts w:ascii="Book Antiqua" w:hAnsi="Book Antiqua"/>
          <w:noProof/>
          <w:szCs w:val="24"/>
        </w:rPr>
        <w:t xml:space="preserve"> 2003</w:t>
      </w:r>
      <w:r w:rsidRPr="0053750E">
        <w:rPr>
          <w:rFonts w:ascii="Book Antiqua" w:hAnsi="Book Antiqua"/>
          <w:noProof/>
          <w:szCs w:val="24"/>
        </w:rPr>
        <w:t xml:space="preserve">; </w:t>
      </w:r>
      <w:r w:rsidR="003C3333" w:rsidRPr="0053750E">
        <w:rPr>
          <w:rFonts w:ascii="Book Antiqua" w:hAnsi="Book Antiqua"/>
          <w:b/>
          <w:bCs/>
          <w:noProof/>
          <w:szCs w:val="24"/>
        </w:rPr>
        <w:t>21</w:t>
      </w:r>
      <w:r w:rsidRPr="0053750E">
        <w:rPr>
          <w:rFonts w:ascii="Book Antiqua" w:hAnsi="Book Antiqua"/>
          <w:noProof/>
          <w:szCs w:val="24"/>
        </w:rPr>
        <w:t xml:space="preserve">: </w:t>
      </w:r>
      <w:r w:rsidR="003C3333" w:rsidRPr="0053750E">
        <w:rPr>
          <w:rFonts w:ascii="Book Antiqua" w:hAnsi="Book Antiqua"/>
          <w:noProof/>
          <w:szCs w:val="24"/>
        </w:rPr>
        <w:t>87–</w:t>
      </w:r>
      <w:r w:rsidR="009A3B10" w:rsidRPr="0053750E">
        <w:rPr>
          <w:rFonts w:ascii="Book Antiqua" w:hAnsi="Book Antiqua"/>
          <w:noProof/>
          <w:szCs w:val="24"/>
        </w:rPr>
        <w:t>90 [PMID</w:t>
      </w:r>
      <w:r w:rsidRPr="0053750E">
        <w:rPr>
          <w:rFonts w:ascii="Book Antiqua" w:hAnsi="Book Antiqua"/>
          <w:noProof/>
          <w:szCs w:val="24"/>
        </w:rPr>
        <w:t>:</w:t>
      </w:r>
      <w:r w:rsidR="00991EF3" w:rsidRPr="0053750E">
        <w:rPr>
          <w:rFonts w:ascii="Book Antiqua" w:hAnsi="Book Antiqua"/>
          <w:noProof/>
          <w:szCs w:val="24"/>
        </w:rPr>
        <w:t xml:space="preserve">  </w:t>
      </w:r>
      <w:r w:rsidR="009A3B10" w:rsidRPr="0053750E">
        <w:rPr>
          <w:rFonts w:ascii="Book Antiqua" w:hAnsi="Book Antiqua"/>
          <w:noProof/>
          <w:szCs w:val="24"/>
        </w:rPr>
        <w:t>12673895]</w:t>
      </w:r>
    </w:p>
    <w:p w:rsidR="003C3333" w:rsidRPr="0053750E" w:rsidRDefault="00521162" w:rsidP="00521162">
      <w:pPr>
        <w:widowControl w:val="0"/>
        <w:autoSpaceDE w:val="0"/>
        <w:autoSpaceDN w:val="0"/>
        <w:adjustRightInd w:val="0"/>
        <w:snapToGrid w:val="0"/>
        <w:rPr>
          <w:rFonts w:ascii="Book Antiqua" w:hAnsi="Book Antiqua"/>
          <w:noProof/>
          <w:szCs w:val="24"/>
        </w:rPr>
      </w:pPr>
      <w:r w:rsidRPr="0053750E">
        <w:rPr>
          <w:rFonts w:ascii="Book Antiqua" w:hAnsi="Book Antiqua"/>
          <w:noProof/>
          <w:szCs w:val="24"/>
        </w:rPr>
        <w:t xml:space="preserve">27 </w:t>
      </w:r>
      <w:r w:rsidR="003C3333" w:rsidRPr="0053750E">
        <w:rPr>
          <w:rFonts w:ascii="Book Antiqua" w:hAnsi="Book Antiqua"/>
          <w:b/>
          <w:noProof/>
          <w:szCs w:val="24"/>
        </w:rPr>
        <w:t>Xun C</w:t>
      </w:r>
      <w:r w:rsidR="003C3333" w:rsidRPr="0053750E">
        <w:rPr>
          <w:rFonts w:ascii="Book Antiqua" w:hAnsi="Book Antiqua"/>
          <w:noProof/>
          <w:szCs w:val="24"/>
        </w:rPr>
        <w:t xml:space="preserve">, Zhao Y, Hu ZJ. Potential role of adenosine deaminase in the diagnosis of adult-onset Still’s disease. </w:t>
      </w:r>
      <w:r w:rsidR="003C3333" w:rsidRPr="0053750E">
        <w:rPr>
          <w:rFonts w:ascii="Book Antiqua" w:hAnsi="Book Antiqua"/>
          <w:i/>
          <w:iCs/>
          <w:noProof/>
          <w:szCs w:val="24"/>
        </w:rPr>
        <w:t>Rheumatol Int</w:t>
      </w:r>
      <w:r w:rsidR="003C3333" w:rsidRPr="0053750E">
        <w:rPr>
          <w:rFonts w:ascii="Book Antiqua" w:hAnsi="Book Antiqua"/>
          <w:noProof/>
          <w:szCs w:val="24"/>
        </w:rPr>
        <w:t xml:space="preserve"> 2012</w:t>
      </w:r>
      <w:r w:rsidRPr="0053750E">
        <w:rPr>
          <w:rFonts w:ascii="Book Antiqua" w:hAnsi="Book Antiqua"/>
          <w:noProof/>
          <w:szCs w:val="24"/>
        </w:rPr>
        <w:t xml:space="preserve">; </w:t>
      </w:r>
      <w:r w:rsidR="003C3333" w:rsidRPr="0053750E">
        <w:rPr>
          <w:rFonts w:ascii="Book Antiqua" w:hAnsi="Book Antiqua"/>
          <w:b/>
          <w:bCs/>
          <w:noProof/>
          <w:szCs w:val="24"/>
        </w:rPr>
        <w:t>33</w:t>
      </w:r>
      <w:r w:rsidRPr="0053750E">
        <w:rPr>
          <w:rFonts w:ascii="Book Antiqua" w:hAnsi="Book Antiqua"/>
          <w:noProof/>
          <w:szCs w:val="24"/>
        </w:rPr>
        <w:t xml:space="preserve">: </w:t>
      </w:r>
      <w:r w:rsidR="003C3333" w:rsidRPr="0053750E">
        <w:rPr>
          <w:rFonts w:ascii="Book Antiqua" w:hAnsi="Book Antiqua"/>
          <w:noProof/>
          <w:szCs w:val="24"/>
        </w:rPr>
        <w:t>1255–</w:t>
      </w:r>
      <w:r w:rsidRPr="0053750E">
        <w:rPr>
          <w:rFonts w:ascii="Book Antiqua" w:hAnsi="Book Antiqua"/>
          <w:noProof/>
          <w:szCs w:val="24"/>
        </w:rPr>
        <w:t>125</w:t>
      </w:r>
      <w:r w:rsidR="003C3333" w:rsidRPr="0053750E">
        <w:rPr>
          <w:rFonts w:ascii="Book Antiqua" w:hAnsi="Book Antiqua"/>
          <w:noProof/>
          <w:szCs w:val="24"/>
        </w:rPr>
        <w:t>8 [DOI</w:t>
      </w:r>
      <w:r w:rsidRPr="0053750E">
        <w:rPr>
          <w:rFonts w:ascii="Book Antiqua" w:hAnsi="Book Antiqua"/>
          <w:noProof/>
          <w:szCs w:val="24"/>
        </w:rPr>
        <w:t>:</w:t>
      </w:r>
      <w:r w:rsidR="00991EF3" w:rsidRPr="0053750E">
        <w:rPr>
          <w:rFonts w:ascii="Book Antiqua" w:hAnsi="Book Antiqua"/>
          <w:noProof/>
          <w:szCs w:val="24"/>
        </w:rPr>
        <w:t xml:space="preserve">  </w:t>
      </w:r>
      <w:r w:rsidR="003C3333" w:rsidRPr="0053750E">
        <w:rPr>
          <w:rFonts w:ascii="Book Antiqua" w:hAnsi="Book Antiqua"/>
          <w:noProof/>
          <w:szCs w:val="24"/>
        </w:rPr>
        <w:t>10.1007/s00296-012-2532-z]</w:t>
      </w:r>
    </w:p>
    <w:p w:rsidR="00E5208B" w:rsidRPr="0053750E" w:rsidRDefault="00257198" w:rsidP="009E1864">
      <w:pPr>
        <w:adjustRightInd w:val="0"/>
        <w:snapToGrid w:val="0"/>
        <w:jc w:val="right"/>
        <w:rPr>
          <w:rFonts w:ascii="Book Antiqua" w:eastAsiaTheme="minorEastAsia" w:hAnsi="Book Antiqua"/>
        </w:rPr>
      </w:pPr>
      <w:r w:rsidRPr="0053750E">
        <w:rPr>
          <w:rFonts w:ascii="Book Antiqua" w:hAnsi="Book Antiqua"/>
          <w:szCs w:val="24"/>
          <w:lang w:val="en-US"/>
        </w:rPr>
        <w:fldChar w:fldCharType="end"/>
      </w:r>
      <w:r w:rsidR="00E5208B" w:rsidRPr="0053750E">
        <w:rPr>
          <w:rFonts w:ascii="Book Antiqua" w:hAnsi="Book Antiqua"/>
          <w:b/>
          <w:bCs/>
        </w:rPr>
        <w:t>P-Reviewer</w:t>
      </w:r>
      <w:r w:rsidR="00521162" w:rsidRPr="0053750E">
        <w:rPr>
          <w:rFonts w:ascii="Book Antiqua" w:hAnsi="Book Antiqua"/>
          <w:b/>
          <w:bCs/>
        </w:rPr>
        <w:t>:</w:t>
      </w:r>
      <w:r w:rsidR="00991EF3" w:rsidRPr="0053750E">
        <w:rPr>
          <w:rFonts w:ascii="Book Antiqua" w:hAnsi="Book Antiqua"/>
          <w:b/>
          <w:bCs/>
        </w:rPr>
        <w:t xml:space="preserve">  </w:t>
      </w:r>
      <w:r w:rsidR="00E5208B" w:rsidRPr="0053750E">
        <w:rPr>
          <w:rFonts w:ascii="Book Antiqua" w:hAnsi="Book Antiqua"/>
          <w:b/>
          <w:bCs/>
        </w:rPr>
        <w:t xml:space="preserve"> </w:t>
      </w:r>
      <w:r w:rsidR="00E5208B" w:rsidRPr="0053750E">
        <w:rPr>
          <w:rFonts w:ascii="Book Antiqua" w:hAnsi="Book Antiqua"/>
          <w:bCs/>
        </w:rPr>
        <w:t>Rodrigues AT, Uyanik M</w:t>
      </w:r>
      <w:r w:rsidR="00E5208B" w:rsidRPr="0053750E">
        <w:rPr>
          <w:rFonts w:ascii="Book Antiqua" w:hAnsi="Book Antiqua"/>
          <w:b/>
          <w:bCs/>
        </w:rPr>
        <w:t xml:space="preserve"> S-Editor</w:t>
      </w:r>
      <w:r w:rsidR="00521162" w:rsidRPr="0053750E">
        <w:rPr>
          <w:rFonts w:ascii="Book Antiqua" w:hAnsi="Book Antiqua"/>
          <w:b/>
          <w:bCs/>
        </w:rPr>
        <w:t>:</w:t>
      </w:r>
      <w:r w:rsidR="00991EF3" w:rsidRPr="0053750E">
        <w:rPr>
          <w:rFonts w:ascii="Book Antiqua" w:hAnsi="Book Antiqua"/>
          <w:b/>
          <w:bCs/>
        </w:rPr>
        <w:t xml:space="preserve">  </w:t>
      </w:r>
      <w:r w:rsidR="00E5208B" w:rsidRPr="0053750E">
        <w:rPr>
          <w:rFonts w:ascii="Book Antiqua" w:hAnsi="Book Antiqua"/>
          <w:bCs/>
        </w:rPr>
        <w:t>Yu J</w:t>
      </w:r>
      <w:r w:rsidR="00E5208B" w:rsidRPr="0053750E">
        <w:rPr>
          <w:rFonts w:ascii="Book Antiqua" w:hAnsi="Book Antiqua"/>
        </w:rPr>
        <w:t xml:space="preserve"> </w:t>
      </w:r>
      <w:r w:rsidR="00E5208B" w:rsidRPr="0053750E">
        <w:rPr>
          <w:rFonts w:ascii="Book Antiqua" w:hAnsi="Book Antiqua"/>
          <w:b/>
          <w:bCs/>
        </w:rPr>
        <w:t>L-Editor</w:t>
      </w:r>
      <w:r w:rsidR="00521162" w:rsidRPr="0053750E">
        <w:rPr>
          <w:rFonts w:ascii="Book Antiqua" w:hAnsi="Book Antiqua"/>
          <w:b/>
          <w:bCs/>
        </w:rPr>
        <w:t>:</w:t>
      </w:r>
      <w:r w:rsidR="00991EF3" w:rsidRPr="0053750E">
        <w:rPr>
          <w:rFonts w:ascii="Book Antiqua" w:hAnsi="Book Antiqua"/>
          <w:b/>
          <w:bCs/>
        </w:rPr>
        <w:t xml:space="preserve">  </w:t>
      </w:r>
      <w:r w:rsidR="00E5208B" w:rsidRPr="0053750E">
        <w:rPr>
          <w:rFonts w:ascii="Book Antiqua" w:hAnsi="Book Antiqua"/>
        </w:rPr>
        <w:t xml:space="preserve"> </w:t>
      </w:r>
      <w:r w:rsidR="00E5208B" w:rsidRPr="0053750E">
        <w:rPr>
          <w:rFonts w:ascii="Book Antiqua" w:hAnsi="Book Antiqua"/>
          <w:b/>
          <w:bCs/>
        </w:rPr>
        <w:t>E-Editor</w:t>
      </w:r>
      <w:r w:rsidR="00521162" w:rsidRPr="0053750E">
        <w:rPr>
          <w:rFonts w:ascii="Book Antiqua" w:hAnsi="Book Antiqua"/>
          <w:b/>
          <w:bCs/>
        </w:rPr>
        <w:t xml:space="preserve">: </w:t>
      </w:r>
    </w:p>
    <w:p w:rsidR="002E5558" w:rsidRPr="0053750E" w:rsidRDefault="002E5558" w:rsidP="009E1864">
      <w:pPr>
        <w:pStyle w:val="a4"/>
        <w:spacing w:line="360" w:lineRule="auto"/>
        <w:jc w:val="right"/>
        <w:rPr>
          <w:rFonts w:ascii="Book Antiqua" w:hAnsi="Book Antiqua" w:cs="Times New Roman"/>
          <w:sz w:val="24"/>
          <w:szCs w:val="24"/>
        </w:rPr>
      </w:pPr>
    </w:p>
    <w:p w:rsidR="009E1864" w:rsidRPr="008E0DB1" w:rsidRDefault="009E1864" w:rsidP="009E1864">
      <w:pPr>
        <w:adjustRightInd w:val="0"/>
        <w:snapToGrid w:val="0"/>
        <w:rPr>
          <w:rFonts w:ascii="Book Antiqua" w:hAnsi="Book Antiqua"/>
          <w:color w:val="000000"/>
        </w:rPr>
      </w:pPr>
      <w:bookmarkStart w:id="19" w:name="OLE_LINK3503"/>
      <w:bookmarkStart w:id="20" w:name="OLE_LINK3504"/>
      <w:bookmarkStart w:id="21" w:name="OLE_LINK3509"/>
      <w:bookmarkStart w:id="22" w:name="OLE_LINK3510"/>
      <w:bookmarkStart w:id="23" w:name="OLE_LINK4019"/>
      <w:bookmarkStart w:id="24" w:name="OLE_LINK4020"/>
      <w:bookmarkStart w:id="25" w:name="OLE_LINK3388"/>
      <w:bookmarkStart w:id="26" w:name="OLE_LINK3389"/>
      <w:bookmarkStart w:id="27" w:name="OLE_LINK3420"/>
      <w:bookmarkStart w:id="28" w:name="OLE_LINK3381"/>
      <w:bookmarkStart w:id="29" w:name="OLE_LINK3382"/>
      <w:bookmarkStart w:id="30" w:name="OLE_LINK3383"/>
      <w:bookmarkStart w:id="31" w:name="OLE_LINK3440"/>
      <w:bookmarkStart w:id="32" w:name="OLE_LINK3441"/>
      <w:bookmarkStart w:id="33" w:name="OLE_LINK3444"/>
      <w:bookmarkStart w:id="34" w:name="OLE_LINK3450"/>
      <w:bookmarkStart w:id="35" w:name="OLE_LINK3465"/>
      <w:bookmarkStart w:id="36" w:name="OLE_LINK3762"/>
      <w:bookmarkStart w:id="37" w:name="OLE_LINK3809"/>
      <w:bookmarkStart w:id="38" w:name="OLE_LINK3550"/>
      <w:bookmarkStart w:id="39" w:name="OLE_LINK3541"/>
      <w:bookmarkStart w:id="40" w:name="OLE_LINK3542"/>
      <w:bookmarkStart w:id="41" w:name="OLE_LINK3551"/>
      <w:bookmarkStart w:id="42" w:name="OLE_LINK3566"/>
      <w:bookmarkStart w:id="43" w:name="OLE_LINK3569"/>
      <w:bookmarkStart w:id="44" w:name="OLE_LINK3574"/>
      <w:bookmarkStart w:id="45" w:name="OLE_LINK3582"/>
      <w:bookmarkStart w:id="46" w:name="OLE_LINK3598"/>
      <w:bookmarkStart w:id="47" w:name="OLE_LINK3601"/>
      <w:bookmarkStart w:id="48" w:name="OLE_LINK3602"/>
      <w:bookmarkStart w:id="49" w:name="OLE_LINK3603"/>
      <w:bookmarkStart w:id="50" w:name="OLE_LINK3605"/>
      <w:bookmarkStart w:id="51" w:name="OLE_LINK3600"/>
      <w:bookmarkStart w:id="52" w:name="OLE_LINK3706"/>
      <w:bookmarkStart w:id="53" w:name="OLE_LINK3728"/>
      <w:bookmarkStart w:id="54" w:name="OLE_LINK3695"/>
      <w:bookmarkStart w:id="55" w:name="OLE_LINK3711"/>
      <w:bookmarkStart w:id="56" w:name="OLE_LINK3759"/>
      <w:bookmarkStart w:id="57" w:name="OLE_LINK3827"/>
      <w:bookmarkStart w:id="58" w:name="OLE_LINK3834"/>
      <w:bookmarkStart w:id="59" w:name="OLE_LINK3836"/>
      <w:bookmarkStart w:id="60" w:name="OLE_LINK3847"/>
      <w:bookmarkStart w:id="61" w:name="OLE_LINK3861"/>
      <w:bookmarkStart w:id="62" w:name="OLE_LINK3874"/>
      <w:bookmarkStart w:id="63" w:name="OLE_LINK3907"/>
      <w:bookmarkStart w:id="64" w:name="OLE_LINK3922"/>
      <w:bookmarkStart w:id="65" w:name="OLE_LINK3942"/>
      <w:bookmarkStart w:id="66" w:name="OLE_LINK3866"/>
      <w:bookmarkStart w:id="67" w:name="OLE_LINK3883"/>
      <w:bookmarkStart w:id="68" w:name="OLE_LINK3924"/>
      <w:bookmarkStart w:id="69" w:name="OLE_LINK3964"/>
      <w:bookmarkStart w:id="70" w:name="OLE_LINK3984"/>
      <w:bookmarkStart w:id="71" w:name="OLE_LINK3905"/>
      <w:bookmarkStart w:id="72" w:name="OLE_LINK3941"/>
      <w:bookmarkStart w:id="73" w:name="OLE_LINK3986"/>
      <w:bookmarkStart w:id="74" w:name="OLE_LINK3980"/>
      <w:bookmarkStart w:id="75" w:name="OLE_LINK4008"/>
      <w:bookmarkStart w:id="76" w:name="OLE_LINK4042"/>
      <w:r w:rsidRPr="008E0DB1">
        <w:rPr>
          <w:rFonts w:ascii="Book Antiqua" w:hAnsi="Book Antiqua"/>
          <w:b/>
          <w:color w:val="000000"/>
        </w:rPr>
        <w:t xml:space="preserve">Specialty type: </w:t>
      </w:r>
      <w:r w:rsidRPr="008E0DB1">
        <w:rPr>
          <w:rFonts w:ascii="Book Antiqua" w:hAnsi="Book Antiqua"/>
          <w:color w:val="000000"/>
        </w:rPr>
        <w:t>Gastroenterology and hepatology</w:t>
      </w:r>
    </w:p>
    <w:p w:rsidR="009E1864" w:rsidRPr="009E1864" w:rsidRDefault="009E1864" w:rsidP="009E1864">
      <w:pPr>
        <w:adjustRightInd w:val="0"/>
        <w:snapToGrid w:val="0"/>
        <w:rPr>
          <w:rFonts w:ascii="Book Antiqua" w:eastAsiaTheme="minorEastAsia" w:hAnsi="Book Antiqua"/>
          <w:color w:val="000000"/>
          <w:lang w:eastAsia="zh-CN"/>
        </w:rPr>
      </w:pPr>
      <w:r w:rsidRPr="009E1864">
        <w:rPr>
          <w:rFonts w:ascii="Book Antiqua" w:hAnsi="Book Antiqua"/>
          <w:b/>
          <w:color w:val="000000"/>
        </w:rPr>
        <w:t xml:space="preserve">Country of origin: </w:t>
      </w:r>
      <w:r w:rsidRPr="009E1864">
        <w:rPr>
          <w:rFonts w:ascii="Book Antiqua" w:eastAsiaTheme="minorEastAsia" w:hAnsi="Book Antiqua"/>
          <w:color w:val="000000"/>
          <w:lang w:eastAsia="zh-CN"/>
        </w:rPr>
        <w:t>Turkey</w:t>
      </w:r>
    </w:p>
    <w:bookmarkEnd w:id="19"/>
    <w:bookmarkEnd w:id="20"/>
    <w:bookmarkEnd w:id="21"/>
    <w:bookmarkEnd w:id="22"/>
    <w:p w:rsidR="009E1864" w:rsidRPr="001153D1" w:rsidRDefault="009E1864" w:rsidP="009E1864">
      <w:pPr>
        <w:shd w:val="clear" w:color="auto" w:fill="FFFFFF"/>
        <w:rPr>
          <w:rFonts w:ascii="Book Antiqua" w:hAnsi="Book Antiqua" w:cs="Helvetica"/>
          <w:b/>
          <w:color w:val="000000"/>
          <w:szCs w:val="24"/>
        </w:rPr>
      </w:pPr>
      <w:r w:rsidRPr="001153D1">
        <w:rPr>
          <w:rFonts w:ascii="Book Antiqua" w:hAnsi="Book Antiqua" w:cs="Helvetica"/>
          <w:b/>
          <w:color w:val="000000"/>
          <w:szCs w:val="24"/>
        </w:rPr>
        <w:t>Peer-review report classification</w:t>
      </w:r>
    </w:p>
    <w:p w:rsidR="009E1864" w:rsidRDefault="009E1864" w:rsidP="009E1864">
      <w:pPr>
        <w:shd w:val="clear" w:color="auto" w:fill="FFFFFF"/>
        <w:rPr>
          <w:rFonts w:ascii="Book Antiqua" w:hAnsi="Book Antiqua" w:cs="Helvetica"/>
          <w:color w:val="000000"/>
          <w:szCs w:val="24"/>
        </w:rPr>
      </w:pPr>
      <w:r>
        <w:rPr>
          <w:rFonts w:ascii="Book Antiqua" w:hAnsi="Book Antiqua" w:cs="Helvetica"/>
          <w:color w:val="000000"/>
          <w:szCs w:val="24"/>
        </w:rPr>
        <w:t xml:space="preserve">Grade A (Excellent): </w:t>
      </w:r>
      <w:r>
        <w:rPr>
          <w:rFonts w:ascii="Book Antiqua" w:hAnsi="Book Antiqua" w:cs="Helvetica" w:hint="eastAsia"/>
          <w:color w:val="000000"/>
          <w:szCs w:val="24"/>
        </w:rPr>
        <w:t>0</w:t>
      </w:r>
    </w:p>
    <w:p w:rsidR="009E1864" w:rsidRPr="009E1864" w:rsidRDefault="009E1864" w:rsidP="009E1864">
      <w:pPr>
        <w:shd w:val="clear" w:color="auto" w:fill="FFFFFF"/>
        <w:rPr>
          <w:rFonts w:ascii="Book Antiqua" w:eastAsiaTheme="minorEastAsia" w:hAnsi="Book Antiqua" w:cs="Helvetica"/>
          <w:color w:val="000000"/>
          <w:szCs w:val="24"/>
          <w:lang w:eastAsia="zh-CN"/>
        </w:rPr>
      </w:pPr>
      <w:r>
        <w:rPr>
          <w:rFonts w:ascii="Book Antiqua" w:hAnsi="Book Antiqua" w:cs="Helvetica"/>
          <w:color w:val="000000"/>
          <w:szCs w:val="24"/>
        </w:rPr>
        <w:t xml:space="preserve">Grade B (Very good): </w:t>
      </w:r>
      <w:r>
        <w:rPr>
          <w:rFonts w:ascii="Book Antiqua" w:eastAsiaTheme="minorEastAsia" w:hAnsi="Book Antiqua" w:cs="Helvetica" w:hint="eastAsia"/>
          <w:color w:val="000000"/>
          <w:szCs w:val="24"/>
          <w:lang w:eastAsia="zh-CN"/>
        </w:rPr>
        <w:t>B,</w:t>
      </w:r>
      <w:r w:rsidR="006F1EBA">
        <w:rPr>
          <w:rFonts w:ascii="Book Antiqua" w:eastAsiaTheme="minorEastAsia" w:hAnsi="Book Antiqua" w:cs="Helvetica" w:hint="eastAsia"/>
          <w:color w:val="000000"/>
          <w:szCs w:val="24"/>
          <w:lang w:eastAsia="zh-CN"/>
        </w:rPr>
        <w:t xml:space="preserve"> </w:t>
      </w:r>
      <w:r>
        <w:rPr>
          <w:rFonts w:ascii="Book Antiqua" w:eastAsiaTheme="minorEastAsia" w:hAnsi="Book Antiqua" w:cs="Helvetica" w:hint="eastAsia"/>
          <w:color w:val="000000"/>
          <w:szCs w:val="24"/>
          <w:lang w:eastAsia="zh-CN"/>
        </w:rPr>
        <w:t>B</w:t>
      </w:r>
    </w:p>
    <w:p w:rsidR="009E1864" w:rsidRPr="009E1864" w:rsidRDefault="009E1864" w:rsidP="009E1864">
      <w:pPr>
        <w:shd w:val="clear" w:color="auto" w:fill="FFFFFF"/>
        <w:rPr>
          <w:rFonts w:ascii="Book Antiqua" w:eastAsiaTheme="minorEastAsia" w:hAnsi="Book Antiqua" w:cs="Helvetica"/>
          <w:color w:val="000000"/>
          <w:szCs w:val="24"/>
          <w:lang w:eastAsia="zh-CN"/>
        </w:rPr>
      </w:pPr>
      <w:r>
        <w:rPr>
          <w:rFonts w:ascii="Book Antiqua" w:hAnsi="Book Antiqua" w:cs="Helvetica"/>
          <w:color w:val="000000"/>
          <w:szCs w:val="24"/>
        </w:rPr>
        <w:t xml:space="preserve">Grade C (Good): </w:t>
      </w:r>
      <w:r>
        <w:rPr>
          <w:rFonts w:ascii="Book Antiqua" w:eastAsiaTheme="minorEastAsia" w:hAnsi="Book Antiqua" w:cs="Helvetica" w:hint="eastAsia"/>
          <w:color w:val="000000"/>
          <w:szCs w:val="24"/>
          <w:lang w:eastAsia="zh-CN"/>
        </w:rPr>
        <w:t>0</w:t>
      </w:r>
    </w:p>
    <w:p w:rsidR="009E1864" w:rsidRDefault="009E1864" w:rsidP="009E1864">
      <w:pPr>
        <w:shd w:val="clear" w:color="auto" w:fill="FFFFFF"/>
        <w:rPr>
          <w:rFonts w:ascii="Book Antiqua" w:hAnsi="Book Antiqua" w:cs="Helvetica"/>
          <w:color w:val="000000"/>
          <w:szCs w:val="24"/>
        </w:rPr>
      </w:pPr>
      <w:r>
        <w:rPr>
          <w:rFonts w:ascii="Book Antiqua" w:hAnsi="Book Antiqua" w:cs="Helvetica"/>
          <w:color w:val="000000"/>
          <w:szCs w:val="24"/>
        </w:rPr>
        <w:t>Grade D (Fair): 0</w:t>
      </w:r>
    </w:p>
    <w:p w:rsidR="009E1864" w:rsidRDefault="009E1864" w:rsidP="009E1864">
      <w:pPr>
        <w:shd w:val="clear" w:color="auto" w:fill="FFFFFF"/>
        <w:rPr>
          <w:rFonts w:ascii="Calibri" w:hAnsi="Calibri"/>
          <w:color w:val="000000"/>
          <w:sz w:val="22"/>
        </w:rPr>
      </w:pPr>
      <w:r>
        <w:rPr>
          <w:rFonts w:ascii="Book Antiqua" w:hAnsi="Book Antiqua" w:cs="Helvetica"/>
          <w:color w:val="000000"/>
          <w:szCs w:val="24"/>
        </w:rPr>
        <w:t xml:space="preserve">Grade E (Poor): </w:t>
      </w:r>
      <w:bookmarkEnd w:id="23"/>
      <w:bookmarkEnd w:id="24"/>
      <w:r>
        <w:rPr>
          <w:rFonts w:ascii="Book Antiqua" w:hAnsi="Book Antiqua" w:cs="Helvetica"/>
          <w:color w:val="000000"/>
          <w:szCs w:val="24"/>
        </w:rPr>
        <w:t>0</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2E502E" w:rsidRPr="009E1864" w:rsidRDefault="002E502E" w:rsidP="001C799D">
      <w:pPr>
        <w:pStyle w:val="a4"/>
        <w:spacing w:line="360" w:lineRule="auto"/>
        <w:jc w:val="both"/>
        <w:rPr>
          <w:rFonts w:ascii="Book Antiqua" w:hAnsi="Book Antiqua" w:cs="Times New Roman"/>
          <w:sz w:val="24"/>
          <w:szCs w:val="24"/>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p w:rsidR="00A83FB9" w:rsidRPr="0053750E" w:rsidRDefault="00A83FB9" w:rsidP="00A83FB9">
      <w:pPr>
        <w:keepNext/>
        <w:spacing w:before="240" w:after="240"/>
        <w:rPr>
          <w:rFonts w:ascii="Book Antiqua" w:hAnsi="Book Antiqua"/>
          <w:b/>
          <w:iCs/>
          <w:szCs w:val="24"/>
          <w:lang w:val="en-US"/>
        </w:rPr>
      </w:pPr>
      <w:r w:rsidRPr="0053750E">
        <w:rPr>
          <w:rFonts w:ascii="Book Antiqua" w:hAnsi="Book Antiqua"/>
          <w:b/>
          <w:iCs/>
          <w:noProof/>
          <w:szCs w:val="24"/>
          <w:lang w:val="en-US" w:eastAsia="zh-CN"/>
        </w:rPr>
        <w:lastRenderedPageBreak/>
        <w:drawing>
          <wp:inline distT="0" distB="0" distL="0" distR="0" wp14:anchorId="2BE8BEE4" wp14:editId="1AEFFEAE">
            <wp:extent cx="5760720" cy="48482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848225"/>
                    </a:xfrm>
                    <a:prstGeom prst="rect">
                      <a:avLst/>
                    </a:prstGeom>
                  </pic:spPr>
                </pic:pic>
              </a:graphicData>
            </a:graphic>
          </wp:inline>
        </w:drawing>
      </w:r>
    </w:p>
    <w:p w:rsidR="00A83FB9" w:rsidRPr="0053750E" w:rsidRDefault="00A83FB9" w:rsidP="00A83FB9">
      <w:pPr>
        <w:keepNext/>
        <w:spacing w:before="240" w:after="240"/>
        <w:rPr>
          <w:rFonts w:ascii="Book Antiqua" w:hAnsi="Book Antiqua"/>
          <w:iCs/>
          <w:szCs w:val="24"/>
          <w:lang w:val="en-US"/>
        </w:rPr>
      </w:pPr>
      <w:r w:rsidRPr="0053750E">
        <w:rPr>
          <w:rFonts w:ascii="Book Antiqua" w:hAnsi="Book Antiqua"/>
          <w:b/>
          <w:iCs/>
          <w:szCs w:val="24"/>
          <w:lang w:val="en-US"/>
        </w:rPr>
        <w:t>Figure 1</w:t>
      </w:r>
      <w:r w:rsidR="00521162" w:rsidRPr="0053750E">
        <w:rPr>
          <w:rFonts w:ascii="Book Antiqua" w:hAnsi="Book Antiqua"/>
          <w:b/>
          <w:iCs/>
          <w:szCs w:val="24"/>
          <w:lang w:val="en-US"/>
        </w:rPr>
        <w:t xml:space="preserve"> Adenosine deaminase</w:t>
      </w:r>
      <w:r w:rsidRPr="0053750E">
        <w:rPr>
          <w:rFonts w:ascii="Book Antiqua" w:hAnsi="Book Antiqua"/>
          <w:b/>
          <w:iCs/>
          <w:szCs w:val="24"/>
          <w:lang w:val="en-US"/>
        </w:rPr>
        <w:t xml:space="preserve"> levels in patients with autoimmune hepatitis according to interface hepatitis</w:t>
      </w:r>
      <w:r w:rsidR="00521162" w:rsidRPr="0053750E">
        <w:rPr>
          <w:rFonts w:ascii="Book Antiqua" w:hAnsi="Book Antiqua"/>
          <w:b/>
          <w:iCs/>
          <w:szCs w:val="24"/>
          <w:lang w:val="en-US"/>
        </w:rPr>
        <w:t xml:space="preserve">. </w:t>
      </w:r>
      <w:r w:rsidR="00521162" w:rsidRPr="0053750E">
        <w:rPr>
          <w:rFonts w:ascii="Book Antiqua" w:hAnsi="Book Antiqua"/>
          <w:iCs/>
          <w:szCs w:val="24"/>
          <w:lang w:val="en-US"/>
        </w:rPr>
        <w:t>ADA: Adenosine deaminase.</w:t>
      </w:r>
    </w:p>
    <w:p w:rsidR="00A83FB9" w:rsidRPr="0053750E" w:rsidRDefault="00A83FB9" w:rsidP="002E502E">
      <w:pPr>
        <w:pStyle w:val="a5"/>
        <w:keepNext/>
        <w:spacing w:line="360" w:lineRule="auto"/>
        <w:rPr>
          <w:rFonts w:ascii="Book Antiqua" w:hAnsi="Book Antiqua"/>
          <w:szCs w:val="24"/>
          <w:lang w:val="en-US"/>
        </w:rPr>
      </w:pPr>
    </w:p>
    <w:p w:rsidR="00A83FB9" w:rsidRPr="0053750E" w:rsidRDefault="00A83FB9" w:rsidP="00A83FB9">
      <w:pPr>
        <w:pStyle w:val="a4"/>
        <w:spacing w:line="360" w:lineRule="auto"/>
        <w:jc w:val="both"/>
        <w:rPr>
          <w:rFonts w:ascii="Book Antiqua" w:hAnsi="Book Antiqua"/>
          <w:b/>
          <w:sz w:val="24"/>
          <w:szCs w:val="24"/>
          <w:lang w:val="en-US"/>
        </w:rPr>
      </w:pPr>
      <w:r w:rsidRPr="0053750E">
        <w:rPr>
          <w:rFonts w:ascii="Book Antiqua" w:hAnsi="Book Antiqua"/>
          <w:noProof/>
          <w:sz w:val="24"/>
          <w:szCs w:val="24"/>
          <w:lang w:val="en-US" w:eastAsia="zh-CN"/>
        </w:rPr>
        <w:lastRenderedPageBreak/>
        <w:drawing>
          <wp:inline distT="0" distB="0" distL="0" distR="0" wp14:anchorId="040A287D" wp14:editId="14BFFDA2">
            <wp:extent cx="5760720" cy="48482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48225"/>
                    </a:xfrm>
                    <a:prstGeom prst="rect">
                      <a:avLst/>
                    </a:prstGeom>
                  </pic:spPr>
                </pic:pic>
              </a:graphicData>
            </a:graphic>
          </wp:inline>
        </w:drawing>
      </w:r>
      <w:r w:rsidRPr="0053750E">
        <w:rPr>
          <w:rFonts w:ascii="Book Antiqua" w:hAnsi="Book Antiqua"/>
          <w:b/>
          <w:iCs/>
          <w:sz w:val="24"/>
          <w:szCs w:val="24"/>
          <w:lang w:val="en-US"/>
        </w:rPr>
        <w:t xml:space="preserve">Figure 2 </w:t>
      </w:r>
      <w:r w:rsidRPr="0053750E">
        <w:rPr>
          <w:rFonts w:ascii="Book Antiqua" w:hAnsi="Book Antiqua"/>
          <w:b/>
          <w:sz w:val="24"/>
          <w:szCs w:val="24"/>
          <w:lang w:val="en-US"/>
        </w:rPr>
        <w:t xml:space="preserve">Spearman’s correlation analysis showing the correlation between the </w:t>
      </w:r>
      <w:r w:rsidR="00521162" w:rsidRPr="0053750E">
        <w:rPr>
          <w:rFonts w:ascii="Book Antiqua" w:hAnsi="Book Antiqua"/>
          <w:b/>
          <w:sz w:val="24"/>
          <w:szCs w:val="24"/>
          <w:lang w:val="en-US"/>
        </w:rPr>
        <w:t xml:space="preserve">adenosine deaminase </w:t>
      </w:r>
      <w:r w:rsidRPr="0053750E">
        <w:rPr>
          <w:rFonts w:ascii="Book Antiqua" w:hAnsi="Book Antiqua"/>
          <w:b/>
          <w:sz w:val="24"/>
          <w:szCs w:val="24"/>
          <w:lang w:val="en-US"/>
        </w:rPr>
        <w:t>levels and interface hepatitis grades</w:t>
      </w:r>
      <w:r w:rsidR="00521162" w:rsidRPr="0053750E">
        <w:rPr>
          <w:rFonts w:ascii="Book Antiqua" w:hAnsi="Book Antiqua"/>
          <w:b/>
          <w:sz w:val="24"/>
          <w:szCs w:val="24"/>
          <w:lang w:val="en-US"/>
        </w:rPr>
        <w:t>.</w:t>
      </w:r>
    </w:p>
    <w:p w:rsidR="00A83FB9" w:rsidRPr="0053750E" w:rsidRDefault="00A83FB9" w:rsidP="00A83FB9">
      <w:pPr>
        <w:pStyle w:val="a4"/>
        <w:spacing w:line="360" w:lineRule="auto"/>
        <w:jc w:val="both"/>
        <w:rPr>
          <w:rFonts w:ascii="Book Antiqua" w:hAnsi="Book Antiqua"/>
          <w:sz w:val="24"/>
          <w:szCs w:val="24"/>
          <w:lang w:val="en-US"/>
        </w:rPr>
      </w:pPr>
      <w:r w:rsidRPr="0053750E">
        <w:rPr>
          <w:rFonts w:ascii="Book Antiqua" w:hAnsi="Book Antiqua"/>
          <w:noProof/>
          <w:sz w:val="24"/>
          <w:szCs w:val="24"/>
          <w:lang w:val="en-US" w:eastAsia="zh-CN"/>
        </w:rPr>
        <w:lastRenderedPageBreak/>
        <w:drawing>
          <wp:inline distT="0" distB="0" distL="0" distR="0" wp14:anchorId="2471E880" wp14:editId="40F13644">
            <wp:extent cx="5760720" cy="48482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848225"/>
                    </a:xfrm>
                    <a:prstGeom prst="rect">
                      <a:avLst/>
                    </a:prstGeom>
                  </pic:spPr>
                </pic:pic>
              </a:graphicData>
            </a:graphic>
          </wp:inline>
        </w:drawing>
      </w:r>
    </w:p>
    <w:p w:rsidR="00A83FB9" w:rsidRPr="0053750E" w:rsidRDefault="00521162" w:rsidP="00A83FB9">
      <w:pPr>
        <w:pStyle w:val="a4"/>
        <w:spacing w:line="360" w:lineRule="auto"/>
        <w:jc w:val="both"/>
        <w:rPr>
          <w:rFonts w:ascii="Book Antiqua" w:hAnsi="Book Antiqua" w:cs="Times New Roman"/>
          <w:b/>
          <w:sz w:val="24"/>
          <w:szCs w:val="24"/>
          <w:lang w:val="en-US"/>
        </w:rPr>
      </w:pPr>
      <w:r w:rsidRPr="0053750E">
        <w:rPr>
          <w:rFonts w:ascii="Book Antiqua" w:hAnsi="Book Antiqua" w:cs="Times New Roman"/>
          <w:b/>
          <w:sz w:val="24"/>
          <w:szCs w:val="24"/>
          <w:lang w:val="en-US"/>
        </w:rPr>
        <w:t>Figure 3</w:t>
      </w:r>
      <w:r w:rsidR="00A83FB9" w:rsidRPr="0053750E">
        <w:rPr>
          <w:rFonts w:ascii="Book Antiqua" w:hAnsi="Book Antiqua" w:cs="Times New Roman"/>
          <w:b/>
          <w:sz w:val="24"/>
          <w:szCs w:val="24"/>
          <w:lang w:val="en-US"/>
        </w:rPr>
        <w:t xml:space="preserve"> Receiver-operating characteristics curves for </w:t>
      </w:r>
      <w:r w:rsidRPr="0053750E">
        <w:rPr>
          <w:rFonts w:ascii="Book Antiqua" w:hAnsi="Book Antiqua" w:cs="Times New Roman"/>
          <w:b/>
          <w:sz w:val="24"/>
          <w:szCs w:val="24"/>
          <w:lang w:val="en-US"/>
        </w:rPr>
        <w:t xml:space="preserve">adenosine deaminase </w:t>
      </w:r>
      <w:r w:rsidR="00A83FB9" w:rsidRPr="0053750E">
        <w:rPr>
          <w:rFonts w:ascii="Book Antiqua" w:hAnsi="Book Antiqua" w:cs="Times New Roman"/>
          <w:b/>
          <w:sz w:val="24"/>
          <w:szCs w:val="24"/>
          <w:lang w:val="en-US"/>
        </w:rPr>
        <w:t>in the diagnosis of severe interface hepatitis</w:t>
      </w:r>
      <w:r w:rsidRPr="0053750E">
        <w:rPr>
          <w:rFonts w:ascii="Book Antiqua" w:hAnsi="Book Antiqua" w:cs="Times New Roman"/>
          <w:b/>
          <w:sz w:val="24"/>
          <w:szCs w:val="24"/>
          <w:lang w:val="en-US"/>
        </w:rPr>
        <w:t>.</w:t>
      </w: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521162" w:rsidRPr="0053750E" w:rsidRDefault="00521162">
      <w:pPr>
        <w:spacing w:after="160" w:line="259" w:lineRule="auto"/>
        <w:jc w:val="left"/>
        <w:rPr>
          <w:rFonts w:ascii="Book Antiqua" w:hAnsi="Book Antiqua"/>
          <w:szCs w:val="24"/>
          <w:lang w:val="en-US"/>
        </w:rPr>
      </w:pPr>
      <w:r w:rsidRPr="0053750E">
        <w:rPr>
          <w:rFonts w:ascii="Book Antiqua" w:hAnsi="Book Antiqua"/>
          <w:b/>
          <w:iCs/>
          <w:szCs w:val="24"/>
          <w:lang w:val="en-US"/>
        </w:rPr>
        <w:br w:type="page"/>
      </w:r>
    </w:p>
    <w:p w:rsidR="002E502E" w:rsidRPr="0053750E" w:rsidRDefault="00521162" w:rsidP="002E502E">
      <w:pPr>
        <w:pStyle w:val="a5"/>
        <w:keepNext/>
        <w:spacing w:line="360" w:lineRule="auto"/>
        <w:rPr>
          <w:rFonts w:ascii="Book Antiqua" w:hAnsi="Book Antiqua"/>
          <w:szCs w:val="24"/>
          <w:lang w:val="en-US"/>
        </w:rPr>
      </w:pPr>
      <w:r w:rsidRPr="0053750E">
        <w:rPr>
          <w:rFonts w:ascii="Book Antiqua" w:hAnsi="Book Antiqua"/>
          <w:szCs w:val="24"/>
          <w:lang w:val="en-US"/>
        </w:rPr>
        <w:lastRenderedPageBreak/>
        <w:t>Table 1</w:t>
      </w:r>
      <w:r w:rsidR="002E502E" w:rsidRPr="0053750E">
        <w:rPr>
          <w:rFonts w:ascii="Book Antiqua" w:hAnsi="Book Antiqua"/>
          <w:szCs w:val="24"/>
          <w:lang w:val="en-US"/>
        </w:rPr>
        <w:t xml:space="preserve"> General characteristics of patients with autoimmune hepatitis</w:t>
      </w:r>
      <w:r w:rsidR="006F1EBA">
        <w:rPr>
          <w:rFonts w:ascii="Book Antiqua" w:eastAsiaTheme="minorEastAsia" w:hAnsi="Book Antiqua" w:hint="eastAsia"/>
          <w:szCs w:val="24"/>
          <w:lang w:val="en-US" w:eastAsia="zh-CN"/>
        </w:rPr>
        <w:t xml:space="preserve"> </w:t>
      </w:r>
      <w:r w:rsidR="006F1EBA" w:rsidRPr="006F1EBA">
        <w:rPr>
          <w:rFonts w:ascii="Book Antiqua" w:hAnsi="Book Antiqua"/>
          <w:i/>
          <w:szCs w:val="24"/>
          <w:lang w:val="en-US"/>
        </w:rPr>
        <w:t>n</w:t>
      </w:r>
      <w:r w:rsidR="006F1EBA" w:rsidRPr="0053750E">
        <w:rPr>
          <w:rFonts w:ascii="Book Antiqua" w:hAnsi="Book Antiqua"/>
          <w:szCs w:val="24"/>
          <w:lang w:val="en-US"/>
        </w:rPr>
        <w:t xml:space="preserve"> (%)</w:t>
      </w:r>
    </w:p>
    <w:tbl>
      <w:tblPr>
        <w:tblStyle w:val="DzTablo21"/>
        <w:tblW w:w="4942" w:type="pct"/>
        <w:jc w:val="center"/>
        <w:tblBorders>
          <w:top w:val="none" w:sz="0" w:space="0" w:color="auto"/>
          <w:bottom w:val="none" w:sz="0" w:space="0" w:color="auto"/>
        </w:tblBorders>
        <w:tblLook w:val="04A0" w:firstRow="1" w:lastRow="0" w:firstColumn="1" w:lastColumn="0" w:noHBand="0" w:noVBand="1"/>
      </w:tblPr>
      <w:tblGrid>
        <w:gridCol w:w="4590"/>
        <w:gridCol w:w="4590"/>
      </w:tblGrid>
      <w:tr w:rsidR="002E502E" w:rsidRPr="0053750E" w:rsidTr="00521162">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tcBorders>
          </w:tcPr>
          <w:p w:rsidR="002E502E" w:rsidRPr="0053750E" w:rsidRDefault="002E502E" w:rsidP="00521162">
            <w:pPr>
              <w:jc w:val="left"/>
              <w:rPr>
                <w:rFonts w:ascii="Book Antiqua" w:hAnsi="Book Antiqua"/>
                <w:szCs w:val="24"/>
                <w:lang w:val="en-US"/>
              </w:rPr>
            </w:pPr>
            <w:r w:rsidRPr="0053750E">
              <w:rPr>
                <w:rFonts w:ascii="Book Antiqua" w:hAnsi="Book Antiqua"/>
                <w:szCs w:val="24"/>
                <w:lang w:val="en-US"/>
              </w:rPr>
              <w:t>Parameters</w:t>
            </w:r>
          </w:p>
        </w:tc>
        <w:tc>
          <w:tcPr>
            <w:tcW w:w="2500" w:type="pct"/>
            <w:tcBorders>
              <w:top w:val="single" w:sz="4" w:space="0" w:color="auto"/>
              <w:bottom w:val="single" w:sz="4" w:space="0" w:color="auto"/>
            </w:tcBorders>
          </w:tcPr>
          <w:p w:rsidR="002E502E" w:rsidRPr="0053750E" w:rsidRDefault="002E502E" w:rsidP="00521162">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AIH</w:t>
            </w:r>
            <w:r w:rsidR="00991EF3" w:rsidRPr="0053750E">
              <w:rPr>
                <w:rFonts w:ascii="Book Antiqua" w:hAnsi="Book Antiqua"/>
                <w:szCs w:val="24"/>
                <w:lang w:val="en-US"/>
              </w:rPr>
              <w:t xml:space="preserve">  </w:t>
            </w:r>
            <w:r w:rsidRPr="0053750E">
              <w:rPr>
                <w:rFonts w:ascii="Book Antiqua" w:hAnsi="Book Antiqua"/>
                <w:szCs w:val="24"/>
                <w:lang w:val="en-US"/>
              </w:rPr>
              <w:t>(n</w:t>
            </w:r>
            <w:r w:rsidR="00991EF3" w:rsidRPr="0053750E">
              <w:rPr>
                <w:rFonts w:ascii="Book Antiqua" w:hAnsi="Book Antiqua"/>
                <w:szCs w:val="24"/>
                <w:lang w:val="en-US"/>
              </w:rPr>
              <w:t xml:space="preserve">  </w:t>
            </w:r>
            <w:r w:rsidR="004326D4" w:rsidRPr="0053750E">
              <w:rPr>
                <w:rFonts w:ascii="Book Antiqua" w:hAnsi="Book Antiqua"/>
                <w:szCs w:val="24"/>
                <w:lang w:val="en-US"/>
              </w:rPr>
              <w:t>=</w:t>
            </w:r>
            <w:r w:rsidR="00991EF3" w:rsidRPr="0053750E">
              <w:rPr>
                <w:rFonts w:ascii="Book Antiqua" w:hAnsi="Book Antiqua"/>
                <w:szCs w:val="24"/>
                <w:lang w:val="en-US"/>
              </w:rPr>
              <w:t xml:space="preserve">  </w:t>
            </w:r>
            <w:r w:rsidRPr="0053750E">
              <w:rPr>
                <w:rFonts w:ascii="Book Antiqua" w:hAnsi="Book Antiqua"/>
                <w:szCs w:val="24"/>
                <w:lang w:val="en-US"/>
              </w:rPr>
              <w:t>52)</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none" w:sz="0" w:space="0" w:color="auto"/>
            </w:tcBorders>
            <w:vAlign w:val="center"/>
          </w:tcPr>
          <w:p w:rsidR="002E502E" w:rsidRPr="0053750E" w:rsidRDefault="002E502E" w:rsidP="00521162">
            <w:pPr>
              <w:jc w:val="left"/>
              <w:rPr>
                <w:rFonts w:ascii="Book Antiqua" w:hAnsi="Book Antiqua"/>
                <w:b w:val="0"/>
                <w:szCs w:val="24"/>
                <w:lang w:val="en-US"/>
              </w:rPr>
            </w:pPr>
            <w:r w:rsidRPr="0053750E">
              <w:rPr>
                <w:rFonts w:ascii="Book Antiqua" w:hAnsi="Book Antiqua"/>
                <w:b w:val="0"/>
                <w:szCs w:val="24"/>
                <w:lang w:val="en-US"/>
              </w:rPr>
              <w:t>Mean age (years)</w:t>
            </w:r>
          </w:p>
        </w:tc>
        <w:tc>
          <w:tcPr>
            <w:tcW w:w="2500" w:type="pct"/>
            <w:tcBorders>
              <w:top w:val="single" w:sz="4" w:space="0" w:color="auto"/>
              <w:bottom w:val="none" w:sz="0" w:space="0" w:color="auto"/>
            </w:tcBorders>
            <w:shd w:val="clear" w:color="auto" w:fill="FFFFFF"/>
            <w:vAlign w:val="center"/>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40.1 ± 12.8</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E502E" w:rsidRPr="0053750E" w:rsidRDefault="002E502E" w:rsidP="006F1EBA">
            <w:pPr>
              <w:jc w:val="left"/>
              <w:rPr>
                <w:rFonts w:ascii="Book Antiqua" w:hAnsi="Book Antiqua"/>
                <w:b w:val="0"/>
                <w:szCs w:val="24"/>
                <w:lang w:val="en-US"/>
              </w:rPr>
            </w:pPr>
            <w:r w:rsidRPr="0053750E">
              <w:rPr>
                <w:rFonts w:ascii="Book Antiqua" w:hAnsi="Book Antiqua"/>
                <w:b w:val="0"/>
                <w:szCs w:val="24"/>
                <w:lang w:val="en-US"/>
              </w:rPr>
              <w:t xml:space="preserve">Sex (Female/Male) </w:t>
            </w:r>
          </w:p>
        </w:tc>
        <w:tc>
          <w:tcPr>
            <w:tcW w:w="2500" w:type="pct"/>
            <w:shd w:val="clear" w:color="auto" w:fill="FFFFFF"/>
            <w:vAlign w:val="center"/>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37 (71.2) / 15 (28.8)</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521162">
            <w:pPr>
              <w:jc w:val="left"/>
              <w:rPr>
                <w:rFonts w:ascii="Book Antiqua" w:hAnsi="Book Antiqua"/>
                <w:b w:val="0"/>
                <w:szCs w:val="24"/>
                <w:lang w:val="en-US"/>
              </w:rPr>
            </w:pPr>
            <w:r w:rsidRPr="0053750E">
              <w:rPr>
                <w:rFonts w:ascii="Book Antiqua" w:hAnsi="Book Antiqua"/>
                <w:b w:val="0"/>
                <w:szCs w:val="24"/>
                <w:lang w:val="en-US"/>
              </w:rPr>
              <w:t xml:space="preserve">Laboratory findings </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4326D4">
            <w:pPr>
              <w:jc w:val="left"/>
              <w:rPr>
                <w:rFonts w:ascii="Book Antiqua" w:hAnsi="Book Antiqua"/>
                <w:b w:val="0"/>
                <w:szCs w:val="24"/>
                <w:lang w:val="en-US"/>
              </w:rPr>
            </w:pPr>
            <w:r w:rsidRPr="0053750E">
              <w:rPr>
                <w:rFonts w:ascii="Book Antiqua" w:hAnsi="Book Antiqua"/>
                <w:b w:val="0"/>
                <w:szCs w:val="24"/>
                <w:lang w:val="en-US"/>
              </w:rPr>
              <w:t>ALT (</w:t>
            </w:r>
            <w:r w:rsidR="004326D4" w:rsidRPr="0053750E">
              <w:rPr>
                <w:rFonts w:ascii="Book Antiqua" w:eastAsia="宋体" w:hAnsi="Book Antiqua"/>
                <w:b w:val="0"/>
                <w:szCs w:val="24"/>
                <w:lang w:val="en-US"/>
              </w:rPr>
              <w:t>×</w:t>
            </w:r>
            <w:r w:rsidR="004326D4" w:rsidRPr="0053750E">
              <w:rPr>
                <w:rFonts w:ascii="Book Antiqua" w:hAnsi="Book Antiqua"/>
                <w:b w:val="0"/>
                <w:szCs w:val="24"/>
                <w:lang w:val="en-US"/>
              </w:rPr>
              <w:t xml:space="preserve"> </w:t>
            </w:r>
            <w:r w:rsidRPr="0053750E">
              <w:rPr>
                <w:rFonts w:ascii="Book Antiqua" w:hAnsi="Book Antiqua"/>
                <w:b w:val="0"/>
                <w:szCs w:val="24"/>
                <w:lang w:val="en-US"/>
              </w:rPr>
              <w:t>ULN)</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7.0 (IQR</w:t>
            </w:r>
            <w:r w:rsidR="004326D4" w:rsidRPr="0053750E">
              <w:rPr>
                <w:rFonts w:ascii="Book Antiqua" w:hAnsi="Book Antiqua"/>
                <w:szCs w:val="24"/>
                <w:lang w:val="en-US"/>
              </w:rPr>
              <w:t xml:space="preserve"> = </w:t>
            </w:r>
            <w:r w:rsidRPr="0053750E">
              <w:rPr>
                <w:rFonts w:ascii="Book Antiqua" w:hAnsi="Book Antiqua"/>
                <w:szCs w:val="24"/>
                <w:lang w:val="en-US"/>
              </w:rPr>
              <w:t>9.3)</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AST (</w:t>
            </w:r>
            <w:r w:rsidR="004326D4" w:rsidRPr="0053750E">
              <w:rPr>
                <w:rFonts w:ascii="Book Antiqua" w:eastAsia="宋体" w:hAnsi="Book Antiqua"/>
                <w:b w:val="0"/>
                <w:szCs w:val="24"/>
                <w:lang w:val="en-US" w:eastAsia="tr-TR"/>
              </w:rPr>
              <w:t>×</w:t>
            </w:r>
            <w:r w:rsidR="004326D4" w:rsidRPr="0053750E">
              <w:rPr>
                <w:rFonts w:ascii="Book Antiqua" w:eastAsia="Times New Roman" w:hAnsi="Book Antiqua"/>
                <w:b w:val="0"/>
                <w:szCs w:val="24"/>
                <w:lang w:val="en-US" w:eastAsia="tr-TR"/>
              </w:rPr>
              <w:t xml:space="preserve"> </w:t>
            </w:r>
            <w:r w:rsidRPr="0053750E">
              <w:rPr>
                <w:rFonts w:ascii="Book Antiqua" w:eastAsia="Times New Roman" w:hAnsi="Book Antiqua"/>
                <w:b w:val="0"/>
                <w:szCs w:val="24"/>
                <w:lang w:val="en-US" w:eastAsia="tr-TR"/>
              </w:rPr>
              <w:t>ULN)</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6.2 (IQR</w:t>
            </w:r>
            <w:r w:rsidR="004326D4" w:rsidRPr="0053750E">
              <w:rPr>
                <w:rFonts w:ascii="Book Antiqua" w:hAnsi="Book Antiqua"/>
                <w:szCs w:val="24"/>
                <w:lang w:val="en-US"/>
              </w:rPr>
              <w:t xml:space="preserve"> = </w:t>
            </w:r>
            <w:r w:rsidRPr="0053750E">
              <w:rPr>
                <w:rFonts w:ascii="Book Antiqua" w:hAnsi="Book Antiqua"/>
                <w:szCs w:val="24"/>
                <w:lang w:val="en-US"/>
              </w:rPr>
              <w:t>9.1)</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ALP (</w:t>
            </w:r>
            <w:r w:rsidR="004326D4" w:rsidRPr="0053750E">
              <w:rPr>
                <w:rFonts w:ascii="Book Antiqua" w:eastAsia="宋体" w:hAnsi="Book Antiqua"/>
                <w:b w:val="0"/>
                <w:szCs w:val="24"/>
                <w:lang w:val="en-US" w:eastAsia="tr-TR"/>
              </w:rPr>
              <w:t>×</w:t>
            </w:r>
            <w:r w:rsidRPr="0053750E">
              <w:rPr>
                <w:rFonts w:ascii="Book Antiqua" w:eastAsia="Times New Roman" w:hAnsi="Book Antiqua"/>
                <w:b w:val="0"/>
                <w:szCs w:val="24"/>
                <w:lang w:val="en-US" w:eastAsia="tr-TR"/>
              </w:rPr>
              <w:t>ULN)</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1.3 (IQR</w:t>
            </w:r>
            <w:r w:rsidR="004326D4" w:rsidRPr="0053750E">
              <w:rPr>
                <w:rFonts w:ascii="Book Antiqua" w:hAnsi="Book Antiqua"/>
                <w:szCs w:val="24"/>
                <w:lang w:val="en-US"/>
              </w:rPr>
              <w:t xml:space="preserve"> = </w:t>
            </w:r>
            <w:r w:rsidRPr="0053750E">
              <w:rPr>
                <w:rFonts w:ascii="Book Antiqua" w:hAnsi="Book Antiqua"/>
                <w:szCs w:val="24"/>
                <w:lang w:val="en-US"/>
              </w:rPr>
              <w:t>1.7)</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Total Bilirubin (</w:t>
            </w:r>
            <w:r w:rsidR="004326D4" w:rsidRPr="0053750E">
              <w:rPr>
                <w:rFonts w:ascii="Book Antiqua" w:eastAsia="宋体" w:hAnsi="Book Antiqua"/>
                <w:b w:val="0"/>
                <w:szCs w:val="24"/>
                <w:lang w:val="en-US" w:eastAsia="tr-TR"/>
              </w:rPr>
              <w:t>×</w:t>
            </w:r>
            <w:r w:rsidR="004326D4" w:rsidRPr="0053750E">
              <w:rPr>
                <w:rFonts w:ascii="Book Antiqua" w:eastAsia="Times New Roman" w:hAnsi="Book Antiqua"/>
                <w:b w:val="0"/>
                <w:szCs w:val="24"/>
                <w:lang w:val="en-US" w:eastAsia="tr-TR"/>
              </w:rPr>
              <w:t xml:space="preserve"> </w:t>
            </w:r>
            <w:r w:rsidRPr="0053750E">
              <w:rPr>
                <w:rFonts w:ascii="Book Antiqua" w:eastAsia="Times New Roman" w:hAnsi="Book Antiqua"/>
                <w:b w:val="0"/>
                <w:szCs w:val="24"/>
                <w:lang w:val="en-US" w:eastAsia="tr-TR"/>
              </w:rPr>
              <w:t>ULN)</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0.9 (IQR</w:t>
            </w:r>
            <w:r w:rsidR="004326D4" w:rsidRPr="0053750E">
              <w:rPr>
                <w:rFonts w:ascii="Book Antiqua" w:hAnsi="Book Antiqua"/>
                <w:szCs w:val="24"/>
                <w:lang w:val="en-US"/>
              </w:rPr>
              <w:t xml:space="preserve"> = </w:t>
            </w:r>
            <w:r w:rsidRPr="0053750E">
              <w:rPr>
                <w:rFonts w:ascii="Book Antiqua" w:hAnsi="Book Antiqua"/>
                <w:szCs w:val="24"/>
                <w:lang w:val="en-US"/>
              </w:rPr>
              <w:t>1.6)</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Albumin (gr/</w:t>
            </w:r>
            <w:proofErr w:type="spellStart"/>
            <w:r w:rsidRPr="0053750E">
              <w:rPr>
                <w:rFonts w:ascii="Book Antiqua" w:eastAsia="Times New Roman" w:hAnsi="Book Antiqua"/>
                <w:b w:val="0"/>
                <w:szCs w:val="24"/>
                <w:lang w:val="en-US" w:eastAsia="tr-TR"/>
              </w:rPr>
              <w:t>d</w:t>
            </w:r>
            <w:r w:rsidR="004326D4" w:rsidRPr="0053750E">
              <w:rPr>
                <w:rFonts w:ascii="Book Antiqua" w:eastAsia="Times New Roman" w:hAnsi="Book Antiqua"/>
                <w:b w:val="0"/>
                <w:szCs w:val="24"/>
                <w:lang w:val="en-US" w:eastAsia="tr-TR"/>
              </w:rPr>
              <w:t>L</w:t>
            </w:r>
            <w:proofErr w:type="spellEnd"/>
            <w:r w:rsidRPr="0053750E">
              <w:rPr>
                <w:rFonts w:ascii="Book Antiqua" w:eastAsia="Times New Roman" w:hAnsi="Book Antiqua"/>
                <w:b w:val="0"/>
                <w:szCs w:val="24"/>
                <w:lang w:val="en-US" w:eastAsia="tr-TR"/>
              </w:rPr>
              <w:t>)</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3.8 (IQR</w:t>
            </w:r>
            <w:r w:rsidR="004326D4" w:rsidRPr="0053750E">
              <w:rPr>
                <w:rFonts w:ascii="Book Antiqua" w:hAnsi="Book Antiqua"/>
                <w:szCs w:val="24"/>
                <w:lang w:val="en-US"/>
              </w:rPr>
              <w:t xml:space="preserve"> = </w:t>
            </w:r>
            <w:r w:rsidRPr="0053750E">
              <w:rPr>
                <w:rFonts w:ascii="Book Antiqua" w:hAnsi="Book Antiqua"/>
                <w:szCs w:val="24"/>
                <w:lang w:val="en-US"/>
              </w:rPr>
              <w:t>0.8)</w:t>
            </w:r>
          </w:p>
        </w:tc>
      </w:tr>
      <w:tr w:rsidR="002E502E" w:rsidRPr="0053750E" w:rsidTr="004326D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Serum IgG (gr/</w:t>
            </w:r>
            <w:proofErr w:type="spellStart"/>
            <w:r w:rsidRPr="0053750E">
              <w:rPr>
                <w:rFonts w:ascii="Book Antiqua" w:eastAsia="Times New Roman" w:hAnsi="Book Antiqua"/>
                <w:b w:val="0"/>
                <w:szCs w:val="24"/>
                <w:lang w:val="en-US" w:eastAsia="tr-TR"/>
              </w:rPr>
              <w:t>d</w:t>
            </w:r>
            <w:r w:rsidR="004326D4" w:rsidRPr="0053750E">
              <w:rPr>
                <w:rFonts w:ascii="Book Antiqua" w:eastAsia="Times New Roman" w:hAnsi="Book Antiqua"/>
                <w:b w:val="0"/>
                <w:szCs w:val="24"/>
                <w:lang w:val="en-US" w:eastAsia="tr-TR"/>
              </w:rPr>
              <w:t>L</w:t>
            </w:r>
            <w:proofErr w:type="spellEnd"/>
            <w:r w:rsidRPr="0053750E">
              <w:rPr>
                <w:rFonts w:ascii="Book Antiqua" w:eastAsia="Times New Roman" w:hAnsi="Book Antiqua"/>
                <w:b w:val="0"/>
                <w:szCs w:val="24"/>
                <w:lang w:val="en-US" w:eastAsia="tr-TR"/>
              </w:rPr>
              <w:t>)</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2035 (IQR</w:t>
            </w:r>
            <w:r w:rsidR="004326D4" w:rsidRPr="0053750E">
              <w:rPr>
                <w:rFonts w:ascii="Book Antiqua" w:hAnsi="Book Antiqua"/>
                <w:szCs w:val="24"/>
                <w:lang w:val="en-US"/>
              </w:rPr>
              <w:t xml:space="preserve"> = </w:t>
            </w:r>
            <w:r w:rsidRPr="0053750E">
              <w:rPr>
                <w:rFonts w:ascii="Book Antiqua" w:hAnsi="Book Antiqua"/>
                <w:szCs w:val="24"/>
                <w:lang w:val="en-US"/>
              </w:rPr>
              <w:t>840)</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4326D4">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Platelet counts (</w:t>
            </w:r>
            <w:r w:rsidR="004326D4" w:rsidRPr="0053750E">
              <w:rPr>
                <w:rFonts w:ascii="Book Antiqua" w:eastAsia="宋体" w:hAnsi="Book Antiqua"/>
                <w:b w:val="0"/>
                <w:szCs w:val="24"/>
                <w:lang w:val="en-US" w:eastAsia="tr-TR"/>
              </w:rPr>
              <w:t>×</w:t>
            </w:r>
            <w:r w:rsidRPr="0053750E">
              <w:rPr>
                <w:rFonts w:ascii="Book Antiqua" w:eastAsia="Times New Roman" w:hAnsi="Book Antiqua"/>
                <w:b w:val="0"/>
                <w:szCs w:val="24"/>
                <w:lang w:val="en-US" w:eastAsia="tr-TR"/>
              </w:rPr>
              <w:t xml:space="preserve"> 10</w:t>
            </w:r>
            <w:r w:rsidRPr="0053750E">
              <w:rPr>
                <w:rFonts w:ascii="Book Antiqua" w:eastAsia="Times New Roman" w:hAnsi="Book Antiqua"/>
                <w:b w:val="0"/>
                <w:szCs w:val="24"/>
                <w:vertAlign w:val="superscript"/>
                <w:lang w:val="en-US" w:eastAsia="tr-TR"/>
              </w:rPr>
              <w:t>3</w:t>
            </w:r>
            <w:r w:rsidRPr="0053750E">
              <w:rPr>
                <w:rFonts w:ascii="Book Antiqua" w:eastAsia="Times New Roman" w:hAnsi="Book Antiqua"/>
                <w:b w:val="0"/>
                <w:szCs w:val="24"/>
                <w:lang w:val="en-US" w:eastAsia="tr-TR"/>
              </w:rPr>
              <w:t>/mm</w:t>
            </w:r>
            <w:r w:rsidRPr="0053750E">
              <w:rPr>
                <w:rFonts w:ascii="Book Antiqua" w:eastAsia="Times New Roman" w:hAnsi="Book Antiqua"/>
                <w:b w:val="0"/>
                <w:szCs w:val="24"/>
                <w:vertAlign w:val="superscript"/>
                <w:lang w:val="en-US" w:eastAsia="tr-TR"/>
              </w:rPr>
              <w:t>3</w:t>
            </w:r>
            <w:r w:rsidRPr="0053750E">
              <w:rPr>
                <w:rFonts w:ascii="Book Antiqua" w:eastAsia="Times New Roman" w:hAnsi="Book Antiqua"/>
                <w:b w:val="0"/>
                <w:szCs w:val="24"/>
                <w:lang w:val="en-US" w:eastAsia="tr-TR"/>
              </w:rPr>
              <w:t>)</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219.0 (IQR</w:t>
            </w:r>
            <w:r w:rsidR="004326D4" w:rsidRPr="0053750E">
              <w:rPr>
                <w:rFonts w:ascii="Book Antiqua" w:hAnsi="Book Antiqua"/>
                <w:szCs w:val="24"/>
                <w:lang w:val="en-US"/>
              </w:rPr>
              <w:t xml:space="preserve"> = </w:t>
            </w:r>
            <w:r w:rsidRPr="0053750E">
              <w:rPr>
                <w:rFonts w:ascii="Book Antiqua" w:hAnsi="Book Antiqua"/>
                <w:szCs w:val="24"/>
                <w:lang w:val="en-US"/>
              </w:rPr>
              <w:t>66.8)</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INR</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1.1 (IQR</w:t>
            </w:r>
            <w:r w:rsidR="004326D4" w:rsidRPr="0053750E">
              <w:rPr>
                <w:rFonts w:ascii="Book Antiqua" w:hAnsi="Book Antiqua"/>
                <w:szCs w:val="24"/>
                <w:lang w:val="en-US"/>
              </w:rPr>
              <w:t xml:space="preserve"> = </w:t>
            </w:r>
            <w:r w:rsidRPr="0053750E">
              <w:rPr>
                <w:rFonts w:ascii="Book Antiqua" w:hAnsi="Book Antiqua"/>
                <w:szCs w:val="24"/>
                <w:lang w:val="en-US"/>
              </w:rPr>
              <w:t>0.2)</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521162">
            <w:pPr>
              <w:jc w:val="left"/>
              <w:rPr>
                <w:rFonts w:ascii="Book Antiqua" w:eastAsia="Times New Roman" w:hAnsi="Book Antiqua"/>
                <w:szCs w:val="24"/>
                <w:lang w:val="en-US" w:eastAsia="tr-TR"/>
              </w:rPr>
            </w:pPr>
            <w:r w:rsidRPr="0053750E">
              <w:rPr>
                <w:rFonts w:ascii="Book Antiqua" w:eastAsia="Times New Roman" w:hAnsi="Book Antiqua"/>
                <w:szCs w:val="24"/>
                <w:lang w:val="en-US" w:eastAsia="tr-TR"/>
              </w:rPr>
              <w:t>Autoimmune serology</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ANA</w:t>
            </w:r>
          </w:p>
        </w:tc>
        <w:tc>
          <w:tcPr>
            <w:tcW w:w="2500" w:type="pct"/>
            <w:tcBorders>
              <w:top w:val="none" w:sz="0" w:space="0" w:color="auto"/>
              <w:bottom w:val="none" w:sz="0" w:space="0" w:color="auto"/>
            </w:tcBorders>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38 (73.1)</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SMA</w:t>
            </w:r>
          </w:p>
        </w:tc>
        <w:tc>
          <w:tcPr>
            <w:tcW w:w="2500" w:type="pct"/>
          </w:tcPr>
          <w:p w:rsidR="002E502E" w:rsidRPr="0053750E" w:rsidRDefault="002E502E" w:rsidP="005211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20 (38.5)</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Anti LKM-1</w:t>
            </w:r>
          </w:p>
        </w:tc>
        <w:tc>
          <w:tcPr>
            <w:tcW w:w="2500" w:type="pct"/>
            <w:tcBorders>
              <w:top w:val="none" w:sz="0" w:space="0" w:color="auto"/>
              <w:bottom w:val="none" w:sz="0" w:space="0" w:color="auto"/>
            </w:tcBorders>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 (2)</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Pr>
          <w:p w:rsidR="002E502E" w:rsidRPr="0053750E" w:rsidRDefault="002E502E" w:rsidP="00521162">
            <w:pPr>
              <w:jc w:val="left"/>
              <w:rPr>
                <w:rFonts w:ascii="Book Antiqua" w:eastAsia="Times New Roman" w:hAnsi="Book Antiqua"/>
                <w:szCs w:val="24"/>
                <w:lang w:val="en-US" w:eastAsia="tr-TR"/>
              </w:rPr>
            </w:pPr>
            <w:r w:rsidRPr="0053750E">
              <w:rPr>
                <w:rFonts w:ascii="Book Antiqua" w:eastAsia="Times New Roman" w:hAnsi="Book Antiqua"/>
                <w:szCs w:val="24"/>
                <w:lang w:val="en-US" w:eastAsia="tr-TR"/>
              </w:rPr>
              <w:t>Histological features</w:t>
            </w:r>
          </w:p>
        </w:tc>
        <w:tc>
          <w:tcPr>
            <w:tcW w:w="2500" w:type="pct"/>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vAlign w:val="center"/>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İnterface hepatitis</w:t>
            </w:r>
          </w:p>
        </w:tc>
        <w:tc>
          <w:tcPr>
            <w:tcW w:w="2500" w:type="pct"/>
            <w:tcBorders>
              <w:top w:val="none" w:sz="0" w:space="0" w:color="auto"/>
              <w:bottom w:val="none" w:sz="0" w:space="0" w:color="auto"/>
            </w:tcBorders>
            <w:vAlign w:val="center"/>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Mild</w:t>
            </w:r>
          </w:p>
        </w:tc>
        <w:tc>
          <w:tcPr>
            <w:tcW w:w="2500" w:type="pct"/>
            <w:vAlign w:val="center"/>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9 (17.3)</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Moderate</w:t>
            </w:r>
          </w:p>
        </w:tc>
        <w:tc>
          <w:tcPr>
            <w:tcW w:w="2500" w:type="pct"/>
            <w:tcBorders>
              <w:top w:val="none" w:sz="0" w:space="0" w:color="auto"/>
              <w:bottom w:val="none" w:sz="0" w:space="0" w:color="auto"/>
            </w:tcBorders>
            <w:vAlign w:val="center"/>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18 (34.6)</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Severe</w:t>
            </w:r>
          </w:p>
        </w:tc>
        <w:tc>
          <w:tcPr>
            <w:tcW w:w="2500" w:type="pct"/>
            <w:vAlign w:val="center"/>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25 (48.1)</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vAlign w:val="center"/>
          </w:tcPr>
          <w:p w:rsidR="002E502E" w:rsidRPr="0053750E" w:rsidRDefault="002E502E"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Fibrosis score</w:t>
            </w:r>
          </w:p>
        </w:tc>
        <w:tc>
          <w:tcPr>
            <w:tcW w:w="2500" w:type="pct"/>
            <w:tcBorders>
              <w:top w:val="none" w:sz="0" w:space="0" w:color="auto"/>
              <w:bottom w:val="none" w:sz="0" w:space="0" w:color="auto"/>
            </w:tcBorders>
            <w:vAlign w:val="center"/>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n (%)</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0</w:t>
            </w:r>
          </w:p>
        </w:tc>
        <w:tc>
          <w:tcPr>
            <w:tcW w:w="2500" w:type="pct"/>
            <w:vAlign w:val="center"/>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6</w:t>
            </w:r>
            <w:r w:rsidR="00991EF3" w:rsidRPr="0053750E">
              <w:rPr>
                <w:rFonts w:ascii="Book Antiqua" w:hAnsi="Book Antiqua"/>
                <w:szCs w:val="24"/>
                <w:lang w:val="en-US"/>
              </w:rPr>
              <w:t xml:space="preserve">  </w:t>
            </w:r>
            <w:r w:rsidRPr="0053750E">
              <w:rPr>
                <w:rFonts w:ascii="Book Antiqua" w:hAnsi="Book Antiqua"/>
                <w:szCs w:val="24"/>
                <w:lang w:val="en-US"/>
              </w:rPr>
              <w:t>(11.5)</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1</w:t>
            </w:r>
          </w:p>
        </w:tc>
        <w:tc>
          <w:tcPr>
            <w:tcW w:w="2500" w:type="pct"/>
            <w:tcBorders>
              <w:top w:val="none" w:sz="0" w:space="0" w:color="auto"/>
              <w:bottom w:val="none" w:sz="0" w:space="0" w:color="auto"/>
            </w:tcBorders>
            <w:vAlign w:val="center"/>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9 (17.3)</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2</w:t>
            </w:r>
          </w:p>
        </w:tc>
        <w:tc>
          <w:tcPr>
            <w:tcW w:w="2500" w:type="pct"/>
            <w:vAlign w:val="center"/>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11 (21.2)</w:t>
            </w:r>
          </w:p>
        </w:tc>
      </w:tr>
      <w:tr w:rsidR="002E502E" w:rsidRPr="0053750E" w:rsidTr="0052116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3</w:t>
            </w:r>
          </w:p>
        </w:tc>
        <w:tc>
          <w:tcPr>
            <w:tcW w:w="2500" w:type="pct"/>
            <w:tcBorders>
              <w:top w:val="none" w:sz="0" w:space="0" w:color="auto"/>
              <w:bottom w:val="none" w:sz="0" w:space="0" w:color="auto"/>
            </w:tcBorders>
            <w:vAlign w:val="center"/>
          </w:tcPr>
          <w:p w:rsidR="002E502E" w:rsidRPr="0053750E" w:rsidRDefault="002E502E" w:rsidP="00521162">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16 (30.8)</w:t>
            </w:r>
          </w:p>
        </w:tc>
      </w:tr>
      <w:tr w:rsidR="002E502E" w:rsidRPr="0053750E" w:rsidTr="00521162">
        <w:trPr>
          <w:trHeight w:val="425"/>
          <w:jc w:val="center"/>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auto"/>
            </w:tcBorders>
            <w:vAlign w:val="center"/>
          </w:tcPr>
          <w:p w:rsidR="002E502E" w:rsidRPr="0053750E" w:rsidRDefault="00991EF3" w:rsidP="00521162">
            <w:pPr>
              <w:jc w:val="left"/>
              <w:rPr>
                <w:rFonts w:ascii="Book Antiqua" w:eastAsia="Times New Roman" w:hAnsi="Book Antiqua"/>
                <w:b w:val="0"/>
                <w:szCs w:val="24"/>
                <w:lang w:val="en-US" w:eastAsia="tr-TR"/>
              </w:rPr>
            </w:pPr>
            <w:r w:rsidRPr="0053750E">
              <w:rPr>
                <w:rFonts w:ascii="Book Antiqua" w:eastAsia="Times New Roman" w:hAnsi="Book Antiqua"/>
                <w:b w:val="0"/>
                <w:szCs w:val="24"/>
                <w:lang w:val="en-US" w:eastAsia="tr-TR"/>
              </w:rPr>
              <w:t xml:space="preserve">  </w:t>
            </w:r>
            <w:r w:rsidR="002E502E" w:rsidRPr="0053750E">
              <w:rPr>
                <w:rFonts w:ascii="Book Antiqua" w:eastAsia="Times New Roman" w:hAnsi="Book Antiqua"/>
                <w:b w:val="0"/>
                <w:szCs w:val="24"/>
                <w:lang w:val="en-US" w:eastAsia="tr-TR"/>
              </w:rPr>
              <w:t xml:space="preserve"> 4</w:t>
            </w:r>
          </w:p>
        </w:tc>
        <w:tc>
          <w:tcPr>
            <w:tcW w:w="2500" w:type="pct"/>
            <w:tcBorders>
              <w:bottom w:val="single" w:sz="4" w:space="0" w:color="auto"/>
            </w:tcBorders>
            <w:vAlign w:val="center"/>
          </w:tcPr>
          <w:p w:rsidR="002E502E" w:rsidRPr="0053750E" w:rsidRDefault="002E502E" w:rsidP="00521162">
            <w:pPr>
              <w:keepNext/>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10 (19.2)</w:t>
            </w:r>
          </w:p>
        </w:tc>
      </w:tr>
    </w:tbl>
    <w:p w:rsidR="002E502E" w:rsidRPr="0053750E" w:rsidRDefault="002E502E" w:rsidP="002E502E">
      <w:pPr>
        <w:pStyle w:val="a5"/>
        <w:spacing w:line="360" w:lineRule="auto"/>
        <w:rPr>
          <w:rFonts w:ascii="Book Antiqua" w:hAnsi="Book Antiqua"/>
          <w:b w:val="0"/>
          <w:szCs w:val="24"/>
          <w:lang w:val="en-US"/>
        </w:rPr>
      </w:pPr>
      <w:r w:rsidRPr="0053750E">
        <w:rPr>
          <w:rFonts w:ascii="Book Antiqua" w:hAnsi="Book Antiqua"/>
          <w:b w:val="0"/>
          <w:szCs w:val="24"/>
          <w:lang w:val="en-US"/>
        </w:rPr>
        <w:t>AIH</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utoimmune hepatitis</w:t>
      </w:r>
      <w:r w:rsidR="004326D4" w:rsidRPr="0053750E">
        <w:rPr>
          <w:rFonts w:ascii="Book Antiqua" w:hAnsi="Book Antiqua"/>
          <w:b w:val="0"/>
          <w:szCs w:val="24"/>
          <w:lang w:val="en-US"/>
        </w:rPr>
        <w:t>;</w:t>
      </w:r>
      <w:r w:rsidRPr="0053750E">
        <w:rPr>
          <w:rFonts w:ascii="Book Antiqua" w:hAnsi="Book Antiqua"/>
          <w:b w:val="0"/>
          <w:szCs w:val="24"/>
          <w:lang w:val="en-US"/>
        </w:rPr>
        <w:t xml:space="preserve"> ALT</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 xml:space="preserve">lanine </w:t>
      </w:r>
      <w:r w:rsidR="004326D4" w:rsidRPr="0053750E">
        <w:rPr>
          <w:rFonts w:ascii="Book Antiqua" w:hAnsi="Book Antiqua"/>
          <w:b w:val="0"/>
          <w:szCs w:val="24"/>
          <w:lang w:val="en-US"/>
        </w:rPr>
        <w:t>aminotransferase;</w:t>
      </w:r>
      <w:r w:rsidRPr="0053750E">
        <w:rPr>
          <w:rFonts w:ascii="Book Antiqua" w:hAnsi="Book Antiqua"/>
          <w:b w:val="0"/>
          <w:szCs w:val="24"/>
          <w:lang w:val="en-US"/>
        </w:rPr>
        <w:t xml:space="preserve"> ALP</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lkaline phosphatase</w:t>
      </w:r>
      <w:r w:rsidR="004326D4" w:rsidRPr="0053750E">
        <w:rPr>
          <w:rFonts w:ascii="Book Antiqua" w:hAnsi="Book Antiqua"/>
          <w:b w:val="0"/>
          <w:szCs w:val="24"/>
          <w:lang w:val="en-US"/>
        </w:rPr>
        <w:t>;</w:t>
      </w:r>
      <w:r w:rsidRPr="0053750E">
        <w:rPr>
          <w:rFonts w:ascii="Book Antiqua" w:hAnsi="Book Antiqua"/>
          <w:b w:val="0"/>
          <w:szCs w:val="24"/>
          <w:lang w:val="en-US"/>
        </w:rPr>
        <w:t xml:space="preserve"> ANA</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ntinuclear antibody</w:t>
      </w:r>
      <w:r w:rsidR="004326D4" w:rsidRPr="0053750E">
        <w:rPr>
          <w:rFonts w:ascii="Book Antiqua" w:hAnsi="Book Antiqua"/>
          <w:b w:val="0"/>
          <w:szCs w:val="24"/>
          <w:lang w:val="en-US"/>
        </w:rPr>
        <w:t>;</w:t>
      </w:r>
      <w:r w:rsidRPr="0053750E">
        <w:rPr>
          <w:rFonts w:ascii="Book Antiqua" w:hAnsi="Book Antiqua"/>
          <w:b w:val="0"/>
          <w:szCs w:val="24"/>
          <w:lang w:val="en-US"/>
        </w:rPr>
        <w:t xml:space="preserve"> INR</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eastAsia="Times New Roman" w:hAnsi="Book Antiqua"/>
          <w:b w:val="0"/>
          <w:color w:val="000000"/>
          <w:szCs w:val="24"/>
          <w:lang w:val="en-US" w:eastAsia="tr-TR"/>
        </w:rPr>
        <w:t>I</w:t>
      </w:r>
      <w:r w:rsidRPr="0053750E">
        <w:rPr>
          <w:rFonts w:ascii="Book Antiqua" w:eastAsia="Times New Roman" w:hAnsi="Book Antiqua"/>
          <w:b w:val="0"/>
          <w:color w:val="000000"/>
          <w:szCs w:val="24"/>
          <w:lang w:val="en-US" w:eastAsia="tr-TR"/>
        </w:rPr>
        <w:t>nternational normalized ratio</w:t>
      </w:r>
      <w:r w:rsidR="004326D4" w:rsidRPr="0053750E">
        <w:rPr>
          <w:rFonts w:ascii="Book Antiqua" w:eastAsia="Times New Roman" w:hAnsi="Book Antiqua"/>
          <w:b w:val="0"/>
          <w:color w:val="000000"/>
          <w:szCs w:val="24"/>
          <w:lang w:val="en-US" w:eastAsia="tr-TR"/>
        </w:rPr>
        <w:t>;</w:t>
      </w:r>
      <w:r w:rsidRPr="0053750E">
        <w:rPr>
          <w:rFonts w:ascii="Book Antiqua" w:eastAsia="Times New Roman" w:hAnsi="Book Antiqua"/>
          <w:b w:val="0"/>
          <w:color w:val="000000"/>
          <w:szCs w:val="24"/>
          <w:lang w:val="en-US" w:eastAsia="tr-TR"/>
        </w:rPr>
        <w:t xml:space="preserve"> IQR</w:t>
      </w:r>
      <w:r w:rsidR="00521162" w:rsidRPr="0053750E">
        <w:rPr>
          <w:rFonts w:ascii="Book Antiqua" w:eastAsia="Times New Roman" w:hAnsi="Book Antiqua"/>
          <w:b w:val="0"/>
          <w:color w:val="000000"/>
          <w:szCs w:val="24"/>
          <w:lang w:val="en-US" w:eastAsia="tr-TR"/>
        </w:rPr>
        <w:t>:</w:t>
      </w:r>
      <w:r w:rsidR="00991EF3" w:rsidRPr="0053750E">
        <w:rPr>
          <w:rFonts w:ascii="Book Antiqua" w:eastAsia="Times New Roman" w:hAnsi="Book Antiqua"/>
          <w:b w:val="0"/>
          <w:color w:val="000000"/>
          <w:szCs w:val="24"/>
          <w:lang w:val="en-US" w:eastAsia="tr-TR"/>
        </w:rPr>
        <w:t xml:space="preserve">  </w:t>
      </w:r>
      <w:r w:rsidR="004326D4" w:rsidRPr="0053750E">
        <w:rPr>
          <w:rFonts w:ascii="Book Antiqua" w:eastAsia="Times New Roman" w:hAnsi="Book Antiqua"/>
          <w:b w:val="0"/>
          <w:color w:val="000000"/>
          <w:szCs w:val="24"/>
          <w:lang w:val="en-US" w:eastAsia="tr-TR"/>
        </w:rPr>
        <w:lastRenderedPageBreak/>
        <w:t>I</w:t>
      </w:r>
      <w:r w:rsidRPr="0053750E">
        <w:rPr>
          <w:rFonts w:ascii="Book Antiqua" w:eastAsia="Times New Roman" w:hAnsi="Book Antiqua"/>
          <w:b w:val="0"/>
          <w:color w:val="000000"/>
          <w:szCs w:val="24"/>
          <w:lang w:val="en-US" w:eastAsia="tr-TR"/>
        </w:rPr>
        <w:t>nter quartile range</w:t>
      </w:r>
      <w:r w:rsidR="00BD564A" w:rsidRPr="0053750E">
        <w:rPr>
          <w:rFonts w:ascii="Book Antiqua" w:eastAsia="Times New Roman" w:hAnsi="Book Antiqua"/>
          <w:b w:val="0"/>
          <w:color w:val="000000"/>
          <w:szCs w:val="24"/>
          <w:lang w:val="en-US" w:eastAsia="tr-TR"/>
        </w:rPr>
        <w:t>;</w:t>
      </w:r>
      <w:r w:rsidRPr="0053750E">
        <w:rPr>
          <w:rFonts w:ascii="Book Antiqua" w:eastAsia="Times New Roman" w:hAnsi="Book Antiqua"/>
          <w:b w:val="0"/>
          <w:color w:val="000000"/>
          <w:szCs w:val="24"/>
          <w:lang w:val="en-US" w:eastAsia="tr-TR"/>
        </w:rPr>
        <w:t xml:space="preserve"> </w:t>
      </w:r>
      <w:r w:rsidRPr="0053750E">
        <w:rPr>
          <w:rFonts w:ascii="Book Antiqua" w:hAnsi="Book Antiqua"/>
          <w:b w:val="0"/>
          <w:szCs w:val="24"/>
          <w:lang w:val="en-US"/>
        </w:rPr>
        <w:t>LKM-1</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L</w:t>
      </w:r>
      <w:r w:rsidRPr="0053750E">
        <w:rPr>
          <w:rFonts w:ascii="Book Antiqua" w:hAnsi="Book Antiqua"/>
          <w:b w:val="0"/>
          <w:szCs w:val="24"/>
          <w:lang w:val="en-US"/>
        </w:rPr>
        <w:t xml:space="preserve">iver kidney </w:t>
      </w:r>
      <w:proofErr w:type="spellStart"/>
      <w:r w:rsidRPr="0053750E">
        <w:rPr>
          <w:rFonts w:ascii="Book Antiqua" w:hAnsi="Book Antiqua"/>
          <w:b w:val="0"/>
          <w:szCs w:val="24"/>
          <w:lang w:val="en-US"/>
        </w:rPr>
        <w:t>microsome</w:t>
      </w:r>
      <w:proofErr w:type="spellEnd"/>
      <w:r w:rsidRPr="0053750E">
        <w:rPr>
          <w:rFonts w:ascii="Book Antiqua" w:hAnsi="Book Antiqua"/>
          <w:b w:val="0"/>
          <w:szCs w:val="24"/>
          <w:lang w:val="en-US"/>
        </w:rPr>
        <w:t xml:space="preserve"> type 1</w:t>
      </w:r>
      <w:r w:rsidR="004326D4" w:rsidRPr="0053750E">
        <w:rPr>
          <w:rFonts w:ascii="Book Antiqua" w:hAnsi="Book Antiqua"/>
          <w:b w:val="0"/>
          <w:szCs w:val="24"/>
          <w:lang w:val="en-US"/>
        </w:rPr>
        <w:t>;</w:t>
      </w:r>
      <w:r w:rsidRPr="0053750E">
        <w:rPr>
          <w:rFonts w:ascii="Book Antiqua" w:hAnsi="Book Antiqua"/>
          <w:b w:val="0"/>
          <w:szCs w:val="24"/>
          <w:lang w:val="en-US"/>
        </w:rPr>
        <w:t xml:space="preserve"> SMA</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S</w:t>
      </w:r>
      <w:r w:rsidRPr="0053750E">
        <w:rPr>
          <w:rFonts w:ascii="Book Antiqua" w:hAnsi="Book Antiqua"/>
          <w:b w:val="0"/>
          <w:szCs w:val="24"/>
          <w:lang w:val="en-US"/>
        </w:rPr>
        <w:t>mooth muscle antibody</w:t>
      </w:r>
      <w:r w:rsidR="004326D4" w:rsidRPr="0053750E">
        <w:rPr>
          <w:rFonts w:ascii="Book Antiqua" w:hAnsi="Book Antiqua"/>
          <w:b w:val="0"/>
          <w:szCs w:val="24"/>
          <w:lang w:val="en-US"/>
        </w:rPr>
        <w:t xml:space="preserve">; </w:t>
      </w:r>
      <w:r w:rsidRPr="0053750E">
        <w:rPr>
          <w:rFonts w:ascii="Book Antiqua" w:hAnsi="Book Antiqua"/>
          <w:b w:val="0"/>
          <w:szCs w:val="24"/>
          <w:lang w:val="en-US"/>
        </w:rPr>
        <w:t>ULN</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U</w:t>
      </w:r>
      <w:r w:rsidRPr="0053750E">
        <w:rPr>
          <w:rFonts w:ascii="Book Antiqua" w:hAnsi="Book Antiqua"/>
          <w:b w:val="0"/>
          <w:szCs w:val="24"/>
          <w:lang w:val="en-US"/>
        </w:rPr>
        <w:t>pper limit of normal</w:t>
      </w:r>
      <w:bookmarkStart w:id="77" w:name="_Toc417339250"/>
      <w:r w:rsidR="004326D4" w:rsidRPr="0053750E">
        <w:rPr>
          <w:rFonts w:ascii="Book Antiqua" w:hAnsi="Book Antiqua"/>
          <w:b w:val="0"/>
          <w:szCs w:val="24"/>
          <w:lang w:val="en-US"/>
        </w:rPr>
        <w:t>.</w:t>
      </w:r>
    </w:p>
    <w:p w:rsidR="002E502E" w:rsidRPr="0053750E" w:rsidRDefault="002E502E" w:rsidP="002E502E">
      <w:pPr>
        <w:rPr>
          <w:rFonts w:ascii="Book Antiqua" w:hAnsi="Book Antiqua"/>
          <w:szCs w:val="24"/>
          <w:lang w:val="en-US"/>
        </w:rPr>
      </w:pPr>
    </w:p>
    <w:p w:rsidR="004326D4" w:rsidRPr="0053750E" w:rsidRDefault="004326D4">
      <w:pPr>
        <w:spacing w:after="160" w:line="259" w:lineRule="auto"/>
        <w:jc w:val="left"/>
        <w:rPr>
          <w:rFonts w:ascii="Book Antiqua" w:hAnsi="Book Antiqua"/>
          <w:b/>
          <w:szCs w:val="24"/>
          <w:lang w:val="en-US"/>
        </w:rPr>
      </w:pPr>
      <w:r w:rsidRPr="0053750E">
        <w:rPr>
          <w:rFonts w:ascii="Book Antiqua" w:hAnsi="Book Antiqua"/>
          <w:iCs/>
          <w:szCs w:val="24"/>
          <w:lang w:val="en-US"/>
        </w:rPr>
        <w:br w:type="page"/>
      </w:r>
    </w:p>
    <w:p w:rsidR="002E502E" w:rsidRPr="0053750E" w:rsidRDefault="004326D4" w:rsidP="002E502E">
      <w:pPr>
        <w:pStyle w:val="a5"/>
        <w:spacing w:line="360" w:lineRule="auto"/>
        <w:rPr>
          <w:rFonts w:ascii="Book Antiqua" w:hAnsi="Book Antiqua"/>
          <w:szCs w:val="24"/>
          <w:lang w:val="en-US"/>
        </w:rPr>
      </w:pPr>
      <w:r w:rsidRPr="0053750E">
        <w:rPr>
          <w:rFonts w:ascii="Book Antiqua" w:hAnsi="Book Antiqua"/>
          <w:iCs w:val="0"/>
          <w:szCs w:val="24"/>
          <w:lang w:val="en-US"/>
        </w:rPr>
        <w:lastRenderedPageBreak/>
        <w:t xml:space="preserve">Table 2 </w:t>
      </w:r>
      <w:r w:rsidR="002E502E" w:rsidRPr="0053750E">
        <w:rPr>
          <w:rFonts w:ascii="Book Antiqua" w:hAnsi="Book Antiqua"/>
          <w:iCs w:val="0"/>
          <w:szCs w:val="24"/>
          <w:lang w:val="en-US"/>
        </w:rPr>
        <w:t xml:space="preserve">General characteristics and </w:t>
      </w:r>
      <w:r w:rsidR="001A2A5D" w:rsidRPr="001A2A5D">
        <w:rPr>
          <w:rFonts w:ascii="Book Antiqua" w:hAnsi="Book Antiqua"/>
          <w:iCs w:val="0"/>
          <w:szCs w:val="24"/>
          <w:lang w:val="en-US"/>
        </w:rPr>
        <w:t xml:space="preserve">adenosine deaminase </w:t>
      </w:r>
      <w:r w:rsidR="002E502E" w:rsidRPr="0053750E">
        <w:rPr>
          <w:rFonts w:ascii="Book Antiqua" w:hAnsi="Book Antiqua"/>
          <w:iCs w:val="0"/>
          <w:szCs w:val="24"/>
          <w:lang w:val="en-US"/>
        </w:rPr>
        <w:t>levels of the study population</w:t>
      </w:r>
    </w:p>
    <w:tbl>
      <w:tblPr>
        <w:tblStyle w:val="DzTablo51"/>
        <w:tblW w:w="5000" w:type="pct"/>
        <w:jc w:val="center"/>
        <w:shd w:val="clear" w:color="auto" w:fill="FFFFFF"/>
        <w:tblLook w:val="04A0" w:firstRow="1" w:lastRow="0" w:firstColumn="1" w:lastColumn="0" w:noHBand="0" w:noVBand="1"/>
      </w:tblPr>
      <w:tblGrid>
        <w:gridCol w:w="2954"/>
        <w:gridCol w:w="2498"/>
        <w:gridCol w:w="2675"/>
        <w:gridCol w:w="1161"/>
      </w:tblGrid>
      <w:tr w:rsidR="002E502E" w:rsidRPr="0053750E" w:rsidTr="004326D4">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auto"/>
              <w:bottom w:val="single" w:sz="4" w:space="0" w:color="auto"/>
              <w:right w:val="none" w:sz="0" w:space="0" w:color="auto"/>
            </w:tcBorders>
            <w:vAlign w:val="center"/>
          </w:tcPr>
          <w:p w:rsidR="002E502E" w:rsidRPr="0053750E" w:rsidRDefault="002E502E" w:rsidP="00521162">
            <w:pPr>
              <w:jc w:val="center"/>
              <w:rPr>
                <w:rFonts w:ascii="Book Antiqua" w:hAnsi="Book Antiqua"/>
                <w:b/>
                <w:i w:val="0"/>
                <w:szCs w:val="24"/>
                <w:lang w:val="en-US"/>
              </w:rPr>
            </w:pPr>
          </w:p>
        </w:tc>
        <w:tc>
          <w:tcPr>
            <w:tcW w:w="1345" w:type="pct"/>
            <w:tcBorders>
              <w:top w:val="single" w:sz="4" w:space="0" w:color="auto"/>
              <w:bottom w:val="single" w:sz="4" w:space="0" w:color="auto"/>
            </w:tcBorders>
            <w:vAlign w:val="center"/>
          </w:tcPr>
          <w:p w:rsidR="002E502E" w:rsidRPr="0053750E" w:rsidRDefault="002E502E" w:rsidP="004326D4">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lang w:val="en-US"/>
              </w:rPr>
            </w:pPr>
            <w:r w:rsidRPr="0053750E">
              <w:rPr>
                <w:rFonts w:ascii="Book Antiqua" w:hAnsi="Book Antiqua"/>
                <w:b/>
                <w:i w:val="0"/>
                <w:szCs w:val="24"/>
                <w:lang w:val="en-US"/>
              </w:rPr>
              <w:t>AIH (</w:t>
            </w:r>
            <w:r w:rsidRPr="0053750E">
              <w:rPr>
                <w:rFonts w:ascii="Book Antiqua" w:hAnsi="Book Antiqua"/>
                <w:b/>
                <w:szCs w:val="24"/>
                <w:lang w:val="en-US"/>
              </w:rPr>
              <w:t>n</w:t>
            </w:r>
            <w:r w:rsidR="004326D4" w:rsidRPr="0053750E">
              <w:rPr>
                <w:rFonts w:ascii="Book Antiqua" w:hAnsi="Book Antiqua"/>
                <w:b/>
                <w:i w:val="0"/>
                <w:szCs w:val="24"/>
                <w:lang w:val="en-US"/>
              </w:rPr>
              <w:t xml:space="preserve"> = </w:t>
            </w:r>
            <w:r w:rsidRPr="0053750E">
              <w:rPr>
                <w:rFonts w:ascii="Book Antiqua" w:hAnsi="Book Antiqua"/>
                <w:b/>
                <w:i w:val="0"/>
                <w:szCs w:val="24"/>
                <w:lang w:val="en-US"/>
              </w:rPr>
              <w:t>52)</w:t>
            </w:r>
          </w:p>
        </w:tc>
        <w:tc>
          <w:tcPr>
            <w:tcW w:w="1440" w:type="pct"/>
            <w:tcBorders>
              <w:top w:val="single" w:sz="4" w:space="0" w:color="auto"/>
              <w:bottom w:val="single" w:sz="4" w:space="0" w:color="auto"/>
            </w:tcBorders>
            <w:vAlign w:val="center"/>
          </w:tcPr>
          <w:p w:rsidR="002E502E" w:rsidRPr="0053750E" w:rsidRDefault="002E502E" w:rsidP="004326D4">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lang w:val="en-US"/>
              </w:rPr>
            </w:pPr>
            <w:r w:rsidRPr="0053750E">
              <w:rPr>
                <w:rFonts w:ascii="Book Antiqua" w:hAnsi="Book Antiqua"/>
                <w:b/>
                <w:i w:val="0"/>
                <w:szCs w:val="24"/>
                <w:lang w:val="en-US"/>
              </w:rPr>
              <w:t>Control group (</w:t>
            </w:r>
            <w:r w:rsidRPr="0053750E">
              <w:rPr>
                <w:rFonts w:ascii="Book Antiqua" w:hAnsi="Book Antiqua"/>
                <w:b/>
                <w:szCs w:val="24"/>
                <w:lang w:val="en-US"/>
              </w:rPr>
              <w:t>n</w:t>
            </w:r>
            <w:r w:rsidR="004326D4" w:rsidRPr="0053750E">
              <w:rPr>
                <w:rFonts w:ascii="Book Antiqua" w:hAnsi="Book Antiqua"/>
                <w:b/>
                <w:i w:val="0"/>
                <w:szCs w:val="24"/>
                <w:lang w:val="en-US"/>
              </w:rPr>
              <w:t xml:space="preserve"> = </w:t>
            </w:r>
            <w:r w:rsidRPr="0053750E">
              <w:rPr>
                <w:rFonts w:ascii="Book Antiqua" w:hAnsi="Book Antiqua"/>
                <w:b/>
                <w:i w:val="0"/>
                <w:szCs w:val="24"/>
                <w:lang w:val="en-US"/>
              </w:rPr>
              <w:t>28)</w:t>
            </w:r>
          </w:p>
        </w:tc>
        <w:tc>
          <w:tcPr>
            <w:tcW w:w="626" w:type="pct"/>
            <w:tcBorders>
              <w:top w:val="single" w:sz="4" w:space="0" w:color="auto"/>
              <w:bottom w:val="single" w:sz="4" w:space="0" w:color="auto"/>
            </w:tcBorders>
            <w:vAlign w:val="center"/>
          </w:tcPr>
          <w:p w:rsidR="002E502E" w:rsidRPr="0053750E" w:rsidRDefault="00131174" w:rsidP="004326D4">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lang w:val="en-US"/>
              </w:rPr>
            </w:pPr>
            <w:r w:rsidRPr="0053750E">
              <w:rPr>
                <w:rFonts w:ascii="Book Antiqua" w:hAnsi="Book Antiqua"/>
                <w:b/>
                <w:szCs w:val="24"/>
                <w:lang w:val="en-US"/>
              </w:rPr>
              <w:t>P</w:t>
            </w:r>
            <w:r w:rsidR="004326D4" w:rsidRPr="0053750E">
              <w:rPr>
                <w:rFonts w:ascii="Book Antiqua" w:hAnsi="Book Antiqua"/>
                <w:b/>
                <w:szCs w:val="24"/>
                <w:lang w:val="en-US"/>
              </w:rPr>
              <w:t xml:space="preserve"> </w:t>
            </w:r>
            <w:r w:rsidR="004326D4" w:rsidRPr="0053750E">
              <w:rPr>
                <w:rFonts w:ascii="Book Antiqua" w:hAnsi="Book Antiqua"/>
                <w:b/>
                <w:i w:val="0"/>
                <w:szCs w:val="24"/>
                <w:lang w:val="en-US"/>
              </w:rPr>
              <w:t>v</w:t>
            </w:r>
            <w:r w:rsidR="002E502E" w:rsidRPr="0053750E">
              <w:rPr>
                <w:rFonts w:ascii="Book Antiqua" w:hAnsi="Book Antiqua"/>
                <w:b/>
                <w:i w:val="0"/>
                <w:szCs w:val="24"/>
                <w:lang w:val="en-US"/>
              </w:rPr>
              <w:t>alue</w:t>
            </w:r>
          </w:p>
        </w:tc>
      </w:tr>
      <w:tr w:rsidR="002E502E" w:rsidRPr="0053750E" w:rsidTr="004326D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auto"/>
              <w:right w:val="none" w:sz="0" w:space="0" w:color="auto"/>
            </w:tcBorders>
            <w:vAlign w:val="center"/>
          </w:tcPr>
          <w:p w:rsidR="002E502E" w:rsidRPr="0053750E" w:rsidRDefault="002E502E" w:rsidP="004326D4">
            <w:pPr>
              <w:jc w:val="left"/>
              <w:rPr>
                <w:rFonts w:ascii="Book Antiqua" w:hAnsi="Book Antiqua"/>
                <w:i w:val="0"/>
                <w:szCs w:val="24"/>
                <w:lang w:val="en-US"/>
              </w:rPr>
            </w:pPr>
            <w:r w:rsidRPr="0053750E">
              <w:rPr>
                <w:rFonts w:ascii="Book Antiqua" w:hAnsi="Book Antiqua"/>
                <w:i w:val="0"/>
                <w:szCs w:val="24"/>
                <w:lang w:val="en-US"/>
              </w:rPr>
              <w:t>Age (</w:t>
            </w:r>
            <w:proofErr w:type="spellStart"/>
            <w:r w:rsidR="004326D4" w:rsidRPr="0053750E">
              <w:rPr>
                <w:rFonts w:ascii="Book Antiqua" w:hAnsi="Book Antiqua"/>
                <w:i w:val="0"/>
                <w:szCs w:val="24"/>
                <w:lang w:val="en-US"/>
              </w:rPr>
              <w:t>yr</w:t>
            </w:r>
            <w:proofErr w:type="spellEnd"/>
            <w:r w:rsidRPr="0053750E">
              <w:rPr>
                <w:rFonts w:ascii="Book Antiqua" w:hAnsi="Book Antiqua"/>
                <w:i w:val="0"/>
                <w:szCs w:val="24"/>
                <w:lang w:val="en-US"/>
              </w:rPr>
              <w:t>)</w:t>
            </w:r>
          </w:p>
        </w:tc>
        <w:tc>
          <w:tcPr>
            <w:tcW w:w="1345" w:type="pct"/>
            <w:tcBorders>
              <w:top w:val="single" w:sz="4" w:space="0" w:color="auto"/>
            </w:tcBorders>
            <w:shd w:val="clear" w:color="auto" w:fill="FFFFFF"/>
            <w:vAlign w:val="center"/>
          </w:tcPr>
          <w:p w:rsidR="002E502E" w:rsidRPr="0053750E" w:rsidRDefault="002E502E" w:rsidP="004326D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40.1 ± 12.8</w:t>
            </w:r>
          </w:p>
        </w:tc>
        <w:tc>
          <w:tcPr>
            <w:tcW w:w="1440" w:type="pct"/>
            <w:tcBorders>
              <w:top w:val="single" w:sz="4" w:space="0" w:color="auto"/>
            </w:tcBorders>
            <w:shd w:val="clear" w:color="auto" w:fill="FFFFFF"/>
            <w:vAlign w:val="center"/>
          </w:tcPr>
          <w:p w:rsidR="002E502E" w:rsidRPr="0053750E" w:rsidRDefault="002E502E" w:rsidP="004326D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45.1 ± 10.7</w:t>
            </w:r>
          </w:p>
        </w:tc>
        <w:tc>
          <w:tcPr>
            <w:tcW w:w="626" w:type="pct"/>
            <w:tcBorders>
              <w:top w:val="single" w:sz="4" w:space="0" w:color="auto"/>
            </w:tcBorders>
            <w:shd w:val="clear" w:color="auto" w:fill="FFFFFF"/>
            <w:vAlign w:val="center"/>
          </w:tcPr>
          <w:p w:rsidR="002E502E" w:rsidRPr="0053750E" w:rsidRDefault="002E502E" w:rsidP="004326D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0.080</w:t>
            </w:r>
          </w:p>
        </w:tc>
      </w:tr>
      <w:tr w:rsidR="002E502E" w:rsidRPr="0053750E" w:rsidTr="004326D4">
        <w:trPr>
          <w:trHeight w:val="425"/>
          <w:jc w:val="center"/>
        </w:trPr>
        <w:tc>
          <w:tcPr>
            <w:cnfStyle w:val="001000000000" w:firstRow="0" w:lastRow="0" w:firstColumn="1" w:lastColumn="0" w:oddVBand="0" w:evenVBand="0" w:oddHBand="0" w:evenHBand="0" w:firstRowFirstColumn="0" w:firstRowLastColumn="0" w:lastRowFirstColumn="0" w:lastRowLastColumn="0"/>
            <w:tcW w:w="1590" w:type="pct"/>
            <w:tcBorders>
              <w:right w:val="none" w:sz="0" w:space="0" w:color="auto"/>
            </w:tcBorders>
            <w:vAlign w:val="center"/>
          </w:tcPr>
          <w:p w:rsidR="002E502E" w:rsidRPr="0053750E" w:rsidRDefault="002E502E" w:rsidP="00521162">
            <w:pPr>
              <w:jc w:val="left"/>
              <w:rPr>
                <w:rFonts w:ascii="Book Antiqua" w:hAnsi="Book Antiqua"/>
                <w:i w:val="0"/>
                <w:szCs w:val="24"/>
                <w:lang w:val="en-US"/>
              </w:rPr>
            </w:pPr>
            <w:r w:rsidRPr="0053750E">
              <w:rPr>
                <w:rFonts w:ascii="Book Antiqua" w:hAnsi="Book Antiqua"/>
                <w:i w:val="0"/>
                <w:szCs w:val="24"/>
                <w:lang w:val="en-US"/>
              </w:rPr>
              <w:t>Sex (F/M)</w:t>
            </w:r>
            <w:r w:rsidR="004326D4" w:rsidRPr="0053750E">
              <w:rPr>
                <w:rFonts w:ascii="Book Antiqua" w:hAnsi="Book Antiqua"/>
                <w:i w:val="0"/>
                <w:szCs w:val="24"/>
                <w:lang w:val="en-US"/>
              </w:rPr>
              <w:t>,</w:t>
            </w:r>
            <w:r w:rsidRPr="0053750E">
              <w:rPr>
                <w:rFonts w:ascii="Book Antiqua" w:hAnsi="Book Antiqua"/>
                <w:i w:val="0"/>
                <w:szCs w:val="24"/>
                <w:lang w:val="en-US"/>
              </w:rPr>
              <w:t xml:space="preserve"> </w:t>
            </w:r>
            <w:r w:rsidRPr="0053750E">
              <w:rPr>
                <w:rFonts w:ascii="Book Antiqua" w:hAnsi="Book Antiqua"/>
                <w:szCs w:val="24"/>
                <w:lang w:val="en-US"/>
              </w:rPr>
              <w:t xml:space="preserve">n </w:t>
            </w:r>
            <w:r w:rsidRPr="0053750E">
              <w:rPr>
                <w:rFonts w:ascii="Book Antiqua" w:hAnsi="Book Antiqua"/>
                <w:i w:val="0"/>
                <w:szCs w:val="24"/>
                <w:lang w:val="en-US"/>
              </w:rPr>
              <w:t>(%)</w:t>
            </w:r>
          </w:p>
        </w:tc>
        <w:tc>
          <w:tcPr>
            <w:tcW w:w="1345" w:type="pct"/>
            <w:shd w:val="clear" w:color="auto" w:fill="FFFFFF"/>
            <w:vAlign w:val="center"/>
          </w:tcPr>
          <w:p w:rsidR="002E502E" w:rsidRPr="0053750E" w:rsidRDefault="002E502E" w:rsidP="004326D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37 (71.2) / 15 (28.8)</w:t>
            </w:r>
          </w:p>
        </w:tc>
        <w:tc>
          <w:tcPr>
            <w:tcW w:w="1440" w:type="pct"/>
            <w:shd w:val="clear" w:color="auto" w:fill="FFFFFF"/>
            <w:vAlign w:val="center"/>
          </w:tcPr>
          <w:p w:rsidR="002E502E" w:rsidRPr="0053750E" w:rsidRDefault="002E502E" w:rsidP="004326D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24 (85.7) / 4 (14.3)</w:t>
            </w:r>
          </w:p>
        </w:tc>
        <w:tc>
          <w:tcPr>
            <w:tcW w:w="626" w:type="pct"/>
            <w:shd w:val="clear" w:color="auto" w:fill="FFFFFF"/>
            <w:vAlign w:val="center"/>
          </w:tcPr>
          <w:p w:rsidR="002E502E" w:rsidRPr="0053750E" w:rsidRDefault="002E502E" w:rsidP="004326D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0.144</w:t>
            </w:r>
          </w:p>
        </w:tc>
      </w:tr>
      <w:tr w:rsidR="002E502E" w:rsidRPr="0053750E" w:rsidTr="004326D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auto"/>
              <w:right w:val="none" w:sz="0" w:space="0" w:color="auto"/>
            </w:tcBorders>
            <w:vAlign w:val="center"/>
          </w:tcPr>
          <w:p w:rsidR="002E502E" w:rsidRPr="0053750E" w:rsidRDefault="002E502E" w:rsidP="00521162">
            <w:pPr>
              <w:jc w:val="left"/>
              <w:rPr>
                <w:rFonts w:ascii="Book Antiqua" w:hAnsi="Book Antiqua"/>
                <w:i w:val="0"/>
                <w:szCs w:val="24"/>
                <w:lang w:val="en-US" w:eastAsia="tr-TR"/>
              </w:rPr>
            </w:pPr>
            <w:r w:rsidRPr="0053750E">
              <w:rPr>
                <w:rFonts w:ascii="Book Antiqua" w:hAnsi="Book Antiqua"/>
                <w:i w:val="0"/>
                <w:szCs w:val="24"/>
                <w:lang w:val="en-US" w:eastAsia="tr-TR"/>
              </w:rPr>
              <w:t>ADA level (U/L)</w:t>
            </w:r>
          </w:p>
        </w:tc>
        <w:tc>
          <w:tcPr>
            <w:tcW w:w="1345" w:type="pct"/>
            <w:tcBorders>
              <w:bottom w:val="single" w:sz="4" w:space="0" w:color="auto"/>
            </w:tcBorders>
            <w:shd w:val="clear" w:color="auto" w:fill="FFFFFF"/>
            <w:vAlign w:val="center"/>
          </w:tcPr>
          <w:p w:rsidR="002E502E" w:rsidRPr="0053750E" w:rsidRDefault="002E502E" w:rsidP="004326D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25.4 ± 9.6</w:t>
            </w:r>
          </w:p>
        </w:tc>
        <w:tc>
          <w:tcPr>
            <w:tcW w:w="1440" w:type="pct"/>
            <w:tcBorders>
              <w:bottom w:val="single" w:sz="4" w:space="0" w:color="auto"/>
            </w:tcBorders>
            <w:shd w:val="clear" w:color="auto" w:fill="FFFFFF"/>
            <w:vAlign w:val="center"/>
          </w:tcPr>
          <w:p w:rsidR="002E502E" w:rsidRPr="0053750E" w:rsidRDefault="002E502E" w:rsidP="004326D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12.8 ± 2.2</w:t>
            </w:r>
          </w:p>
        </w:tc>
        <w:tc>
          <w:tcPr>
            <w:tcW w:w="626" w:type="pct"/>
            <w:tcBorders>
              <w:bottom w:val="single" w:sz="4" w:space="0" w:color="auto"/>
            </w:tcBorders>
            <w:shd w:val="clear" w:color="auto" w:fill="FFFFFF"/>
            <w:vAlign w:val="center"/>
          </w:tcPr>
          <w:p w:rsidR="002E502E" w:rsidRPr="0053750E" w:rsidRDefault="002E502E" w:rsidP="004326D4">
            <w:pPr>
              <w:keepNext/>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&lt; 0.001</w:t>
            </w:r>
          </w:p>
        </w:tc>
      </w:tr>
    </w:tbl>
    <w:p w:rsidR="00A83FB9" w:rsidRPr="0053750E" w:rsidRDefault="002E502E" w:rsidP="00A83FB9">
      <w:pPr>
        <w:rPr>
          <w:rFonts w:ascii="Book Antiqua" w:hAnsi="Book Antiqua"/>
          <w:szCs w:val="24"/>
          <w:lang w:val="en-US"/>
        </w:rPr>
      </w:pPr>
      <w:r w:rsidRPr="0053750E">
        <w:rPr>
          <w:rFonts w:ascii="Book Antiqua" w:hAnsi="Book Antiqua"/>
          <w:szCs w:val="24"/>
          <w:lang w:val="en-US"/>
        </w:rPr>
        <w:t>AIH</w:t>
      </w:r>
      <w:r w:rsidR="00521162" w:rsidRPr="0053750E">
        <w:rPr>
          <w:rFonts w:ascii="Book Antiqua" w:hAnsi="Book Antiqua"/>
          <w:b/>
          <w:szCs w:val="24"/>
          <w:lang w:val="en-US"/>
        </w:rPr>
        <w:t>:</w:t>
      </w:r>
      <w:r w:rsidR="00991EF3" w:rsidRPr="0053750E">
        <w:rPr>
          <w:rFonts w:ascii="Book Antiqua" w:hAnsi="Book Antiqua"/>
          <w:b/>
          <w:szCs w:val="24"/>
          <w:lang w:val="en-US"/>
        </w:rPr>
        <w:t xml:space="preserve">  </w:t>
      </w:r>
      <w:r w:rsidR="004326D4" w:rsidRPr="0053750E">
        <w:rPr>
          <w:rFonts w:ascii="Book Antiqua" w:hAnsi="Book Antiqua"/>
          <w:szCs w:val="24"/>
          <w:lang w:val="en-US"/>
        </w:rPr>
        <w:t>A</w:t>
      </w:r>
      <w:r w:rsidRPr="0053750E">
        <w:rPr>
          <w:rFonts w:ascii="Book Antiqua" w:hAnsi="Book Antiqua"/>
          <w:szCs w:val="24"/>
          <w:lang w:val="en-US"/>
        </w:rPr>
        <w:t>utoimmune hepatitis</w:t>
      </w:r>
      <w:r w:rsidR="00991EF3" w:rsidRPr="0053750E">
        <w:rPr>
          <w:rFonts w:ascii="Book Antiqua" w:hAnsi="Book Antiqua"/>
          <w:szCs w:val="24"/>
          <w:lang w:val="en-US"/>
        </w:rPr>
        <w:t xml:space="preserve">; </w:t>
      </w:r>
      <w:r w:rsidRPr="0053750E">
        <w:rPr>
          <w:rFonts w:ascii="Book Antiqua" w:hAnsi="Book Antiqua"/>
          <w:szCs w:val="24"/>
          <w:lang w:val="en-US"/>
        </w:rPr>
        <w:t>ADA</w:t>
      </w:r>
      <w:r w:rsidR="00521162" w:rsidRPr="0053750E">
        <w:rPr>
          <w:rFonts w:ascii="Book Antiqua" w:hAnsi="Book Antiqua"/>
          <w:szCs w:val="24"/>
          <w:lang w:val="en-US"/>
        </w:rPr>
        <w:t xml:space="preserve">: </w:t>
      </w:r>
      <w:r w:rsidR="004326D4" w:rsidRPr="0053750E">
        <w:rPr>
          <w:rFonts w:ascii="Book Antiqua" w:hAnsi="Book Antiqua"/>
          <w:szCs w:val="24"/>
          <w:lang w:val="en-US"/>
        </w:rPr>
        <w:t>A</w:t>
      </w:r>
      <w:r w:rsidRPr="0053750E">
        <w:rPr>
          <w:rFonts w:ascii="Book Antiqua" w:hAnsi="Book Antiqua"/>
          <w:szCs w:val="24"/>
          <w:lang w:val="en-US"/>
        </w:rPr>
        <w:t>denosine deaminase</w:t>
      </w:r>
      <w:bookmarkStart w:id="78" w:name="_Toc417339251"/>
      <w:bookmarkEnd w:id="77"/>
      <w:r w:rsidR="004326D4" w:rsidRPr="0053750E">
        <w:rPr>
          <w:rFonts w:ascii="Book Antiqua" w:hAnsi="Book Antiqua"/>
          <w:szCs w:val="24"/>
          <w:lang w:val="en-US"/>
        </w:rPr>
        <w:t>.</w:t>
      </w:r>
    </w:p>
    <w:p w:rsidR="00A83FB9" w:rsidRPr="0053750E" w:rsidRDefault="00A83FB9" w:rsidP="00A83FB9">
      <w:pPr>
        <w:rPr>
          <w:rFonts w:ascii="Book Antiqua" w:hAnsi="Book Antiqua"/>
          <w:szCs w:val="24"/>
          <w:lang w:val="en-US"/>
        </w:rPr>
      </w:pPr>
    </w:p>
    <w:p w:rsidR="00A83FB9" w:rsidRPr="0053750E" w:rsidRDefault="00A83FB9" w:rsidP="00A83FB9">
      <w:pPr>
        <w:rPr>
          <w:rFonts w:ascii="Book Antiqua" w:hAnsi="Book Antiqua"/>
          <w:szCs w:val="24"/>
          <w:lang w:val="en-US"/>
        </w:rPr>
      </w:pPr>
    </w:p>
    <w:p w:rsidR="004326D4" w:rsidRPr="0053750E" w:rsidRDefault="004326D4">
      <w:pPr>
        <w:spacing w:after="160" w:line="259" w:lineRule="auto"/>
        <w:jc w:val="left"/>
        <w:rPr>
          <w:rFonts w:ascii="Book Antiqua" w:hAnsi="Book Antiqua"/>
          <w:b/>
          <w:iCs/>
          <w:szCs w:val="24"/>
          <w:lang w:val="en-US"/>
        </w:rPr>
      </w:pPr>
      <w:r w:rsidRPr="0053750E">
        <w:rPr>
          <w:rFonts w:ascii="Book Antiqua" w:hAnsi="Book Antiqua"/>
          <w:b/>
          <w:iCs/>
          <w:szCs w:val="24"/>
          <w:lang w:val="en-US"/>
        </w:rPr>
        <w:br w:type="page"/>
      </w:r>
    </w:p>
    <w:p w:rsidR="002E502E" w:rsidRPr="0053750E" w:rsidRDefault="004326D4" w:rsidP="00A83FB9">
      <w:pPr>
        <w:rPr>
          <w:rFonts w:ascii="Book Antiqua" w:hAnsi="Book Antiqua"/>
          <w:b/>
          <w:szCs w:val="24"/>
          <w:lang w:val="en-US"/>
        </w:rPr>
      </w:pPr>
      <w:r w:rsidRPr="0053750E">
        <w:rPr>
          <w:rFonts w:ascii="Book Antiqua" w:hAnsi="Book Antiqua"/>
          <w:b/>
          <w:iCs/>
          <w:szCs w:val="24"/>
          <w:lang w:val="en-US"/>
        </w:rPr>
        <w:lastRenderedPageBreak/>
        <w:t>Table 3</w:t>
      </w:r>
      <w:r w:rsidR="002E502E" w:rsidRPr="0053750E">
        <w:rPr>
          <w:rFonts w:ascii="Book Antiqua" w:hAnsi="Book Antiqua"/>
          <w:b/>
          <w:iCs/>
          <w:szCs w:val="24"/>
          <w:lang w:val="en-US"/>
        </w:rPr>
        <w:t xml:space="preserve"> General features and laboratory findings of </w:t>
      </w:r>
      <w:r w:rsidR="00991EF3" w:rsidRPr="0053750E">
        <w:rPr>
          <w:rFonts w:ascii="Book Antiqua" w:hAnsi="Book Antiqua"/>
          <w:b/>
          <w:szCs w:val="24"/>
          <w:lang w:val="en-US"/>
        </w:rPr>
        <w:t>autoimmune hepatitis</w:t>
      </w:r>
      <w:r w:rsidR="00991EF3" w:rsidRPr="0053750E">
        <w:rPr>
          <w:rFonts w:ascii="Book Antiqua" w:hAnsi="Book Antiqua"/>
          <w:b/>
          <w:iCs/>
          <w:szCs w:val="24"/>
          <w:lang w:val="en-US"/>
        </w:rPr>
        <w:t xml:space="preserve"> </w:t>
      </w:r>
      <w:r w:rsidR="002E502E" w:rsidRPr="0053750E">
        <w:rPr>
          <w:rFonts w:ascii="Book Antiqua" w:hAnsi="Book Antiqua"/>
          <w:b/>
          <w:iCs/>
          <w:szCs w:val="24"/>
          <w:lang w:val="en-US"/>
        </w:rPr>
        <w:t>patients according to inflammatory activity</w:t>
      </w:r>
      <w:bookmarkEnd w:id="78"/>
    </w:p>
    <w:tbl>
      <w:tblPr>
        <w:tblStyle w:val="DzTablo511"/>
        <w:tblW w:w="5000" w:type="pct"/>
        <w:shd w:val="clear" w:color="auto" w:fill="FFFFFF"/>
        <w:tblLayout w:type="fixed"/>
        <w:tblLook w:val="04A0" w:firstRow="1" w:lastRow="0" w:firstColumn="1" w:lastColumn="0" w:noHBand="0" w:noVBand="1"/>
      </w:tblPr>
      <w:tblGrid>
        <w:gridCol w:w="2519"/>
        <w:gridCol w:w="1702"/>
        <w:gridCol w:w="2164"/>
        <w:gridCol w:w="1742"/>
        <w:gridCol w:w="1161"/>
      </w:tblGrid>
      <w:tr w:rsidR="002E502E" w:rsidRPr="0053750E" w:rsidTr="004326D4">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356" w:type="pct"/>
            <w:tcBorders>
              <w:top w:val="single" w:sz="4" w:space="0" w:color="auto"/>
              <w:bottom w:val="none" w:sz="0" w:space="0" w:color="auto"/>
              <w:right w:val="none" w:sz="0" w:space="0" w:color="auto"/>
            </w:tcBorders>
          </w:tcPr>
          <w:p w:rsidR="002E502E" w:rsidRPr="0053750E" w:rsidRDefault="002E502E" w:rsidP="00521162">
            <w:pPr>
              <w:jc w:val="left"/>
              <w:rPr>
                <w:rFonts w:ascii="Book Antiqua" w:hAnsi="Book Antiqua"/>
                <w:b/>
                <w:i w:val="0"/>
                <w:szCs w:val="24"/>
                <w:lang w:val="en-US"/>
              </w:rPr>
            </w:pPr>
          </w:p>
        </w:tc>
        <w:tc>
          <w:tcPr>
            <w:tcW w:w="3019" w:type="pct"/>
            <w:gridSpan w:val="3"/>
            <w:tcBorders>
              <w:top w:val="single" w:sz="4" w:space="0" w:color="auto"/>
              <w:bottom w:val="none" w:sz="0" w:space="0" w:color="auto"/>
            </w:tcBorders>
          </w:tcPr>
          <w:p w:rsidR="002E502E" w:rsidRPr="0053750E" w:rsidRDefault="002E502E" w:rsidP="004326D4">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lang w:val="en-US"/>
              </w:rPr>
            </w:pPr>
            <w:r w:rsidRPr="0053750E">
              <w:rPr>
                <w:rFonts w:ascii="Book Antiqua" w:hAnsi="Book Antiqua"/>
                <w:b/>
                <w:i w:val="0"/>
                <w:szCs w:val="24"/>
                <w:lang w:val="en-US"/>
              </w:rPr>
              <w:t xml:space="preserve">Interface </w:t>
            </w:r>
            <w:r w:rsidR="004326D4" w:rsidRPr="0053750E">
              <w:rPr>
                <w:rFonts w:ascii="Book Antiqua" w:hAnsi="Book Antiqua"/>
                <w:b/>
                <w:i w:val="0"/>
                <w:szCs w:val="24"/>
                <w:lang w:val="en-US"/>
              </w:rPr>
              <w:t>h</w:t>
            </w:r>
            <w:r w:rsidRPr="0053750E">
              <w:rPr>
                <w:rFonts w:ascii="Book Antiqua" w:hAnsi="Book Antiqua"/>
                <w:b/>
                <w:i w:val="0"/>
                <w:szCs w:val="24"/>
                <w:lang w:val="en-US"/>
              </w:rPr>
              <w:t>epatitis</w:t>
            </w:r>
          </w:p>
        </w:tc>
        <w:tc>
          <w:tcPr>
            <w:tcW w:w="625" w:type="pct"/>
            <w:tcBorders>
              <w:top w:val="single" w:sz="4" w:space="0" w:color="auto"/>
              <w:bottom w:val="none" w:sz="0" w:space="0" w:color="auto"/>
            </w:tcBorders>
          </w:tcPr>
          <w:p w:rsidR="002E502E" w:rsidRPr="0053750E" w:rsidRDefault="002E502E" w:rsidP="00521162">
            <w:pPr>
              <w:cnfStyle w:val="100000000000" w:firstRow="1" w:lastRow="0" w:firstColumn="0" w:lastColumn="0" w:oddVBand="0" w:evenVBand="0" w:oddHBand="0" w:evenHBand="0" w:firstRowFirstColumn="0" w:firstRowLastColumn="0" w:lastRowFirstColumn="0" w:lastRowLastColumn="0"/>
              <w:rPr>
                <w:rFonts w:ascii="Book Antiqua" w:hAnsi="Book Antiqua"/>
                <w:b/>
                <w:i w:val="0"/>
                <w:szCs w:val="24"/>
                <w:lang w:val="en-US"/>
              </w:rPr>
            </w:pPr>
          </w:p>
        </w:tc>
      </w:tr>
      <w:tr w:rsidR="00131174" w:rsidRPr="0053750E" w:rsidTr="004326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56" w:type="pct"/>
            <w:tcBorders>
              <w:bottom w:val="single" w:sz="4" w:space="0" w:color="auto"/>
              <w:right w:val="none" w:sz="0" w:space="0" w:color="auto"/>
            </w:tcBorders>
            <w:shd w:val="clear" w:color="auto" w:fill="FFFFFF" w:themeFill="background1"/>
          </w:tcPr>
          <w:p w:rsidR="002E502E" w:rsidRPr="0053750E" w:rsidRDefault="002E502E" w:rsidP="00521162">
            <w:pPr>
              <w:rPr>
                <w:rFonts w:ascii="Book Antiqua" w:hAnsi="Book Antiqua"/>
                <w:b/>
                <w:i w:val="0"/>
                <w:szCs w:val="24"/>
                <w:lang w:val="en-US"/>
              </w:rPr>
            </w:pPr>
          </w:p>
        </w:tc>
        <w:tc>
          <w:tcPr>
            <w:tcW w:w="916" w:type="pct"/>
            <w:tcBorders>
              <w:bottom w:val="single" w:sz="4" w:space="0" w:color="auto"/>
            </w:tcBorders>
            <w:shd w:val="clear" w:color="auto" w:fill="FFFFFF" w:themeFill="background1"/>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Mild</w:t>
            </w:r>
            <w:r w:rsidR="00991EF3" w:rsidRPr="0053750E">
              <w:rPr>
                <w:rFonts w:ascii="Book Antiqua" w:hAnsi="Book Antiqua"/>
                <w:b/>
                <w:szCs w:val="24"/>
                <w:lang w:val="en-US"/>
              </w:rPr>
              <w:t xml:space="preserve">  </w:t>
            </w:r>
            <w:r w:rsidRPr="0053750E">
              <w:rPr>
                <w:rFonts w:ascii="Book Antiqua" w:hAnsi="Book Antiqua"/>
                <w:b/>
                <w:szCs w:val="24"/>
                <w:lang w:val="en-US"/>
              </w:rPr>
              <w:t>(</w:t>
            </w:r>
            <w:r w:rsidRPr="0053750E">
              <w:rPr>
                <w:rFonts w:ascii="Book Antiqua" w:hAnsi="Book Antiqua"/>
                <w:b/>
                <w:i/>
                <w:szCs w:val="24"/>
                <w:lang w:val="en-US"/>
              </w:rPr>
              <w:t>n</w:t>
            </w:r>
            <w:r w:rsidR="004326D4" w:rsidRPr="0053750E">
              <w:rPr>
                <w:rFonts w:ascii="Book Antiqua" w:hAnsi="Book Antiqua"/>
                <w:b/>
                <w:szCs w:val="24"/>
                <w:lang w:val="en-US"/>
              </w:rPr>
              <w:t xml:space="preserve"> = </w:t>
            </w:r>
            <w:r w:rsidRPr="0053750E">
              <w:rPr>
                <w:rFonts w:ascii="Book Antiqua" w:hAnsi="Book Antiqua"/>
                <w:b/>
                <w:szCs w:val="24"/>
                <w:lang w:val="en-US"/>
              </w:rPr>
              <w:t>9)</w:t>
            </w:r>
          </w:p>
        </w:tc>
        <w:tc>
          <w:tcPr>
            <w:tcW w:w="1165" w:type="pct"/>
            <w:tcBorders>
              <w:bottom w:val="single" w:sz="4" w:space="0" w:color="auto"/>
            </w:tcBorders>
            <w:shd w:val="clear" w:color="auto" w:fill="FFFFFF" w:themeFill="background1"/>
          </w:tcPr>
          <w:p w:rsidR="002E502E" w:rsidRPr="0053750E" w:rsidRDefault="00131174"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 xml:space="preserve">Moderate </w:t>
            </w:r>
            <w:r w:rsidR="002E502E" w:rsidRPr="0053750E">
              <w:rPr>
                <w:rFonts w:ascii="Book Antiqua" w:hAnsi="Book Antiqua"/>
                <w:b/>
                <w:szCs w:val="24"/>
                <w:lang w:val="en-US"/>
              </w:rPr>
              <w:t>(</w:t>
            </w:r>
            <w:r w:rsidR="002E502E" w:rsidRPr="0053750E">
              <w:rPr>
                <w:rFonts w:ascii="Book Antiqua" w:hAnsi="Book Antiqua"/>
                <w:b/>
                <w:i/>
                <w:szCs w:val="24"/>
                <w:lang w:val="en-US"/>
              </w:rPr>
              <w:t>n</w:t>
            </w:r>
            <w:r w:rsidR="004326D4" w:rsidRPr="0053750E">
              <w:rPr>
                <w:rFonts w:ascii="Book Antiqua" w:hAnsi="Book Antiqua"/>
                <w:b/>
                <w:szCs w:val="24"/>
                <w:lang w:val="en-US"/>
              </w:rPr>
              <w:t xml:space="preserve"> = </w:t>
            </w:r>
            <w:r w:rsidR="002E502E" w:rsidRPr="0053750E">
              <w:rPr>
                <w:rFonts w:ascii="Book Antiqua" w:hAnsi="Book Antiqua"/>
                <w:b/>
                <w:szCs w:val="24"/>
                <w:lang w:val="en-US"/>
              </w:rPr>
              <w:t>18)</w:t>
            </w:r>
          </w:p>
        </w:tc>
        <w:tc>
          <w:tcPr>
            <w:tcW w:w="938" w:type="pct"/>
            <w:tcBorders>
              <w:bottom w:val="single" w:sz="4" w:space="0" w:color="auto"/>
            </w:tcBorders>
            <w:shd w:val="clear" w:color="auto" w:fill="FFFFFF" w:themeFill="background1"/>
          </w:tcPr>
          <w:p w:rsidR="002E502E" w:rsidRPr="0053750E" w:rsidRDefault="002E502E" w:rsidP="005211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Severe (</w:t>
            </w:r>
            <w:r w:rsidRPr="0053750E">
              <w:rPr>
                <w:rFonts w:ascii="Book Antiqua" w:hAnsi="Book Antiqua"/>
                <w:b/>
                <w:i/>
                <w:szCs w:val="24"/>
                <w:lang w:val="en-US"/>
              </w:rPr>
              <w:t>n</w:t>
            </w:r>
            <w:r w:rsidR="004326D4" w:rsidRPr="0053750E">
              <w:rPr>
                <w:rFonts w:ascii="Book Antiqua" w:hAnsi="Book Antiqua"/>
                <w:b/>
                <w:szCs w:val="24"/>
                <w:lang w:val="en-US"/>
              </w:rPr>
              <w:t xml:space="preserve"> = </w:t>
            </w:r>
            <w:r w:rsidRPr="0053750E">
              <w:rPr>
                <w:rFonts w:ascii="Book Antiqua" w:hAnsi="Book Antiqua"/>
                <w:b/>
                <w:szCs w:val="24"/>
                <w:lang w:val="en-US"/>
              </w:rPr>
              <w:t>25)</w:t>
            </w:r>
          </w:p>
        </w:tc>
        <w:tc>
          <w:tcPr>
            <w:tcW w:w="625" w:type="pct"/>
            <w:tcBorders>
              <w:bottom w:val="single" w:sz="4" w:space="0" w:color="auto"/>
            </w:tcBorders>
            <w:shd w:val="clear" w:color="auto" w:fill="FFFFFF" w:themeFill="background1"/>
          </w:tcPr>
          <w:p w:rsidR="002E502E" w:rsidRPr="0053750E" w:rsidRDefault="004326D4" w:rsidP="00521162">
            <w:pPr>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i/>
                <w:szCs w:val="24"/>
                <w:lang w:val="en-US"/>
              </w:rPr>
              <w:t>P</w:t>
            </w:r>
            <w:r w:rsidRPr="0053750E">
              <w:rPr>
                <w:rFonts w:ascii="Book Antiqua" w:hAnsi="Book Antiqua"/>
                <w:b/>
                <w:szCs w:val="24"/>
                <w:lang w:val="en-US"/>
              </w:rPr>
              <w:t xml:space="preserve"> v</w:t>
            </w:r>
            <w:r w:rsidR="002E502E" w:rsidRPr="0053750E">
              <w:rPr>
                <w:rFonts w:ascii="Book Antiqua" w:hAnsi="Book Antiqua"/>
                <w:b/>
                <w:szCs w:val="24"/>
                <w:lang w:val="en-US"/>
              </w:rPr>
              <w:t>alue</w:t>
            </w:r>
          </w:p>
        </w:tc>
      </w:tr>
      <w:tr w:rsidR="00131174" w:rsidRPr="0053750E" w:rsidTr="004326D4">
        <w:trPr>
          <w:trHeight w:val="425"/>
        </w:trPr>
        <w:tc>
          <w:tcPr>
            <w:cnfStyle w:val="001000000000" w:firstRow="0" w:lastRow="0" w:firstColumn="1" w:lastColumn="0" w:oddVBand="0" w:evenVBand="0" w:oddHBand="0" w:evenHBand="0" w:firstRowFirstColumn="0" w:firstRowLastColumn="0" w:lastRowFirstColumn="0" w:lastRowLastColumn="0"/>
            <w:tcW w:w="1356" w:type="pct"/>
            <w:tcBorders>
              <w:top w:val="single" w:sz="4" w:space="0" w:color="auto"/>
              <w:right w:val="none" w:sz="0" w:space="0" w:color="auto"/>
            </w:tcBorders>
          </w:tcPr>
          <w:p w:rsidR="002E502E" w:rsidRPr="0053750E" w:rsidRDefault="002E502E" w:rsidP="00521162">
            <w:pPr>
              <w:jc w:val="left"/>
              <w:rPr>
                <w:rFonts w:ascii="Book Antiqua" w:hAnsi="Book Antiqua"/>
                <w:i w:val="0"/>
                <w:szCs w:val="24"/>
                <w:lang w:val="en-US"/>
              </w:rPr>
            </w:pPr>
            <w:r w:rsidRPr="0053750E">
              <w:rPr>
                <w:rFonts w:ascii="Book Antiqua" w:hAnsi="Book Antiqua"/>
                <w:i w:val="0"/>
                <w:szCs w:val="24"/>
                <w:lang w:val="en-US"/>
              </w:rPr>
              <w:t>Age</w:t>
            </w:r>
          </w:p>
        </w:tc>
        <w:tc>
          <w:tcPr>
            <w:tcW w:w="916" w:type="pct"/>
            <w:tcBorders>
              <w:top w:val="single" w:sz="4" w:space="0" w:color="auto"/>
            </w:tcBorders>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39.3 ± 14.5</w:t>
            </w:r>
          </w:p>
        </w:tc>
        <w:tc>
          <w:tcPr>
            <w:tcW w:w="1165" w:type="pct"/>
            <w:tcBorders>
              <w:top w:val="single" w:sz="4" w:space="0" w:color="auto"/>
            </w:tcBorders>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41.1 ± 11.0</w:t>
            </w:r>
          </w:p>
        </w:tc>
        <w:tc>
          <w:tcPr>
            <w:tcW w:w="938" w:type="pct"/>
            <w:tcBorders>
              <w:top w:val="single" w:sz="4" w:space="0" w:color="auto"/>
            </w:tcBorders>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39.7 ± 13.9</w:t>
            </w:r>
          </w:p>
        </w:tc>
        <w:tc>
          <w:tcPr>
            <w:tcW w:w="625" w:type="pct"/>
            <w:tcBorders>
              <w:top w:val="single" w:sz="4" w:space="0" w:color="auto"/>
            </w:tcBorders>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0.927</w:t>
            </w:r>
          </w:p>
        </w:tc>
      </w:tr>
      <w:tr w:rsidR="00131174" w:rsidRPr="0053750E" w:rsidTr="004326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56" w:type="pct"/>
            <w:tcBorders>
              <w:right w:val="none" w:sz="0" w:space="0" w:color="auto"/>
            </w:tcBorders>
          </w:tcPr>
          <w:p w:rsidR="002E502E" w:rsidRPr="0053750E" w:rsidRDefault="002E502E" w:rsidP="00521162">
            <w:pPr>
              <w:jc w:val="left"/>
              <w:rPr>
                <w:rFonts w:ascii="Book Antiqua" w:hAnsi="Book Antiqua"/>
                <w:i w:val="0"/>
                <w:szCs w:val="24"/>
                <w:lang w:val="en-US"/>
              </w:rPr>
            </w:pPr>
            <w:r w:rsidRPr="0053750E">
              <w:rPr>
                <w:rFonts w:ascii="Book Antiqua" w:hAnsi="Book Antiqua"/>
                <w:i w:val="0"/>
                <w:szCs w:val="24"/>
                <w:lang w:val="en-US"/>
              </w:rPr>
              <w:t>Sex (F/M)</w:t>
            </w:r>
          </w:p>
        </w:tc>
        <w:tc>
          <w:tcPr>
            <w:tcW w:w="916"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6/3</w:t>
            </w:r>
          </w:p>
        </w:tc>
        <w:tc>
          <w:tcPr>
            <w:tcW w:w="1165"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12/6</w:t>
            </w:r>
          </w:p>
        </w:tc>
        <w:tc>
          <w:tcPr>
            <w:tcW w:w="938"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19/6</w:t>
            </w:r>
          </w:p>
        </w:tc>
        <w:tc>
          <w:tcPr>
            <w:tcW w:w="625"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0.759</w:t>
            </w:r>
          </w:p>
        </w:tc>
      </w:tr>
      <w:tr w:rsidR="00131174" w:rsidRPr="0053750E" w:rsidTr="004326D4">
        <w:trPr>
          <w:trHeight w:val="425"/>
        </w:trPr>
        <w:tc>
          <w:tcPr>
            <w:cnfStyle w:val="001000000000" w:firstRow="0" w:lastRow="0" w:firstColumn="1" w:lastColumn="0" w:oddVBand="0" w:evenVBand="0" w:oddHBand="0" w:evenHBand="0" w:firstRowFirstColumn="0" w:firstRowLastColumn="0" w:lastRowFirstColumn="0" w:lastRowLastColumn="0"/>
            <w:tcW w:w="1356" w:type="pct"/>
            <w:tcBorders>
              <w:right w:val="none" w:sz="0" w:space="0" w:color="auto"/>
            </w:tcBorders>
          </w:tcPr>
          <w:p w:rsidR="002E502E" w:rsidRPr="0053750E" w:rsidRDefault="002E502E" w:rsidP="004326D4">
            <w:pPr>
              <w:jc w:val="left"/>
              <w:rPr>
                <w:rFonts w:ascii="Book Antiqua" w:hAnsi="Book Antiqua"/>
                <w:i w:val="0"/>
                <w:szCs w:val="24"/>
                <w:lang w:val="en-US"/>
              </w:rPr>
            </w:pPr>
            <w:r w:rsidRPr="0053750E">
              <w:rPr>
                <w:rFonts w:ascii="Book Antiqua" w:hAnsi="Book Antiqua"/>
                <w:i w:val="0"/>
                <w:szCs w:val="24"/>
                <w:lang w:val="en-US"/>
              </w:rPr>
              <w:t>ALT (</w:t>
            </w:r>
            <w:r w:rsidR="004326D4" w:rsidRPr="0053750E">
              <w:rPr>
                <w:rFonts w:ascii="Book Antiqua" w:eastAsia="宋体" w:hAnsi="Book Antiqua"/>
                <w:i w:val="0"/>
                <w:szCs w:val="24"/>
                <w:lang w:val="en-US"/>
              </w:rPr>
              <w:t>×</w:t>
            </w:r>
            <w:r w:rsidR="004326D4" w:rsidRPr="0053750E">
              <w:rPr>
                <w:rFonts w:ascii="Book Antiqua" w:hAnsi="Book Antiqua"/>
                <w:i w:val="0"/>
                <w:szCs w:val="24"/>
                <w:lang w:val="en-US"/>
              </w:rPr>
              <w:t xml:space="preserve"> </w:t>
            </w:r>
            <w:r w:rsidRPr="0053750E">
              <w:rPr>
                <w:rFonts w:ascii="Book Antiqua" w:hAnsi="Book Antiqua"/>
                <w:i w:val="0"/>
                <w:szCs w:val="24"/>
                <w:lang w:val="en-US"/>
              </w:rPr>
              <w:t>ULN)</w:t>
            </w:r>
          </w:p>
        </w:tc>
        <w:tc>
          <w:tcPr>
            <w:tcW w:w="916"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3.9 (IQR</w:t>
            </w:r>
            <w:r w:rsidR="004326D4" w:rsidRPr="0053750E">
              <w:rPr>
                <w:rFonts w:ascii="Book Antiqua" w:hAnsi="Book Antiqua"/>
                <w:szCs w:val="24"/>
                <w:lang w:val="en-US"/>
              </w:rPr>
              <w:t xml:space="preserve"> = </w:t>
            </w:r>
            <w:r w:rsidRPr="0053750E">
              <w:rPr>
                <w:rFonts w:ascii="Book Antiqua" w:hAnsi="Book Antiqua"/>
                <w:szCs w:val="24"/>
                <w:lang w:val="en-US"/>
              </w:rPr>
              <w:t>1,6)</w:t>
            </w:r>
          </w:p>
        </w:tc>
        <w:tc>
          <w:tcPr>
            <w:tcW w:w="1165"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7.3 (IQR</w:t>
            </w:r>
            <w:r w:rsidR="004326D4" w:rsidRPr="0053750E">
              <w:rPr>
                <w:rFonts w:ascii="Book Antiqua" w:hAnsi="Book Antiqua"/>
                <w:szCs w:val="24"/>
                <w:lang w:val="en-US"/>
              </w:rPr>
              <w:t xml:space="preserve"> = </w:t>
            </w:r>
            <w:r w:rsidRPr="0053750E">
              <w:rPr>
                <w:rFonts w:ascii="Book Antiqua" w:hAnsi="Book Antiqua"/>
                <w:szCs w:val="24"/>
                <w:lang w:val="en-US"/>
              </w:rPr>
              <w:t>11.3)</w:t>
            </w:r>
          </w:p>
        </w:tc>
        <w:tc>
          <w:tcPr>
            <w:tcW w:w="938"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10.9 (IQR</w:t>
            </w:r>
            <w:r w:rsidR="004326D4" w:rsidRPr="0053750E">
              <w:rPr>
                <w:rFonts w:ascii="Book Antiqua" w:hAnsi="Book Antiqua"/>
                <w:szCs w:val="24"/>
                <w:lang w:val="en-US"/>
              </w:rPr>
              <w:t xml:space="preserve"> = </w:t>
            </w:r>
            <w:r w:rsidRPr="0053750E">
              <w:rPr>
                <w:rFonts w:ascii="Book Antiqua" w:hAnsi="Book Antiqua"/>
                <w:szCs w:val="24"/>
                <w:lang w:val="en-US"/>
              </w:rPr>
              <w:t>12)</w:t>
            </w:r>
          </w:p>
        </w:tc>
        <w:tc>
          <w:tcPr>
            <w:tcW w:w="625"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0.032</w:t>
            </w:r>
          </w:p>
        </w:tc>
      </w:tr>
      <w:tr w:rsidR="00131174" w:rsidRPr="0053750E" w:rsidTr="004326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56" w:type="pct"/>
            <w:tcBorders>
              <w:right w:val="none" w:sz="0" w:space="0" w:color="auto"/>
            </w:tcBorders>
          </w:tcPr>
          <w:p w:rsidR="002E502E" w:rsidRPr="0053750E" w:rsidRDefault="002E502E" w:rsidP="004326D4">
            <w:pPr>
              <w:jc w:val="left"/>
              <w:rPr>
                <w:rFonts w:ascii="Book Antiqua" w:hAnsi="Book Antiqua"/>
                <w:i w:val="0"/>
                <w:szCs w:val="24"/>
                <w:lang w:val="en-US" w:eastAsia="tr-TR"/>
              </w:rPr>
            </w:pPr>
            <w:r w:rsidRPr="0053750E">
              <w:rPr>
                <w:rFonts w:ascii="Book Antiqua" w:hAnsi="Book Antiqua"/>
                <w:i w:val="0"/>
                <w:szCs w:val="24"/>
                <w:lang w:val="en-US" w:eastAsia="tr-TR"/>
              </w:rPr>
              <w:t>Serum IgG (gr/</w:t>
            </w:r>
            <w:proofErr w:type="spellStart"/>
            <w:r w:rsidRPr="0053750E">
              <w:rPr>
                <w:rFonts w:ascii="Book Antiqua" w:hAnsi="Book Antiqua"/>
                <w:i w:val="0"/>
                <w:szCs w:val="24"/>
                <w:lang w:val="en-US" w:eastAsia="tr-TR"/>
              </w:rPr>
              <w:t>d</w:t>
            </w:r>
            <w:r w:rsidR="004326D4" w:rsidRPr="0053750E">
              <w:rPr>
                <w:rFonts w:ascii="Book Antiqua" w:hAnsi="Book Antiqua"/>
                <w:i w:val="0"/>
                <w:szCs w:val="24"/>
                <w:lang w:val="en-US" w:eastAsia="tr-TR"/>
              </w:rPr>
              <w:t>L</w:t>
            </w:r>
            <w:proofErr w:type="spellEnd"/>
            <w:r w:rsidRPr="0053750E">
              <w:rPr>
                <w:rFonts w:ascii="Book Antiqua" w:hAnsi="Book Antiqua"/>
                <w:i w:val="0"/>
                <w:szCs w:val="24"/>
                <w:lang w:val="en-US" w:eastAsia="tr-TR"/>
              </w:rPr>
              <w:t>)</w:t>
            </w:r>
          </w:p>
        </w:tc>
        <w:tc>
          <w:tcPr>
            <w:tcW w:w="916"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1810 (IQR</w:t>
            </w:r>
            <w:r w:rsidR="004326D4" w:rsidRPr="0053750E">
              <w:rPr>
                <w:rFonts w:ascii="Book Antiqua" w:hAnsi="Book Antiqua"/>
                <w:szCs w:val="24"/>
                <w:lang w:val="en-US"/>
              </w:rPr>
              <w:t xml:space="preserve"> = </w:t>
            </w:r>
            <w:r w:rsidRPr="0053750E">
              <w:rPr>
                <w:rFonts w:ascii="Book Antiqua" w:hAnsi="Book Antiqua"/>
                <w:szCs w:val="24"/>
                <w:lang w:val="en-US"/>
              </w:rPr>
              <w:t>745)</w:t>
            </w:r>
          </w:p>
        </w:tc>
        <w:tc>
          <w:tcPr>
            <w:tcW w:w="1165"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1955 (IQR</w:t>
            </w:r>
            <w:r w:rsidR="004326D4" w:rsidRPr="0053750E">
              <w:rPr>
                <w:rFonts w:ascii="Book Antiqua" w:hAnsi="Book Antiqua"/>
                <w:szCs w:val="24"/>
                <w:lang w:val="en-US"/>
              </w:rPr>
              <w:t xml:space="preserve"> = </w:t>
            </w:r>
            <w:r w:rsidRPr="0053750E">
              <w:rPr>
                <w:rFonts w:ascii="Book Antiqua" w:hAnsi="Book Antiqua"/>
                <w:szCs w:val="24"/>
                <w:lang w:val="en-US"/>
              </w:rPr>
              <w:t>570)</w:t>
            </w:r>
          </w:p>
        </w:tc>
        <w:tc>
          <w:tcPr>
            <w:tcW w:w="938"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2390 (IQR</w:t>
            </w:r>
            <w:r w:rsidR="004326D4" w:rsidRPr="0053750E">
              <w:rPr>
                <w:rFonts w:ascii="Book Antiqua" w:hAnsi="Book Antiqua"/>
                <w:szCs w:val="24"/>
                <w:lang w:val="en-US"/>
              </w:rPr>
              <w:t xml:space="preserve"> = </w:t>
            </w:r>
            <w:r w:rsidRPr="0053750E">
              <w:rPr>
                <w:rFonts w:ascii="Book Antiqua" w:hAnsi="Book Antiqua"/>
                <w:szCs w:val="24"/>
                <w:lang w:val="en-US"/>
              </w:rPr>
              <w:t>1205)</w:t>
            </w:r>
          </w:p>
        </w:tc>
        <w:tc>
          <w:tcPr>
            <w:tcW w:w="625" w:type="pct"/>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0.029</w:t>
            </w:r>
          </w:p>
        </w:tc>
      </w:tr>
      <w:tr w:rsidR="00131174" w:rsidRPr="0053750E" w:rsidTr="004326D4">
        <w:trPr>
          <w:trHeight w:val="425"/>
        </w:trPr>
        <w:tc>
          <w:tcPr>
            <w:cnfStyle w:val="001000000000" w:firstRow="0" w:lastRow="0" w:firstColumn="1" w:lastColumn="0" w:oddVBand="0" w:evenVBand="0" w:oddHBand="0" w:evenHBand="0" w:firstRowFirstColumn="0" w:firstRowLastColumn="0" w:lastRowFirstColumn="0" w:lastRowLastColumn="0"/>
            <w:tcW w:w="1356" w:type="pct"/>
            <w:tcBorders>
              <w:right w:val="none" w:sz="0" w:space="0" w:color="auto"/>
            </w:tcBorders>
          </w:tcPr>
          <w:p w:rsidR="002E502E" w:rsidRPr="0053750E" w:rsidRDefault="002E502E" w:rsidP="00521162">
            <w:pPr>
              <w:jc w:val="left"/>
              <w:rPr>
                <w:rFonts w:ascii="Book Antiqua" w:hAnsi="Book Antiqua"/>
                <w:i w:val="0"/>
                <w:szCs w:val="24"/>
                <w:lang w:val="en-US" w:eastAsia="tr-TR"/>
              </w:rPr>
            </w:pPr>
            <w:r w:rsidRPr="0053750E">
              <w:rPr>
                <w:rFonts w:ascii="Book Antiqua" w:hAnsi="Book Antiqua"/>
                <w:i w:val="0"/>
                <w:szCs w:val="24"/>
                <w:lang w:val="en-US" w:eastAsia="tr-TR"/>
              </w:rPr>
              <w:t>ADA (U/L)</w:t>
            </w:r>
          </w:p>
        </w:tc>
        <w:tc>
          <w:tcPr>
            <w:tcW w:w="916"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15.2 ± 3.5</w:t>
            </w:r>
          </w:p>
        </w:tc>
        <w:tc>
          <w:tcPr>
            <w:tcW w:w="1165"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23.1 ± 10.0</w:t>
            </w:r>
          </w:p>
        </w:tc>
        <w:tc>
          <w:tcPr>
            <w:tcW w:w="938"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30.9 ± 7.0</w:t>
            </w:r>
          </w:p>
        </w:tc>
        <w:tc>
          <w:tcPr>
            <w:tcW w:w="625" w:type="pct"/>
            <w:shd w:val="clear" w:color="auto" w:fill="FFFFFF"/>
          </w:tcPr>
          <w:p w:rsidR="002E502E" w:rsidRPr="0053750E" w:rsidRDefault="002E502E" w:rsidP="00521162">
            <w:pPr>
              <w:cnfStyle w:val="000000000000" w:firstRow="0" w:lastRow="0" w:firstColumn="0" w:lastColumn="0" w:oddVBand="0" w:evenVBand="0" w:oddHBand="0"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&lt; 0.001</w:t>
            </w:r>
          </w:p>
        </w:tc>
      </w:tr>
      <w:tr w:rsidR="00131174" w:rsidRPr="0053750E" w:rsidTr="004326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56" w:type="pct"/>
            <w:tcBorders>
              <w:bottom w:val="single" w:sz="4" w:space="0" w:color="auto"/>
              <w:right w:val="none" w:sz="0" w:space="0" w:color="auto"/>
            </w:tcBorders>
          </w:tcPr>
          <w:p w:rsidR="002E502E" w:rsidRPr="0053750E" w:rsidRDefault="002E502E" w:rsidP="00521162">
            <w:pPr>
              <w:jc w:val="left"/>
              <w:rPr>
                <w:rFonts w:ascii="Book Antiqua" w:hAnsi="Book Antiqua"/>
                <w:i w:val="0"/>
                <w:szCs w:val="24"/>
                <w:lang w:val="en-US" w:eastAsia="tr-TR"/>
              </w:rPr>
            </w:pPr>
            <w:r w:rsidRPr="0053750E">
              <w:rPr>
                <w:rFonts w:ascii="Book Antiqua" w:hAnsi="Book Antiqua"/>
                <w:i w:val="0"/>
                <w:szCs w:val="24"/>
                <w:lang w:val="en-US" w:eastAsia="tr-TR"/>
              </w:rPr>
              <w:t>ADA &gt; 20 U/L</w:t>
            </w:r>
            <w:r w:rsidR="004326D4" w:rsidRPr="0053750E">
              <w:rPr>
                <w:rFonts w:ascii="Book Antiqua" w:hAnsi="Book Antiqua"/>
                <w:i w:val="0"/>
                <w:szCs w:val="24"/>
                <w:lang w:val="en-US" w:eastAsia="tr-TR"/>
              </w:rPr>
              <w:t>,</w:t>
            </w:r>
            <w:r w:rsidRPr="0053750E">
              <w:rPr>
                <w:rFonts w:ascii="Book Antiqua" w:hAnsi="Book Antiqua"/>
                <w:i w:val="0"/>
                <w:szCs w:val="24"/>
                <w:lang w:val="en-US" w:eastAsia="tr-TR"/>
              </w:rPr>
              <w:t xml:space="preserve"> </w:t>
            </w:r>
            <w:r w:rsidRPr="0053750E">
              <w:rPr>
                <w:rFonts w:ascii="Book Antiqua" w:hAnsi="Book Antiqua"/>
                <w:szCs w:val="24"/>
                <w:lang w:val="en-US" w:eastAsia="tr-TR"/>
              </w:rPr>
              <w:t>n</w:t>
            </w:r>
            <w:r w:rsidR="004326D4" w:rsidRPr="0053750E">
              <w:rPr>
                <w:rFonts w:ascii="Book Antiqua" w:hAnsi="Book Antiqua"/>
                <w:i w:val="0"/>
                <w:szCs w:val="24"/>
                <w:lang w:val="en-US" w:eastAsia="tr-TR"/>
              </w:rPr>
              <w:t xml:space="preserve"> </w:t>
            </w:r>
            <w:r w:rsidRPr="0053750E">
              <w:rPr>
                <w:rFonts w:ascii="Book Antiqua" w:hAnsi="Book Antiqua"/>
                <w:i w:val="0"/>
                <w:szCs w:val="24"/>
                <w:lang w:val="en-US" w:eastAsia="tr-TR"/>
              </w:rPr>
              <w:t>(%)</w:t>
            </w:r>
          </w:p>
        </w:tc>
        <w:tc>
          <w:tcPr>
            <w:tcW w:w="916" w:type="pct"/>
            <w:tcBorders>
              <w:bottom w:val="single" w:sz="4" w:space="0" w:color="auto"/>
            </w:tcBorders>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0</w:t>
            </w:r>
          </w:p>
        </w:tc>
        <w:tc>
          <w:tcPr>
            <w:tcW w:w="1165" w:type="pct"/>
            <w:tcBorders>
              <w:bottom w:val="single" w:sz="4" w:space="0" w:color="auto"/>
            </w:tcBorders>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9 (50)</w:t>
            </w:r>
          </w:p>
        </w:tc>
        <w:tc>
          <w:tcPr>
            <w:tcW w:w="938" w:type="pct"/>
            <w:tcBorders>
              <w:bottom w:val="single" w:sz="4" w:space="0" w:color="auto"/>
            </w:tcBorders>
            <w:shd w:val="clear" w:color="auto" w:fill="FFFFFF"/>
          </w:tcPr>
          <w:p w:rsidR="002E502E" w:rsidRPr="0053750E" w:rsidRDefault="002E502E" w:rsidP="00521162">
            <w:pPr>
              <w:cnfStyle w:val="000000100000" w:firstRow="0" w:lastRow="0" w:firstColumn="0" w:lastColumn="0" w:oddVBand="0" w:evenVBand="0" w:oddHBand="1" w:evenHBand="0" w:firstRowFirstColumn="0" w:firstRowLastColumn="0" w:lastRowFirstColumn="0" w:lastRowLastColumn="0"/>
              <w:rPr>
                <w:rFonts w:ascii="Book Antiqua" w:hAnsi="Book Antiqua"/>
                <w:szCs w:val="24"/>
                <w:lang w:val="en-US"/>
              </w:rPr>
            </w:pPr>
            <w:r w:rsidRPr="0053750E">
              <w:rPr>
                <w:rFonts w:ascii="Book Antiqua" w:hAnsi="Book Antiqua"/>
                <w:szCs w:val="24"/>
                <w:lang w:val="en-US"/>
              </w:rPr>
              <w:t>24 (96)</w:t>
            </w:r>
          </w:p>
        </w:tc>
        <w:tc>
          <w:tcPr>
            <w:tcW w:w="625" w:type="pct"/>
            <w:tcBorders>
              <w:bottom w:val="single" w:sz="4" w:space="0" w:color="auto"/>
            </w:tcBorders>
            <w:shd w:val="clear" w:color="auto" w:fill="FFFFFF"/>
          </w:tcPr>
          <w:p w:rsidR="002E502E" w:rsidRPr="0053750E" w:rsidRDefault="002E502E" w:rsidP="00521162">
            <w:pPr>
              <w:keepNext/>
              <w:cnfStyle w:val="000000100000" w:firstRow="0" w:lastRow="0" w:firstColumn="0" w:lastColumn="0" w:oddVBand="0" w:evenVBand="0" w:oddHBand="1" w:evenHBand="0" w:firstRowFirstColumn="0" w:firstRowLastColumn="0" w:lastRowFirstColumn="0" w:lastRowLastColumn="0"/>
              <w:rPr>
                <w:rFonts w:ascii="Book Antiqua" w:hAnsi="Book Antiqua"/>
                <w:b/>
                <w:szCs w:val="24"/>
                <w:lang w:val="en-US"/>
              </w:rPr>
            </w:pPr>
            <w:r w:rsidRPr="0053750E">
              <w:rPr>
                <w:rFonts w:ascii="Book Antiqua" w:hAnsi="Book Antiqua"/>
                <w:b/>
                <w:szCs w:val="24"/>
                <w:lang w:val="en-US"/>
              </w:rPr>
              <w:t>&lt; 0.001</w:t>
            </w:r>
          </w:p>
        </w:tc>
      </w:tr>
    </w:tbl>
    <w:p w:rsidR="002E502E" w:rsidRPr="0053750E" w:rsidRDefault="002E502E" w:rsidP="002E502E">
      <w:pPr>
        <w:pStyle w:val="a5"/>
        <w:spacing w:line="360" w:lineRule="auto"/>
        <w:rPr>
          <w:rFonts w:ascii="Book Antiqua" w:hAnsi="Book Antiqua"/>
          <w:b w:val="0"/>
          <w:szCs w:val="24"/>
          <w:lang w:val="en-US"/>
        </w:rPr>
      </w:pPr>
      <w:r w:rsidRPr="0053750E">
        <w:rPr>
          <w:rFonts w:ascii="Book Antiqua" w:hAnsi="Book Antiqua"/>
          <w:b w:val="0"/>
          <w:szCs w:val="24"/>
          <w:lang w:val="en-US"/>
        </w:rPr>
        <w:t>ADA</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denosine deaminase</w:t>
      </w:r>
      <w:r w:rsidR="00991EF3" w:rsidRPr="0053750E">
        <w:rPr>
          <w:rFonts w:ascii="Book Antiqua" w:hAnsi="Book Antiqua"/>
          <w:b w:val="0"/>
          <w:szCs w:val="24"/>
          <w:lang w:val="en-US"/>
        </w:rPr>
        <w:t>;</w:t>
      </w:r>
      <w:r w:rsidRPr="0053750E">
        <w:rPr>
          <w:rFonts w:ascii="Book Antiqua" w:hAnsi="Book Antiqua"/>
          <w:b w:val="0"/>
          <w:szCs w:val="24"/>
          <w:lang w:val="en-US"/>
        </w:rPr>
        <w:t xml:space="preserve"> AIH</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utoimmune hepatitis</w:t>
      </w:r>
      <w:r w:rsidR="00991EF3" w:rsidRPr="0053750E">
        <w:rPr>
          <w:rFonts w:ascii="Book Antiqua" w:hAnsi="Book Antiqua"/>
          <w:b w:val="0"/>
          <w:szCs w:val="24"/>
          <w:lang w:val="en-US"/>
        </w:rPr>
        <w:t>;</w:t>
      </w:r>
      <w:r w:rsidRPr="0053750E">
        <w:rPr>
          <w:rFonts w:ascii="Book Antiqua" w:hAnsi="Book Antiqua"/>
          <w:b w:val="0"/>
          <w:szCs w:val="24"/>
          <w:lang w:val="en-US"/>
        </w:rPr>
        <w:t xml:space="preserve"> ALT</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lanine aminotransferase</w:t>
      </w:r>
      <w:r w:rsidR="00991EF3" w:rsidRPr="0053750E">
        <w:rPr>
          <w:rFonts w:ascii="Book Antiqua" w:hAnsi="Book Antiqua"/>
          <w:b w:val="0"/>
          <w:szCs w:val="24"/>
          <w:lang w:val="en-US"/>
        </w:rPr>
        <w:t>;</w:t>
      </w:r>
      <w:r w:rsidRPr="0053750E">
        <w:rPr>
          <w:rFonts w:ascii="Book Antiqua" w:hAnsi="Book Antiqua"/>
          <w:b w:val="0"/>
          <w:szCs w:val="24"/>
          <w:lang w:val="en-US"/>
        </w:rPr>
        <w:t xml:space="preserve"> </w:t>
      </w:r>
      <w:r w:rsidRPr="0053750E">
        <w:rPr>
          <w:rFonts w:ascii="Book Antiqua" w:eastAsia="Times New Roman" w:hAnsi="Book Antiqua"/>
          <w:b w:val="0"/>
          <w:color w:val="000000"/>
          <w:szCs w:val="24"/>
          <w:lang w:val="en-US" w:eastAsia="tr-TR"/>
        </w:rPr>
        <w:t>IQR</w:t>
      </w:r>
      <w:r w:rsidR="00521162" w:rsidRPr="0053750E">
        <w:rPr>
          <w:rFonts w:ascii="Book Antiqua" w:eastAsia="Times New Roman" w:hAnsi="Book Antiqua"/>
          <w:b w:val="0"/>
          <w:color w:val="000000"/>
          <w:szCs w:val="24"/>
          <w:lang w:val="en-US" w:eastAsia="tr-TR"/>
        </w:rPr>
        <w:t>:</w:t>
      </w:r>
      <w:r w:rsidR="00991EF3" w:rsidRPr="0053750E">
        <w:rPr>
          <w:rFonts w:ascii="Book Antiqua" w:eastAsia="Times New Roman" w:hAnsi="Book Antiqua"/>
          <w:b w:val="0"/>
          <w:color w:val="000000"/>
          <w:szCs w:val="24"/>
          <w:lang w:val="en-US" w:eastAsia="tr-TR"/>
        </w:rPr>
        <w:t xml:space="preserve">  </w:t>
      </w:r>
      <w:r w:rsidR="004326D4" w:rsidRPr="0053750E">
        <w:rPr>
          <w:rFonts w:ascii="Book Antiqua" w:eastAsia="Times New Roman" w:hAnsi="Book Antiqua"/>
          <w:b w:val="0"/>
          <w:color w:val="000000"/>
          <w:szCs w:val="24"/>
          <w:lang w:val="en-US" w:eastAsia="tr-TR"/>
        </w:rPr>
        <w:t>I</w:t>
      </w:r>
      <w:r w:rsidRPr="0053750E">
        <w:rPr>
          <w:rFonts w:ascii="Book Antiqua" w:eastAsia="Times New Roman" w:hAnsi="Book Antiqua"/>
          <w:b w:val="0"/>
          <w:color w:val="000000"/>
          <w:szCs w:val="24"/>
          <w:lang w:val="en-US" w:eastAsia="tr-TR"/>
        </w:rPr>
        <w:t>nter quartile range</w:t>
      </w:r>
      <w:r w:rsidR="00991EF3" w:rsidRPr="0053750E">
        <w:rPr>
          <w:rFonts w:ascii="Book Antiqua" w:eastAsia="Times New Roman" w:hAnsi="Book Antiqua"/>
          <w:b w:val="0"/>
          <w:color w:val="000000"/>
          <w:szCs w:val="24"/>
          <w:lang w:val="en-US" w:eastAsia="tr-TR"/>
        </w:rPr>
        <w:t>;</w:t>
      </w:r>
      <w:r w:rsidRPr="0053750E">
        <w:rPr>
          <w:rFonts w:ascii="Book Antiqua" w:eastAsia="Times New Roman" w:hAnsi="Book Antiqua"/>
          <w:b w:val="0"/>
          <w:color w:val="000000"/>
          <w:szCs w:val="24"/>
          <w:lang w:val="en-US" w:eastAsia="tr-TR"/>
        </w:rPr>
        <w:t xml:space="preserve"> </w:t>
      </w:r>
      <w:r w:rsidRPr="0053750E">
        <w:rPr>
          <w:rFonts w:ascii="Book Antiqua" w:hAnsi="Book Antiqua"/>
          <w:b w:val="0"/>
          <w:szCs w:val="24"/>
          <w:lang w:val="en-US"/>
        </w:rPr>
        <w:t>ULN</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U</w:t>
      </w:r>
      <w:r w:rsidRPr="0053750E">
        <w:rPr>
          <w:rFonts w:ascii="Book Antiqua" w:hAnsi="Book Antiqua"/>
          <w:b w:val="0"/>
          <w:szCs w:val="24"/>
          <w:lang w:val="en-US"/>
        </w:rPr>
        <w:t>pper limit of normal</w:t>
      </w:r>
      <w:r w:rsidR="004326D4" w:rsidRPr="0053750E">
        <w:rPr>
          <w:rFonts w:ascii="Book Antiqua" w:hAnsi="Book Antiqua"/>
          <w:b w:val="0"/>
          <w:szCs w:val="24"/>
          <w:lang w:val="en-US"/>
        </w:rPr>
        <w:t>.</w:t>
      </w:r>
    </w:p>
    <w:p w:rsidR="004326D4" w:rsidRPr="0053750E" w:rsidRDefault="004326D4">
      <w:pPr>
        <w:spacing w:after="160" w:line="259" w:lineRule="auto"/>
        <w:jc w:val="left"/>
        <w:rPr>
          <w:rFonts w:ascii="Book Antiqua" w:hAnsi="Book Antiqua"/>
          <w:b/>
          <w:iCs/>
          <w:szCs w:val="24"/>
          <w:lang w:val="en-US"/>
        </w:rPr>
      </w:pPr>
      <w:bookmarkStart w:id="79" w:name="_Toc417339252"/>
      <w:r w:rsidRPr="0053750E">
        <w:rPr>
          <w:rFonts w:ascii="Book Antiqua" w:hAnsi="Book Antiqua"/>
          <w:szCs w:val="24"/>
          <w:lang w:val="en-US"/>
        </w:rPr>
        <w:br w:type="page"/>
      </w:r>
    </w:p>
    <w:p w:rsidR="002E502E" w:rsidRPr="0053750E" w:rsidRDefault="002E502E" w:rsidP="001E0816">
      <w:pPr>
        <w:pStyle w:val="a5"/>
        <w:keepNext/>
        <w:spacing w:line="360" w:lineRule="auto"/>
        <w:rPr>
          <w:rFonts w:ascii="Book Antiqua" w:hAnsi="Book Antiqua"/>
          <w:szCs w:val="24"/>
          <w:lang w:val="en-US"/>
        </w:rPr>
      </w:pPr>
      <w:r w:rsidRPr="0053750E">
        <w:rPr>
          <w:rFonts w:ascii="Book Antiqua" w:hAnsi="Book Antiqua"/>
          <w:szCs w:val="24"/>
          <w:lang w:val="en-US"/>
        </w:rPr>
        <w:lastRenderedPageBreak/>
        <w:t xml:space="preserve">Table </w:t>
      </w:r>
      <w:r w:rsidR="004326D4" w:rsidRPr="0053750E">
        <w:rPr>
          <w:rFonts w:ascii="Book Antiqua" w:hAnsi="Book Antiqua"/>
          <w:szCs w:val="24"/>
          <w:lang w:val="en-US"/>
        </w:rPr>
        <w:t>4</w:t>
      </w:r>
      <w:r w:rsidR="00A95B69" w:rsidRPr="0053750E">
        <w:rPr>
          <w:rFonts w:ascii="Book Antiqua" w:hAnsi="Book Antiqua"/>
          <w:szCs w:val="24"/>
          <w:lang w:val="en-US"/>
        </w:rPr>
        <w:t xml:space="preserve"> </w:t>
      </w:r>
      <w:r w:rsidRPr="0053750E">
        <w:rPr>
          <w:rFonts w:ascii="Book Antiqua" w:hAnsi="Book Antiqua"/>
          <w:szCs w:val="24"/>
          <w:lang w:val="en-US"/>
        </w:rPr>
        <w:t xml:space="preserve">Receiver-operating characteristic curve for </w:t>
      </w:r>
      <w:r w:rsidR="001A2A5D" w:rsidRPr="001A2A5D">
        <w:rPr>
          <w:rFonts w:ascii="Book Antiqua" w:hAnsi="Book Antiqua"/>
          <w:szCs w:val="24"/>
          <w:lang w:val="en-US"/>
        </w:rPr>
        <w:t xml:space="preserve">adenosine deaminase </w:t>
      </w:r>
      <w:r w:rsidRPr="0053750E">
        <w:rPr>
          <w:rFonts w:ascii="Book Antiqua" w:hAnsi="Book Antiqua"/>
          <w:szCs w:val="24"/>
          <w:lang w:val="en-US"/>
        </w:rPr>
        <w:t>level in the diagnosis of severe interface hepatitis</w:t>
      </w:r>
      <w:bookmarkEnd w:id="79"/>
    </w:p>
    <w:tbl>
      <w:tblPr>
        <w:tblStyle w:val="a7"/>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909"/>
        <w:gridCol w:w="880"/>
        <w:gridCol w:w="1192"/>
        <w:gridCol w:w="1417"/>
        <w:gridCol w:w="1305"/>
        <w:gridCol w:w="850"/>
        <w:gridCol w:w="774"/>
        <w:gridCol w:w="1169"/>
      </w:tblGrid>
      <w:tr w:rsidR="002E502E" w:rsidRPr="0053750E" w:rsidTr="004326D4">
        <w:tc>
          <w:tcPr>
            <w:tcW w:w="1696" w:type="dxa"/>
            <w:tcBorders>
              <w:top w:val="single" w:sz="4" w:space="0" w:color="auto"/>
              <w:bottom w:val="single" w:sz="4" w:space="0" w:color="auto"/>
            </w:tcBorders>
          </w:tcPr>
          <w:p w:rsidR="002E502E" w:rsidRPr="0053750E" w:rsidRDefault="002E502E" w:rsidP="00B8162C">
            <w:pPr>
              <w:jc w:val="left"/>
              <w:rPr>
                <w:rFonts w:ascii="Book Antiqua" w:hAnsi="Book Antiqua"/>
                <w:szCs w:val="24"/>
                <w:lang w:val="en-US" w:eastAsia="tr-TR"/>
              </w:rPr>
            </w:pPr>
            <w:r w:rsidRPr="0053750E">
              <w:rPr>
                <w:rFonts w:ascii="Book Antiqua" w:eastAsia="Times New Roman" w:hAnsi="Book Antiqua"/>
                <w:b/>
                <w:bCs/>
                <w:color w:val="000000"/>
                <w:szCs w:val="24"/>
                <w:lang w:val="en-US" w:eastAsia="tr-TR"/>
              </w:rPr>
              <w:t xml:space="preserve">Cut-off </w:t>
            </w:r>
            <w:r w:rsidR="00B8162C" w:rsidRPr="0053750E">
              <w:rPr>
                <w:rFonts w:ascii="Book Antiqua" w:eastAsia="Times New Roman" w:hAnsi="Book Antiqua"/>
                <w:b/>
                <w:bCs/>
                <w:color w:val="000000"/>
                <w:szCs w:val="24"/>
                <w:lang w:val="en-US" w:eastAsia="tr-TR"/>
              </w:rPr>
              <w:t>(</w:t>
            </w:r>
            <w:r w:rsidRPr="0053750E">
              <w:rPr>
                <w:rFonts w:ascii="Book Antiqua" w:eastAsia="Times New Roman" w:hAnsi="Book Antiqua"/>
                <w:b/>
                <w:bCs/>
                <w:color w:val="000000"/>
                <w:szCs w:val="24"/>
                <w:lang w:val="en-US" w:eastAsia="tr-TR"/>
              </w:rPr>
              <w:t>U/L)</w:t>
            </w:r>
          </w:p>
        </w:tc>
        <w:tc>
          <w:tcPr>
            <w:tcW w:w="909"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AUC</w:t>
            </w:r>
          </w:p>
        </w:tc>
        <w:tc>
          <w:tcPr>
            <w:tcW w:w="880"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SE</w:t>
            </w:r>
          </w:p>
        </w:tc>
        <w:tc>
          <w:tcPr>
            <w:tcW w:w="1192"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95</w:t>
            </w:r>
            <w:r w:rsidR="003418EA" w:rsidRPr="0053750E">
              <w:rPr>
                <w:rFonts w:ascii="Book Antiqua" w:eastAsia="Times New Roman" w:hAnsi="Book Antiqua"/>
                <w:b/>
                <w:bCs/>
                <w:color w:val="000000"/>
                <w:szCs w:val="24"/>
                <w:lang w:val="en-US" w:eastAsia="tr-TR"/>
              </w:rPr>
              <w:t>%</w:t>
            </w:r>
            <w:r w:rsidRPr="0053750E">
              <w:rPr>
                <w:rFonts w:ascii="Book Antiqua" w:eastAsia="Times New Roman" w:hAnsi="Book Antiqua"/>
                <w:b/>
                <w:bCs/>
                <w:color w:val="000000"/>
                <w:szCs w:val="24"/>
                <w:lang w:val="en-US" w:eastAsia="tr-TR"/>
              </w:rPr>
              <w:t>CI</w:t>
            </w:r>
          </w:p>
        </w:tc>
        <w:tc>
          <w:tcPr>
            <w:tcW w:w="1417"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Sensitivity</w:t>
            </w:r>
          </w:p>
        </w:tc>
        <w:tc>
          <w:tcPr>
            <w:tcW w:w="1305"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proofErr w:type="spellStart"/>
            <w:r w:rsidRPr="0053750E">
              <w:rPr>
                <w:rFonts w:ascii="Book Antiqua" w:eastAsia="Times New Roman" w:hAnsi="Book Antiqua"/>
                <w:b/>
                <w:bCs/>
                <w:color w:val="000000"/>
                <w:szCs w:val="24"/>
                <w:lang w:val="en-US" w:eastAsia="tr-TR"/>
              </w:rPr>
              <w:t>Specifity</w:t>
            </w:r>
            <w:proofErr w:type="spellEnd"/>
          </w:p>
        </w:tc>
        <w:tc>
          <w:tcPr>
            <w:tcW w:w="850"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PPD</w:t>
            </w:r>
          </w:p>
        </w:tc>
        <w:tc>
          <w:tcPr>
            <w:tcW w:w="774"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color w:val="000000"/>
                <w:szCs w:val="24"/>
                <w:lang w:val="en-US" w:eastAsia="tr-TR"/>
              </w:rPr>
              <w:t>NPD</w:t>
            </w:r>
          </w:p>
        </w:tc>
        <w:tc>
          <w:tcPr>
            <w:tcW w:w="1169" w:type="dxa"/>
            <w:tcBorders>
              <w:top w:val="single" w:sz="4" w:space="0" w:color="auto"/>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b/>
                <w:bCs/>
                <w:i/>
                <w:color w:val="000000"/>
                <w:szCs w:val="24"/>
                <w:lang w:val="en-US" w:eastAsia="tr-TR"/>
              </w:rPr>
              <w:t>P</w:t>
            </w:r>
            <w:r w:rsidRPr="0053750E">
              <w:rPr>
                <w:rFonts w:ascii="Book Antiqua" w:eastAsia="Times New Roman" w:hAnsi="Book Antiqua"/>
                <w:b/>
                <w:bCs/>
                <w:color w:val="000000"/>
                <w:szCs w:val="24"/>
                <w:lang w:val="en-US" w:eastAsia="tr-TR"/>
              </w:rPr>
              <w:t xml:space="preserve"> value</w:t>
            </w:r>
          </w:p>
        </w:tc>
      </w:tr>
      <w:tr w:rsidR="002E502E" w:rsidRPr="0053750E" w:rsidTr="004326D4">
        <w:tc>
          <w:tcPr>
            <w:tcW w:w="1696" w:type="dxa"/>
            <w:tcBorders>
              <w:top w:val="single" w:sz="4" w:space="0" w:color="auto"/>
            </w:tcBorders>
            <w:vAlign w:val="center"/>
          </w:tcPr>
          <w:p w:rsidR="002E502E" w:rsidRPr="0053750E" w:rsidRDefault="002E502E" w:rsidP="00521162">
            <w:pPr>
              <w:jc w:val="center"/>
              <w:rPr>
                <w:rFonts w:ascii="Book Antiqua" w:eastAsia="Times New Roman" w:hAnsi="Book Antiqua"/>
                <w:b/>
                <w:color w:val="000000"/>
                <w:szCs w:val="24"/>
                <w:lang w:val="en-US" w:eastAsia="tr-TR"/>
              </w:rPr>
            </w:pPr>
            <w:r w:rsidRPr="0053750E">
              <w:rPr>
                <w:rFonts w:ascii="Book Antiqua" w:eastAsia="Times New Roman" w:hAnsi="Book Antiqua"/>
                <w:b/>
                <w:color w:val="000000"/>
                <w:szCs w:val="24"/>
                <w:lang w:val="en-US" w:eastAsia="tr-TR"/>
              </w:rPr>
              <w:t>24.55</w:t>
            </w:r>
          </w:p>
        </w:tc>
        <w:tc>
          <w:tcPr>
            <w:tcW w:w="909"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0.88</w:t>
            </w:r>
          </w:p>
        </w:tc>
        <w:tc>
          <w:tcPr>
            <w:tcW w:w="880"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0.06</w:t>
            </w:r>
          </w:p>
        </w:tc>
        <w:tc>
          <w:tcPr>
            <w:tcW w:w="1192"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0.77-0.99</w:t>
            </w:r>
          </w:p>
        </w:tc>
        <w:tc>
          <w:tcPr>
            <w:tcW w:w="1417"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88</w:t>
            </w:r>
          </w:p>
        </w:tc>
        <w:tc>
          <w:tcPr>
            <w:tcW w:w="1305"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85.2</w:t>
            </w:r>
          </w:p>
        </w:tc>
        <w:tc>
          <w:tcPr>
            <w:tcW w:w="850"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88.5</w:t>
            </w:r>
          </w:p>
        </w:tc>
        <w:tc>
          <w:tcPr>
            <w:tcW w:w="774"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84.6</w:t>
            </w:r>
          </w:p>
        </w:tc>
        <w:tc>
          <w:tcPr>
            <w:tcW w:w="1169" w:type="dxa"/>
            <w:tcBorders>
              <w:top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&lt; 0.001</w:t>
            </w:r>
          </w:p>
        </w:tc>
      </w:tr>
      <w:tr w:rsidR="002E502E" w:rsidRPr="0053750E" w:rsidTr="004326D4">
        <w:tc>
          <w:tcPr>
            <w:tcW w:w="1696" w:type="dxa"/>
            <w:tcBorders>
              <w:bottom w:val="single" w:sz="4" w:space="0" w:color="auto"/>
            </w:tcBorders>
            <w:vAlign w:val="center"/>
          </w:tcPr>
          <w:p w:rsidR="002E502E" w:rsidRPr="0053750E" w:rsidRDefault="002E502E" w:rsidP="00521162">
            <w:pPr>
              <w:jc w:val="center"/>
              <w:rPr>
                <w:rFonts w:ascii="Book Antiqua" w:eastAsia="Times New Roman" w:hAnsi="Book Antiqua"/>
                <w:b/>
                <w:color w:val="000000"/>
                <w:szCs w:val="24"/>
                <w:lang w:val="en-US" w:eastAsia="tr-TR"/>
              </w:rPr>
            </w:pPr>
            <w:r w:rsidRPr="0053750E">
              <w:rPr>
                <w:rFonts w:ascii="Book Antiqua" w:eastAsia="Times New Roman" w:hAnsi="Book Antiqua"/>
                <w:b/>
                <w:color w:val="000000"/>
                <w:szCs w:val="24"/>
                <w:lang w:val="en-US" w:eastAsia="tr-TR"/>
              </w:rPr>
              <w:t>25.25</w:t>
            </w:r>
          </w:p>
        </w:tc>
        <w:tc>
          <w:tcPr>
            <w:tcW w:w="909"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0.88</w:t>
            </w:r>
          </w:p>
        </w:tc>
        <w:tc>
          <w:tcPr>
            <w:tcW w:w="880"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0.06</w:t>
            </w:r>
          </w:p>
        </w:tc>
        <w:tc>
          <w:tcPr>
            <w:tcW w:w="1192"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0.77-0.99</w:t>
            </w:r>
          </w:p>
        </w:tc>
        <w:tc>
          <w:tcPr>
            <w:tcW w:w="1417"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84</w:t>
            </w:r>
          </w:p>
        </w:tc>
        <w:tc>
          <w:tcPr>
            <w:tcW w:w="1305"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88.9</w:t>
            </w:r>
          </w:p>
        </w:tc>
        <w:tc>
          <w:tcPr>
            <w:tcW w:w="850"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85.7</w:t>
            </w:r>
          </w:p>
        </w:tc>
        <w:tc>
          <w:tcPr>
            <w:tcW w:w="774"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87.5</w:t>
            </w:r>
          </w:p>
        </w:tc>
        <w:tc>
          <w:tcPr>
            <w:tcW w:w="1169" w:type="dxa"/>
            <w:tcBorders>
              <w:bottom w:val="single" w:sz="4" w:space="0" w:color="auto"/>
            </w:tcBorders>
          </w:tcPr>
          <w:p w:rsidR="002E502E" w:rsidRPr="0053750E" w:rsidRDefault="002E502E" w:rsidP="00521162">
            <w:pPr>
              <w:jc w:val="center"/>
              <w:rPr>
                <w:rFonts w:ascii="Book Antiqua" w:hAnsi="Book Antiqua"/>
                <w:szCs w:val="24"/>
                <w:lang w:val="en-US" w:eastAsia="tr-TR"/>
              </w:rPr>
            </w:pPr>
            <w:r w:rsidRPr="0053750E">
              <w:rPr>
                <w:rFonts w:ascii="Book Antiqua" w:eastAsia="Times New Roman" w:hAnsi="Book Antiqua"/>
                <w:color w:val="000000"/>
                <w:szCs w:val="24"/>
                <w:lang w:val="en-US" w:eastAsia="tr-TR"/>
              </w:rPr>
              <w:t>&lt; 0.001</w:t>
            </w:r>
          </w:p>
        </w:tc>
      </w:tr>
    </w:tbl>
    <w:p w:rsidR="002E502E" w:rsidRPr="0053750E" w:rsidRDefault="002E502E" w:rsidP="002E502E">
      <w:pPr>
        <w:pStyle w:val="a5"/>
        <w:spacing w:line="360" w:lineRule="auto"/>
        <w:rPr>
          <w:rFonts w:ascii="Book Antiqua" w:eastAsia="Times New Roman" w:hAnsi="Book Antiqua"/>
          <w:b w:val="0"/>
          <w:color w:val="000000"/>
          <w:szCs w:val="24"/>
          <w:lang w:val="en-US" w:eastAsia="tr-TR"/>
        </w:rPr>
      </w:pPr>
      <w:r w:rsidRPr="0053750E">
        <w:rPr>
          <w:rFonts w:ascii="Book Antiqua" w:hAnsi="Book Antiqua"/>
          <w:b w:val="0"/>
          <w:szCs w:val="24"/>
          <w:lang w:val="en-US"/>
        </w:rPr>
        <w:t>AUC</w:t>
      </w:r>
      <w:r w:rsidR="00521162" w:rsidRPr="0053750E">
        <w:rPr>
          <w:rFonts w:ascii="Book Antiqua" w:hAnsi="Book Antiqua"/>
          <w:b w:val="0"/>
          <w:szCs w:val="24"/>
          <w:lang w:val="en-US"/>
        </w:rPr>
        <w:t>:</w:t>
      </w:r>
      <w:r w:rsidR="00991EF3" w:rsidRPr="0053750E">
        <w:rPr>
          <w:rFonts w:ascii="Book Antiqua" w:hAnsi="Book Antiqua"/>
          <w:b w:val="0"/>
          <w:szCs w:val="24"/>
          <w:lang w:val="en-US"/>
        </w:rPr>
        <w:t xml:space="preserve">  </w:t>
      </w:r>
      <w:r w:rsidR="004326D4" w:rsidRPr="0053750E">
        <w:rPr>
          <w:rFonts w:ascii="Book Antiqua" w:hAnsi="Book Antiqua"/>
          <w:b w:val="0"/>
          <w:szCs w:val="24"/>
          <w:lang w:val="en-US"/>
        </w:rPr>
        <w:t>A</w:t>
      </w:r>
      <w:r w:rsidRPr="0053750E">
        <w:rPr>
          <w:rFonts w:ascii="Book Antiqua" w:hAnsi="Book Antiqua"/>
          <w:b w:val="0"/>
          <w:szCs w:val="24"/>
          <w:lang w:val="en-US"/>
        </w:rPr>
        <w:t>rea under curve</w:t>
      </w:r>
      <w:r w:rsidR="004326D4" w:rsidRPr="0053750E">
        <w:rPr>
          <w:rFonts w:ascii="Book Antiqua" w:hAnsi="Book Antiqua"/>
          <w:b w:val="0"/>
          <w:szCs w:val="24"/>
          <w:lang w:val="en-US"/>
        </w:rPr>
        <w:t>;</w:t>
      </w:r>
      <w:r w:rsidRPr="0053750E">
        <w:rPr>
          <w:rFonts w:ascii="Book Antiqua" w:hAnsi="Book Antiqua"/>
          <w:b w:val="0"/>
          <w:szCs w:val="24"/>
          <w:lang w:val="en-US"/>
        </w:rPr>
        <w:t xml:space="preserve"> </w:t>
      </w:r>
      <w:r w:rsidRPr="0053750E">
        <w:rPr>
          <w:rFonts w:ascii="Book Antiqua" w:eastAsia="Times New Roman" w:hAnsi="Book Antiqua"/>
          <w:b w:val="0"/>
          <w:color w:val="000000"/>
          <w:szCs w:val="24"/>
          <w:lang w:val="en-US" w:eastAsia="tr-TR"/>
        </w:rPr>
        <w:t>NPD</w:t>
      </w:r>
      <w:r w:rsidR="00521162" w:rsidRPr="0053750E">
        <w:rPr>
          <w:rFonts w:ascii="Book Antiqua" w:eastAsia="Times New Roman" w:hAnsi="Book Antiqua"/>
          <w:b w:val="0"/>
          <w:color w:val="000000"/>
          <w:szCs w:val="24"/>
          <w:lang w:val="en-US" w:eastAsia="tr-TR"/>
        </w:rPr>
        <w:t>:</w:t>
      </w:r>
      <w:r w:rsidR="00991EF3" w:rsidRPr="0053750E">
        <w:rPr>
          <w:rFonts w:ascii="Book Antiqua" w:eastAsia="Times New Roman" w:hAnsi="Book Antiqua"/>
          <w:b w:val="0"/>
          <w:color w:val="000000"/>
          <w:szCs w:val="24"/>
          <w:lang w:val="en-US" w:eastAsia="tr-TR"/>
        </w:rPr>
        <w:t xml:space="preserve">  </w:t>
      </w:r>
      <w:r w:rsidR="004326D4" w:rsidRPr="0053750E">
        <w:rPr>
          <w:rFonts w:ascii="Book Antiqua" w:eastAsia="Times New Roman" w:hAnsi="Book Antiqua"/>
          <w:b w:val="0"/>
          <w:color w:val="000000"/>
          <w:szCs w:val="24"/>
          <w:lang w:val="en-US" w:eastAsia="tr-TR"/>
        </w:rPr>
        <w:t>N</w:t>
      </w:r>
      <w:r w:rsidRPr="0053750E">
        <w:rPr>
          <w:rFonts w:ascii="Book Antiqua" w:eastAsia="Times New Roman" w:hAnsi="Book Antiqua"/>
          <w:b w:val="0"/>
          <w:color w:val="000000"/>
          <w:szCs w:val="24"/>
          <w:lang w:val="en-US" w:eastAsia="tr-TR"/>
        </w:rPr>
        <w:t>egative predictive value</w:t>
      </w:r>
      <w:r w:rsidR="004326D4" w:rsidRPr="0053750E">
        <w:rPr>
          <w:rFonts w:ascii="Book Antiqua" w:eastAsia="Times New Roman" w:hAnsi="Book Antiqua"/>
          <w:b w:val="0"/>
          <w:color w:val="000000"/>
          <w:szCs w:val="24"/>
          <w:lang w:val="en-US" w:eastAsia="tr-TR"/>
        </w:rPr>
        <w:t>;</w:t>
      </w:r>
      <w:r w:rsidRPr="0053750E">
        <w:rPr>
          <w:rFonts w:ascii="Book Antiqua" w:eastAsia="Times New Roman" w:hAnsi="Book Antiqua"/>
          <w:b w:val="0"/>
          <w:color w:val="000000"/>
          <w:szCs w:val="24"/>
          <w:lang w:val="en-US" w:eastAsia="tr-TR"/>
        </w:rPr>
        <w:t xml:space="preserve"> PPV</w:t>
      </w:r>
      <w:r w:rsidR="00521162" w:rsidRPr="0053750E">
        <w:rPr>
          <w:rFonts w:ascii="Book Antiqua" w:eastAsia="Times New Roman" w:hAnsi="Book Antiqua"/>
          <w:b w:val="0"/>
          <w:color w:val="000000"/>
          <w:szCs w:val="24"/>
          <w:lang w:val="en-US" w:eastAsia="tr-TR"/>
        </w:rPr>
        <w:t>:</w:t>
      </w:r>
      <w:r w:rsidR="00991EF3" w:rsidRPr="0053750E">
        <w:rPr>
          <w:rFonts w:ascii="Book Antiqua" w:eastAsia="Times New Roman" w:hAnsi="Book Antiqua"/>
          <w:b w:val="0"/>
          <w:color w:val="000000"/>
          <w:szCs w:val="24"/>
          <w:lang w:val="en-US" w:eastAsia="tr-TR"/>
        </w:rPr>
        <w:t xml:space="preserve">  </w:t>
      </w:r>
      <w:r w:rsidR="004326D4" w:rsidRPr="0053750E">
        <w:rPr>
          <w:rFonts w:ascii="Book Antiqua" w:eastAsia="Times New Roman" w:hAnsi="Book Antiqua"/>
          <w:b w:val="0"/>
          <w:color w:val="000000"/>
          <w:szCs w:val="24"/>
          <w:lang w:val="en-US" w:eastAsia="tr-TR"/>
        </w:rPr>
        <w:t>P</w:t>
      </w:r>
      <w:r w:rsidRPr="0053750E">
        <w:rPr>
          <w:rFonts w:ascii="Book Antiqua" w:eastAsia="Times New Roman" w:hAnsi="Book Antiqua"/>
          <w:b w:val="0"/>
          <w:color w:val="000000"/>
          <w:szCs w:val="24"/>
          <w:lang w:val="en-US" w:eastAsia="tr-TR"/>
        </w:rPr>
        <w:t>ositive predictive value</w:t>
      </w:r>
      <w:r w:rsidR="004326D4" w:rsidRPr="0053750E">
        <w:rPr>
          <w:rFonts w:ascii="Book Antiqua" w:eastAsia="Times New Roman" w:hAnsi="Book Antiqua"/>
          <w:b w:val="0"/>
          <w:color w:val="000000"/>
          <w:szCs w:val="24"/>
          <w:lang w:val="en-US" w:eastAsia="tr-TR"/>
        </w:rPr>
        <w:t>.</w:t>
      </w:r>
    </w:p>
    <w:p w:rsidR="002E502E" w:rsidRPr="0053750E" w:rsidRDefault="002E502E" w:rsidP="002E502E">
      <w:pPr>
        <w:rPr>
          <w:rFonts w:ascii="Book Antiqua" w:hAnsi="Book Antiqua"/>
          <w:szCs w:val="24"/>
          <w:lang w:val="en-US" w:eastAsia="tr-TR"/>
        </w:rPr>
      </w:pPr>
    </w:p>
    <w:p w:rsidR="002E502E" w:rsidRPr="0053750E" w:rsidRDefault="002E502E" w:rsidP="002E502E">
      <w:pPr>
        <w:rPr>
          <w:rFonts w:ascii="Book Antiqua" w:hAnsi="Book Antiqua"/>
          <w:szCs w:val="24"/>
          <w:lang w:val="en-US" w:eastAsia="tr-TR"/>
        </w:rPr>
      </w:pPr>
    </w:p>
    <w:p w:rsidR="002E502E" w:rsidRPr="0053750E" w:rsidRDefault="002E502E" w:rsidP="002E502E">
      <w:pPr>
        <w:rPr>
          <w:rFonts w:ascii="Book Antiqua" w:hAnsi="Book Antiqua"/>
          <w:szCs w:val="24"/>
          <w:lang w:val="en-US" w:eastAsia="tr-TR"/>
        </w:rPr>
      </w:pPr>
    </w:p>
    <w:p w:rsidR="00B8162C" w:rsidRPr="0053750E" w:rsidRDefault="00B8162C" w:rsidP="002E502E">
      <w:pPr>
        <w:rPr>
          <w:rFonts w:ascii="Book Antiqua" w:hAnsi="Book Antiqua"/>
          <w:szCs w:val="24"/>
          <w:lang w:val="en-US" w:eastAsia="tr-TR"/>
        </w:rPr>
      </w:pPr>
    </w:p>
    <w:p w:rsidR="002E502E" w:rsidRPr="0053750E" w:rsidRDefault="002E502E" w:rsidP="002E502E">
      <w:pPr>
        <w:rPr>
          <w:rFonts w:ascii="Book Antiqua" w:hAnsi="Book Antiqua"/>
          <w:szCs w:val="24"/>
          <w:lang w:val="en-US" w:eastAsia="tr-TR"/>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2E502E">
      <w:pPr>
        <w:pStyle w:val="a4"/>
        <w:spacing w:line="360" w:lineRule="auto"/>
        <w:jc w:val="both"/>
        <w:rPr>
          <w:rFonts w:ascii="Book Antiqua" w:hAnsi="Book Antiqua" w:cs="Times New Roman"/>
          <w:b/>
          <w:sz w:val="24"/>
          <w:szCs w:val="24"/>
          <w:lang w:val="en-US"/>
        </w:rPr>
      </w:pPr>
    </w:p>
    <w:p w:rsidR="002E502E" w:rsidRPr="0053750E" w:rsidRDefault="002E502E" w:rsidP="001C799D">
      <w:pPr>
        <w:pStyle w:val="a4"/>
        <w:spacing w:line="360" w:lineRule="auto"/>
        <w:jc w:val="both"/>
        <w:rPr>
          <w:rFonts w:ascii="Book Antiqua" w:hAnsi="Book Antiqua" w:cs="Times New Roman"/>
          <w:sz w:val="24"/>
          <w:szCs w:val="24"/>
          <w:lang w:val="en-US"/>
        </w:rPr>
      </w:pPr>
    </w:p>
    <w:sectPr w:rsidR="002E502E" w:rsidRPr="0053750E" w:rsidSect="00B24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3D" w:rsidRDefault="00766A3D" w:rsidP="00513EB8">
      <w:pPr>
        <w:spacing w:line="240" w:lineRule="auto"/>
      </w:pPr>
      <w:r>
        <w:separator/>
      </w:r>
    </w:p>
  </w:endnote>
  <w:endnote w:type="continuationSeparator" w:id="0">
    <w:p w:rsidR="00766A3D" w:rsidRDefault="00766A3D" w:rsidP="00513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3D" w:rsidRDefault="00766A3D" w:rsidP="00513EB8">
      <w:pPr>
        <w:spacing w:line="240" w:lineRule="auto"/>
      </w:pPr>
      <w:r>
        <w:separator/>
      </w:r>
    </w:p>
  </w:footnote>
  <w:footnote w:type="continuationSeparator" w:id="0">
    <w:p w:rsidR="00766A3D" w:rsidRDefault="00766A3D" w:rsidP="00513E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124F"/>
    <w:multiLevelType w:val="hybridMultilevel"/>
    <w:tmpl w:val="A4E47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EB4DC2"/>
    <w:multiLevelType w:val="multilevel"/>
    <w:tmpl w:val="D91475DC"/>
    <w:lvl w:ilvl="0">
      <w:start w:val="1"/>
      <w:numFmt w:val="decimal"/>
      <w:pStyle w:val="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3"/>
      <w:lvlText w:val="%1.%2.%3"/>
      <w:lvlJc w:val="left"/>
      <w:pPr>
        <w:ind w:left="213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25"/>
    <w:rsid w:val="00003FAF"/>
    <w:rsid w:val="00010C8C"/>
    <w:rsid w:val="000117D8"/>
    <w:rsid w:val="00084BCE"/>
    <w:rsid w:val="00084E1A"/>
    <w:rsid w:val="00085889"/>
    <w:rsid w:val="00086D63"/>
    <w:rsid w:val="0009458F"/>
    <w:rsid w:val="000C5C80"/>
    <w:rsid w:val="000C6712"/>
    <w:rsid w:val="000D2BC7"/>
    <w:rsid w:val="00107424"/>
    <w:rsid w:val="00131174"/>
    <w:rsid w:val="0013372B"/>
    <w:rsid w:val="00137C2D"/>
    <w:rsid w:val="001707D6"/>
    <w:rsid w:val="00181D52"/>
    <w:rsid w:val="0019030D"/>
    <w:rsid w:val="001907B7"/>
    <w:rsid w:val="00190CE0"/>
    <w:rsid w:val="001A2A5D"/>
    <w:rsid w:val="001A61D5"/>
    <w:rsid w:val="001B6336"/>
    <w:rsid w:val="001C799D"/>
    <w:rsid w:val="001D4145"/>
    <w:rsid w:val="001E0816"/>
    <w:rsid w:val="001E13F6"/>
    <w:rsid w:val="0020539F"/>
    <w:rsid w:val="00240FBC"/>
    <w:rsid w:val="00245C94"/>
    <w:rsid w:val="00257198"/>
    <w:rsid w:val="002620C6"/>
    <w:rsid w:val="0026768F"/>
    <w:rsid w:val="00270840"/>
    <w:rsid w:val="002854E2"/>
    <w:rsid w:val="002971A7"/>
    <w:rsid w:val="002A1478"/>
    <w:rsid w:val="002B3EAF"/>
    <w:rsid w:val="002E1606"/>
    <w:rsid w:val="002E1CBA"/>
    <w:rsid w:val="002E502E"/>
    <w:rsid w:val="002E5558"/>
    <w:rsid w:val="002F2439"/>
    <w:rsid w:val="0031686F"/>
    <w:rsid w:val="003168E8"/>
    <w:rsid w:val="003418EA"/>
    <w:rsid w:val="00365832"/>
    <w:rsid w:val="003949F7"/>
    <w:rsid w:val="003968DD"/>
    <w:rsid w:val="003C3333"/>
    <w:rsid w:val="003D5EAD"/>
    <w:rsid w:val="003F5B80"/>
    <w:rsid w:val="00426A70"/>
    <w:rsid w:val="004326D4"/>
    <w:rsid w:val="00441659"/>
    <w:rsid w:val="004572A1"/>
    <w:rsid w:val="004B36FB"/>
    <w:rsid w:val="004B794C"/>
    <w:rsid w:val="004E1593"/>
    <w:rsid w:val="004F4CCF"/>
    <w:rsid w:val="00513EB8"/>
    <w:rsid w:val="00521162"/>
    <w:rsid w:val="0053750E"/>
    <w:rsid w:val="00563B82"/>
    <w:rsid w:val="005751C5"/>
    <w:rsid w:val="005A5EE0"/>
    <w:rsid w:val="005B348D"/>
    <w:rsid w:val="005B7146"/>
    <w:rsid w:val="006022F6"/>
    <w:rsid w:val="00606976"/>
    <w:rsid w:val="006402A7"/>
    <w:rsid w:val="006A5322"/>
    <w:rsid w:val="006A5DB8"/>
    <w:rsid w:val="006D658B"/>
    <w:rsid w:val="006F1EBA"/>
    <w:rsid w:val="00705052"/>
    <w:rsid w:val="007404E7"/>
    <w:rsid w:val="00766A3D"/>
    <w:rsid w:val="00767F8C"/>
    <w:rsid w:val="0077044B"/>
    <w:rsid w:val="0077724E"/>
    <w:rsid w:val="00786C97"/>
    <w:rsid w:val="007E2A1B"/>
    <w:rsid w:val="00817115"/>
    <w:rsid w:val="00827524"/>
    <w:rsid w:val="008359CE"/>
    <w:rsid w:val="008430CD"/>
    <w:rsid w:val="00870DC7"/>
    <w:rsid w:val="00873D52"/>
    <w:rsid w:val="008C2DE9"/>
    <w:rsid w:val="008C3FDF"/>
    <w:rsid w:val="008C62E9"/>
    <w:rsid w:val="008D557E"/>
    <w:rsid w:val="00926D13"/>
    <w:rsid w:val="009532DC"/>
    <w:rsid w:val="00954CB2"/>
    <w:rsid w:val="009550EA"/>
    <w:rsid w:val="009572FA"/>
    <w:rsid w:val="00960017"/>
    <w:rsid w:val="00971DE2"/>
    <w:rsid w:val="00975403"/>
    <w:rsid w:val="00991EF3"/>
    <w:rsid w:val="009A3B10"/>
    <w:rsid w:val="009B344A"/>
    <w:rsid w:val="009D2B18"/>
    <w:rsid w:val="009E1864"/>
    <w:rsid w:val="009E228F"/>
    <w:rsid w:val="009E6A72"/>
    <w:rsid w:val="00A3018E"/>
    <w:rsid w:val="00A357CE"/>
    <w:rsid w:val="00A46815"/>
    <w:rsid w:val="00A67993"/>
    <w:rsid w:val="00A710BD"/>
    <w:rsid w:val="00A83FB9"/>
    <w:rsid w:val="00A95B69"/>
    <w:rsid w:val="00AC6F68"/>
    <w:rsid w:val="00AE5C26"/>
    <w:rsid w:val="00B023C3"/>
    <w:rsid w:val="00B24037"/>
    <w:rsid w:val="00B5344A"/>
    <w:rsid w:val="00B8162C"/>
    <w:rsid w:val="00B94752"/>
    <w:rsid w:val="00BD1024"/>
    <w:rsid w:val="00BD564A"/>
    <w:rsid w:val="00BE1713"/>
    <w:rsid w:val="00BE40CF"/>
    <w:rsid w:val="00BF4DB7"/>
    <w:rsid w:val="00C0227A"/>
    <w:rsid w:val="00C0723B"/>
    <w:rsid w:val="00C11BD4"/>
    <w:rsid w:val="00C31510"/>
    <w:rsid w:val="00C4091D"/>
    <w:rsid w:val="00C41EB4"/>
    <w:rsid w:val="00C43862"/>
    <w:rsid w:val="00C46E15"/>
    <w:rsid w:val="00C61021"/>
    <w:rsid w:val="00C92607"/>
    <w:rsid w:val="00C94D4F"/>
    <w:rsid w:val="00D013CE"/>
    <w:rsid w:val="00D15A63"/>
    <w:rsid w:val="00D41F45"/>
    <w:rsid w:val="00D4604F"/>
    <w:rsid w:val="00D85C21"/>
    <w:rsid w:val="00D9101F"/>
    <w:rsid w:val="00DB0FB8"/>
    <w:rsid w:val="00DD13D8"/>
    <w:rsid w:val="00DD22B3"/>
    <w:rsid w:val="00DD6C1A"/>
    <w:rsid w:val="00DE0532"/>
    <w:rsid w:val="00DE1F50"/>
    <w:rsid w:val="00DE739F"/>
    <w:rsid w:val="00DF2B3E"/>
    <w:rsid w:val="00E249DC"/>
    <w:rsid w:val="00E45718"/>
    <w:rsid w:val="00E5208B"/>
    <w:rsid w:val="00E732D3"/>
    <w:rsid w:val="00E820E7"/>
    <w:rsid w:val="00E92325"/>
    <w:rsid w:val="00E93BC5"/>
    <w:rsid w:val="00E95808"/>
    <w:rsid w:val="00E96D93"/>
    <w:rsid w:val="00EA6160"/>
    <w:rsid w:val="00EC7A63"/>
    <w:rsid w:val="00ED24D5"/>
    <w:rsid w:val="00F1124D"/>
    <w:rsid w:val="00F121BB"/>
    <w:rsid w:val="00F27668"/>
    <w:rsid w:val="00F44914"/>
    <w:rsid w:val="00F5130F"/>
    <w:rsid w:val="00F737C1"/>
    <w:rsid w:val="00F8181A"/>
    <w:rsid w:val="00FA4A2E"/>
    <w:rsid w:val="00FB30B9"/>
    <w:rsid w:val="00FC662F"/>
    <w:rsid w:val="00FD2771"/>
    <w:rsid w:val="00FD2AA0"/>
    <w:rsid w:val="00FD77A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AF"/>
    <w:pPr>
      <w:spacing w:after="0" w:line="360" w:lineRule="auto"/>
      <w:jc w:val="both"/>
    </w:pPr>
    <w:rPr>
      <w:rFonts w:eastAsia="Calibri" w:cs="Times New Roman"/>
      <w:sz w:val="24"/>
    </w:rPr>
  </w:style>
  <w:style w:type="paragraph" w:styleId="1">
    <w:name w:val="heading 1"/>
    <w:basedOn w:val="a"/>
    <w:next w:val="a"/>
    <w:link w:val="1Char"/>
    <w:uiPriority w:val="9"/>
    <w:qFormat/>
    <w:rsid w:val="002B3EAF"/>
    <w:pPr>
      <w:keepNext/>
      <w:keepLines/>
      <w:numPr>
        <w:numId w:val="1"/>
      </w:numPr>
      <w:spacing w:before="240" w:after="240"/>
      <w:jc w:val="center"/>
      <w:outlineLvl w:val="0"/>
    </w:pPr>
    <w:rPr>
      <w:rFonts w:ascii="Times New Roman" w:eastAsiaTheme="majorEastAsia" w:hAnsi="Times New Roman" w:cstheme="majorBidi"/>
      <w:b/>
      <w:caps/>
      <w:szCs w:val="32"/>
    </w:rPr>
  </w:style>
  <w:style w:type="paragraph" w:styleId="3">
    <w:name w:val="heading 3"/>
    <w:basedOn w:val="a"/>
    <w:next w:val="a"/>
    <w:link w:val="3Char"/>
    <w:uiPriority w:val="9"/>
    <w:unhideWhenUsed/>
    <w:qFormat/>
    <w:rsid w:val="002B3EAF"/>
    <w:pPr>
      <w:keepNext/>
      <w:keepLines/>
      <w:numPr>
        <w:ilvl w:val="2"/>
        <w:numId w:val="1"/>
      </w:numPr>
      <w:spacing w:before="240" w:after="240"/>
      <w:ind w:left="1429"/>
      <w:jc w:val="left"/>
      <w:outlineLvl w:val="2"/>
    </w:pPr>
    <w:rPr>
      <w:rFonts w:ascii="Times New Roman" w:eastAsiaTheme="majorEastAsia" w:hAnsi="Times New Roman"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EAF"/>
    <w:rPr>
      <w:rFonts w:ascii="Times New Roman" w:eastAsiaTheme="majorEastAsia" w:hAnsi="Times New Roman" w:cstheme="majorBidi"/>
      <w:b/>
      <w:caps/>
      <w:sz w:val="24"/>
      <w:szCs w:val="32"/>
    </w:rPr>
  </w:style>
  <w:style w:type="character" w:customStyle="1" w:styleId="3Char">
    <w:name w:val="标题 3 Char"/>
    <w:basedOn w:val="a0"/>
    <w:link w:val="3"/>
    <w:uiPriority w:val="9"/>
    <w:rsid w:val="002B3EAF"/>
    <w:rPr>
      <w:rFonts w:ascii="Times New Roman" w:eastAsiaTheme="majorEastAsia" w:hAnsi="Times New Roman" w:cstheme="majorBidi"/>
      <w:b/>
      <w:sz w:val="24"/>
      <w:szCs w:val="24"/>
    </w:rPr>
  </w:style>
  <w:style w:type="paragraph" w:styleId="a3">
    <w:name w:val="List Paragraph"/>
    <w:basedOn w:val="a"/>
    <w:uiPriority w:val="34"/>
    <w:qFormat/>
    <w:rsid w:val="002B3EAF"/>
    <w:pPr>
      <w:spacing w:after="200" w:line="276" w:lineRule="auto"/>
      <w:ind w:left="720"/>
      <w:contextualSpacing/>
      <w:jc w:val="left"/>
    </w:pPr>
    <w:rPr>
      <w:rFonts w:eastAsiaTheme="minorHAnsi" w:cstheme="minorBidi"/>
    </w:rPr>
  </w:style>
  <w:style w:type="paragraph" w:styleId="a4">
    <w:name w:val="No Spacing"/>
    <w:uiPriority w:val="1"/>
    <w:qFormat/>
    <w:rsid w:val="00FB30B9"/>
    <w:pPr>
      <w:spacing w:after="0" w:line="240" w:lineRule="auto"/>
    </w:pPr>
  </w:style>
  <w:style w:type="character" w:customStyle="1" w:styleId="apple-converted-space">
    <w:name w:val="apple-converted-space"/>
    <w:basedOn w:val="a0"/>
    <w:rsid w:val="008C2DE9"/>
  </w:style>
  <w:style w:type="paragraph" w:styleId="a5">
    <w:name w:val="caption"/>
    <w:basedOn w:val="a"/>
    <w:next w:val="a"/>
    <w:uiPriority w:val="35"/>
    <w:unhideWhenUsed/>
    <w:qFormat/>
    <w:rsid w:val="00107424"/>
    <w:pPr>
      <w:spacing w:before="240" w:after="240" w:line="240" w:lineRule="auto"/>
    </w:pPr>
    <w:rPr>
      <w:b/>
      <w:iCs/>
      <w:szCs w:val="18"/>
    </w:rPr>
  </w:style>
  <w:style w:type="table" w:customStyle="1" w:styleId="DzTablo21">
    <w:name w:val="Düz Tablo 21"/>
    <w:basedOn w:val="a1"/>
    <w:uiPriority w:val="42"/>
    <w:rsid w:val="001074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a1"/>
    <w:uiPriority w:val="45"/>
    <w:rsid w:val="00107424"/>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511">
    <w:name w:val="Düz Tablo 511"/>
    <w:basedOn w:val="a1"/>
    <w:uiPriority w:val="45"/>
    <w:rsid w:val="00107424"/>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Balloon Text"/>
    <w:basedOn w:val="a"/>
    <w:link w:val="Char"/>
    <w:uiPriority w:val="99"/>
    <w:semiHidden/>
    <w:unhideWhenUsed/>
    <w:rsid w:val="00975403"/>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975403"/>
    <w:rPr>
      <w:rFonts w:ascii="Tahoma" w:eastAsia="Calibri" w:hAnsi="Tahoma" w:cs="Tahoma"/>
      <w:sz w:val="16"/>
      <w:szCs w:val="16"/>
    </w:rPr>
  </w:style>
  <w:style w:type="table" w:styleId="a7">
    <w:name w:val="Table Grid"/>
    <w:basedOn w:val="a1"/>
    <w:uiPriority w:val="39"/>
    <w:rsid w:val="008C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B6336"/>
    <w:rPr>
      <w:rFonts w:ascii="Book Antiqua" w:hAnsi="Book Antiqua" w:hint="default"/>
      <w:b w:val="0"/>
      <w:bCs w:val="0"/>
      <w:i w:val="0"/>
      <w:iCs w:val="0"/>
      <w:color w:val="222222"/>
      <w:sz w:val="24"/>
      <w:szCs w:val="24"/>
    </w:rPr>
  </w:style>
  <w:style w:type="character" w:styleId="a8">
    <w:name w:val="Hyperlink"/>
    <w:rsid w:val="00BE1713"/>
    <w:rPr>
      <w:color w:val="0000FF"/>
      <w:u w:val="single"/>
    </w:rPr>
  </w:style>
  <w:style w:type="paragraph" w:styleId="a9">
    <w:name w:val="header"/>
    <w:basedOn w:val="a"/>
    <w:link w:val="Char0"/>
    <w:uiPriority w:val="99"/>
    <w:unhideWhenUsed/>
    <w:rsid w:val="00513E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513EB8"/>
    <w:rPr>
      <w:rFonts w:eastAsia="Calibri" w:cs="Times New Roman"/>
      <w:sz w:val="18"/>
      <w:szCs w:val="18"/>
    </w:rPr>
  </w:style>
  <w:style w:type="paragraph" w:styleId="aa">
    <w:name w:val="footer"/>
    <w:basedOn w:val="a"/>
    <w:link w:val="Char1"/>
    <w:uiPriority w:val="99"/>
    <w:unhideWhenUsed/>
    <w:rsid w:val="00513EB8"/>
    <w:pPr>
      <w:tabs>
        <w:tab w:val="center" w:pos="4153"/>
        <w:tab w:val="right" w:pos="8306"/>
      </w:tabs>
      <w:snapToGrid w:val="0"/>
      <w:spacing w:line="240" w:lineRule="auto"/>
      <w:jc w:val="left"/>
    </w:pPr>
    <w:rPr>
      <w:sz w:val="18"/>
      <w:szCs w:val="18"/>
    </w:rPr>
  </w:style>
  <w:style w:type="character" w:customStyle="1" w:styleId="Char1">
    <w:name w:val="页脚 Char"/>
    <w:basedOn w:val="a0"/>
    <w:link w:val="aa"/>
    <w:uiPriority w:val="99"/>
    <w:rsid w:val="00513EB8"/>
    <w:rPr>
      <w:rFonts w:eastAsia="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AF"/>
    <w:pPr>
      <w:spacing w:after="0" w:line="360" w:lineRule="auto"/>
      <w:jc w:val="both"/>
    </w:pPr>
    <w:rPr>
      <w:rFonts w:eastAsia="Calibri" w:cs="Times New Roman"/>
      <w:sz w:val="24"/>
    </w:rPr>
  </w:style>
  <w:style w:type="paragraph" w:styleId="1">
    <w:name w:val="heading 1"/>
    <w:basedOn w:val="a"/>
    <w:next w:val="a"/>
    <w:link w:val="1Char"/>
    <w:uiPriority w:val="9"/>
    <w:qFormat/>
    <w:rsid w:val="002B3EAF"/>
    <w:pPr>
      <w:keepNext/>
      <w:keepLines/>
      <w:numPr>
        <w:numId w:val="1"/>
      </w:numPr>
      <w:spacing w:before="240" w:after="240"/>
      <w:jc w:val="center"/>
      <w:outlineLvl w:val="0"/>
    </w:pPr>
    <w:rPr>
      <w:rFonts w:ascii="Times New Roman" w:eastAsiaTheme="majorEastAsia" w:hAnsi="Times New Roman" w:cstheme="majorBidi"/>
      <w:b/>
      <w:caps/>
      <w:szCs w:val="32"/>
    </w:rPr>
  </w:style>
  <w:style w:type="paragraph" w:styleId="3">
    <w:name w:val="heading 3"/>
    <w:basedOn w:val="a"/>
    <w:next w:val="a"/>
    <w:link w:val="3Char"/>
    <w:uiPriority w:val="9"/>
    <w:unhideWhenUsed/>
    <w:qFormat/>
    <w:rsid w:val="002B3EAF"/>
    <w:pPr>
      <w:keepNext/>
      <w:keepLines/>
      <w:numPr>
        <w:ilvl w:val="2"/>
        <w:numId w:val="1"/>
      </w:numPr>
      <w:spacing w:before="240" w:after="240"/>
      <w:ind w:left="1429"/>
      <w:jc w:val="left"/>
      <w:outlineLvl w:val="2"/>
    </w:pPr>
    <w:rPr>
      <w:rFonts w:ascii="Times New Roman" w:eastAsiaTheme="majorEastAsia" w:hAnsi="Times New Roman"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EAF"/>
    <w:rPr>
      <w:rFonts w:ascii="Times New Roman" w:eastAsiaTheme="majorEastAsia" w:hAnsi="Times New Roman" w:cstheme="majorBidi"/>
      <w:b/>
      <w:caps/>
      <w:sz w:val="24"/>
      <w:szCs w:val="32"/>
    </w:rPr>
  </w:style>
  <w:style w:type="character" w:customStyle="1" w:styleId="3Char">
    <w:name w:val="标题 3 Char"/>
    <w:basedOn w:val="a0"/>
    <w:link w:val="3"/>
    <w:uiPriority w:val="9"/>
    <w:rsid w:val="002B3EAF"/>
    <w:rPr>
      <w:rFonts w:ascii="Times New Roman" w:eastAsiaTheme="majorEastAsia" w:hAnsi="Times New Roman" w:cstheme="majorBidi"/>
      <w:b/>
      <w:sz w:val="24"/>
      <w:szCs w:val="24"/>
    </w:rPr>
  </w:style>
  <w:style w:type="paragraph" w:styleId="a3">
    <w:name w:val="List Paragraph"/>
    <w:basedOn w:val="a"/>
    <w:uiPriority w:val="34"/>
    <w:qFormat/>
    <w:rsid w:val="002B3EAF"/>
    <w:pPr>
      <w:spacing w:after="200" w:line="276" w:lineRule="auto"/>
      <w:ind w:left="720"/>
      <w:contextualSpacing/>
      <w:jc w:val="left"/>
    </w:pPr>
    <w:rPr>
      <w:rFonts w:eastAsiaTheme="minorHAnsi" w:cstheme="minorBidi"/>
    </w:rPr>
  </w:style>
  <w:style w:type="paragraph" w:styleId="a4">
    <w:name w:val="No Spacing"/>
    <w:uiPriority w:val="1"/>
    <w:qFormat/>
    <w:rsid w:val="00FB30B9"/>
    <w:pPr>
      <w:spacing w:after="0" w:line="240" w:lineRule="auto"/>
    </w:pPr>
  </w:style>
  <w:style w:type="character" w:customStyle="1" w:styleId="apple-converted-space">
    <w:name w:val="apple-converted-space"/>
    <w:basedOn w:val="a0"/>
    <w:rsid w:val="008C2DE9"/>
  </w:style>
  <w:style w:type="paragraph" w:styleId="a5">
    <w:name w:val="caption"/>
    <w:basedOn w:val="a"/>
    <w:next w:val="a"/>
    <w:uiPriority w:val="35"/>
    <w:unhideWhenUsed/>
    <w:qFormat/>
    <w:rsid w:val="00107424"/>
    <w:pPr>
      <w:spacing w:before="240" w:after="240" w:line="240" w:lineRule="auto"/>
    </w:pPr>
    <w:rPr>
      <w:b/>
      <w:iCs/>
      <w:szCs w:val="18"/>
    </w:rPr>
  </w:style>
  <w:style w:type="table" w:customStyle="1" w:styleId="DzTablo21">
    <w:name w:val="Düz Tablo 21"/>
    <w:basedOn w:val="a1"/>
    <w:uiPriority w:val="42"/>
    <w:rsid w:val="001074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a1"/>
    <w:uiPriority w:val="45"/>
    <w:rsid w:val="00107424"/>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511">
    <w:name w:val="Düz Tablo 511"/>
    <w:basedOn w:val="a1"/>
    <w:uiPriority w:val="45"/>
    <w:rsid w:val="00107424"/>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Balloon Text"/>
    <w:basedOn w:val="a"/>
    <w:link w:val="Char"/>
    <w:uiPriority w:val="99"/>
    <w:semiHidden/>
    <w:unhideWhenUsed/>
    <w:rsid w:val="00975403"/>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975403"/>
    <w:rPr>
      <w:rFonts w:ascii="Tahoma" w:eastAsia="Calibri" w:hAnsi="Tahoma" w:cs="Tahoma"/>
      <w:sz w:val="16"/>
      <w:szCs w:val="16"/>
    </w:rPr>
  </w:style>
  <w:style w:type="table" w:styleId="a7">
    <w:name w:val="Table Grid"/>
    <w:basedOn w:val="a1"/>
    <w:uiPriority w:val="39"/>
    <w:rsid w:val="008C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B6336"/>
    <w:rPr>
      <w:rFonts w:ascii="Book Antiqua" w:hAnsi="Book Antiqua" w:hint="default"/>
      <w:b w:val="0"/>
      <w:bCs w:val="0"/>
      <w:i w:val="0"/>
      <w:iCs w:val="0"/>
      <w:color w:val="222222"/>
      <w:sz w:val="24"/>
      <w:szCs w:val="24"/>
    </w:rPr>
  </w:style>
  <w:style w:type="character" w:styleId="a8">
    <w:name w:val="Hyperlink"/>
    <w:rsid w:val="00BE1713"/>
    <w:rPr>
      <w:color w:val="0000FF"/>
      <w:u w:val="single"/>
    </w:rPr>
  </w:style>
  <w:style w:type="paragraph" w:styleId="a9">
    <w:name w:val="header"/>
    <w:basedOn w:val="a"/>
    <w:link w:val="Char0"/>
    <w:uiPriority w:val="99"/>
    <w:unhideWhenUsed/>
    <w:rsid w:val="00513E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513EB8"/>
    <w:rPr>
      <w:rFonts w:eastAsia="Calibri" w:cs="Times New Roman"/>
      <w:sz w:val="18"/>
      <w:szCs w:val="18"/>
    </w:rPr>
  </w:style>
  <w:style w:type="paragraph" w:styleId="aa">
    <w:name w:val="footer"/>
    <w:basedOn w:val="a"/>
    <w:link w:val="Char1"/>
    <w:uiPriority w:val="99"/>
    <w:unhideWhenUsed/>
    <w:rsid w:val="00513EB8"/>
    <w:pPr>
      <w:tabs>
        <w:tab w:val="center" w:pos="4153"/>
        <w:tab w:val="right" w:pos="8306"/>
      </w:tabs>
      <w:snapToGrid w:val="0"/>
      <w:spacing w:line="240" w:lineRule="auto"/>
      <w:jc w:val="left"/>
    </w:pPr>
    <w:rPr>
      <w:sz w:val="18"/>
      <w:szCs w:val="18"/>
    </w:rPr>
  </w:style>
  <w:style w:type="character" w:customStyle="1" w:styleId="Char1">
    <w:name w:val="页脚 Char"/>
    <w:basedOn w:val="a0"/>
    <w:link w:val="aa"/>
    <w:uiPriority w:val="99"/>
    <w:rsid w:val="00513EB8"/>
    <w:rPr>
      <w:rFonts w:eastAsia="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053">
      <w:bodyDiv w:val="1"/>
      <w:marLeft w:val="0"/>
      <w:marRight w:val="0"/>
      <w:marTop w:val="0"/>
      <w:marBottom w:val="0"/>
      <w:divBdr>
        <w:top w:val="none" w:sz="0" w:space="0" w:color="auto"/>
        <w:left w:val="none" w:sz="0" w:space="0" w:color="auto"/>
        <w:bottom w:val="none" w:sz="0" w:space="0" w:color="auto"/>
        <w:right w:val="none" w:sz="0" w:space="0" w:color="auto"/>
      </w:divBdr>
    </w:div>
    <w:div w:id="524758699">
      <w:bodyDiv w:val="1"/>
      <w:marLeft w:val="0"/>
      <w:marRight w:val="0"/>
      <w:marTop w:val="0"/>
      <w:marBottom w:val="0"/>
      <w:divBdr>
        <w:top w:val="none" w:sz="0" w:space="0" w:color="auto"/>
        <w:left w:val="none" w:sz="0" w:space="0" w:color="auto"/>
        <w:bottom w:val="none" w:sz="0" w:space="0" w:color="auto"/>
        <w:right w:val="none" w:sz="0" w:space="0" w:color="auto"/>
      </w:divBdr>
    </w:div>
    <w:div w:id="20652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C8DC-F53F-46DA-A359-21328A11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20521</Words>
  <Characters>116973</Characters>
  <Application>Microsoft Office Word</Application>
  <DocSecurity>0</DocSecurity>
  <Lines>974</Lines>
  <Paragraphs>274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Torgutalp</dc:creator>
  <cp:keywords/>
  <dc:description/>
  <cp:lastModifiedBy>WangJL</cp:lastModifiedBy>
  <cp:revision>3</cp:revision>
  <cp:lastPrinted>2017-02-05T11:55:00Z</cp:lastPrinted>
  <dcterms:created xsi:type="dcterms:W3CDTF">2017-04-12T02:43:00Z</dcterms:created>
  <dcterms:modified xsi:type="dcterms:W3CDTF">2017-04-12T09:47:00Z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a94e08da-9e6f-36d9-bb6e-48c011c23111</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http://csl.mendeley.com/styles/94664511/murattttt</vt:lpwstr>
  </property>
  <property fmtid="{D5CDD505-2E9C-101B-9397-08002B2CF9AE}" pid="22" name="Mendeley Recent Style Name 8_1">
    <vt:lpwstr>The New England Journal of Medicine - Murat Torgutalp</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