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8" w:rsidRPr="001F7183" w:rsidRDefault="004325A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 xml:space="preserve">Name of Journal: </w:t>
      </w:r>
      <w:r w:rsidRPr="001F7183">
        <w:rPr>
          <w:rFonts w:ascii="Book Antiqua" w:hAnsi="Book Antiqua"/>
          <w:b/>
          <w:i/>
          <w:iCs/>
          <w:sz w:val="24"/>
          <w:szCs w:val="24"/>
        </w:rPr>
        <w:t>World Journal of Pharmacology</w:t>
      </w:r>
    </w:p>
    <w:p w:rsidR="004325A8" w:rsidRPr="001F7183" w:rsidRDefault="004325A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F7183">
        <w:rPr>
          <w:rFonts w:ascii="Book Antiqua" w:hAnsi="Book Antiqua"/>
          <w:b/>
          <w:sz w:val="24"/>
          <w:szCs w:val="24"/>
        </w:rPr>
        <w:t xml:space="preserve">ESPS Manuscript NO: </w:t>
      </w:r>
      <w:r w:rsidRPr="001F7183">
        <w:rPr>
          <w:rFonts w:ascii="Book Antiqua" w:hAnsi="Book Antiqua"/>
          <w:b/>
          <w:sz w:val="24"/>
          <w:szCs w:val="24"/>
          <w:lang w:eastAsia="zh-CN"/>
        </w:rPr>
        <w:t>33515</w:t>
      </w:r>
    </w:p>
    <w:p w:rsidR="004325A8" w:rsidRPr="001F7183" w:rsidRDefault="004325A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F7183">
        <w:rPr>
          <w:rFonts w:ascii="Book Antiqua" w:hAnsi="Book Antiqua"/>
          <w:b/>
          <w:sz w:val="24"/>
          <w:szCs w:val="24"/>
        </w:rPr>
        <w:t>Manuscript Type:</w:t>
      </w:r>
      <w:r w:rsidR="008D042B" w:rsidRPr="001F718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1F7183">
        <w:rPr>
          <w:rFonts w:ascii="Book Antiqua" w:hAnsi="Book Antiqua"/>
          <w:b/>
          <w:sz w:val="24"/>
          <w:szCs w:val="24"/>
        </w:rPr>
        <w:t>Case Report</w:t>
      </w:r>
    </w:p>
    <w:p w:rsidR="004325A8" w:rsidRPr="001F7183" w:rsidRDefault="004325A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F67A47" w:rsidRPr="001F7183" w:rsidRDefault="00F67A47" w:rsidP="001F718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F7183">
        <w:rPr>
          <w:rFonts w:ascii="Book Antiqua" w:hAnsi="Book Antiqua" w:cs="Times New Roman"/>
          <w:b/>
          <w:sz w:val="24"/>
          <w:szCs w:val="24"/>
        </w:rPr>
        <w:t>Tenofovir induced severe thrombocytopenia</w:t>
      </w:r>
    </w:p>
    <w:p w:rsidR="00083866" w:rsidRPr="001F7183" w:rsidRDefault="00083866" w:rsidP="001F718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83866" w:rsidRPr="001F7183" w:rsidRDefault="00083866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F7183">
        <w:rPr>
          <w:rFonts w:ascii="Book Antiqua" w:hAnsi="Book Antiqua" w:cs="Times New Roman"/>
          <w:sz w:val="24"/>
          <w:szCs w:val="24"/>
        </w:rPr>
        <w:t>Jain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 xml:space="preserve"> M </w:t>
      </w:r>
      <w:r w:rsidRPr="001F7183">
        <w:rPr>
          <w:rFonts w:ascii="Book Antiqua" w:hAnsi="Book Antiqua" w:cs="Times New Roman"/>
          <w:i/>
          <w:sz w:val="24"/>
          <w:szCs w:val="24"/>
          <w:lang w:eastAsia="zh-CN"/>
        </w:rPr>
        <w:t>et al.</w:t>
      </w:r>
      <w:r w:rsidRPr="001F7183">
        <w:rPr>
          <w:rFonts w:ascii="Book Antiqua" w:hAnsi="Book Antiqua" w:cs="Times New Roman"/>
          <w:sz w:val="24"/>
          <w:szCs w:val="24"/>
        </w:rPr>
        <w:t xml:space="preserve"> Tenofovir induced severe thrombocytopenia</w:t>
      </w:r>
    </w:p>
    <w:p w:rsidR="00EA5AE2" w:rsidRPr="001F7183" w:rsidRDefault="00EA5AE2" w:rsidP="001F7183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eastAsia="zh-CN"/>
        </w:rPr>
      </w:pPr>
    </w:p>
    <w:p w:rsidR="001F7183" w:rsidRPr="001F7183" w:rsidRDefault="001F7183" w:rsidP="001F718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F7183">
        <w:rPr>
          <w:rFonts w:ascii="Book Antiqua" w:hAnsi="Book Antiqua" w:cs="Times New Roman"/>
          <w:b/>
          <w:sz w:val="24"/>
          <w:szCs w:val="24"/>
        </w:rPr>
        <w:t>Mayank Jain, Joy Vargese, Jayanthi</w:t>
      </w:r>
      <w:r w:rsidRPr="001F7183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1F7183">
        <w:rPr>
          <w:rFonts w:ascii="Book Antiqua" w:hAnsi="Book Antiqua" w:cs="Times New Roman"/>
          <w:b/>
          <w:sz w:val="24"/>
          <w:szCs w:val="24"/>
        </w:rPr>
        <w:t>Venkatatraman</w:t>
      </w:r>
    </w:p>
    <w:p w:rsidR="001F7183" w:rsidRPr="001F7183" w:rsidRDefault="001F7183" w:rsidP="001F7183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eastAsia="zh-CN"/>
        </w:rPr>
      </w:pPr>
    </w:p>
    <w:p w:rsidR="00F67A47" w:rsidRPr="001F7183" w:rsidRDefault="007A364A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F7183">
        <w:rPr>
          <w:rFonts w:ascii="Book Antiqua" w:hAnsi="Book Antiqua" w:cs="Times New Roman"/>
          <w:b/>
          <w:sz w:val="24"/>
          <w:szCs w:val="24"/>
        </w:rPr>
        <w:t xml:space="preserve">Mayank Jain, </w:t>
      </w:r>
      <w:r w:rsidR="00F67A47" w:rsidRPr="001F7183">
        <w:rPr>
          <w:rFonts w:ascii="Book Antiqua" w:hAnsi="Book Antiqua" w:cs="Times New Roman"/>
          <w:b/>
          <w:sz w:val="24"/>
          <w:szCs w:val="24"/>
        </w:rPr>
        <w:t>Joy Vargese, Jayanthi</w:t>
      </w:r>
      <w:r w:rsidR="008D042B" w:rsidRPr="001F7183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F67A47" w:rsidRPr="001F7183">
        <w:rPr>
          <w:rFonts w:ascii="Book Antiqua" w:hAnsi="Book Antiqua" w:cs="Times New Roman"/>
          <w:b/>
          <w:sz w:val="24"/>
          <w:szCs w:val="24"/>
        </w:rPr>
        <w:t>Venkatatraman</w:t>
      </w:r>
      <w:r w:rsidR="002E3F9E" w:rsidRPr="001F7183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r w:rsidR="00F67A47" w:rsidRPr="001F7183">
        <w:rPr>
          <w:rFonts w:ascii="Book Antiqua" w:hAnsi="Book Antiqua" w:cs="Times New Roman"/>
          <w:sz w:val="24"/>
          <w:szCs w:val="24"/>
        </w:rPr>
        <w:t>Institute of Liver Disease and Transplantation</w:t>
      </w:r>
      <w:r w:rsidR="002E3F9E" w:rsidRPr="001F7183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F67A47" w:rsidRPr="001F7183">
        <w:rPr>
          <w:rFonts w:ascii="Book Antiqua" w:hAnsi="Book Antiqua" w:cs="Times New Roman"/>
          <w:sz w:val="24"/>
          <w:szCs w:val="24"/>
        </w:rPr>
        <w:t>Gleneagles Global Health City, Chennai</w:t>
      </w:r>
      <w:r w:rsidR="002E3F9E" w:rsidRPr="001F718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3140FF" w:rsidRPr="001F7183">
        <w:rPr>
          <w:rFonts w:ascii="Book Antiqua" w:hAnsi="Book Antiqua" w:cs="Times New Roman"/>
          <w:sz w:val="24"/>
          <w:szCs w:val="24"/>
        </w:rPr>
        <w:t>600100</w:t>
      </w:r>
      <w:r w:rsidR="002E3F9E" w:rsidRPr="001F7183">
        <w:rPr>
          <w:rFonts w:ascii="Book Antiqua" w:hAnsi="Book Antiqua" w:cs="Times New Roman"/>
          <w:sz w:val="24"/>
          <w:szCs w:val="24"/>
          <w:lang w:eastAsia="zh-CN"/>
        </w:rPr>
        <w:t>, India</w:t>
      </w:r>
    </w:p>
    <w:p w:rsidR="00E06D02" w:rsidRPr="001F7183" w:rsidRDefault="00E06D02" w:rsidP="001F718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5F79C2" w:rsidRPr="001F7183" w:rsidRDefault="002E3F9E" w:rsidP="001F7183">
      <w:pPr>
        <w:spacing w:after="0" w:line="360" w:lineRule="auto"/>
        <w:jc w:val="both"/>
        <w:rPr>
          <w:rFonts w:ascii="Book Antiqua" w:hAnsi="Book Antiqua" w:cs="TimesNewRomanPSMT"/>
          <w:spacing w:val="-2"/>
          <w:sz w:val="24"/>
          <w:szCs w:val="24"/>
          <w:lang w:eastAsia="zh-CN"/>
        </w:rPr>
      </w:pPr>
      <w:r w:rsidRPr="001F7183">
        <w:rPr>
          <w:rFonts w:ascii="Book Antiqua" w:hAnsi="Book Antiqua"/>
          <w:b/>
          <w:sz w:val="24"/>
          <w:szCs w:val="24"/>
        </w:rPr>
        <w:t>Author contributions:</w:t>
      </w:r>
      <w:r w:rsidR="00E06D02" w:rsidRPr="001F718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E06D02" w:rsidRPr="001F7183">
        <w:rPr>
          <w:rFonts w:ascii="Book Antiqua" w:eastAsia="Times New Roman" w:hAnsi="Book Antiqua" w:cs="TimesNewRomanPSMT"/>
          <w:spacing w:val="-2"/>
          <w:sz w:val="24"/>
          <w:szCs w:val="24"/>
        </w:rPr>
        <w:t>All authors contributed to the acquisition of data, writing, and revision of this manuscr</w:t>
      </w:r>
      <w:bookmarkStart w:id="0" w:name="_GoBack1"/>
      <w:bookmarkEnd w:id="0"/>
      <w:r w:rsidR="00E06D02" w:rsidRPr="001F7183">
        <w:rPr>
          <w:rFonts w:ascii="Book Antiqua" w:eastAsia="Times New Roman" w:hAnsi="Book Antiqua" w:cs="TimesNewRomanPSMT"/>
          <w:spacing w:val="-2"/>
          <w:sz w:val="24"/>
          <w:szCs w:val="24"/>
        </w:rPr>
        <w:t>ipt.</w:t>
      </w:r>
    </w:p>
    <w:p w:rsidR="00925328" w:rsidRPr="001F7183" w:rsidRDefault="00925328" w:rsidP="001F7183">
      <w:pPr>
        <w:spacing w:after="0" w:line="360" w:lineRule="auto"/>
        <w:jc w:val="both"/>
        <w:rPr>
          <w:rFonts w:ascii="Book Antiqua" w:hAnsi="Book Antiqua" w:cs="TimesNewRomanPSMT"/>
          <w:spacing w:val="-2"/>
          <w:sz w:val="24"/>
          <w:szCs w:val="24"/>
          <w:lang w:eastAsia="zh-CN"/>
        </w:rPr>
      </w:pPr>
    </w:p>
    <w:p w:rsidR="00E06D02" w:rsidRPr="001F7183" w:rsidRDefault="00E06D02" w:rsidP="001F71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>Institutional review board statement</w:t>
      </w:r>
      <w:r w:rsidRPr="001F7183">
        <w:rPr>
          <w:rFonts w:ascii="Book Antiqua" w:hAnsi="Book Antiqua"/>
          <w:b/>
          <w:iCs/>
          <w:sz w:val="24"/>
          <w:szCs w:val="24"/>
        </w:rPr>
        <w:t xml:space="preserve">: </w:t>
      </w:r>
      <w:r w:rsidRPr="001F7183">
        <w:rPr>
          <w:rFonts w:ascii="Book Antiqua" w:hAnsi="Book Antiqua"/>
          <w:sz w:val="24"/>
          <w:szCs w:val="24"/>
        </w:rPr>
        <w:t xml:space="preserve">As per institutional policy, we are not required to take Ethical Committee clearance for case reports. </w:t>
      </w:r>
    </w:p>
    <w:p w:rsidR="00E06D02" w:rsidRPr="001F7183" w:rsidRDefault="00E06D02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E06D02" w:rsidRPr="001F7183" w:rsidRDefault="00E06D02" w:rsidP="001F718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1F7183">
        <w:rPr>
          <w:rFonts w:ascii="Book Antiqua" w:hAnsi="Book Antiqua"/>
          <w:b/>
          <w:sz w:val="24"/>
          <w:szCs w:val="24"/>
        </w:rPr>
        <w:t>Informed consent statement</w:t>
      </w:r>
      <w:r w:rsidRPr="001F7183">
        <w:rPr>
          <w:rFonts w:ascii="Book Antiqua" w:hAnsi="Book Antiqua"/>
          <w:b/>
          <w:iCs/>
          <w:sz w:val="24"/>
          <w:szCs w:val="24"/>
        </w:rPr>
        <w:t xml:space="preserve">: </w:t>
      </w:r>
      <w:r w:rsidRPr="001F7183">
        <w:rPr>
          <w:rFonts w:ascii="Book Antiqua" w:hAnsi="Book Antiqua"/>
          <w:sz w:val="24"/>
          <w:szCs w:val="24"/>
        </w:rPr>
        <w:t>As the patient has already given consent for reporting (attached), ethical clearance is not needed. No reports/images disclosing the patient identity have been used in the submission</w:t>
      </w:r>
      <w:r w:rsidR="00004850" w:rsidRPr="001F7183">
        <w:rPr>
          <w:rFonts w:ascii="Book Antiqua" w:hAnsi="Book Antiqua"/>
          <w:sz w:val="24"/>
          <w:szCs w:val="24"/>
          <w:lang w:eastAsia="zh-CN"/>
        </w:rPr>
        <w:t>.</w:t>
      </w:r>
    </w:p>
    <w:p w:rsidR="00E06D02" w:rsidRPr="001F7183" w:rsidRDefault="00E06D02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E06D02" w:rsidRPr="001F7183" w:rsidRDefault="00E06D02" w:rsidP="001F718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1F7183">
        <w:rPr>
          <w:rFonts w:ascii="Book Antiqua" w:hAnsi="Book Antiqua"/>
          <w:b/>
          <w:sz w:val="24"/>
          <w:szCs w:val="24"/>
        </w:rPr>
        <w:t>Conflict-of-interest statement</w:t>
      </w:r>
      <w:r w:rsidRPr="001F7183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1F7183">
        <w:rPr>
          <w:rFonts w:ascii="Book Antiqua" w:hAnsi="Book Antiqua"/>
          <w:sz w:val="24"/>
          <w:szCs w:val="24"/>
        </w:rPr>
        <w:t>The authors do not report any conflict of interest</w:t>
      </w:r>
      <w:r w:rsidRPr="001F7183">
        <w:rPr>
          <w:rFonts w:ascii="Book Antiqua" w:hAnsi="Book Antiqua"/>
          <w:sz w:val="24"/>
          <w:szCs w:val="24"/>
          <w:lang w:eastAsia="zh-CN"/>
        </w:rPr>
        <w:t>.</w:t>
      </w:r>
    </w:p>
    <w:p w:rsidR="00E06D02" w:rsidRPr="001F7183" w:rsidRDefault="00E06D02" w:rsidP="001F718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06D02" w:rsidRPr="001F7183" w:rsidRDefault="00E06D02" w:rsidP="001F718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 xml:space="preserve">Open-Access: </w:t>
      </w:r>
      <w:r w:rsidRPr="001F7183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6" w:history="1">
        <w:r w:rsidRPr="001F7183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:rsidR="00E06D02" w:rsidRPr="001F7183" w:rsidRDefault="00E06D02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925328" w:rsidRPr="001F7183" w:rsidRDefault="00925328" w:rsidP="001F718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F7183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1F7183">
        <w:rPr>
          <w:rFonts w:ascii="Book Antiqua" w:eastAsia="宋体" w:hAnsi="Book Antiqua" w:cs="宋体"/>
          <w:sz w:val="24"/>
          <w:szCs w:val="24"/>
        </w:rPr>
        <w:t> Unsolicited manuscript</w:t>
      </w:r>
    </w:p>
    <w:p w:rsidR="00925328" w:rsidRPr="001F7183" w:rsidRDefault="00925328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67A47" w:rsidRPr="001F7183" w:rsidRDefault="002E3F9E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F7183">
        <w:rPr>
          <w:rFonts w:ascii="Book Antiqua" w:hAnsi="Book Antiqua"/>
          <w:b/>
          <w:sz w:val="24"/>
          <w:szCs w:val="24"/>
        </w:rPr>
        <w:t xml:space="preserve">Correspondence to: </w:t>
      </w:r>
      <w:r w:rsidR="003140FF" w:rsidRPr="001F7183">
        <w:rPr>
          <w:rFonts w:ascii="Book Antiqua" w:hAnsi="Book Antiqua" w:cs="Times New Roman"/>
          <w:b/>
          <w:sz w:val="24"/>
          <w:szCs w:val="24"/>
        </w:rPr>
        <w:t xml:space="preserve">Dr. </w:t>
      </w:r>
      <w:r w:rsidR="00F67A47" w:rsidRPr="001F7183">
        <w:rPr>
          <w:rFonts w:ascii="Book Antiqua" w:hAnsi="Book Antiqua" w:cs="Times New Roman"/>
          <w:b/>
          <w:sz w:val="24"/>
          <w:szCs w:val="24"/>
        </w:rPr>
        <w:t>Mayank Jain</w:t>
      </w:r>
      <w:r w:rsidRPr="001F7183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Pr="001F718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>Institute of Liver Disease and Transplantation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1F7183">
        <w:rPr>
          <w:rFonts w:ascii="Book Antiqua" w:hAnsi="Book Antiqua" w:cs="Times New Roman"/>
          <w:sz w:val="24"/>
          <w:szCs w:val="24"/>
        </w:rPr>
        <w:t>Gleneagles Global Health City, Perumbakkam, Chennai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>600100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>, India.</w:t>
      </w:r>
      <w:r w:rsidRPr="001F7183">
        <w:rPr>
          <w:rFonts w:ascii="Book Antiqua" w:hAnsi="Book Antiqua"/>
          <w:sz w:val="24"/>
          <w:szCs w:val="24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>mayank4670@rediffmail.com</w:t>
      </w:r>
    </w:p>
    <w:p w:rsidR="00EA5AE2" w:rsidRPr="001F7183" w:rsidRDefault="00EA5AE2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 xml:space="preserve">Telephone: </w:t>
      </w:r>
      <w:r w:rsidR="002E3F9E" w:rsidRPr="001F7183">
        <w:rPr>
          <w:rFonts w:ascii="Book Antiqua" w:hAnsi="Book Antiqua"/>
          <w:sz w:val="24"/>
          <w:szCs w:val="24"/>
          <w:lang w:eastAsia="zh-CN"/>
        </w:rPr>
        <w:t>+</w:t>
      </w:r>
      <w:r w:rsidR="003140FF" w:rsidRPr="001F7183">
        <w:rPr>
          <w:rFonts w:ascii="Book Antiqua" w:hAnsi="Book Antiqua"/>
          <w:sz w:val="24"/>
          <w:szCs w:val="24"/>
        </w:rPr>
        <w:t>91-44-24242424</w:t>
      </w:r>
    </w:p>
    <w:p w:rsidR="00EA5AE2" w:rsidRPr="001F7183" w:rsidRDefault="00EA5AE2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>Fax:</w:t>
      </w:r>
      <w:r w:rsidR="002E3F9E" w:rsidRPr="001F718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2E3F9E" w:rsidRPr="001F7183">
        <w:rPr>
          <w:rFonts w:ascii="Book Antiqua" w:hAnsi="Book Antiqua"/>
          <w:sz w:val="24"/>
          <w:szCs w:val="24"/>
          <w:lang w:eastAsia="zh-CN"/>
        </w:rPr>
        <w:t>+</w:t>
      </w:r>
      <w:r w:rsidR="003140FF" w:rsidRPr="001F7183">
        <w:rPr>
          <w:rFonts w:ascii="Book Antiqua" w:hAnsi="Book Antiqua"/>
          <w:sz w:val="24"/>
          <w:szCs w:val="24"/>
        </w:rPr>
        <w:t>91-44-22777100</w:t>
      </w:r>
    </w:p>
    <w:p w:rsidR="00EA5AE2" w:rsidRPr="001F7183" w:rsidRDefault="00EA5AE2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925328" w:rsidRPr="001F7183" w:rsidRDefault="0092532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>Received:</w:t>
      </w:r>
      <w:r w:rsidR="001F7183" w:rsidRPr="001F718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1F7183" w:rsidRPr="001F7183">
        <w:rPr>
          <w:rFonts w:ascii="Book Antiqua" w:hAnsi="Book Antiqua"/>
          <w:sz w:val="24"/>
          <w:szCs w:val="24"/>
          <w:lang w:eastAsia="zh-CN"/>
        </w:rPr>
        <w:t>February 13, 2017</w:t>
      </w:r>
      <w:r w:rsidR="001F7183">
        <w:rPr>
          <w:rFonts w:ascii="Book Antiqua" w:hAnsi="Book Antiqua"/>
          <w:sz w:val="24"/>
          <w:szCs w:val="24"/>
        </w:rPr>
        <w:t xml:space="preserve"> </w:t>
      </w:r>
    </w:p>
    <w:p w:rsidR="00925328" w:rsidRPr="001F7183" w:rsidRDefault="0092532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>Peer-review started:</w:t>
      </w:r>
      <w:r w:rsidR="001F7183" w:rsidRPr="001F7183">
        <w:rPr>
          <w:rFonts w:ascii="Book Antiqua" w:hAnsi="Book Antiqua"/>
          <w:sz w:val="24"/>
          <w:szCs w:val="24"/>
          <w:lang w:eastAsia="zh-CN"/>
        </w:rPr>
        <w:t xml:space="preserve"> February 15, 2017</w:t>
      </w:r>
      <w:r w:rsidR="001F7183">
        <w:rPr>
          <w:rFonts w:ascii="Book Antiqua" w:hAnsi="Book Antiqua"/>
          <w:sz w:val="24"/>
          <w:szCs w:val="24"/>
        </w:rPr>
        <w:t xml:space="preserve"> </w:t>
      </w:r>
    </w:p>
    <w:p w:rsidR="00925328" w:rsidRPr="001F7183" w:rsidRDefault="0092532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F7183">
        <w:rPr>
          <w:rFonts w:ascii="Book Antiqua" w:hAnsi="Book Antiqua"/>
          <w:b/>
          <w:sz w:val="24"/>
          <w:szCs w:val="24"/>
        </w:rPr>
        <w:t>First decision:</w:t>
      </w:r>
      <w:r w:rsidR="001F7183" w:rsidRPr="001F718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1F7183" w:rsidRPr="001F7183">
        <w:rPr>
          <w:rFonts w:ascii="Book Antiqua" w:hAnsi="Book Antiqua"/>
          <w:sz w:val="24"/>
          <w:szCs w:val="24"/>
          <w:lang w:eastAsia="zh-CN"/>
        </w:rPr>
        <w:t>March 7, 2017</w:t>
      </w:r>
    </w:p>
    <w:p w:rsidR="00925328" w:rsidRPr="001F7183" w:rsidRDefault="0092532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 xml:space="preserve">Revised: </w:t>
      </w:r>
      <w:r w:rsidR="001F7183" w:rsidRPr="001F7183">
        <w:rPr>
          <w:rFonts w:ascii="Book Antiqua" w:hAnsi="Book Antiqua"/>
          <w:sz w:val="24"/>
          <w:szCs w:val="24"/>
          <w:lang w:eastAsia="zh-CN"/>
        </w:rPr>
        <w:t>March 15, 2017</w:t>
      </w:r>
      <w:r w:rsidRPr="001F7183">
        <w:rPr>
          <w:rFonts w:ascii="Book Antiqua" w:hAnsi="Book Antiqua"/>
          <w:b/>
          <w:sz w:val="24"/>
          <w:szCs w:val="24"/>
        </w:rPr>
        <w:t xml:space="preserve"> </w:t>
      </w:r>
    </w:p>
    <w:p w:rsidR="00925328" w:rsidRPr="00F124E5" w:rsidRDefault="00925328" w:rsidP="00F124E5">
      <w:pPr>
        <w:rPr>
          <w:rFonts w:ascii="Book Antiqua" w:hAnsi="Book Antiqua"/>
          <w:iCs/>
          <w:sz w:val="24"/>
        </w:rPr>
      </w:pPr>
      <w:r w:rsidRPr="001F7183">
        <w:rPr>
          <w:rFonts w:ascii="Book Antiqua" w:hAnsi="Book Antiqua"/>
          <w:b/>
          <w:sz w:val="24"/>
          <w:szCs w:val="24"/>
        </w:rPr>
        <w:t>Accepted:</w:t>
      </w:r>
      <w:r w:rsidR="001F7183">
        <w:rPr>
          <w:rFonts w:ascii="Book Antiqua" w:hAnsi="Book Antiqua"/>
          <w:b/>
          <w:sz w:val="24"/>
          <w:szCs w:val="24"/>
        </w:rPr>
        <w:t xml:space="preserve"> </w:t>
      </w:r>
      <w:r w:rsidR="00F124E5">
        <w:rPr>
          <w:rStyle w:val="Emphasis"/>
        </w:rPr>
        <w:t>April 16</w:t>
      </w:r>
      <w:r w:rsidR="00F124E5">
        <w:rPr>
          <w:rStyle w:val="Emphasis"/>
          <w:rFonts w:cs="宋体"/>
        </w:rPr>
        <w:t>,</w:t>
      </w:r>
      <w:r w:rsidR="00F124E5">
        <w:rPr>
          <w:rStyle w:val="Emphasis"/>
        </w:rPr>
        <w:t xml:space="preserve"> 2017</w:t>
      </w:r>
      <w:bookmarkStart w:id="1" w:name="_GoBack"/>
      <w:bookmarkEnd w:id="1"/>
    </w:p>
    <w:p w:rsidR="00925328" w:rsidRPr="001F7183" w:rsidRDefault="00925328" w:rsidP="001F71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>Article in press:</w:t>
      </w:r>
      <w:r w:rsidR="001F7183">
        <w:rPr>
          <w:rFonts w:ascii="Book Antiqua" w:hAnsi="Book Antiqua"/>
          <w:sz w:val="24"/>
          <w:szCs w:val="24"/>
        </w:rPr>
        <w:t xml:space="preserve"> </w:t>
      </w:r>
    </w:p>
    <w:p w:rsidR="00925328" w:rsidRPr="001F7183" w:rsidRDefault="00925328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1F7183" w:rsidRPr="001F7183" w:rsidRDefault="001F7183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br w:type="page"/>
      </w:r>
    </w:p>
    <w:p w:rsidR="008D042B" w:rsidRPr="001F7183" w:rsidRDefault="00EA5AE2" w:rsidP="001F71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F7183">
        <w:rPr>
          <w:rFonts w:ascii="Book Antiqua" w:hAnsi="Book Antiqua"/>
          <w:b/>
          <w:sz w:val="24"/>
          <w:szCs w:val="24"/>
        </w:rPr>
        <w:lastRenderedPageBreak/>
        <w:t xml:space="preserve">Abstract </w:t>
      </w:r>
    </w:p>
    <w:p w:rsidR="00EA5AE2" w:rsidRPr="001F7183" w:rsidRDefault="00DC59A1" w:rsidP="001F718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1F7183">
        <w:rPr>
          <w:rFonts w:ascii="Book Antiqua" w:hAnsi="Book Antiqua"/>
          <w:sz w:val="24"/>
          <w:szCs w:val="24"/>
        </w:rPr>
        <w:t xml:space="preserve">Tenofovir disoproxil fumarate is used in the management of hepatitis B and </w:t>
      </w:r>
      <w:r w:rsidR="001F7183" w:rsidRPr="001F7183">
        <w:rPr>
          <w:rFonts w:ascii="Book Antiqua" w:hAnsi="Book Antiqua" w:cs="Arial"/>
          <w:sz w:val="24"/>
          <w:szCs w:val="24"/>
        </w:rPr>
        <w:t>human immunodeficiency virus</w:t>
      </w:r>
      <w:r w:rsidRPr="001F7183">
        <w:rPr>
          <w:rFonts w:ascii="Book Antiqua" w:hAnsi="Book Antiqua"/>
          <w:sz w:val="24"/>
          <w:szCs w:val="24"/>
        </w:rPr>
        <w:t xml:space="preserve"> infection. We present a 50 year</w:t>
      </w:r>
      <w:r w:rsidR="001F7183" w:rsidRPr="001F7183">
        <w:rPr>
          <w:rFonts w:ascii="Book Antiqua" w:hAnsi="Book Antiqua"/>
          <w:sz w:val="24"/>
          <w:szCs w:val="24"/>
          <w:lang w:eastAsia="zh-CN"/>
        </w:rPr>
        <w:t>s</w:t>
      </w:r>
      <w:r w:rsidRPr="001F7183">
        <w:rPr>
          <w:rFonts w:ascii="Book Antiqua" w:hAnsi="Book Antiqua"/>
          <w:sz w:val="24"/>
          <w:szCs w:val="24"/>
        </w:rPr>
        <w:t xml:space="preserve"> </w:t>
      </w:r>
      <w:r w:rsidR="001F7183" w:rsidRPr="001F7183">
        <w:rPr>
          <w:rFonts w:ascii="Book Antiqua" w:hAnsi="Book Antiqua"/>
          <w:sz w:val="24"/>
          <w:szCs w:val="24"/>
        </w:rPr>
        <w:t>old lady, post liver transplant</w:t>
      </w:r>
      <w:r w:rsidRPr="001F7183">
        <w:rPr>
          <w:rFonts w:ascii="Book Antiqua" w:hAnsi="Book Antiqua"/>
          <w:sz w:val="24"/>
          <w:szCs w:val="24"/>
        </w:rPr>
        <w:t xml:space="preserve">, who was </w:t>
      </w:r>
      <w:r w:rsidR="002A7C88" w:rsidRPr="001F7183">
        <w:rPr>
          <w:rFonts w:ascii="Book Antiqua" w:hAnsi="Book Antiqua"/>
          <w:sz w:val="24"/>
          <w:szCs w:val="24"/>
        </w:rPr>
        <w:t>switched</w:t>
      </w:r>
      <w:r w:rsidRPr="001F7183">
        <w:rPr>
          <w:rFonts w:ascii="Book Antiqua" w:hAnsi="Book Antiqua"/>
          <w:sz w:val="24"/>
          <w:szCs w:val="24"/>
        </w:rPr>
        <w:t xml:space="preserve"> over from entecavir to tenofovir, for management of hepatitis B reactivation. She developed bleeding </w:t>
      </w:r>
      <w:r w:rsidR="002A7C88" w:rsidRPr="001F7183">
        <w:rPr>
          <w:rFonts w:ascii="Book Antiqua" w:hAnsi="Book Antiqua"/>
          <w:sz w:val="24"/>
          <w:szCs w:val="24"/>
        </w:rPr>
        <w:t>diathesis</w:t>
      </w:r>
      <w:r w:rsidRPr="001F7183">
        <w:rPr>
          <w:rFonts w:ascii="Book Antiqua" w:hAnsi="Book Antiqua"/>
          <w:sz w:val="24"/>
          <w:szCs w:val="24"/>
        </w:rPr>
        <w:t xml:space="preserve"> and severe thrombocytopenia was detected on investigations. Bone marrow examination showed normocellular marrow with megakaryocytes.</w:t>
      </w:r>
      <w:r w:rsidR="001F7183" w:rsidRPr="001F7183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1F7183">
        <w:rPr>
          <w:rFonts w:ascii="Book Antiqua" w:hAnsi="Book Antiqua"/>
          <w:sz w:val="24"/>
          <w:szCs w:val="24"/>
        </w:rPr>
        <w:t>Tenofovir was stopped and she was started on</w:t>
      </w:r>
      <w:r w:rsidR="001F7183" w:rsidRPr="001F7183">
        <w:rPr>
          <w:rFonts w:ascii="Book Antiqua" w:hAnsi="Book Antiqua"/>
          <w:sz w:val="24"/>
          <w:szCs w:val="24"/>
        </w:rPr>
        <w:t xml:space="preserve"> intravenous immunoglobulin</w:t>
      </w:r>
      <w:r w:rsidRPr="001F7183">
        <w:rPr>
          <w:rFonts w:ascii="Book Antiqua" w:hAnsi="Book Antiqua"/>
          <w:sz w:val="24"/>
          <w:szCs w:val="24"/>
        </w:rPr>
        <w:t xml:space="preserve">, followed by steroids. There was improvement in platlet counts. The case highlights a rare side effect of tenofovir therapy. </w:t>
      </w:r>
    </w:p>
    <w:p w:rsidR="001F7183" w:rsidRPr="001F7183" w:rsidRDefault="001F7183" w:rsidP="001F7183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1F7183" w:rsidRPr="001F7183" w:rsidRDefault="001F7183" w:rsidP="0061464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F7183">
        <w:rPr>
          <w:rFonts w:ascii="Book Antiqua" w:hAnsi="Book Antiqua" w:cs="Times New Roman"/>
          <w:b/>
          <w:sz w:val="24"/>
          <w:szCs w:val="24"/>
        </w:rPr>
        <w:t>Key words</w:t>
      </w:r>
      <w:r w:rsidRPr="001F7183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r w:rsidRPr="001F7183">
        <w:rPr>
          <w:rFonts w:ascii="Book Antiqua" w:hAnsi="Book Antiqua" w:cs="Times New Roman"/>
          <w:sz w:val="24"/>
          <w:szCs w:val="24"/>
        </w:rPr>
        <w:t>Tenofovir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>;</w:t>
      </w:r>
      <w:r w:rsidRPr="001F7183">
        <w:rPr>
          <w:rFonts w:ascii="Book Antiqua" w:hAnsi="Book Antiqua" w:cs="Times New Roman"/>
          <w:sz w:val="24"/>
          <w:szCs w:val="24"/>
        </w:rPr>
        <w:t xml:space="preserve"> Hepatitis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>;</w:t>
      </w:r>
      <w:r w:rsidRPr="001F7183">
        <w:rPr>
          <w:rFonts w:ascii="Book Antiqua" w:hAnsi="Book Antiqua" w:cs="Times New Roman"/>
          <w:sz w:val="24"/>
          <w:szCs w:val="24"/>
        </w:rPr>
        <w:t xml:space="preserve"> Thrombocytopenia</w:t>
      </w:r>
    </w:p>
    <w:p w:rsidR="00F67A47" w:rsidRDefault="00F67A47" w:rsidP="0061464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14644" w:rsidRPr="00761581" w:rsidRDefault="00614644" w:rsidP="0061464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575DEE">
        <w:rPr>
          <w:rFonts w:ascii="Book Antiqua" w:hAnsi="Book Antiqua"/>
          <w:b/>
          <w:sz w:val="24"/>
          <w:szCs w:val="24"/>
        </w:rPr>
        <w:t>©</w:t>
      </w:r>
      <w:r w:rsidRPr="00575DEE">
        <w:rPr>
          <w:rFonts w:ascii="Book Antiqua" w:hAnsi="Book Antiqua" w:hint="eastAsia"/>
          <w:b/>
          <w:sz w:val="24"/>
          <w:szCs w:val="24"/>
        </w:rPr>
        <w:t xml:space="preserve"> </w:t>
      </w:r>
      <w:r w:rsidRPr="00575DEE">
        <w:rPr>
          <w:rFonts w:ascii="Book Antiqua" w:hAnsi="Book Antiqua" w:cs="Arial"/>
          <w:b/>
          <w:sz w:val="24"/>
          <w:szCs w:val="24"/>
        </w:rPr>
        <w:t>The Author(s) 201</w:t>
      </w:r>
      <w:r>
        <w:rPr>
          <w:rFonts w:ascii="Book Antiqua" w:hAnsi="Book Antiqua" w:cs="Arial" w:hint="eastAsia"/>
          <w:b/>
          <w:sz w:val="24"/>
          <w:szCs w:val="24"/>
        </w:rPr>
        <w:t>7</w:t>
      </w:r>
      <w:r w:rsidRPr="00575DEE">
        <w:rPr>
          <w:rFonts w:ascii="Book Antiqua" w:hAnsi="Book Antiqua" w:cs="Arial"/>
          <w:b/>
          <w:sz w:val="24"/>
          <w:szCs w:val="24"/>
        </w:rPr>
        <w:t>.</w:t>
      </w:r>
      <w:r w:rsidRPr="00761581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614644" w:rsidRPr="001F7183" w:rsidRDefault="00614644" w:rsidP="0061464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A5AE2" w:rsidRPr="001F7183" w:rsidRDefault="00EA5AE2" w:rsidP="00614644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</w:rPr>
      </w:pPr>
      <w:r w:rsidRPr="001F7183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1F7183" w:rsidRPr="001F7183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1F7183" w:rsidRPr="001F7183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r w:rsidR="002A7C88" w:rsidRPr="001F7183">
        <w:rPr>
          <w:rFonts w:ascii="Book Antiqua" w:eastAsia="Arial Unicode MS" w:hAnsi="Book Antiqua" w:cs="Arial Unicode MS"/>
          <w:sz w:val="24"/>
          <w:szCs w:val="24"/>
        </w:rPr>
        <w:t>T</w:t>
      </w:r>
      <w:r w:rsidR="003140FF" w:rsidRPr="001F7183">
        <w:rPr>
          <w:rFonts w:ascii="Book Antiqua" w:eastAsia="Arial Unicode MS" w:hAnsi="Book Antiqua" w:cs="Arial Unicode MS"/>
          <w:sz w:val="24"/>
          <w:szCs w:val="24"/>
        </w:rPr>
        <w:t xml:space="preserve">he present case report highlights a rare side effect of tenofovir therapy for hepatitis B infection. As the drug is commonly used in for management of </w:t>
      </w:r>
      <w:r w:rsidR="001F7183" w:rsidRPr="001F7183">
        <w:rPr>
          <w:rFonts w:ascii="Book Antiqua" w:eastAsia="Arial Unicode MS" w:hAnsi="Book Antiqua" w:cs="Arial Unicode MS"/>
          <w:sz w:val="24"/>
          <w:szCs w:val="24"/>
        </w:rPr>
        <w:t>h</w:t>
      </w:r>
      <w:r w:rsidR="003140FF" w:rsidRPr="001F7183">
        <w:rPr>
          <w:rFonts w:ascii="Book Antiqua" w:eastAsia="Arial Unicode MS" w:hAnsi="Book Antiqua" w:cs="Arial Unicode MS"/>
          <w:sz w:val="24"/>
          <w:szCs w:val="24"/>
        </w:rPr>
        <w:t xml:space="preserve">epatitis B and </w:t>
      </w:r>
      <w:r w:rsidR="001F7183" w:rsidRPr="001F7183">
        <w:rPr>
          <w:rFonts w:ascii="Book Antiqua" w:hAnsi="Book Antiqua" w:cs="Arial"/>
          <w:sz w:val="24"/>
          <w:szCs w:val="24"/>
        </w:rPr>
        <w:t>human immunodeficiency virus</w:t>
      </w:r>
      <w:r w:rsidR="003140FF" w:rsidRPr="001F7183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2A7C88" w:rsidRPr="001F7183">
        <w:rPr>
          <w:rFonts w:ascii="Book Antiqua" w:eastAsia="Arial Unicode MS" w:hAnsi="Book Antiqua" w:cs="Arial Unicode MS"/>
          <w:sz w:val="24"/>
          <w:szCs w:val="24"/>
        </w:rPr>
        <w:t>infection,</w:t>
      </w:r>
      <w:r w:rsidR="003140FF" w:rsidRPr="001F7183">
        <w:rPr>
          <w:rFonts w:ascii="Book Antiqua" w:eastAsia="Arial Unicode MS" w:hAnsi="Book Antiqua" w:cs="Arial Unicode MS"/>
          <w:sz w:val="24"/>
          <w:szCs w:val="24"/>
        </w:rPr>
        <w:t xml:space="preserve"> the knowledge to this rare side effect would help physicians to be more watchful and improve patient management</w:t>
      </w:r>
      <w:r w:rsidR="00614644">
        <w:rPr>
          <w:rFonts w:ascii="Book Antiqua" w:eastAsia="Arial Unicode MS" w:hAnsi="Book Antiqua" w:cs="Arial Unicode MS" w:hint="eastAsia"/>
          <w:sz w:val="24"/>
          <w:szCs w:val="24"/>
          <w:lang w:eastAsia="zh-CN"/>
        </w:rPr>
        <w:t>.</w:t>
      </w:r>
      <w:r w:rsidR="003140FF" w:rsidRPr="001F7183">
        <w:rPr>
          <w:rFonts w:ascii="Book Antiqua" w:eastAsia="Arial Unicode MS" w:hAnsi="Book Antiqua" w:cs="Arial Unicode MS"/>
          <w:sz w:val="24"/>
          <w:szCs w:val="24"/>
        </w:rPr>
        <w:t xml:space="preserve"> </w:t>
      </w:r>
    </w:p>
    <w:p w:rsidR="001F7183" w:rsidRPr="001F7183" w:rsidRDefault="001F7183" w:rsidP="001F7183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eastAsia="zh-CN"/>
        </w:rPr>
      </w:pPr>
    </w:p>
    <w:p w:rsidR="00F67A47" w:rsidRPr="001F7183" w:rsidRDefault="001F7183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F7183">
        <w:rPr>
          <w:rFonts w:ascii="Book Antiqua" w:hAnsi="Book Antiqua" w:cs="Times New Roman"/>
          <w:sz w:val="24"/>
          <w:szCs w:val="24"/>
        </w:rPr>
        <w:t>Jain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 xml:space="preserve"> M</w:t>
      </w:r>
      <w:r w:rsidRPr="001F7183">
        <w:rPr>
          <w:rFonts w:ascii="Book Antiqua" w:hAnsi="Book Antiqua" w:cs="Times New Roman"/>
          <w:sz w:val="24"/>
          <w:szCs w:val="24"/>
        </w:rPr>
        <w:t>, Vargese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 xml:space="preserve"> J</w:t>
      </w:r>
      <w:r w:rsidRPr="001F7183">
        <w:rPr>
          <w:rFonts w:ascii="Book Antiqua" w:hAnsi="Book Antiqua" w:cs="Times New Roman"/>
          <w:sz w:val="24"/>
          <w:szCs w:val="24"/>
        </w:rPr>
        <w:t>, Venkatatraman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 xml:space="preserve"> J.</w:t>
      </w:r>
      <w:r w:rsidRPr="001F7183">
        <w:rPr>
          <w:rFonts w:ascii="Book Antiqua" w:hAnsi="Book Antiqua" w:cs="Times New Roman"/>
          <w:sz w:val="24"/>
          <w:szCs w:val="24"/>
        </w:rPr>
        <w:t xml:space="preserve"> Tenofovir induced severe thrombocytopenia</w:t>
      </w:r>
      <w:r w:rsidRPr="001F7183">
        <w:rPr>
          <w:rFonts w:ascii="Book Antiqua" w:hAnsi="Book Antiqua" w:cs="Times New Roman"/>
          <w:sz w:val="24"/>
          <w:szCs w:val="24"/>
          <w:lang w:eastAsia="zh-CN"/>
        </w:rPr>
        <w:t>.</w:t>
      </w:r>
      <w:r w:rsidRPr="001F7183">
        <w:rPr>
          <w:rFonts w:ascii="Book Antiqua" w:hAnsi="Book Antiqua"/>
          <w:i/>
          <w:iCs/>
          <w:sz w:val="24"/>
          <w:szCs w:val="24"/>
        </w:rPr>
        <w:t xml:space="preserve"> World J Pharmacol</w:t>
      </w:r>
      <w:r w:rsidRPr="001F7183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1F7183">
        <w:rPr>
          <w:rFonts w:ascii="Book Antiqua" w:hAnsi="Book Antiqua"/>
          <w:iCs/>
          <w:sz w:val="24"/>
          <w:szCs w:val="24"/>
          <w:lang w:eastAsia="zh-CN"/>
        </w:rPr>
        <w:t>2017; In press</w:t>
      </w:r>
    </w:p>
    <w:p w:rsidR="001F7183" w:rsidRPr="001F7183" w:rsidRDefault="001F7183" w:rsidP="001F718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F7183">
        <w:rPr>
          <w:rFonts w:ascii="Book Antiqua" w:hAnsi="Book Antiqua" w:cs="Times New Roman"/>
          <w:b/>
          <w:sz w:val="24"/>
          <w:szCs w:val="24"/>
        </w:rPr>
        <w:br w:type="page"/>
      </w:r>
    </w:p>
    <w:p w:rsidR="005720D6" w:rsidRPr="001F7183" w:rsidRDefault="001F7183" w:rsidP="001F718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F7183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FA7E19" w:rsidRDefault="00FA7E19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F7183">
        <w:rPr>
          <w:rFonts w:ascii="Book Antiqua" w:hAnsi="Book Antiqua" w:cs="Times New Roman"/>
          <w:sz w:val="24"/>
          <w:szCs w:val="24"/>
        </w:rPr>
        <w:t>Tenofovir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>disoproxil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 xml:space="preserve">fumarate (TDF) is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often </w:t>
      </w:r>
      <w:r w:rsidRPr="001F7183">
        <w:rPr>
          <w:rFonts w:ascii="Book Antiqua" w:hAnsi="Book Antiqua" w:cs="Times New Roman"/>
          <w:sz w:val="24"/>
          <w:szCs w:val="24"/>
        </w:rPr>
        <w:t xml:space="preserve">used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in management of </w:t>
      </w:r>
      <w:r w:rsidRPr="001F7183">
        <w:rPr>
          <w:rFonts w:ascii="Book Antiqua" w:hAnsi="Book Antiqua" w:cs="Times New Roman"/>
          <w:sz w:val="24"/>
          <w:szCs w:val="24"/>
        </w:rPr>
        <w:t xml:space="preserve">hepatitis B and </w:t>
      </w:r>
      <w:r w:rsidR="001F7183" w:rsidRPr="001F7183">
        <w:rPr>
          <w:rFonts w:ascii="Book Antiqua" w:hAnsi="Book Antiqua" w:cs="Arial"/>
          <w:sz w:val="24"/>
          <w:szCs w:val="24"/>
        </w:rPr>
        <w:t>human immunodeficiency virus</w:t>
      </w:r>
      <w:r w:rsidR="001F7183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1F7183" w:rsidRPr="001F7183">
        <w:rPr>
          <w:rFonts w:ascii="Book Antiqua" w:hAnsi="Book Antiqua" w:cs="Times New Roman"/>
          <w:sz w:val="24"/>
          <w:szCs w:val="24"/>
          <w:lang w:eastAsia="zh-CN"/>
        </w:rPr>
        <w:t>(</w:t>
      </w:r>
      <w:r w:rsidRPr="001F7183">
        <w:rPr>
          <w:rFonts w:ascii="Book Antiqua" w:hAnsi="Book Antiqua" w:cs="Times New Roman"/>
          <w:sz w:val="24"/>
          <w:szCs w:val="24"/>
        </w:rPr>
        <w:t>HIV</w:t>
      </w:r>
      <w:r w:rsidR="001F7183" w:rsidRPr="001F7183">
        <w:rPr>
          <w:rFonts w:ascii="Book Antiqua" w:hAnsi="Book Antiqua" w:cs="Times New Roman"/>
          <w:sz w:val="24"/>
          <w:szCs w:val="24"/>
          <w:lang w:eastAsia="zh-CN"/>
        </w:rPr>
        <w:t>)</w:t>
      </w:r>
      <w:r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D37816" w:rsidRPr="001F7183">
        <w:rPr>
          <w:rFonts w:ascii="Book Antiqua" w:hAnsi="Book Antiqua" w:cs="Times New Roman"/>
          <w:sz w:val="24"/>
          <w:szCs w:val="24"/>
        </w:rPr>
        <w:t>infection</w:t>
      </w:r>
      <w:r w:rsidRPr="001F7183">
        <w:rPr>
          <w:rFonts w:ascii="Book Antiqua" w:hAnsi="Book Antiqua" w:cs="Times New Roman"/>
          <w:sz w:val="24"/>
          <w:szCs w:val="24"/>
        </w:rPr>
        <w:t xml:space="preserve">. Nausea, vomiting, renal dysfunction and abdominal discomfort are the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known adverse effects </w:t>
      </w:r>
      <w:r w:rsidRPr="001F7183">
        <w:rPr>
          <w:rFonts w:ascii="Book Antiqua" w:hAnsi="Book Antiqua" w:cs="Times New Roman"/>
          <w:sz w:val="24"/>
          <w:szCs w:val="24"/>
        </w:rPr>
        <w:t>of the drug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Pr="001F7183">
        <w:rPr>
          <w:rFonts w:ascii="Book Antiqua" w:hAnsi="Book Antiqua" w:cs="Times New Roman"/>
          <w:sz w:val="24"/>
          <w:szCs w:val="24"/>
        </w:rPr>
        <w:t xml:space="preserve">. We report a case of post liver transplant severe </w:t>
      </w:r>
      <w:r w:rsidR="00217001" w:rsidRPr="001F7183">
        <w:rPr>
          <w:rFonts w:ascii="Book Antiqua" w:hAnsi="Book Antiqua" w:cs="Times New Roman"/>
          <w:sz w:val="24"/>
          <w:szCs w:val="24"/>
        </w:rPr>
        <w:t>thrombocytopenia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following introduction of prophylactic </w:t>
      </w:r>
      <w:r w:rsidR="00217001" w:rsidRPr="001F7183">
        <w:rPr>
          <w:rFonts w:ascii="Book Antiqua" w:hAnsi="Book Antiqua" w:cs="Times New Roman"/>
          <w:sz w:val="24"/>
          <w:szCs w:val="24"/>
        </w:rPr>
        <w:t>tenofovir.</w:t>
      </w:r>
    </w:p>
    <w:p w:rsidR="001F7183" w:rsidRPr="001F7183" w:rsidRDefault="001F7183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47229F" w:rsidRPr="001F7183" w:rsidRDefault="001F7183" w:rsidP="001F718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F7183">
        <w:rPr>
          <w:rFonts w:ascii="Book Antiqua" w:hAnsi="Book Antiqua" w:cs="Times New Roman"/>
          <w:b/>
          <w:sz w:val="24"/>
          <w:szCs w:val="24"/>
        </w:rPr>
        <w:t>CASE REPORT</w:t>
      </w:r>
    </w:p>
    <w:p w:rsidR="003247C5" w:rsidRPr="001F7183" w:rsidRDefault="0047229F" w:rsidP="001F718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F7183">
        <w:rPr>
          <w:rFonts w:ascii="Book Antiqua" w:hAnsi="Book Antiqua" w:cs="Times New Roman"/>
          <w:sz w:val="24"/>
          <w:szCs w:val="24"/>
        </w:rPr>
        <w:t>A 50 year</w:t>
      </w:r>
      <w:r w:rsidR="001F7183">
        <w:rPr>
          <w:rFonts w:ascii="Book Antiqua" w:hAnsi="Book Antiqua" w:cs="Times New Roman" w:hint="eastAsia"/>
          <w:sz w:val="24"/>
          <w:szCs w:val="24"/>
          <w:lang w:eastAsia="zh-CN"/>
        </w:rPr>
        <w:t>s</w:t>
      </w:r>
      <w:r w:rsidRPr="001F7183">
        <w:rPr>
          <w:rFonts w:ascii="Book Antiqua" w:hAnsi="Book Antiqua" w:cs="Times New Roman"/>
          <w:sz w:val="24"/>
          <w:szCs w:val="24"/>
        </w:rPr>
        <w:t xml:space="preserve"> old </w:t>
      </w:r>
      <w:r w:rsidR="003247C5" w:rsidRPr="001F7183">
        <w:rPr>
          <w:rFonts w:ascii="Book Antiqua" w:hAnsi="Book Antiqua" w:cs="Times New Roman"/>
          <w:sz w:val="24"/>
          <w:szCs w:val="24"/>
        </w:rPr>
        <w:t>lady</w:t>
      </w:r>
      <w:r w:rsidRPr="001F7183">
        <w:rPr>
          <w:rFonts w:ascii="Book Antiqua" w:hAnsi="Book Antiqua" w:cs="Times New Roman"/>
          <w:sz w:val="24"/>
          <w:szCs w:val="24"/>
        </w:rPr>
        <w:t xml:space="preserve"> had undergone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deceased donor </w:t>
      </w:r>
      <w:r w:rsidRPr="001F7183">
        <w:rPr>
          <w:rFonts w:ascii="Book Antiqua" w:hAnsi="Book Antiqua" w:cs="Times New Roman"/>
          <w:sz w:val="24"/>
          <w:szCs w:val="24"/>
        </w:rPr>
        <w:t xml:space="preserve">liver transplantation for Hepatitis </w:t>
      </w:r>
      <w:r w:rsidR="003247C5" w:rsidRPr="001F7183">
        <w:rPr>
          <w:rFonts w:ascii="Book Antiqua" w:hAnsi="Book Antiqua" w:cs="Times New Roman"/>
          <w:sz w:val="24"/>
          <w:szCs w:val="24"/>
        </w:rPr>
        <w:t>C related</w:t>
      </w:r>
      <w:r w:rsidRPr="001F7183">
        <w:rPr>
          <w:rFonts w:ascii="Book Antiqua" w:hAnsi="Book Antiqua" w:cs="Times New Roman"/>
          <w:sz w:val="24"/>
          <w:szCs w:val="24"/>
        </w:rPr>
        <w:t xml:space="preserve"> cirrhosis in 2013. </w:t>
      </w:r>
      <w:r w:rsidR="00D37816" w:rsidRPr="001F7183">
        <w:rPr>
          <w:rFonts w:ascii="Book Antiqua" w:hAnsi="Book Antiqua" w:cs="Times New Roman"/>
          <w:sz w:val="24"/>
          <w:szCs w:val="24"/>
        </w:rPr>
        <w:t>The donor was anti HBc positive.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Post transplant, she was treated for recurrence of </w:t>
      </w:r>
      <w:r w:rsidR="001F7183" w:rsidRPr="001F7183">
        <w:rPr>
          <w:rFonts w:ascii="Book Antiqua" w:hAnsi="Book Antiqua" w:cs="Times New Roman"/>
          <w:sz w:val="24"/>
          <w:szCs w:val="24"/>
        </w:rPr>
        <w:t>hepatitis C virus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06426B">
        <w:rPr>
          <w:rFonts w:ascii="Book Antiqua" w:hAnsi="Book Antiqua" w:cs="Times New Roman" w:hint="eastAsia"/>
          <w:sz w:val="24"/>
          <w:szCs w:val="24"/>
          <w:lang w:eastAsia="zh-CN"/>
        </w:rPr>
        <w:t xml:space="preserve">(HCV)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infection at 6 mo </w:t>
      </w:r>
      <w:r w:rsidR="003140FF" w:rsidRPr="001F7183">
        <w:rPr>
          <w:rFonts w:ascii="Book Antiqua" w:hAnsi="Book Antiqua" w:cs="Times New Roman"/>
          <w:sz w:val="24"/>
          <w:szCs w:val="24"/>
        </w:rPr>
        <w:t>with sofosbuvir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 and simipravir.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D37816" w:rsidRPr="001F7183">
        <w:rPr>
          <w:rFonts w:ascii="Book Antiqua" w:hAnsi="Book Antiqua" w:cs="Times New Roman"/>
          <w:sz w:val="24"/>
          <w:szCs w:val="24"/>
        </w:rPr>
        <w:t>For new onset tuberculous pleural effusion she received a complete course of antituberculous medication.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She was also initiated on entecavir 0.5 mg once a day as prophylaxis for hepatitis B virus </w:t>
      </w:r>
      <w:r w:rsidR="0006426B">
        <w:rPr>
          <w:rFonts w:ascii="Book Antiqua" w:hAnsi="Book Antiqua" w:cs="Times New Roman" w:hint="eastAsia"/>
          <w:sz w:val="24"/>
          <w:szCs w:val="24"/>
          <w:lang w:eastAsia="zh-CN"/>
        </w:rPr>
        <w:t xml:space="preserve">(HBV) </w:t>
      </w:r>
      <w:r w:rsidR="00D37816" w:rsidRPr="001F7183">
        <w:rPr>
          <w:rFonts w:ascii="Book Antiqua" w:hAnsi="Book Antiqua" w:cs="Times New Roman"/>
          <w:sz w:val="24"/>
          <w:szCs w:val="24"/>
        </w:rPr>
        <w:t>infection.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The 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>HCV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3140FF" w:rsidRPr="001F7183">
        <w:rPr>
          <w:rFonts w:ascii="Book Antiqua" w:hAnsi="Book Antiqua" w:cs="Times New Roman"/>
          <w:sz w:val="24"/>
          <w:szCs w:val="24"/>
        </w:rPr>
        <w:t>cleared with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 a sustained viral response at one year.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D37816" w:rsidRPr="001F7183">
        <w:rPr>
          <w:rFonts w:ascii="Book Antiqua" w:hAnsi="Book Antiqua" w:cs="Times New Roman"/>
          <w:sz w:val="24"/>
          <w:szCs w:val="24"/>
        </w:rPr>
        <w:t xml:space="preserve">The HBV DNA load </w:t>
      </w:r>
      <w:r w:rsidR="001201BF" w:rsidRPr="001F7183">
        <w:rPr>
          <w:rFonts w:ascii="Book Antiqua" w:hAnsi="Book Antiqua" w:cs="Times New Roman"/>
          <w:sz w:val="24"/>
          <w:szCs w:val="24"/>
        </w:rPr>
        <w:t>which was not detectable in the immediate post transplant period increased to 13665 IU/mL at end of one year and this was attributed to a default in adherence to the treatment.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Patient was switched over to </w:t>
      </w:r>
      <w:r w:rsidR="00A71EC6" w:rsidRPr="001F7183">
        <w:rPr>
          <w:rFonts w:ascii="Book Antiqua" w:hAnsi="Book Antiqua" w:cs="Times New Roman"/>
          <w:sz w:val="24"/>
          <w:szCs w:val="24"/>
        </w:rPr>
        <w:t>Tenofovir 300 mg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 once </w:t>
      </w:r>
      <w:r w:rsidR="005F79C2" w:rsidRPr="001F7183">
        <w:rPr>
          <w:rFonts w:ascii="Book Antiqua" w:hAnsi="Book Antiqua" w:cs="Times New Roman"/>
          <w:sz w:val="24"/>
          <w:szCs w:val="24"/>
        </w:rPr>
        <w:t>a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 day.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</w:p>
    <w:p w:rsidR="0045182E" w:rsidRDefault="00B473D6" w:rsidP="001C397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F7183">
        <w:rPr>
          <w:rFonts w:ascii="Book Antiqua" w:hAnsi="Book Antiqua" w:cs="Times New Roman"/>
          <w:sz w:val="24"/>
          <w:szCs w:val="24"/>
        </w:rPr>
        <w:t xml:space="preserve">Four 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weeks later 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after initiation of tenofovir, she developed bleeding gums, 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and 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generalised </w:t>
      </w:r>
      <w:r w:rsidR="00A71EC6" w:rsidRPr="001F7183">
        <w:rPr>
          <w:rFonts w:ascii="Book Antiqua" w:hAnsi="Book Antiqua" w:cs="Times New Roman"/>
          <w:sz w:val="24"/>
          <w:szCs w:val="24"/>
        </w:rPr>
        <w:t>ecchymoses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. Apart from tacrolimus she was not on any other medication or alternative systems of medicine. 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On </w:t>
      </w:r>
      <w:r w:rsidR="001201BF" w:rsidRPr="001F7183">
        <w:rPr>
          <w:rFonts w:ascii="Book Antiqua" w:hAnsi="Book Antiqua" w:cs="Times New Roman"/>
          <w:sz w:val="24"/>
          <w:szCs w:val="24"/>
        </w:rPr>
        <w:t>evaluation, the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 plat</w:t>
      </w:r>
      <w:r w:rsidR="001201BF" w:rsidRPr="001F7183">
        <w:rPr>
          <w:rFonts w:ascii="Book Antiqua" w:hAnsi="Book Antiqua" w:cs="Times New Roman"/>
          <w:sz w:val="24"/>
          <w:szCs w:val="24"/>
        </w:rPr>
        <w:t>e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let count 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dropped to </w:t>
      </w:r>
      <w:r w:rsidR="00A71EC6" w:rsidRPr="001F7183">
        <w:rPr>
          <w:rFonts w:ascii="Book Antiqua" w:hAnsi="Book Antiqua" w:cs="Times New Roman"/>
          <w:sz w:val="24"/>
          <w:szCs w:val="24"/>
        </w:rPr>
        <w:t>3000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 cells per 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cu.mm, </w:t>
      </w:r>
      <w:r w:rsidR="001201BF" w:rsidRPr="001F7183">
        <w:rPr>
          <w:rFonts w:ascii="Book Antiqua" w:hAnsi="Book Antiqua" w:cs="Times New Roman"/>
          <w:sz w:val="24"/>
          <w:szCs w:val="24"/>
        </w:rPr>
        <w:t>h</w:t>
      </w:r>
      <w:r w:rsidR="003247C5" w:rsidRPr="001F7183">
        <w:rPr>
          <w:rFonts w:ascii="Book Antiqua" w:hAnsi="Book Antiqua" w:cs="Times New Roman"/>
          <w:sz w:val="24"/>
          <w:szCs w:val="24"/>
        </w:rPr>
        <w:t>aemoglobin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was </w:t>
      </w:r>
      <w:r w:rsidR="001C3976">
        <w:rPr>
          <w:rFonts w:ascii="Book Antiqua" w:hAnsi="Book Antiqua" w:cs="Times New Roman"/>
          <w:sz w:val="24"/>
          <w:szCs w:val="24"/>
        </w:rPr>
        <w:t>10.8 g</w:t>
      </w:r>
      <w:r w:rsidR="00A71EC6" w:rsidRPr="001F7183">
        <w:rPr>
          <w:rFonts w:ascii="Book Antiqua" w:hAnsi="Book Antiqua" w:cs="Times New Roman"/>
          <w:sz w:val="24"/>
          <w:szCs w:val="24"/>
        </w:rPr>
        <w:t>/d</w:t>
      </w:r>
      <w:r w:rsidR="001C3976" w:rsidRPr="001F7183">
        <w:rPr>
          <w:rFonts w:ascii="Book Antiqua" w:hAnsi="Book Antiqua" w:cs="Times New Roman"/>
          <w:sz w:val="24"/>
          <w:szCs w:val="24"/>
        </w:rPr>
        <w:t>L</w:t>
      </w:r>
      <w:r w:rsidR="00A71EC6" w:rsidRPr="001F7183">
        <w:rPr>
          <w:rFonts w:ascii="Book Antiqua" w:hAnsi="Book Antiqua" w:cs="Times New Roman"/>
          <w:sz w:val="24"/>
          <w:szCs w:val="24"/>
        </w:rPr>
        <w:t>,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 with a 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total </w:t>
      </w:r>
      <w:r w:rsidR="003247C5" w:rsidRPr="001F7183">
        <w:rPr>
          <w:rFonts w:ascii="Book Antiqua" w:hAnsi="Book Antiqua" w:cs="Times New Roman"/>
          <w:sz w:val="24"/>
          <w:szCs w:val="24"/>
        </w:rPr>
        <w:t>leukocyte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 count 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of </w:t>
      </w:r>
      <w:r w:rsidR="001C3976">
        <w:rPr>
          <w:rFonts w:ascii="Book Antiqua" w:hAnsi="Book Antiqua" w:cs="Times New Roman"/>
          <w:sz w:val="24"/>
          <w:szCs w:val="24"/>
        </w:rPr>
        <w:t>4500</w:t>
      </w:r>
      <w:r w:rsidR="00A71EC6" w:rsidRPr="001F7183">
        <w:rPr>
          <w:rFonts w:ascii="Book Antiqua" w:hAnsi="Book Antiqua" w:cs="Times New Roman"/>
          <w:sz w:val="24"/>
          <w:szCs w:val="24"/>
        </w:rPr>
        <w:t>/cu.mm</w:t>
      </w:r>
      <w:r w:rsidR="001201BF" w:rsidRPr="001F7183">
        <w:rPr>
          <w:rFonts w:ascii="Book Antiqua" w:hAnsi="Book Antiqua" w:cs="Times New Roman"/>
          <w:sz w:val="24"/>
          <w:szCs w:val="24"/>
        </w:rPr>
        <w:t>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5F79C2" w:rsidRPr="001F7183">
        <w:rPr>
          <w:rFonts w:ascii="Book Antiqua" w:hAnsi="Book Antiqua" w:cs="Times New Roman"/>
          <w:sz w:val="24"/>
          <w:szCs w:val="24"/>
        </w:rPr>
        <w:t>Liver function tests including trasnminases were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 normal (</w:t>
      </w:r>
      <w:r w:rsidR="00A71EC6" w:rsidRPr="001F7183">
        <w:rPr>
          <w:rFonts w:ascii="Book Antiqua" w:hAnsi="Book Antiqua" w:cs="Times New Roman"/>
          <w:sz w:val="24"/>
          <w:szCs w:val="24"/>
        </w:rPr>
        <w:t>ALT 27 IU/L, AST 32 IU/L</w:t>
      </w:r>
      <w:r w:rsidR="001201BF" w:rsidRPr="001F7183">
        <w:rPr>
          <w:rFonts w:ascii="Book Antiqua" w:hAnsi="Book Antiqua" w:cs="Times New Roman"/>
          <w:sz w:val="24"/>
          <w:szCs w:val="24"/>
        </w:rPr>
        <w:t>0.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1201BF" w:rsidRPr="001F7183">
        <w:rPr>
          <w:rFonts w:ascii="Book Antiqua" w:hAnsi="Book Antiqua" w:cs="Times New Roman"/>
          <w:sz w:val="24"/>
          <w:szCs w:val="24"/>
        </w:rPr>
        <w:t>S</w:t>
      </w:r>
      <w:r w:rsidR="007F2D48" w:rsidRPr="001F7183">
        <w:rPr>
          <w:rFonts w:ascii="Book Antiqua" w:hAnsi="Book Antiqua" w:cs="Times New Roman"/>
          <w:sz w:val="24"/>
          <w:szCs w:val="24"/>
        </w:rPr>
        <w:t>erum creatinine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was </w:t>
      </w:r>
      <w:r w:rsidR="007F2D48" w:rsidRPr="001F7183">
        <w:rPr>
          <w:rFonts w:ascii="Book Antiqua" w:hAnsi="Book Antiqua" w:cs="Times New Roman"/>
          <w:sz w:val="24"/>
          <w:szCs w:val="24"/>
        </w:rPr>
        <w:t>0.8 mg/d</w:t>
      </w:r>
      <w:r w:rsidR="001C3976" w:rsidRPr="001F7183">
        <w:rPr>
          <w:rFonts w:ascii="Book Antiqua" w:hAnsi="Book Antiqua" w:cs="Times New Roman"/>
          <w:sz w:val="24"/>
          <w:szCs w:val="24"/>
        </w:rPr>
        <w:t>L</w:t>
      </w:r>
      <w:r w:rsidR="007F2D48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A71EC6" w:rsidRPr="001F7183">
        <w:rPr>
          <w:rFonts w:ascii="Book Antiqua" w:hAnsi="Book Antiqua" w:cs="Times New Roman"/>
          <w:sz w:val="24"/>
          <w:szCs w:val="24"/>
        </w:rPr>
        <w:t>and blood Tacrolimus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trough value was </w:t>
      </w:r>
      <w:r w:rsidR="00A71EC6" w:rsidRPr="001F7183">
        <w:rPr>
          <w:rFonts w:ascii="Book Antiqua" w:hAnsi="Book Antiqua" w:cs="Times New Roman"/>
          <w:sz w:val="24"/>
          <w:szCs w:val="24"/>
        </w:rPr>
        <w:t>4.3 ng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 per mL</w:t>
      </w:r>
      <w:r w:rsidR="00A71EC6" w:rsidRPr="001F7183">
        <w:rPr>
          <w:rFonts w:ascii="Book Antiqua" w:hAnsi="Book Antiqua" w:cs="Times New Roman"/>
          <w:sz w:val="24"/>
          <w:szCs w:val="24"/>
        </w:rPr>
        <w:t>.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She </w:t>
      </w:r>
      <w:r w:rsidR="001201BF" w:rsidRPr="001F7183">
        <w:rPr>
          <w:rFonts w:ascii="Book Antiqua" w:hAnsi="Book Antiqua" w:cs="Times New Roman"/>
          <w:sz w:val="24"/>
          <w:szCs w:val="24"/>
        </w:rPr>
        <w:t xml:space="preserve">received several </w:t>
      </w:r>
      <w:r w:rsidR="00A71EC6" w:rsidRPr="001F7183">
        <w:rPr>
          <w:rFonts w:ascii="Book Antiqua" w:hAnsi="Book Antiqua" w:cs="Times New Roman"/>
          <w:sz w:val="24"/>
          <w:szCs w:val="24"/>
        </w:rPr>
        <w:t>plat</w:t>
      </w:r>
      <w:r w:rsidR="001201BF" w:rsidRPr="001F7183">
        <w:rPr>
          <w:rFonts w:ascii="Book Antiqua" w:hAnsi="Book Antiqua" w:cs="Times New Roman"/>
          <w:sz w:val="24"/>
          <w:szCs w:val="24"/>
        </w:rPr>
        <w:t>e</w:t>
      </w:r>
      <w:r w:rsidR="00A71EC6" w:rsidRPr="001F7183">
        <w:rPr>
          <w:rFonts w:ascii="Book Antiqua" w:hAnsi="Book Antiqua" w:cs="Times New Roman"/>
          <w:sz w:val="24"/>
          <w:szCs w:val="24"/>
        </w:rPr>
        <w:t>let transfusion</w:t>
      </w:r>
      <w:r w:rsidR="001201BF" w:rsidRPr="001F7183">
        <w:rPr>
          <w:rFonts w:ascii="Book Antiqua" w:hAnsi="Book Antiqua" w:cs="Times New Roman"/>
          <w:sz w:val="24"/>
          <w:szCs w:val="24"/>
        </w:rPr>
        <w:t>s but the levels were not sustainable.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217001" w:rsidRPr="001F7183">
        <w:rPr>
          <w:rFonts w:ascii="Book Antiqua" w:hAnsi="Book Antiqua" w:cs="Times New Roman"/>
          <w:sz w:val="24"/>
          <w:szCs w:val="24"/>
        </w:rPr>
        <w:t xml:space="preserve">Peripheral smear did not show </w:t>
      </w:r>
      <w:r w:rsidR="003140FF" w:rsidRPr="001F7183">
        <w:rPr>
          <w:rFonts w:ascii="Book Antiqua" w:hAnsi="Book Antiqua" w:cs="Times New Roman"/>
          <w:sz w:val="24"/>
          <w:szCs w:val="24"/>
        </w:rPr>
        <w:t>platelet clumping</w:t>
      </w:r>
      <w:r w:rsidR="00217001" w:rsidRPr="001F7183">
        <w:rPr>
          <w:rFonts w:ascii="Book Antiqua" w:hAnsi="Book Antiqua" w:cs="Times New Roman"/>
          <w:sz w:val="24"/>
          <w:szCs w:val="24"/>
        </w:rPr>
        <w:t xml:space="preserve"> or satellitism. </w:t>
      </w:r>
      <w:r w:rsidR="001201BF" w:rsidRPr="001F7183">
        <w:rPr>
          <w:rFonts w:ascii="Book Antiqua" w:hAnsi="Book Antiqua" w:cs="Times New Roman"/>
          <w:sz w:val="24"/>
          <w:szCs w:val="24"/>
        </w:rPr>
        <w:t>Other investigations included r</w:t>
      </w:r>
      <w:r w:rsidR="003247C5" w:rsidRPr="001F7183">
        <w:rPr>
          <w:rFonts w:ascii="Book Antiqua" w:hAnsi="Book Antiqua" w:cs="Times New Roman"/>
          <w:sz w:val="24"/>
          <w:szCs w:val="24"/>
        </w:rPr>
        <w:t>eticulocyte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 count </w:t>
      </w:r>
      <w:r w:rsidR="001201BF" w:rsidRPr="001F7183">
        <w:rPr>
          <w:rFonts w:ascii="Book Antiqua" w:hAnsi="Book Antiqua" w:cs="Times New Roman"/>
          <w:sz w:val="24"/>
          <w:szCs w:val="24"/>
        </w:rPr>
        <w:t>(</w:t>
      </w:r>
      <w:r w:rsidR="00A71EC6" w:rsidRPr="001F7183">
        <w:rPr>
          <w:rFonts w:ascii="Book Antiqua" w:hAnsi="Book Antiqua" w:cs="Times New Roman"/>
          <w:sz w:val="24"/>
          <w:szCs w:val="24"/>
        </w:rPr>
        <w:t>4.5%</w:t>
      </w:r>
      <w:r w:rsidR="001201BF" w:rsidRPr="001F7183">
        <w:rPr>
          <w:rFonts w:ascii="Book Antiqua" w:hAnsi="Book Antiqua" w:cs="Times New Roman"/>
          <w:sz w:val="24"/>
          <w:szCs w:val="24"/>
        </w:rPr>
        <w:t>)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, Lactate dehydrogenase </w:t>
      </w:r>
      <w:r w:rsidRPr="001F7183">
        <w:rPr>
          <w:rFonts w:ascii="Book Antiqua" w:hAnsi="Book Antiqua" w:cs="Times New Roman"/>
          <w:sz w:val="24"/>
          <w:szCs w:val="24"/>
        </w:rPr>
        <w:t>(</w:t>
      </w:r>
      <w:r w:rsidR="00A71EC6" w:rsidRPr="001F7183">
        <w:rPr>
          <w:rFonts w:ascii="Book Antiqua" w:hAnsi="Book Antiqua" w:cs="Times New Roman"/>
          <w:sz w:val="24"/>
          <w:szCs w:val="24"/>
        </w:rPr>
        <w:t>489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71EC6" w:rsidRPr="001F7183">
        <w:rPr>
          <w:rFonts w:ascii="Book Antiqua" w:hAnsi="Book Antiqua" w:cs="Times New Roman"/>
          <w:sz w:val="24"/>
          <w:szCs w:val="24"/>
        </w:rPr>
        <w:t>U/</w:t>
      </w:r>
      <w:r w:rsidR="00F67A47" w:rsidRPr="001F7183">
        <w:rPr>
          <w:rFonts w:ascii="Book Antiqua" w:hAnsi="Book Antiqua" w:cs="Times New Roman"/>
          <w:sz w:val="24"/>
          <w:szCs w:val="24"/>
        </w:rPr>
        <w:t>L</w:t>
      </w:r>
      <w:r w:rsidRPr="001F7183">
        <w:rPr>
          <w:rFonts w:ascii="Book Antiqua" w:hAnsi="Book Antiqua" w:cs="Times New Roman"/>
          <w:sz w:val="24"/>
          <w:szCs w:val="24"/>
        </w:rPr>
        <w:t>)</w:t>
      </w:r>
      <w:r w:rsidR="00F67A47" w:rsidRPr="001F7183">
        <w:rPr>
          <w:rFonts w:ascii="Book Antiqua" w:hAnsi="Book Antiqua" w:cs="Times New Roman"/>
          <w:sz w:val="24"/>
          <w:szCs w:val="24"/>
        </w:rPr>
        <w:t>, serum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217001" w:rsidRPr="001F7183">
        <w:rPr>
          <w:rFonts w:ascii="Book Antiqua" w:hAnsi="Book Antiqua" w:cs="Times New Roman"/>
          <w:sz w:val="24"/>
          <w:szCs w:val="24"/>
        </w:rPr>
        <w:t>haptoglobin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>(</w:t>
      </w:r>
      <w:r w:rsidR="00217001" w:rsidRPr="001F7183">
        <w:rPr>
          <w:rFonts w:ascii="Book Antiqua" w:hAnsi="Book Antiqua" w:cs="Times New Roman"/>
          <w:sz w:val="24"/>
          <w:szCs w:val="24"/>
        </w:rPr>
        <w:t>&lt;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17001" w:rsidRPr="001F7183">
        <w:rPr>
          <w:rFonts w:ascii="Book Antiqua" w:hAnsi="Book Antiqua" w:cs="Times New Roman"/>
          <w:sz w:val="24"/>
          <w:szCs w:val="24"/>
        </w:rPr>
        <w:t>7.3</w:t>
      </w:r>
      <w:r w:rsidRPr="001F7183">
        <w:rPr>
          <w:rFonts w:ascii="Book Antiqua" w:hAnsi="Book Antiqua" w:cs="Times New Roman"/>
          <w:sz w:val="24"/>
          <w:szCs w:val="24"/>
        </w:rPr>
        <w:t>0</w:t>
      </w:r>
      <w:r w:rsidR="00217001" w:rsidRPr="001F7183">
        <w:rPr>
          <w:rFonts w:ascii="Book Antiqua" w:hAnsi="Book Antiqua" w:cs="Times New Roman"/>
          <w:sz w:val="24"/>
          <w:szCs w:val="24"/>
        </w:rPr>
        <w:t xml:space="preserve">, d-Dimer </w:t>
      </w:r>
      <w:r w:rsidRPr="001F7183">
        <w:rPr>
          <w:rFonts w:ascii="Book Antiqua" w:hAnsi="Book Antiqua" w:cs="Times New Roman"/>
          <w:sz w:val="24"/>
          <w:szCs w:val="24"/>
        </w:rPr>
        <w:t>(</w:t>
      </w:r>
      <w:r w:rsidR="00F67A47" w:rsidRPr="001F7183">
        <w:rPr>
          <w:rFonts w:ascii="Book Antiqua" w:hAnsi="Book Antiqua" w:cs="Times New Roman"/>
          <w:sz w:val="24"/>
          <w:szCs w:val="24"/>
        </w:rPr>
        <w:t>negative</w:t>
      </w:r>
      <w:r w:rsidRPr="001F7183">
        <w:rPr>
          <w:rFonts w:ascii="Book Antiqua" w:hAnsi="Book Antiqua" w:cs="Times New Roman"/>
          <w:sz w:val="24"/>
          <w:szCs w:val="24"/>
        </w:rPr>
        <w:t>)</w:t>
      </w:r>
      <w:r w:rsidR="00F67A47" w:rsidRPr="001F7183">
        <w:rPr>
          <w:rFonts w:ascii="Book Antiqua" w:hAnsi="Book Antiqua" w:cs="Times New Roman"/>
          <w:sz w:val="24"/>
          <w:szCs w:val="24"/>
        </w:rPr>
        <w:t>,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 xml:space="preserve">Direct Coombs test (negative) and </w:t>
      </w:r>
      <w:r w:rsidR="001C3976" w:rsidRPr="001F7183">
        <w:rPr>
          <w:rFonts w:ascii="Book Antiqua" w:hAnsi="Book Antiqua" w:cs="Times New Roman"/>
          <w:sz w:val="24"/>
          <w:szCs w:val="24"/>
        </w:rPr>
        <w:t>serum anti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1C3976" w:rsidRPr="001F7183">
        <w:rPr>
          <w:rFonts w:ascii="Book Antiqua" w:hAnsi="Book Antiqua" w:cs="Times New Roman"/>
          <w:sz w:val="24"/>
          <w:szCs w:val="24"/>
        </w:rPr>
        <w:t>nuclear antibody</w:t>
      </w:r>
      <w:r w:rsidRPr="001F7183">
        <w:rPr>
          <w:rFonts w:ascii="Book Antiqua" w:hAnsi="Book Antiqua" w:cs="Times New Roman"/>
          <w:sz w:val="24"/>
          <w:szCs w:val="24"/>
        </w:rPr>
        <w:t xml:space="preserve"> (negative)</w:t>
      </w:r>
      <w:r w:rsidR="00A71EC6" w:rsidRPr="001F7183">
        <w:rPr>
          <w:rFonts w:ascii="Book Antiqua" w:hAnsi="Book Antiqua" w:cs="Times New Roman"/>
          <w:sz w:val="24"/>
          <w:szCs w:val="24"/>
        </w:rPr>
        <w:t>.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71EC6" w:rsidRPr="001F7183">
        <w:rPr>
          <w:rFonts w:ascii="Book Antiqua" w:hAnsi="Book Antiqua" w:cs="Times New Roman"/>
          <w:sz w:val="24"/>
          <w:szCs w:val="24"/>
        </w:rPr>
        <w:t xml:space="preserve">Bone marrow aspiration and biopsy showed normocellular marrow with megakaryocytes. </w:t>
      </w:r>
      <w:r w:rsidRPr="001F7183">
        <w:rPr>
          <w:rFonts w:ascii="Book Antiqua" w:hAnsi="Book Antiqua" w:cs="Times New Roman"/>
          <w:sz w:val="24"/>
          <w:szCs w:val="24"/>
        </w:rPr>
        <w:t>The possibility of i</w:t>
      </w:r>
      <w:r w:rsidR="00217001" w:rsidRPr="001F7183">
        <w:rPr>
          <w:rFonts w:ascii="Book Antiqua" w:hAnsi="Book Antiqua" w:cs="Times New Roman"/>
          <w:sz w:val="24"/>
          <w:szCs w:val="24"/>
        </w:rPr>
        <w:t xml:space="preserve">mmune mediated thrombocytopenia </w:t>
      </w:r>
      <w:r w:rsidR="003247C5" w:rsidRPr="001F7183">
        <w:rPr>
          <w:rFonts w:ascii="Book Antiqua" w:hAnsi="Book Antiqua" w:cs="Times New Roman"/>
          <w:sz w:val="24"/>
          <w:szCs w:val="24"/>
        </w:rPr>
        <w:t>was considered and she was started on intravenous immunoglobulins 1 mg/kg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C3976">
        <w:rPr>
          <w:rFonts w:ascii="Book Antiqua" w:hAnsi="Book Antiqua" w:cs="Times New Roman"/>
          <w:sz w:val="24"/>
          <w:szCs w:val="24"/>
          <w:lang w:eastAsia="zh-CN"/>
        </w:rPr>
        <w:t>per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247C5" w:rsidRPr="001F7183">
        <w:rPr>
          <w:rFonts w:ascii="Book Antiqua" w:hAnsi="Book Antiqua" w:cs="Times New Roman"/>
          <w:sz w:val="24"/>
          <w:szCs w:val="24"/>
        </w:rPr>
        <w:t>day for 2 d. Her plat</w:t>
      </w:r>
      <w:r w:rsidRPr="001F7183">
        <w:rPr>
          <w:rFonts w:ascii="Book Antiqua" w:hAnsi="Book Antiqua" w:cs="Times New Roman"/>
          <w:sz w:val="24"/>
          <w:szCs w:val="24"/>
        </w:rPr>
        <w:t>e</w:t>
      </w:r>
      <w:r w:rsidR="003247C5" w:rsidRPr="001F7183">
        <w:rPr>
          <w:rFonts w:ascii="Book Antiqua" w:hAnsi="Book Antiqua" w:cs="Times New Roman"/>
          <w:sz w:val="24"/>
          <w:szCs w:val="24"/>
        </w:rPr>
        <w:t xml:space="preserve">let counts improved </w:t>
      </w:r>
      <w:r w:rsidR="003247C5" w:rsidRPr="001F7183">
        <w:rPr>
          <w:rFonts w:ascii="Book Antiqua" w:hAnsi="Book Antiqua" w:cs="Times New Roman"/>
          <w:sz w:val="24"/>
          <w:szCs w:val="24"/>
        </w:rPr>
        <w:lastRenderedPageBreak/>
        <w:t>dra</w:t>
      </w:r>
      <w:r w:rsidRPr="001F7183">
        <w:rPr>
          <w:rFonts w:ascii="Book Antiqua" w:hAnsi="Book Antiqua" w:cs="Times New Roman"/>
          <w:sz w:val="24"/>
          <w:szCs w:val="24"/>
        </w:rPr>
        <w:t xml:space="preserve">matically </w:t>
      </w:r>
      <w:r w:rsidR="001C3976">
        <w:rPr>
          <w:rFonts w:ascii="Book Antiqua" w:hAnsi="Book Antiqua" w:cs="Times New Roman"/>
          <w:sz w:val="24"/>
          <w:szCs w:val="24"/>
        </w:rPr>
        <w:t>to 124</w:t>
      </w:r>
      <w:r w:rsidR="003247C5" w:rsidRPr="001F7183">
        <w:rPr>
          <w:rFonts w:ascii="Book Antiqua" w:hAnsi="Book Antiqua" w:cs="Times New Roman"/>
          <w:sz w:val="24"/>
          <w:szCs w:val="24"/>
        </w:rPr>
        <w:t xml:space="preserve">000 </w:t>
      </w:r>
      <w:r w:rsidRPr="001F7183">
        <w:rPr>
          <w:rFonts w:ascii="Book Antiqua" w:hAnsi="Book Antiqua" w:cs="Times New Roman"/>
          <w:sz w:val="24"/>
          <w:szCs w:val="24"/>
        </w:rPr>
        <w:t xml:space="preserve">cells per cu mm </w:t>
      </w:r>
      <w:r w:rsidR="003247C5" w:rsidRPr="001F7183">
        <w:rPr>
          <w:rFonts w:ascii="Book Antiqua" w:hAnsi="Book Antiqua" w:cs="Times New Roman"/>
          <w:sz w:val="24"/>
          <w:szCs w:val="24"/>
        </w:rPr>
        <w:t xml:space="preserve">and she was </w:t>
      </w:r>
      <w:r w:rsidRPr="001F7183">
        <w:rPr>
          <w:rFonts w:ascii="Book Antiqua" w:hAnsi="Book Antiqua" w:cs="Times New Roman"/>
          <w:sz w:val="24"/>
          <w:szCs w:val="24"/>
        </w:rPr>
        <w:t xml:space="preserve">started on </w:t>
      </w:r>
      <w:r w:rsidR="003247C5" w:rsidRPr="001F7183">
        <w:rPr>
          <w:rFonts w:ascii="Book Antiqua" w:hAnsi="Book Antiqua" w:cs="Times New Roman"/>
          <w:sz w:val="24"/>
          <w:szCs w:val="24"/>
        </w:rPr>
        <w:t xml:space="preserve">steroids and folic acid. </w:t>
      </w:r>
      <w:r w:rsidRPr="001F7183">
        <w:rPr>
          <w:rFonts w:ascii="Book Antiqua" w:hAnsi="Book Antiqua" w:cs="Times New Roman"/>
          <w:sz w:val="24"/>
          <w:szCs w:val="24"/>
        </w:rPr>
        <w:t>In absence of any known factor and documentation of thrombocytopenia 4</w:t>
      </w:r>
      <w:r w:rsidR="001C3976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1C3976">
        <w:rPr>
          <w:rFonts w:ascii="Book Antiqua" w:hAnsi="Book Antiqua" w:cs="Times New Roman"/>
          <w:sz w:val="24"/>
          <w:szCs w:val="24"/>
        </w:rPr>
        <w:t>wk</w:t>
      </w:r>
      <w:r w:rsidRPr="001F7183">
        <w:rPr>
          <w:rFonts w:ascii="Book Antiqua" w:hAnsi="Book Antiqua" w:cs="Times New Roman"/>
          <w:sz w:val="24"/>
          <w:szCs w:val="24"/>
        </w:rPr>
        <w:t xml:space="preserve"> after initiation of tenofovir, the latter was considered as the possible aetiological agent.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>She was switched over to entecavir.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3247C5" w:rsidRPr="001F7183">
        <w:rPr>
          <w:rFonts w:ascii="Book Antiqua" w:hAnsi="Book Antiqua" w:cs="Times New Roman"/>
          <w:sz w:val="24"/>
          <w:szCs w:val="24"/>
        </w:rPr>
        <w:t>On follow up a month later, her liver function tests were normal and plat</w:t>
      </w:r>
      <w:r w:rsidRPr="001F7183">
        <w:rPr>
          <w:rFonts w:ascii="Book Antiqua" w:hAnsi="Book Antiqua" w:cs="Times New Roman"/>
          <w:sz w:val="24"/>
          <w:szCs w:val="24"/>
        </w:rPr>
        <w:t>e</w:t>
      </w:r>
      <w:r w:rsidR="001C3976">
        <w:rPr>
          <w:rFonts w:ascii="Book Antiqua" w:hAnsi="Book Antiqua" w:cs="Times New Roman"/>
          <w:sz w:val="24"/>
          <w:szCs w:val="24"/>
        </w:rPr>
        <w:t>lets had improved to 131</w:t>
      </w:r>
      <w:r w:rsidR="003247C5" w:rsidRPr="001F7183">
        <w:rPr>
          <w:rFonts w:ascii="Book Antiqua" w:hAnsi="Book Antiqua" w:cs="Times New Roman"/>
          <w:sz w:val="24"/>
          <w:szCs w:val="24"/>
        </w:rPr>
        <w:t>000/cu.mm.</w:t>
      </w:r>
    </w:p>
    <w:p w:rsidR="001C3976" w:rsidRPr="001C3976" w:rsidRDefault="001C3976" w:rsidP="00F124E5">
      <w:pPr>
        <w:spacing w:after="0" w:line="360" w:lineRule="auto"/>
        <w:ind w:firstLineChars="100" w:firstLine="260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3247C5" w:rsidRPr="001C3976" w:rsidRDefault="001C3976" w:rsidP="001F718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C3976">
        <w:rPr>
          <w:rFonts w:ascii="Book Antiqua" w:hAnsi="Book Antiqua" w:cs="Times New Roman"/>
          <w:b/>
          <w:sz w:val="24"/>
          <w:szCs w:val="24"/>
        </w:rPr>
        <w:t>DISCUSSION</w:t>
      </w:r>
    </w:p>
    <w:p w:rsidR="003247C5" w:rsidRPr="00104BD9" w:rsidRDefault="003247C5" w:rsidP="001F718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F7183">
        <w:rPr>
          <w:rFonts w:ascii="Book Antiqua" w:hAnsi="Book Antiqua" w:cs="Times New Roman"/>
          <w:sz w:val="24"/>
          <w:szCs w:val="24"/>
        </w:rPr>
        <w:t>Tenofovir is a commonly used drug in management of hepatitis B.</w:t>
      </w:r>
      <w:r w:rsidR="00FA7E19" w:rsidRPr="001F7183">
        <w:rPr>
          <w:rFonts w:ascii="Book Antiqua" w:hAnsi="Book Antiqua" w:cs="Times New Roman"/>
          <w:sz w:val="24"/>
          <w:szCs w:val="24"/>
        </w:rPr>
        <w:t xml:space="preserve"> It is used in a dose of 300 mg per day. It is mainly metabolised and </w:t>
      </w:r>
      <w:r w:rsidR="00F67A47" w:rsidRPr="001F7183">
        <w:rPr>
          <w:rFonts w:ascii="Book Antiqua" w:hAnsi="Book Antiqua" w:cs="Times New Roman"/>
          <w:sz w:val="24"/>
          <w:szCs w:val="24"/>
        </w:rPr>
        <w:t>excreted</w:t>
      </w:r>
      <w:r w:rsidR="00FA7E19" w:rsidRPr="001F7183">
        <w:rPr>
          <w:rFonts w:ascii="Book Antiqua" w:hAnsi="Book Antiqua" w:cs="Times New Roman"/>
          <w:sz w:val="24"/>
          <w:szCs w:val="24"/>
        </w:rPr>
        <w:t xml:space="preserve"> by the kidneys</w:t>
      </w:r>
      <w:r w:rsidR="00B473D6" w:rsidRPr="001F7183">
        <w:rPr>
          <w:rFonts w:ascii="Book Antiqua" w:hAnsi="Book Antiqua" w:cs="Times New Roman"/>
          <w:sz w:val="24"/>
          <w:szCs w:val="24"/>
        </w:rPr>
        <w:t xml:space="preserve">with a </w:t>
      </w:r>
      <w:r w:rsidR="00B2766E" w:rsidRPr="001F7183">
        <w:rPr>
          <w:rFonts w:ascii="Book Antiqua" w:hAnsi="Book Antiqua" w:cs="Times New Roman"/>
          <w:sz w:val="24"/>
          <w:szCs w:val="24"/>
        </w:rPr>
        <w:t xml:space="preserve">half life </w:t>
      </w:r>
      <w:r w:rsidR="00B473D6" w:rsidRPr="001F7183">
        <w:rPr>
          <w:rFonts w:ascii="Book Antiqua" w:hAnsi="Book Antiqua" w:cs="Times New Roman"/>
          <w:sz w:val="24"/>
          <w:szCs w:val="24"/>
        </w:rPr>
        <w:t xml:space="preserve">of </w:t>
      </w:r>
      <w:r w:rsidR="00104BD9">
        <w:rPr>
          <w:rFonts w:ascii="Book Antiqua" w:hAnsi="Book Antiqua" w:cs="Times New Roman"/>
          <w:sz w:val="24"/>
          <w:szCs w:val="24"/>
        </w:rPr>
        <w:t>14-17 h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="00C25449" w:rsidRPr="00104BD9">
        <w:rPr>
          <w:rFonts w:ascii="Book Antiqua" w:hAnsi="Book Antiqua" w:cs="Times New Roman"/>
          <w:sz w:val="24"/>
          <w:szCs w:val="24"/>
        </w:rPr>
        <w:t>.</w:t>
      </w:r>
      <w:r w:rsidR="00FA7E19" w:rsidRPr="001F7183">
        <w:rPr>
          <w:rFonts w:ascii="Book Antiqua" w:hAnsi="Book Antiqua" w:cs="Times New Roman"/>
          <w:sz w:val="24"/>
          <w:szCs w:val="24"/>
        </w:rPr>
        <w:t xml:space="preserve"> The common side effects include renal dysfunction, Fanconi’s syndrome, pneumonia, </w:t>
      </w:r>
      <w:r w:rsidR="00F67A47" w:rsidRPr="001F7183">
        <w:rPr>
          <w:rFonts w:ascii="Book Antiqua" w:hAnsi="Book Antiqua" w:cs="Times New Roman"/>
          <w:sz w:val="24"/>
          <w:szCs w:val="24"/>
        </w:rPr>
        <w:t>pancreatitis,</w:t>
      </w:r>
      <w:r w:rsidR="00FA7E19" w:rsidRPr="001F7183">
        <w:rPr>
          <w:rFonts w:ascii="Book Antiqua" w:hAnsi="Book Antiqua" w:cs="Times New Roman"/>
          <w:sz w:val="24"/>
          <w:szCs w:val="24"/>
        </w:rPr>
        <w:t xml:space="preserve"> cutaneous lesions and diabetes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BC204D" w:rsidRPr="001F7183">
        <w:rPr>
          <w:rFonts w:ascii="Book Antiqua" w:hAnsi="Book Antiqua" w:cs="Times New Roman"/>
          <w:sz w:val="24"/>
          <w:szCs w:val="24"/>
        </w:rPr>
        <w:t>insipidus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BC204D" w:rsidRPr="001F7183">
        <w:rPr>
          <w:rFonts w:ascii="Book Antiqua" w:hAnsi="Book Antiqua" w:cs="Times New Roman"/>
          <w:sz w:val="24"/>
          <w:szCs w:val="24"/>
        </w:rPr>
        <w:t>.</w:t>
      </w:r>
      <w:r w:rsidR="00104BD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Thrombocytopenia </w:t>
      </w:r>
      <w:r w:rsidR="00B473D6" w:rsidRPr="001F7183">
        <w:rPr>
          <w:rFonts w:ascii="Book Antiqua" w:hAnsi="Book Antiqua" w:cs="Times New Roman"/>
          <w:sz w:val="24"/>
          <w:szCs w:val="24"/>
        </w:rPr>
        <w:t xml:space="preserve">as an adverse effect 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has been reported </w:t>
      </w:r>
      <w:r w:rsidR="00B473D6" w:rsidRPr="001F7183">
        <w:rPr>
          <w:rFonts w:ascii="Book Antiqua" w:hAnsi="Book Antiqua" w:cs="Times New Roman"/>
          <w:sz w:val="24"/>
          <w:szCs w:val="24"/>
        </w:rPr>
        <w:t xml:space="preserve">with use of </w:t>
      </w:r>
      <w:r w:rsidR="00BC204D" w:rsidRPr="001F7183">
        <w:rPr>
          <w:rFonts w:ascii="Book Antiqua" w:hAnsi="Book Antiqua" w:cs="Times New Roman"/>
          <w:sz w:val="24"/>
          <w:szCs w:val="24"/>
        </w:rPr>
        <w:t>interferon,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BC204D" w:rsidRPr="001F7183">
        <w:rPr>
          <w:rFonts w:ascii="Book Antiqua" w:hAnsi="Book Antiqua" w:cs="Times New Roman"/>
          <w:sz w:val="24"/>
          <w:szCs w:val="24"/>
        </w:rPr>
        <w:t>adefovir, lamivudine and entecavir</w:t>
      </w:r>
      <w:r w:rsidR="00B473D6" w:rsidRPr="001F7183">
        <w:rPr>
          <w:rFonts w:ascii="Book Antiqua" w:hAnsi="Book Antiqua" w:cs="Times New Roman"/>
          <w:sz w:val="24"/>
          <w:szCs w:val="24"/>
        </w:rPr>
        <w:t xml:space="preserve">while treating </w:t>
      </w:r>
      <w:r w:rsidR="00BC204D" w:rsidRPr="001F7183">
        <w:rPr>
          <w:rFonts w:ascii="Book Antiqua" w:hAnsi="Book Antiqua" w:cs="Times New Roman"/>
          <w:sz w:val="24"/>
          <w:szCs w:val="24"/>
        </w:rPr>
        <w:t>patients with chronic hepatitis B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[4,5]</w:t>
      </w:r>
      <w:r w:rsidR="00BC204D" w:rsidRPr="001F7183">
        <w:rPr>
          <w:rFonts w:ascii="Book Antiqua" w:hAnsi="Book Antiqua" w:cs="Times New Roman"/>
          <w:sz w:val="24"/>
          <w:szCs w:val="24"/>
        </w:rPr>
        <w:t>.</w:t>
      </w:r>
      <w:r w:rsidR="00104BD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C204D" w:rsidRPr="001F7183">
        <w:rPr>
          <w:rFonts w:ascii="Book Antiqua" w:hAnsi="Book Antiqua" w:cs="Times New Roman"/>
          <w:sz w:val="24"/>
          <w:szCs w:val="24"/>
        </w:rPr>
        <w:t>However, tenofovir induced thrombocytopenia</w:t>
      </w:r>
      <w:r w:rsidR="003140FF" w:rsidRPr="001F7183">
        <w:rPr>
          <w:rFonts w:ascii="Book Antiqua" w:hAnsi="Book Antiqua" w:cs="Times New Roman"/>
          <w:sz w:val="24"/>
          <w:szCs w:val="24"/>
        </w:rPr>
        <w:t xml:space="preserve">, though reported </w:t>
      </w:r>
      <w:r w:rsidR="00104BD9">
        <w:rPr>
          <w:rFonts w:ascii="Book Antiqua" w:hAnsi="Book Antiqua" w:cs="Times New Roman"/>
          <w:sz w:val="24"/>
          <w:szCs w:val="24"/>
        </w:rPr>
        <w:t>in FDA safety reports</w:t>
      </w:r>
      <w:r w:rsidR="00320058" w:rsidRPr="001F7183">
        <w:rPr>
          <w:rFonts w:ascii="Book Antiqua" w:hAnsi="Book Antiqua" w:cs="Times New Roman"/>
          <w:sz w:val="24"/>
          <w:szCs w:val="24"/>
        </w:rPr>
        <w:t>, has rarely been described in clinical setting.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30158A" w:rsidRPr="001F7183">
        <w:rPr>
          <w:rFonts w:ascii="Book Antiqua" w:hAnsi="Book Antiqua" w:cs="Times New Roman"/>
          <w:sz w:val="24"/>
          <w:szCs w:val="24"/>
        </w:rPr>
        <w:t xml:space="preserve">Though there have been few reports in patients with HIV infection on antiretroviral therapy, the drug induced thrombocytopenia </w:t>
      </w:r>
      <w:r w:rsidR="00DA307C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DA307C" w:rsidRPr="001F7183">
        <w:rPr>
          <w:rFonts w:ascii="Book Antiqua" w:hAnsi="Book Antiqua" w:cs="Times New Roman"/>
          <w:sz w:val="24"/>
          <w:szCs w:val="24"/>
        </w:rPr>
        <w:t>DITP</w:t>
      </w:r>
      <w:r w:rsidR="00DA307C">
        <w:rPr>
          <w:rFonts w:ascii="Book Antiqua" w:hAnsi="Book Antiqua" w:cs="Times New Roman" w:hint="eastAsia"/>
          <w:sz w:val="24"/>
          <w:szCs w:val="24"/>
          <w:lang w:eastAsia="zh-CN"/>
        </w:rPr>
        <w:t xml:space="preserve">) </w:t>
      </w:r>
      <w:r w:rsidR="0030158A" w:rsidRPr="001F7183">
        <w:rPr>
          <w:rFonts w:ascii="Book Antiqua" w:hAnsi="Book Antiqua" w:cs="Times New Roman"/>
          <w:sz w:val="24"/>
          <w:szCs w:val="24"/>
        </w:rPr>
        <w:t xml:space="preserve">following tenofovir </w:t>
      </w:r>
      <w:r w:rsidR="002A7C88" w:rsidRPr="001F7183">
        <w:rPr>
          <w:rFonts w:ascii="Book Antiqua" w:hAnsi="Book Antiqua" w:cs="Times New Roman"/>
          <w:sz w:val="24"/>
          <w:szCs w:val="24"/>
        </w:rPr>
        <w:t>monotherapy for</w:t>
      </w:r>
      <w:r w:rsidR="0030158A" w:rsidRPr="001F7183">
        <w:rPr>
          <w:rFonts w:ascii="Book Antiqua" w:hAnsi="Book Antiqua" w:cs="Times New Roman"/>
          <w:sz w:val="24"/>
          <w:szCs w:val="24"/>
        </w:rPr>
        <w:t xml:space="preserve"> hepatitis B i</w:t>
      </w:r>
      <w:r w:rsidR="002A7C88" w:rsidRPr="001F7183">
        <w:rPr>
          <w:rFonts w:ascii="Book Antiqua" w:hAnsi="Book Antiqua" w:cs="Times New Roman"/>
          <w:sz w:val="24"/>
          <w:szCs w:val="24"/>
        </w:rPr>
        <w:t>s</w:t>
      </w:r>
      <w:r w:rsidR="0030158A" w:rsidRPr="001F7183">
        <w:rPr>
          <w:rFonts w:ascii="Book Antiqua" w:hAnsi="Book Antiqua" w:cs="Times New Roman"/>
          <w:sz w:val="24"/>
          <w:szCs w:val="24"/>
        </w:rPr>
        <w:t xml:space="preserve"> less well described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7772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6,7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04BD9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BC204D" w:rsidRPr="00DA307C" w:rsidRDefault="00DA307C" w:rsidP="00104BD9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F7183">
        <w:rPr>
          <w:rFonts w:ascii="Book Antiqua" w:hAnsi="Book Antiqua" w:cs="Times New Roman"/>
          <w:sz w:val="24"/>
          <w:szCs w:val="24"/>
        </w:rPr>
        <w:t>DITP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B222E" w:rsidRPr="001F7183">
        <w:rPr>
          <w:rFonts w:ascii="Book Antiqua" w:hAnsi="Book Antiqua" w:cs="Times New Roman"/>
          <w:sz w:val="24"/>
          <w:szCs w:val="24"/>
        </w:rPr>
        <w:t xml:space="preserve">is an increasingly common cause of </w:t>
      </w:r>
      <w:r>
        <w:rPr>
          <w:rFonts w:ascii="Book Antiqua" w:hAnsi="Book Antiqua" w:cs="Times New Roman"/>
          <w:sz w:val="24"/>
          <w:szCs w:val="24"/>
        </w:rPr>
        <w:t>thrombocytopenia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7772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8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F57AA" w:rsidRPr="001F7183">
        <w:rPr>
          <w:rFonts w:ascii="Book Antiqua" w:hAnsi="Book Antiqua" w:cs="Times New Roman"/>
          <w:sz w:val="24"/>
          <w:szCs w:val="24"/>
        </w:rPr>
        <w:t xml:space="preserve">. 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DITP typically presents 5 to 10 d after beginning daily </w:t>
      </w:r>
      <w:r w:rsidR="009F57AA" w:rsidRPr="001F7183">
        <w:rPr>
          <w:rFonts w:ascii="Book Antiqua" w:hAnsi="Book Antiqua" w:cs="Times New Roman"/>
          <w:sz w:val="24"/>
          <w:szCs w:val="24"/>
        </w:rPr>
        <w:t>drug dose</w:t>
      </w:r>
      <w:r w:rsidR="00BC204D" w:rsidRPr="001F7183">
        <w:rPr>
          <w:rFonts w:ascii="Book Antiqua" w:hAnsi="Book Antiqua" w:cs="Times New Roman"/>
          <w:sz w:val="24"/>
          <w:szCs w:val="24"/>
        </w:rPr>
        <w:t>, or within hours after re-exposure to a drug that has been taken occasionally for a period of time.</w:t>
      </w:r>
      <w:r w:rsidR="00166AD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It is characterised by rapid onset, </w:t>
      </w:r>
      <w:r w:rsidR="009F57AA" w:rsidRPr="001F7183">
        <w:rPr>
          <w:rFonts w:ascii="Book Antiqua" w:hAnsi="Book Antiqua" w:cs="Times New Roman"/>
          <w:sz w:val="24"/>
          <w:szCs w:val="24"/>
        </w:rPr>
        <w:t>bleeding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 manifestations and plat</w:t>
      </w:r>
      <w:r w:rsidR="004100A4" w:rsidRPr="001F7183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let counts below 20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000/cu.mm. It may </w:t>
      </w:r>
      <w:r w:rsidR="009F57AA" w:rsidRPr="001F7183">
        <w:rPr>
          <w:rFonts w:ascii="Book Antiqua" w:hAnsi="Book Antiqua" w:cs="Times New Roman"/>
          <w:sz w:val="24"/>
          <w:szCs w:val="24"/>
        </w:rPr>
        <w:t>mimic primary</w:t>
      </w:r>
      <w:r>
        <w:rPr>
          <w:rFonts w:ascii="Book Antiqua" w:hAnsi="Book Antiqua" w:cs="Times New Roman"/>
          <w:sz w:val="24"/>
          <w:szCs w:val="24"/>
        </w:rPr>
        <w:t xml:space="preserve"> immune thrombocytopenia (ITP)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7772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9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. It is </w:t>
      </w:r>
      <w:r w:rsidR="004100A4" w:rsidRPr="001F7183">
        <w:rPr>
          <w:rFonts w:ascii="Book Antiqua" w:hAnsi="Book Antiqua" w:cs="Times New Roman"/>
          <w:sz w:val="24"/>
          <w:szCs w:val="24"/>
        </w:rPr>
        <w:t xml:space="preserve">often reported in 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patients who are hospitalised, </w:t>
      </w:r>
      <w:r w:rsidR="004100A4" w:rsidRPr="001F7183">
        <w:rPr>
          <w:rFonts w:ascii="Book Antiqua" w:hAnsi="Book Antiqua" w:cs="Times New Roman"/>
          <w:sz w:val="24"/>
          <w:szCs w:val="24"/>
        </w:rPr>
        <w:t xml:space="preserve">or are on </w:t>
      </w:r>
      <w:r w:rsidR="00BC204D" w:rsidRPr="001F7183">
        <w:rPr>
          <w:rFonts w:ascii="Book Antiqua" w:hAnsi="Book Antiqua" w:cs="Times New Roman"/>
          <w:sz w:val="24"/>
          <w:szCs w:val="24"/>
        </w:rPr>
        <w:t xml:space="preserve">multiple medications with </w:t>
      </w:r>
      <w:r w:rsidR="004100A4" w:rsidRPr="001F7183">
        <w:rPr>
          <w:rFonts w:ascii="Book Antiqua" w:hAnsi="Book Antiqua" w:cs="Times New Roman"/>
          <w:sz w:val="24"/>
          <w:szCs w:val="24"/>
        </w:rPr>
        <w:t xml:space="preserve">combination </w:t>
      </w:r>
      <w:r w:rsidR="00320058" w:rsidRPr="001F7183">
        <w:rPr>
          <w:rFonts w:ascii="Book Antiqua" w:hAnsi="Book Antiqua" w:cs="Times New Roman"/>
          <w:sz w:val="24"/>
          <w:szCs w:val="24"/>
        </w:rPr>
        <w:t>of co</w:t>
      </w:r>
      <w:r w:rsidR="004100A4" w:rsidRPr="001F7183">
        <w:rPr>
          <w:rFonts w:ascii="Book Antiqua" w:hAnsi="Book Antiqua" w:cs="Times New Roman"/>
          <w:sz w:val="24"/>
          <w:szCs w:val="24"/>
        </w:rPr>
        <w:t>-</w:t>
      </w:r>
      <w:r w:rsidR="00BC204D" w:rsidRPr="001F7183">
        <w:rPr>
          <w:rFonts w:ascii="Book Antiqua" w:hAnsi="Book Antiqua" w:cs="Times New Roman"/>
          <w:sz w:val="24"/>
          <w:szCs w:val="24"/>
        </w:rPr>
        <w:t>morbidities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7772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10</w:t>
      </w:r>
      <w:r w:rsidR="00C25449" w:rsidRPr="001F7183">
        <w:rPr>
          <w:rFonts w:ascii="Book Antiqua" w:hAnsi="Book Antiqua" w:cs="Times New Roman"/>
          <w:sz w:val="24"/>
          <w:szCs w:val="24"/>
          <w:vertAlign w:val="superscript"/>
        </w:rPr>
        <w:t>]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BC204D" w:rsidRPr="001F7183" w:rsidRDefault="00BC204D" w:rsidP="00DA307C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F7183">
        <w:rPr>
          <w:rFonts w:ascii="Book Antiqua" w:hAnsi="Book Antiqua" w:cs="Times New Roman"/>
          <w:sz w:val="24"/>
          <w:szCs w:val="24"/>
        </w:rPr>
        <w:t>Many drugs can cause thrombocytopenia either by non-immune or immune mechanisms.</w:t>
      </w:r>
      <w:r w:rsidR="00DA307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>Non-</w:t>
      </w:r>
      <w:r w:rsidR="00DA307C">
        <w:rPr>
          <w:rFonts w:ascii="Book Antiqua" w:hAnsi="Book Antiqua" w:cs="Times New Roman"/>
          <w:sz w:val="24"/>
          <w:szCs w:val="24"/>
        </w:rPr>
        <w:t>ITP</w:t>
      </w:r>
      <w:r w:rsidRPr="001F7183">
        <w:rPr>
          <w:rFonts w:ascii="Book Antiqua" w:hAnsi="Book Antiqua" w:cs="Times New Roman"/>
          <w:sz w:val="24"/>
          <w:szCs w:val="24"/>
        </w:rPr>
        <w:t xml:space="preserve"> results in suppression of platelet production by general</w:t>
      </w:r>
      <w:r w:rsidR="00320058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>myelotoxicity, dose-dependent myelosuppression or interference with specific megakaryocyte function. Immune-mediated thrombocytopenia results in accelerated platelet destruction by drug-dependent platelet</w:t>
      </w:r>
      <w:r w:rsidR="00320058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 xml:space="preserve">antibodies that cause platelet clearance or activation. A thorough clinical and drug history </w:t>
      </w:r>
      <w:r w:rsidR="004100A4" w:rsidRPr="001F7183">
        <w:rPr>
          <w:rFonts w:ascii="Book Antiqua" w:hAnsi="Book Antiqua" w:cs="Times New Roman"/>
          <w:sz w:val="24"/>
          <w:szCs w:val="24"/>
        </w:rPr>
        <w:t xml:space="preserve">is essential to exclude </w:t>
      </w:r>
      <w:r w:rsidRPr="001F7183">
        <w:rPr>
          <w:rFonts w:ascii="Book Antiqua" w:hAnsi="Book Antiqua" w:cs="Times New Roman"/>
          <w:sz w:val="24"/>
          <w:szCs w:val="24"/>
        </w:rPr>
        <w:t xml:space="preserve">herbal medicines, food additives and supplements </w:t>
      </w:r>
      <w:r w:rsidR="004100A4" w:rsidRPr="001F7183">
        <w:rPr>
          <w:rFonts w:ascii="Book Antiqua" w:hAnsi="Book Antiqua" w:cs="Times New Roman"/>
          <w:sz w:val="24"/>
          <w:szCs w:val="24"/>
        </w:rPr>
        <w:t xml:space="preserve">before making a diagnosis of </w:t>
      </w:r>
      <w:r w:rsidR="009F57AA" w:rsidRPr="001F7183">
        <w:rPr>
          <w:rFonts w:ascii="Book Antiqua" w:hAnsi="Book Antiqua" w:cs="Times New Roman"/>
          <w:sz w:val="24"/>
          <w:szCs w:val="24"/>
        </w:rPr>
        <w:lastRenderedPageBreak/>
        <w:t>DITP</w:t>
      </w:r>
      <w:r w:rsidR="0069027F" w:rsidRPr="0069027F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7772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11</w:t>
      </w:r>
      <w:r w:rsidR="0069027F" w:rsidRPr="0069027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F57AA" w:rsidRPr="001F7183">
        <w:rPr>
          <w:rFonts w:ascii="Book Antiqua" w:hAnsi="Book Antiqua" w:cs="Times New Roman"/>
          <w:sz w:val="24"/>
          <w:szCs w:val="24"/>
        </w:rPr>
        <w:t>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4100A4" w:rsidRPr="001F7183">
        <w:rPr>
          <w:rFonts w:ascii="Book Antiqua" w:hAnsi="Book Antiqua" w:cs="Times New Roman"/>
          <w:sz w:val="24"/>
          <w:szCs w:val="24"/>
        </w:rPr>
        <w:t xml:space="preserve">Despite this, diagnosis </w:t>
      </w:r>
      <w:r w:rsidR="009F57AA" w:rsidRPr="001F7183">
        <w:rPr>
          <w:rFonts w:ascii="Book Antiqua" w:hAnsi="Book Antiqua" w:cs="Times New Roman"/>
          <w:sz w:val="24"/>
          <w:szCs w:val="24"/>
        </w:rPr>
        <w:t xml:space="preserve">is difficult </w:t>
      </w:r>
      <w:r w:rsidR="004100A4" w:rsidRPr="001F7183">
        <w:rPr>
          <w:rFonts w:ascii="Book Antiqua" w:hAnsi="Book Antiqua" w:cs="Times New Roman"/>
          <w:sz w:val="24"/>
          <w:szCs w:val="24"/>
        </w:rPr>
        <w:t xml:space="preserve">in a handful of cases </w:t>
      </w:r>
      <w:r w:rsidR="009F57AA" w:rsidRPr="001F7183">
        <w:rPr>
          <w:rFonts w:ascii="Book Antiqua" w:hAnsi="Book Antiqua" w:cs="Times New Roman"/>
          <w:sz w:val="24"/>
          <w:szCs w:val="24"/>
        </w:rPr>
        <w:t>and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9F57AA" w:rsidRPr="001F7183">
        <w:rPr>
          <w:rFonts w:ascii="Book Antiqua" w:hAnsi="Book Antiqua" w:cs="Times New Roman"/>
          <w:sz w:val="24"/>
          <w:szCs w:val="24"/>
        </w:rPr>
        <w:t>i</w:t>
      </w:r>
      <w:r w:rsidR="004100A4" w:rsidRPr="001F7183">
        <w:rPr>
          <w:rFonts w:ascii="Book Antiqua" w:hAnsi="Book Antiqua" w:cs="Times New Roman"/>
          <w:sz w:val="24"/>
          <w:szCs w:val="24"/>
        </w:rPr>
        <w:t xml:space="preserve">s often considered as </w:t>
      </w:r>
      <w:r w:rsidR="0069027F">
        <w:rPr>
          <w:rFonts w:ascii="Book Antiqua" w:hAnsi="Book Antiqua" w:cs="Times New Roman"/>
          <w:sz w:val="24"/>
          <w:szCs w:val="24"/>
        </w:rPr>
        <w:t>circumstantial</w:t>
      </w:r>
      <w:r w:rsidR="009F57AA" w:rsidRPr="0069027F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A7772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="009F57AA" w:rsidRPr="0069027F">
        <w:rPr>
          <w:rFonts w:ascii="Book Antiqua" w:hAnsi="Book Antiqua" w:cs="Times New Roman"/>
          <w:sz w:val="24"/>
          <w:szCs w:val="24"/>
          <w:vertAlign w:val="superscript"/>
        </w:rPr>
        <w:t>,1</w:t>
      </w:r>
      <w:r w:rsidR="00A7772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3</w:t>
      </w:r>
      <w:r w:rsidR="009F57AA" w:rsidRPr="0069027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F7183">
        <w:rPr>
          <w:rFonts w:ascii="Book Antiqua" w:hAnsi="Book Antiqua" w:cs="Times New Roman"/>
          <w:sz w:val="24"/>
          <w:szCs w:val="24"/>
        </w:rPr>
        <w:t>.</w:t>
      </w:r>
      <w:r w:rsidR="0069027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F7183">
        <w:rPr>
          <w:rFonts w:ascii="Book Antiqua" w:hAnsi="Book Antiqua" w:cs="Times New Roman"/>
          <w:sz w:val="24"/>
          <w:szCs w:val="24"/>
        </w:rPr>
        <w:t xml:space="preserve">Arnold </w:t>
      </w:r>
      <w:r w:rsidRPr="0069027F">
        <w:rPr>
          <w:rFonts w:ascii="Book Antiqua" w:hAnsi="Book Antiqua" w:cs="Times New Roman"/>
          <w:i/>
          <w:sz w:val="24"/>
          <w:szCs w:val="24"/>
        </w:rPr>
        <w:t>et al</w:t>
      </w:r>
      <w:r w:rsidR="0069027F" w:rsidRPr="0069027F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A7772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4</w:t>
      </w:r>
      <w:r w:rsidR="0069027F" w:rsidRPr="0069027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9F57AA" w:rsidRPr="001F7183">
        <w:rPr>
          <w:rFonts w:ascii="Book Antiqua" w:hAnsi="Book Antiqua" w:cs="Times New Roman"/>
          <w:sz w:val="24"/>
          <w:szCs w:val="24"/>
        </w:rPr>
        <w:t xml:space="preserve">have enlisted </w:t>
      </w:r>
      <w:r w:rsidRPr="001F7183">
        <w:rPr>
          <w:rFonts w:ascii="Book Antiqua" w:hAnsi="Book Antiqua" w:cs="Times New Roman"/>
          <w:sz w:val="24"/>
          <w:szCs w:val="24"/>
        </w:rPr>
        <w:t xml:space="preserve">16 drugs that met both clinical and laboratory criteria for causing DITP. </w:t>
      </w:r>
    </w:p>
    <w:p w:rsidR="009B20B7" w:rsidRPr="001F7183" w:rsidRDefault="006B222E" w:rsidP="0069027F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F7183">
        <w:rPr>
          <w:rFonts w:ascii="Book Antiqua" w:hAnsi="Book Antiqua" w:cs="Times New Roman"/>
          <w:sz w:val="24"/>
          <w:szCs w:val="24"/>
        </w:rPr>
        <w:t>Ou</w:t>
      </w:r>
      <w:r w:rsidR="00F67A47" w:rsidRPr="001F7183">
        <w:rPr>
          <w:rFonts w:ascii="Book Antiqua" w:hAnsi="Book Antiqua" w:cs="Times New Roman"/>
          <w:sz w:val="24"/>
          <w:szCs w:val="24"/>
        </w:rPr>
        <w:t>r</w:t>
      </w:r>
      <w:r w:rsidRPr="001F7183">
        <w:rPr>
          <w:rFonts w:ascii="Book Antiqua" w:hAnsi="Book Antiqua" w:cs="Times New Roman"/>
          <w:sz w:val="24"/>
          <w:szCs w:val="24"/>
        </w:rPr>
        <w:t xml:space="preserve"> patient was on long term immunosuppression with </w:t>
      </w:r>
      <w:r w:rsidR="009F57AA" w:rsidRPr="001F7183">
        <w:rPr>
          <w:rFonts w:ascii="Book Antiqua" w:hAnsi="Book Antiqua" w:cs="Times New Roman"/>
          <w:sz w:val="24"/>
          <w:szCs w:val="24"/>
        </w:rPr>
        <w:t>t</w:t>
      </w:r>
      <w:r w:rsidRPr="001F7183">
        <w:rPr>
          <w:rFonts w:ascii="Book Antiqua" w:hAnsi="Book Antiqua" w:cs="Times New Roman"/>
          <w:sz w:val="24"/>
          <w:szCs w:val="24"/>
        </w:rPr>
        <w:t>acrolimus and had recent history of</w:t>
      </w:r>
      <w:r w:rsidR="009F57AA" w:rsidRPr="001F7183">
        <w:rPr>
          <w:rFonts w:ascii="Book Antiqua" w:hAnsi="Book Antiqua" w:cs="Times New Roman"/>
          <w:sz w:val="24"/>
          <w:szCs w:val="24"/>
        </w:rPr>
        <w:t xml:space="preserve"> exposure to tenofovir. Within </w:t>
      </w:r>
      <w:r w:rsidR="00355583" w:rsidRPr="001F7183">
        <w:rPr>
          <w:rFonts w:ascii="Book Antiqua" w:hAnsi="Book Antiqua" w:cs="Times New Roman"/>
          <w:sz w:val="24"/>
          <w:szCs w:val="24"/>
        </w:rPr>
        <w:t>4</w:t>
      </w:r>
      <w:r w:rsidR="00761D8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61D87">
        <w:rPr>
          <w:rFonts w:ascii="Book Antiqua" w:hAnsi="Book Antiqua" w:cs="Times New Roman"/>
          <w:sz w:val="24"/>
          <w:szCs w:val="24"/>
        </w:rPr>
        <w:t>wk</w:t>
      </w:r>
      <w:r w:rsidR="00355583" w:rsidRPr="001F7183">
        <w:rPr>
          <w:rFonts w:ascii="Book Antiqua" w:hAnsi="Book Antiqua" w:cs="Times New Roman"/>
          <w:sz w:val="24"/>
          <w:szCs w:val="24"/>
        </w:rPr>
        <w:t xml:space="preserve"> of initiation of tenofovir, she developed</w:t>
      </w:r>
      <w:r w:rsidRPr="001F7183">
        <w:rPr>
          <w:rFonts w:ascii="Book Antiqua" w:hAnsi="Book Antiqua" w:cs="Times New Roman"/>
          <w:sz w:val="24"/>
          <w:szCs w:val="24"/>
        </w:rPr>
        <w:t xml:space="preserve"> severe thrombocytopenia suggesting the causative </w:t>
      </w:r>
      <w:r w:rsidR="00355583" w:rsidRPr="001F7183">
        <w:rPr>
          <w:rFonts w:ascii="Book Antiqua" w:hAnsi="Book Antiqua" w:cs="Times New Roman"/>
          <w:sz w:val="24"/>
          <w:szCs w:val="24"/>
        </w:rPr>
        <w:t xml:space="preserve">effect following </w:t>
      </w:r>
      <w:r w:rsidRPr="001F7183">
        <w:rPr>
          <w:rFonts w:ascii="Book Antiqua" w:hAnsi="Book Antiqua" w:cs="Times New Roman"/>
          <w:sz w:val="24"/>
          <w:szCs w:val="24"/>
        </w:rPr>
        <w:t>tenofovir exposure.</w:t>
      </w:r>
      <w:r w:rsidR="00761D8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67A47" w:rsidRPr="001F7183">
        <w:rPr>
          <w:rFonts w:ascii="Book Antiqua" w:hAnsi="Book Antiqua" w:cs="Times New Roman"/>
          <w:sz w:val="24"/>
          <w:szCs w:val="24"/>
        </w:rPr>
        <w:t>Though drug specific autoantibodies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BC204D" w:rsidRPr="001F7183">
        <w:rPr>
          <w:rFonts w:ascii="Book Antiqua" w:hAnsi="Book Antiqua" w:cs="Times New Roman"/>
          <w:sz w:val="24"/>
          <w:szCs w:val="24"/>
        </w:rPr>
        <w:t>and</w:t>
      </w:r>
      <w:r w:rsidR="00761D8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C204D" w:rsidRPr="001F7183">
        <w:rPr>
          <w:rFonts w:ascii="Book Antiqua" w:hAnsi="Book Antiqua" w:cs="Times New Roman"/>
          <w:sz w:val="24"/>
          <w:szCs w:val="24"/>
        </w:rPr>
        <w:t>antiplatlet antibodies were not done,</w:t>
      </w:r>
      <w:r w:rsidR="00F67A47" w:rsidRPr="001F7183">
        <w:rPr>
          <w:rFonts w:ascii="Book Antiqua" w:hAnsi="Book Antiqua" w:cs="Times New Roman"/>
          <w:sz w:val="24"/>
          <w:szCs w:val="24"/>
        </w:rPr>
        <w:t xml:space="preserve"> improvement with steroids</w:t>
      </w:r>
      <w:r w:rsidR="00BC204D" w:rsidRPr="001F7183">
        <w:rPr>
          <w:rFonts w:ascii="Book Antiqua" w:hAnsi="Book Antiqua" w:cs="Times New Roman"/>
          <w:sz w:val="24"/>
          <w:szCs w:val="24"/>
        </w:rPr>
        <w:t>, intravenous immunoglobulin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F67A47" w:rsidRPr="001F7183">
        <w:rPr>
          <w:rFonts w:ascii="Book Antiqua" w:hAnsi="Book Antiqua" w:cs="Times New Roman"/>
          <w:sz w:val="24"/>
          <w:szCs w:val="24"/>
        </w:rPr>
        <w:t xml:space="preserve">and </w:t>
      </w:r>
      <w:r w:rsidR="00B14ED6" w:rsidRPr="001F7183">
        <w:rPr>
          <w:rFonts w:ascii="Book Antiqua" w:hAnsi="Book Antiqua" w:cs="Times New Roman"/>
          <w:sz w:val="24"/>
          <w:szCs w:val="24"/>
        </w:rPr>
        <w:t>tenofovir withdraw</w:t>
      </w:r>
      <w:r w:rsidR="00355583" w:rsidRPr="001F7183">
        <w:rPr>
          <w:rFonts w:ascii="Book Antiqua" w:hAnsi="Book Antiqua" w:cs="Times New Roman"/>
          <w:sz w:val="24"/>
          <w:szCs w:val="24"/>
        </w:rPr>
        <w:t>a</w:t>
      </w:r>
      <w:r w:rsidR="00B14ED6" w:rsidRPr="001F7183">
        <w:rPr>
          <w:rFonts w:ascii="Book Antiqua" w:hAnsi="Book Antiqua" w:cs="Times New Roman"/>
          <w:sz w:val="24"/>
          <w:szCs w:val="24"/>
        </w:rPr>
        <w:t>l suggest</w:t>
      </w:r>
      <w:r w:rsidR="00355583" w:rsidRPr="001F7183">
        <w:rPr>
          <w:rFonts w:ascii="Book Antiqua" w:hAnsi="Book Antiqua" w:cs="Times New Roman"/>
          <w:sz w:val="24"/>
          <w:szCs w:val="24"/>
        </w:rPr>
        <w:t xml:space="preserve">s our patient indeed have a </w:t>
      </w:r>
      <w:r w:rsidR="00B14ED6" w:rsidRPr="001F7183">
        <w:rPr>
          <w:rFonts w:ascii="Book Antiqua" w:hAnsi="Book Antiqua" w:cs="Times New Roman"/>
          <w:sz w:val="24"/>
          <w:szCs w:val="24"/>
        </w:rPr>
        <w:t xml:space="preserve">drug mediated </w:t>
      </w:r>
      <w:r w:rsidR="00355583" w:rsidRPr="001F7183">
        <w:rPr>
          <w:rFonts w:ascii="Book Antiqua" w:hAnsi="Book Antiqua" w:cs="Times New Roman"/>
          <w:sz w:val="24"/>
          <w:szCs w:val="24"/>
        </w:rPr>
        <w:t>adverse effect.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  <w:r w:rsidR="00355583" w:rsidRPr="001F7183">
        <w:rPr>
          <w:rFonts w:ascii="Book Antiqua" w:hAnsi="Book Antiqua" w:cs="Times New Roman"/>
          <w:sz w:val="24"/>
          <w:szCs w:val="24"/>
        </w:rPr>
        <w:t>We did not consider reintroducing tenofovir for fear of a hypersensitive reaction. Instead we reintroduced entecavir</w:t>
      </w:r>
      <w:r w:rsidR="00320058" w:rsidRPr="001F7183">
        <w:rPr>
          <w:rFonts w:ascii="Book Antiqua" w:hAnsi="Book Antiqua" w:cs="Times New Roman"/>
          <w:sz w:val="24"/>
          <w:szCs w:val="24"/>
        </w:rPr>
        <w:t xml:space="preserve"> </w:t>
      </w:r>
      <w:r w:rsidR="009B20B7" w:rsidRPr="001F7183">
        <w:rPr>
          <w:rFonts w:ascii="Book Antiqua" w:hAnsi="Book Antiqua" w:cs="Times New Roman"/>
          <w:sz w:val="24"/>
          <w:szCs w:val="24"/>
        </w:rPr>
        <w:t>and patient is doing well with no further set back.</w:t>
      </w:r>
      <w:r w:rsidR="001F7183">
        <w:rPr>
          <w:rFonts w:ascii="Book Antiqua" w:hAnsi="Book Antiqua" w:cs="Times New Roman"/>
          <w:sz w:val="24"/>
          <w:szCs w:val="24"/>
        </w:rPr>
        <w:t xml:space="preserve"> </w:t>
      </w:r>
    </w:p>
    <w:p w:rsidR="00141AD5" w:rsidRPr="001F7183" w:rsidRDefault="00141AD5" w:rsidP="00761D87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F7183">
        <w:rPr>
          <w:rFonts w:ascii="Book Antiqua" w:hAnsi="Book Antiqua" w:cs="Times New Roman"/>
          <w:sz w:val="24"/>
          <w:szCs w:val="24"/>
        </w:rPr>
        <w:t>The present case report highlights an unlikely side effect of tenofovir therapy that should be kept in mind by prescribing physicians.</w:t>
      </w:r>
    </w:p>
    <w:p w:rsidR="009F57AA" w:rsidRPr="001F7183" w:rsidRDefault="009F57AA" w:rsidP="001F718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2D4E1C" w:rsidRPr="001F7183" w:rsidRDefault="002D4E1C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F7183">
        <w:rPr>
          <w:rFonts w:ascii="Book Antiqua" w:hAnsi="Book Antiqua"/>
          <w:b/>
          <w:sz w:val="24"/>
          <w:szCs w:val="24"/>
        </w:rPr>
        <w:t>COMMENTS</w:t>
      </w:r>
    </w:p>
    <w:p w:rsidR="00761D87" w:rsidRPr="00761D87" w:rsidRDefault="00761D87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761D87">
        <w:rPr>
          <w:rFonts w:ascii="Book Antiqua" w:hAnsi="Book Antiqua"/>
          <w:b/>
          <w:i/>
          <w:sz w:val="24"/>
          <w:szCs w:val="24"/>
        </w:rPr>
        <w:t>Case characteristics</w:t>
      </w:r>
    </w:p>
    <w:p w:rsidR="00320058" w:rsidRPr="00761D87" w:rsidRDefault="00320058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61D87">
        <w:rPr>
          <w:rFonts w:ascii="Book Antiqua" w:hAnsi="Book Antiqua"/>
          <w:sz w:val="24"/>
          <w:szCs w:val="24"/>
        </w:rPr>
        <w:t>Post liver transplant patient presented with bleeding diasthesis and</w:t>
      </w:r>
      <w:r w:rsidR="00761D87">
        <w:rPr>
          <w:rFonts w:ascii="Book Antiqua" w:hAnsi="Book Antiqua"/>
          <w:sz w:val="24"/>
          <w:szCs w:val="24"/>
        </w:rPr>
        <w:t xml:space="preserve"> thrombocytopenia within 4 wk</w:t>
      </w:r>
      <w:r w:rsidRPr="00761D87">
        <w:rPr>
          <w:rFonts w:ascii="Book Antiqua" w:hAnsi="Book Antiqua"/>
          <w:sz w:val="24"/>
          <w:szCs w:val="24"/>
        </w:rPr>
        <w:t xml:space="preserve"> of starting tenofovir therapy for hepatitis B</w:t>
      </w:r>
      <w:r w:rsidR="00761D87" w:rsidRPr="00761D87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761D87" w:rsidRPr="001F7183" w:rsidRDefault="00761D87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761D87" w:rsidRPr="00761D87" w:rsidRDefault="00761D87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761D87">
        <w:rPr>
          <w:rFonts w:ascii="Book Antiqua" w:hAnsi="Book Antiqua"/>
          <w:b/>
          <w:i/>
          <w:sz w:val="24"/>
          <w:szCs w:val="24"/>
        </w:rPr>
        <w:t>Clinical diagnosis</w:t>
      </w:r>
    </w:p>
    <w:p w:rsidR="00320058" w:rsidRPr="00761D87" w:rsidRDefault="00320058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61D87">
        <w:rPr>
          <w:rFonts w:ascii="Book Antiqua" w:hAnsi="Book Antiqua"/>
          <w:sz w:val="24"/>
          <w:szCs w:val="24"/>
        </w:rPr>
        <w:t>Bleeding diathesis probably related to low platlets</w:t>
      </w:r>
      <w:r w:rsidR="00761D87" w:rsidRPr="00761D87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761D87" w:rsidRPr="001F7183" w:rsidRDefault="00761D87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761D87" w:rsidRPr="00761D87" w:rsidRDefault="00761D87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761D87">
        <w:rPr>
          <w:rFonts w:ascii="Book Antiqua" w:hAnsi="Book Antiqua"/>
          <w:b/>
          <w:i/>
          <w:sz w:val="24"/>
          <w:szCs w:val="24"/>
        </w:rPr>
        <w:t>Differential diagnosis</w:t>
      </w:r>
    </w:p>
    <w:p w:rsidR="00320058" w:rsidRPr="00761D87" w:rsidRDefault="00761D87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61D87">
        <w:rPr>
          <w:rFonts w:ascii="Book Antiqua" w:hAnsi="Book Antiqua"/>
          <w:sz w:val="24"/>
          <w:szCs w:val="24"/>
        </w:rPr>
        <w:t>P</w:t>
      </w:r>
      <w:r w:rsidR="00320058" w:rsidRPr="00761D87">
        <w:rPr>
          <w:rFonts w:ascii="Book Antiqua" w:hAnsi="Book Antiqua"/>
          <w:sz w:val="24"/>
          <w:szCs w:val="24"/>
        </w:rPr>
        <w:t>ossibilities of immunosuprresion induced blood</w:t>
      </w:r>
      <w:r w:rsidR="001F7183" w:rsidRPr="00761D87">
        <w:rPr>
          <w:rFonts w:ascii="Book Antiqua" w:hAnsi="Book Antiqua"/>
          <w:sz w:val="24"/>
          <w:szCs w:val="24"/>
        </w:rPr>
        <w:t xml:space="preserve"> </w:t>
      </w:r>
      <w:r w:rsidRPr="00761D87">
        <w:rPr>
          <w:rFonts w:ascii="Book Antiqua" w:hAnsi="Book Antiqua"/>
          <w:sz w:val="24"/>
          <w:szCs w:val="24"/>
        </w:rPr>
        <w:t>dyscrasias</w:t>
      </w:r>
      <w:r w:rsidR="00320058" w:rsidRPr="00761D87">
        <w:rPr>
          <w:rFonts w:ascii="Book Antiqua" w:hAnsi="Book Antiqua"/>
          <w:sz w:val="24"/>
          <w:szCs w:val="24"/>
        </w:rPr>
        <w:t xml:space="preserve">, </w:t>
      </w:r>
      <w:r w:rsidR="003047EA">
        <w:rPr>
          <w:rFonts w:ascii="Book Antiqua" w:hAnsi="Book Antiqua" w:cs="Times New Roman"/>
          <w:sz w:val="24"/>
          <w:szCs w:val="24"/>
        </w:rPr>
        <w:t>immune thrombocytopenia</w:t>
      </w:r>
      <w:r w:rsidR="00320058" w:rsidRPr="00761D87">
        <w:rPr>
          <w:rFonts w:ascii="Book Antiqua" w:hAnsi="Book Antiqua"/>
          <w:sz w:val="24"/>
          <w:szCs w:val="24"/>
        </w:rPr>
        <w:t xml:space="preserve"> and drug induced thrombocytopenia were considered</w:t>
      </w:r>
      <w:r w:rsidRPr="00761D87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761D87" w:rsidRPr="001F7183" w:rsidRDefault="00761D87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3047EA" w:rsidRPr="003047EA" w:rsidRDefault="003047EA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i/>
          <w:sz w:val="24"/>
          <w:szCs w:val="24"/>
        </w:rPr>
        <w:t>Laboratory diagnosis</w:t>
      </w:r>
    </w:p>
    <w:p w:rsidR="00320058" w:rsidRPr="003047EA" w:rsidRDefault="003047EA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047EA">
        <w:rPr>
          <w:rFonts w:ascii="Book Antiqua" w:hAnsi="Book Antiqua"/>
          <w:sz w:val="24"/>
          <w:szCs w:val="24"/>
        </w:rPr>
        <w:t>C</w:t>
      </w:r>
      <w:r w:rsidR="00320058" w:rsidRPr="003047EA">
        <w:rPr>
          <w:rFonts w:ascii="Book Antiqua" w:hAnsi="Book Antiqua"/>
          <w:sz w:val="24"/>
          <w:szCs w:val="24"/>
        </w:rPr>
        <w:t>onfirmed thrombocytopenia</w:t>
      </w:r>
      <w:r w:rsidR="001F7183" w:rsidRPr="003047EA">
        <w:rPr>
          <w:rFonts w:ascii="Book Antiqua" w:hAnsi="Book Antiqua"/>
          <w:sz w:val="24"/>
          <w:szCs w:val="24"/>
        </w:rPr>
        <w:t xml:space="preserve"> </w:t>
      </w:r>
      <w:r w:rsidR="00320058" w:rsidRPr="003047EA">
        <w:rPr>
          <w:rFonts w:ascii="Book Antiqua" w:hAnsi="Book Antiqua"/>
          <w:sz w:val="24"/>
          <w:szCs w:val="24"/>
        </w:rPr>
        <w:t>in the absence of anti</w:t>
      </w:r>
      <w:r w:rsidRPr="003047EA">
        <w:rPr>
          <w:rFonts w:ascii="Book Antiqua" w:hAnsi="Book Antiqua" w:hint="eastAsia"/>
          <w:sz w:val="24"/>
          <w:szCs w:val="24"/>
          <w:lang w:eastAsia="zh-CN"/>
        </w:rPr>
        <w:t>-</w:t>
      </w:r>
      <w:r w:rsidR="00320058" w:rsidRPr="003047EA">
        <w:rPr>
          <w:rFonts w:ascii="Book Antiqua" w:hAnsi="Book Antiqua"/>
          <w:sz w:val="24"/>
          <w:szCs w:val="24"/>
        </w:rPr>
        <w:t>nuclear antibodies, elevated d-Dimer levels and autoantibodies</w:t>
      </w:r>
      <w:r w:rsidRPr="003047EA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3047EA" w:rsidRPr="003047EA" w:rsidRDefault="003047EA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3047EA" w:rsidRPr="003047EA" w:rsidRDefault="003047EA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i/>
          <w:sz w:val="24"/>
          <w:szCs w:val="24"/>
        </w:rPr>
        <w:t>Pathological diagnosis</w:t>
      </w:r>
    </w:p>
    <w:p w:rsidR="00320058" w:rsidRDefault="003047EA" w:rsidP="001F718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047EA">
        <w:rPr>
          <w:rFonts w:ascii="Book Antiqua" w:hAnsi="Book Antiqua"/>
          <w:sz w:val="24"/>
          <w:szCs w:val="24"/>
        </w:rPr>
        <w:lastRenderedPageBreak/>
        <w:t>N</w:t>
      </w:r>
      <w:r w:rsidR="00320058" w:rsidRPr="003047EA">
        <w:rPr>
          <w:rFonts w:ascii="Book Antiqua" w:hAnsi="Book Antiqua"/>
          <w:sz w:val="24"/>
          <w:szCs w:val="24"/>
        </w:rPr>
        <w:t>ormocellular marrow with megakaryocytes</w:t>
      </w:r>
      <w:r w:rsidRPr="003047EA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3047EA" w:rsidRPr="008E2081" w:rsidRDefault="003047EA" w:rsidP="008E208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3047EA" w:rsidRPr="008E2081" w:rsidRDefault="00320058" w:rsidP="008E208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8E2081">
        <w:rPr>
          <w:rFonts w:ascii="Book Antiqua" w:hAnsi="Book Antiqua"/>
          <w:b/>
          <w:i/>
          <w:sz w:val="24"/>
          <w:szCs w:val="24"/>
        </w:rPr>
        <w:t>Tr</w:t>
      </w:r>
      <w:r w:rsidR="0030158A" w:rsidRPr="008E2081">
        <w:rPr>
          <w:rFonts w:ascii="Book Antiqua" w:hAnsi="Book Antiqua"/>
          <w:b/>
          <w:i/>
          <w:sz w:val="24"/>
          <w:szCs w:val="24"/>
        </w:rPr>
        <w:t>e</w:t>
      </w:r>
      <w:r w:rsidR="003047EA" w:rsidRPr="008E2081">
        <w:rPr>
          <w:rFonts w:ascii="Book Antiqua" w:hAnsi="Book Antiqua"/>
          <w:b/>
          <w:i/>
          <w:sz w:val="24"/>
          <w:szCs w:val="24"/>
        </w:rPr>
        <w:t>atment</w:t>
      </w:r>
    </w:p>
    <w:p w:rsidR="00320058" w:rsidRPr="008E2081" w:rsidRDefault="003047EA" w:rsidP="008E208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E2081">
        <w:rPr>
          <w:rFonts w:ascii="Book Antiqua" w:hAnsi="Book Antiqua"/>
          <w:sz w:val="24"/>
          <w:szCs w:val="24"/>
        </w:rPr>
        <w:t>Intravenous immunoglobulin</w:t>
      </w:r>
      <w:r w:rsidR="00320058" w:rsidRPr="008E2081">
        <w:rPr>
          <w:rFonts w:ascii="Book Antiqua" w:hAnsi="Book Antiqua"/>
          <w:sz w:val="24"/>
          <w:szCs w:val="24"/>
        </w:rPr>
        <w:t>, cessation of tenofovir</w:t>
      </w:r>
      <w:r w:rsidRPr="008E2081">
        <w:rPr>
          <w:rFonts w:ascii="Book Antiqua" w:hAnsi="Book Antiqua"/>
          <w:sz w:val="24"/>
          <w:szCs w:val="24"/>
          <w:lang w:eastAsia="zh-CN"/>
        </w:rPr>
        <w:t>.</w:t>
      </w:r>
    </w:p>
    <w:p w:rsidR="003047EA" w:rsidRPr="008E2081" w:rsidRDefault="003047EA" w:rsidP="008E208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3047EA" w:rsidRPr="008E2081" w:rsidRDefault="0030158A" w:rsidP="008E208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8E2081">
        <w:rPr>
          <w:rFonts w:ascii="Book Antiqua" w:hAnsi="Book Antiqua"/>
          <w:b/>
          <w:i/>
          <w:sz w:val="24"/>
          <w:szCs w:val="24"/>
        </w:rPr>
        <w:t>Experiences an</w:t>
      </w:r>
      <w:r w:rsidR="003047EA" w:rsidRPr="008E2081">
        <w:rPr>
          <w:rFonts w:ascii="Book Antiqua" w:hAnsi="Book Antiqua"/>
          <w:b/>
          <w:i/>
          <w:sz w:val="24"/>
          <w:szCs w:val="24"/>
        </w:rPr>
        <w:t>d lessons</w:t>
      </w:r>
    </w:p>
    <w:p w:rsidR="0030158A" w:rsidRPr="008E2081" w:rsidRDefault="0030158A" w:rsidP="008E208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E2081">
        <w:rPr>
          <w:rFonts w:ascii="Book Antiqua" w:hAnsi="Book Antiqua"/>
          <w:sz w:val="24"/>
          <w:szCs w:val="24"/>
        </w:rPr>
        <w:t>Knowledge of monitoring of platlets in patients of tenofovir therapy may help to prevent drug related severe thrombocytopenia</w:t>
      </w:r>
      <w:r w:rsidR="003047EA" w:rsidRPr="008E2081">
        <w:rPr>
          <w:rFonts w:ascii="Book Antiqua" w:hAnsi="Book Antiqua"/>
          <w:sz w:val="24"/>
          <w:szCs w:val="24"/>
          <w:lang w:eastAsia="zh-CN"/>
        </w:rPr>
        <w:t>.</w:t>
      </w:r>
    </w:p>
    <w:p w:rsidR="00320058" w:rsidRPr="008E2081" w:rsidRDefault="00320058" w:rsidP="008E208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9F57AA" w:rsidRPr="008E2081" w:rsidRDefault="003047EA" w:rsidP="008E2081">
      <w:pPr>
        <w:pStyle w:val="NoSpacing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8E2081">
        <w:rPr>
          <w:rFonts w:ascii="Book Antiqua" w:hAnsi="Book Antiqua" w:cs="Times New Roman"/>
          <w:b/>
          <w:i/>
          <w:sz w:val="24"/>
          <w:szCs w:val="24"/>
          <w:lang w:eastAsia="zh-CN"/>
        </w:rPr>
        <w:t>Peer-review</w:t>
      </w:r>
    </w:p>
    <w:p w:rsidR="009F57AA" w:rsidRPr="008E2081" w:rsidRDefault="00226FF5" w:rsidP="008E2081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E2081">
        <w:rPr>
          <w:rFonts w:ascii="Book Antiqua" w:hAnsi="Book Antiqua"/>
          <w:sz w:val="24"/>
          <w:szCs w:val="24"/>
        </w:rPr>
        <w:t>This report highlights a rare case of thrombocytopenia after switching therapy to tenofovir DF.</w:t>
      </w:r>
    </w:p>
    <w:p w:rsidR="009F57AA" w:rsidRPr="008E2081" w:rsidRDefault="009F57AA" w:rsidP="008E2081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8E2081" w:rsidRDefault="008E2081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2D4E1C" w:rsidRPr="008E2081" w:rsidRDefault="002D4E1C" w:rsidP="008E208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8E2081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8E2081" w:rsidRPr="008E2081" w:rsidRDefault="008E2081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Zimmermann AE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Pizzoferrato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Bedford J, Morris A, Hoffman R, Braden G.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Tenofovir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-associated acute and chronic kidney disease: a case of multiple drug interactions. </w:t>
      </w:r>
      <w:proofErr w:type="spellStart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Infect Dis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42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283-290 [PMID: 16355343 DOI: 10.1086/499048]</w:t>
      </w:r>
    </w:p>
    <w:p w:rsidR="008E2081" w:rsidRPr="008E2081" w:rsidRDefault="008E2081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Verma</w:t>
      </w:r>
      <w:proofErr w:type="spellEnd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Vasudevan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Shankar S,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Pragasam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Suwal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Venugopal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</w:t>
      </w:r>
      <w:proofErr w:type="gram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First reported case of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tenofovir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-induced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photoallergic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reaction.</w:t>
      </w:r>
      <w:proofErr w:type="gram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Indian J </w:t>
      </w:r>
      <w:proofErr w:type="spellStart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776B39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2012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651-653 [PMID: 23112433 DOI: 10.4103/0253-7613.100407]</w:t>
      </w:r>
    </w:p>
    <w:p w:rsidR="008E2081" w:rsidRPr="008E2081" w:rsidRDefault="008E2081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proofErr w:type="spellStart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Verhelst</w:t>
      </w:r>
      <w:proofErr w:type="spellEnd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Monge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Meynard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Fouqueray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Mougenot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Girard PM,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Ronco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Rossert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Fanconi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syndrome and renal failure induced by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tenofovir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first case report. </w:t>
      </w:r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Kidney Dis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1331-1333 [PMID: 12460055 DOI: 10.1053/ajkd.2002.36924]</w:t>
      </w:r>
    </w:p>
    <w:p w:rsidR="008E2081" w:rsidRPr="008E2081" w:rsidRDefault="008E2081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proofErr w:type="spellStart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Stornaiuolo</w:t>
      </w:r>
      <w:proofErr w:type="spellEnd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, Amato A, Gaeta GB.</w:t>
      </w:r>
      <w:proofErr w:type="gram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Adefovir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dipivoxil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-associated thrombocytopenia in a patient with chronic hepatitis B. </w:t>
      </w:r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Dig Liver Dis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211-212 [PMID: 16464651 DOI: 10.1016/j.dld.2005.05.015]</w:t>
      </w:r>
    </w:p>
    <w:p w:rsidR="008E2081" w:rsidRDefault="008E2081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proofErr w:type="gramStart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Fan</w:t>
      </w:r>
      <w:proofErr w:type="gramEnd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X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Chen L, Yang J,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Feng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Entecavir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-Associated Thrombocytopenia in a Decompensated Cirrhotic Patient: A Case Report and Literature Review. </w:t>
      </w:r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Medicine </w:t>
      </w:r>
      <w:r w:rsidRPr="008E2081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(Baltimore)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95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e3103 [PMID: 27015182 DOI: 10.1097/MD.0000000000003103]</w:t>
      </w:r>
    </w:p>
    <w:p w:rsidR="00641909" w:rsidRPr="008E2081" w:rsidRDefault="00641909" w:rsidP="0064190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6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E2081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DeJesus</w:t>
      </w:r>
      <w:proofErr w:type="spellEnd"/>
      <w:r w:rsidRPr="008E2081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E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Sharma S,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Corales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Ebrahimi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Fisher A, Flaherty J. Impact of switching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virologically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suppressed, HIV-infected patients from fixed-dose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zidovudine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/lamivudine (CBV) to fixed-dose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tenofovir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DF/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emtricitabine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(TVD). In: Program and abstracts of the 8th International Congress on Drug Therapy in HIV Infection. Glasgow, United Kingdom, 2006: Abstract P53</w:t>
      </w:r>
    </w:p>
    <w:p w:rsidR="00641909" w:rsidRPr="008E2081" w:rsidRDefault="00641909" w:rsidP="0064190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7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Schleenvoigt</w:t>
      </w:r>
      <w:proofErr w:type="spellEnd"/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BT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Fobiwe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Keller PM, Hagel S,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Pletz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MW. HIV post exposure prophylaxis induced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bicytopenia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case report. </w:t>
      </w:r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AIDS Res </w:t>
      </w:r>
      <w:proofErr w:type="spellStart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11 [PMID: 24506969 DOI: 10.1186/1742-6405-11-11]</w:t>
      </w:r>
    </w:p>
    <w:p w:rsidR="008E2081" w:rsidRPr="008E2081" w:rsidRDefault="00641909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8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Visentin</w:t>
      </w:r>
      <w:proofErr w:type="spellEnd"/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GP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Liu CY. Drug-induced thrombocytopenia. </w:t>
      </w:r>
      <w:proofErr w:type="spellStart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Hematol</w:t>
      </w:r>
      <w:proofErr w:type="spellEnd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North Am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685-</w:t>
      </w:r>
      <w:r w:rsidR="00776B39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6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96, </w:t>
      </w:r>
      <w:proofErr w:type="gram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vi</w:t>
      </w:r>
      <w:proofErr w:type="gram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[PMID: 17666285 DOI: 10.1016/j.hoc.2007.06.005]</w:t>
      </w:r>
    </w:p>
    <w:p w:rsidR="008E2081" w:rsidRPr="008E2081" w:rsidRDefault="00641909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9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Kojouri</w:t>
      </w:r>
      <w:proofErr w:type="spellEnd"/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, Perdue JJ, Medina PJ, George JN.</w:t>
      </w:r>
      <w:proofErr w:type="gram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Occult quinine-induced thrombocytopenia. </w:t>
      </w:r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Okla</w:t>
      </w:r>
      <w:proofErr w:type="spellEnd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State Med </w:t>
      </w:r>
      <w:proofErr w:type="spellStart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Assoc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93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519-521 [PMID: 11126885]</w:t>
      </w:r>
    </w:p>
    <w:p w:rsidR="008E2081" w:rsidRPr="008E2081" w:rsidRDefault="00641909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10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Neylon</w:t>
      </w:r>
      <w:proofErr w:type="spellEnd"/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AJ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Saunders PW, Howard MR, Proctor SJ, Taylor PR. Clinically significant newly presenting autoimmune thrombocytopenic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purpura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adults: a 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prospective study of a population-based cohort of 245 patients. </w:t>
      </w:r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Haematol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122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966-974 [PMID: 12956768 DOI: 10.1046/j.1365-2141.2003.04547.x]</w:t>
      </w:r>
    </w:p>
    <w:p w:rsidR="008E2081" w:rsidRPr="008E2081" w:rsidRDefault="00641909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11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Arnold DM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Nazi I,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Warkentin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TE, Smith JW,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Toltl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LJ, George JN,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Kelton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JG. Approach to the diagnosis and management of drug-induced immune thrombocytopenia. </w:t>
      </w:r>
      <w:proofErr w:type="spellStart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Transfus</w:t>
      </w:r>
      <w:proofErr w:type="spellEnd"/>
      <w:r w:rsidR="008E2081"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Rev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="008E2081"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137-145 [PMID: 23845922 DOI: 10.1016/j.tmrv.2013.05.005]</w:t>
      </w:r>
    </w:p>
    <w:p w:rsidR="008E2081" w:rsidRPr="008E2081" w:rsidRDefault="008E2081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641909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Arnold DM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Kukaswadia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Nazi I,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Esmail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Dewar L, Smith JW,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Warkentin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TE,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Kelton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JG. </w:t>
      </w:r>
      <w:proofErr w:type="gram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A systematic evaluation of laboratory testing for drug-induced immune thrombocytopenia.</w:t>
      </w:r>
      <w:proofErr w:type="gram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Thromb</w:t>
      </w:r>
      <w:proofErr w:type="spellEnd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Haemost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169-176 [PMID: 23121994 DOI: 10.1111/jth.12052]</w:t>
      </w:r>
    </w:p>
    <w:p w:rsidR="008E2081" w:rsidRPr="008E2081" w:rsidRDefault="008E2081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641909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Hackett T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Kelton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JG, Powers P. Drug-induced platelet destruction.</w:t>
      </w:r>
      <w:proofErr w:type="gram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Semin</w:t>
      </w:r>
      <w:proofErr w:type="spellEnd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Thromb</w:t>
      </w:r>
      <w:proofErr w:type="spellEnd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E2081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Hemost</w:t>
      </w:r>
      <w:proofErr w:type="spellEnd"/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1982; </w:t>
      </w:r>
      <w:r w:rsidRPr="008E2081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: 116-137 [PMID: 6805076 DOI: 10.1055/s-2007-1005047]</w:t>
      </w:r>
    </w:p>
    <w:p w:rsidR="008E2081" w:rsidRPr="008E2081" w:rsidRDefault="00776B39" w:rsidP="008E208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641909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4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="008E2081" w:rsidRPr="008E2081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Warkentin</w:t>
      </w:r>
      <w:proofErr w:type="spellEnd"/>
      <w:r w:rsidR="008E2081" w:rsidRPr="008E2081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TE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Thrombocytopenia caused by platelet destruction,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hypersplenism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or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hemodilution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In: Hoffman R, Benz EJJ, Silberstein LE,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Heslop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HE,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Weitz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JI, </w:t>
      </w:r>
      <w:proofErr w:type="spellStart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Anastasi</w:t>
      </w:r>
      <w:proofErr w:type="spellEnd"/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editors. Hematology: basic principles and practice. Philadelphia: Churchill Livingstone Elsevier, 2013: 1895-</w:t>
      </w: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</w:t>
      </w:r>
      <w:r w:rsidR="008E2081" w:rsidRPr="008E2081">
        <w:rPr>
          <w:rFonts w:ascii="Book Antiqua" w:eastAsia="宋体" w:hAnsi="Book Antiqua" w:cs="宋体"/>
          <w:sz w:val="24"/>
          <w:szCs w:val="24"/>
          <w:lang w:val="en-US" w:eastAsia="zh-CN"/>
        </w:rPr>
        <w:t>912</w:t>
      </w:r>
    </w:p>
    <w:p w:rsidR="003047EA" w:rsidRPr="008E2081" w:rsidRDefault="003047EA" w:rsidP="008E208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3047EA" w:rsidRPr="00776B39" w:rsidRDefault="003047EA" w:rsidP="00776B39">
      <w:pPr>
        <w:spacing w:after="0" w:line="360" w:lineRule="auto"/>
        <w:jc w:val="right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776B39">
        <w:rPr>
          <w:rFonts w:ascii="Book Antiqua" w:hAnsi="Book Antiqua"/>
          <w:b/>
          <w:sz w:val="24"/>
          <w:szCs w:val="24"/>
        </w:rPr>
        <w:t xml:space="preserve">P-Reviewer: </w:t>
      </w:r>
      <w:r w:rsidR="002B49A6" w:rsidRPr="00776B39">
        <w:rPr>
          <w:rFonts w:ascii="Book Antiqua" w:hAnsi="Book Antiqua"/>
          <w:color w:val="000000"/>
          <w:sz w:val="24"/>
          <w:szCs w:val="24"/>
        </w:rPr>
        <w:t>Bourgoin</w:t>
      </w:r>
      <w:r w:rsidR="002B49A6" w:rsidRPr="00776B39">
        <w:rPr>
          <w:rFonts w:ascii="Book Antiqua" w:hAnsi="Book Antiqua"/>
          <w:color w:val="000000"/>
          <w:sz w:val="24"/>
          <w:szCs w:val="24"/>
          <w:lang w:eastAsia="zh-CN"/>
        </w:rPr>
        <w:t xml:space="preserve"> SG, </w:t>
      </w:r>
      <w:r w:rsidR="002B49A6" w:rsidRPr="00776B39">
        <w:rPr>
          <w:rFonts w:ascii="Book Antiqua" w:hAnsi="Book Antiqua"/>
          <w:color w:val="000000"/>
          <w:sz w:val="24"/>
          <w:szCs w:val="24"/>
        </w:rPr>
        <w:t>Yanev</w:t>
      </w:r>
      <w:r w:rsidR="002B49A6" w:rsidRPr="00776B39">
        <w:rPr>
          <w:rFonts w:ascii="Book Antiqua" w:hAnsi="Book Antiqua"/>
          <w:color w:val="000000"/>
          <w:sz w:val="24"/>
          <w:szCs w:val="24"/>
          <w:lang w:eastAsia="zh-CN"/>
        </w:rPr>
        <w:t xml:space="preserve"> SG </w:t>
      </w:r>
      <w:r w:rsidRPr="00776B39">
        <w:rPr>
          <w:rFonts w:ascii="Book Antiqua" w:hAnsi="Book Antiqua"/>
          <w:b/>
          <w:sz w:val="24"/>
          <w:szCs w:val="24"/>
        </w:rPr>
        <w:t xml:space="preserve">S-Editor: </w:t>
      </w:r>
      <w:r w:rsidRPr="00776B39">
        <w:rPr>
          <w:rFonts w:ascii="Book Antiqua" w:hAnsi="Book Antiqua"/>
          <w:sz w:val="24"/>
          <w:szCs w:val="24"/>
        </w:rPr>
        <w:t>Ji FF</w:t>
      </w:r>
      <w:r w:rsidRPr="00776B39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3047EA" w:rsidRPr="00776B39" w:rsidSect="0057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DC3"/>
    <w:multiLevelType w:val="hybridMultilevel"/>
    <w:tmpl w:val="428C7010"/>
    <w:lvl w:ilvl="0" w:tplc="79425A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748D"/>
    <w:multiLevelType w:val="multilevel"/>
    <w:tmpl w:val="138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E0700"/>
    <w:multiLevelType w:val="hybridMultilevel"/>
    <w:tmpl w:val="7458D4CE"/>
    <w:lvl w:ilvl="0" w:tplc="79425A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A3A"/>
    <w:multiLevelType w:val="hybridMultilevel"/>
    <w:tmpl w:val="E4EE16A0"/>
    <w:lvl w:ilvl="0" w:tplc="79425A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F08"/>
    <w:multiLevelType w:val="hybridMultilevel"/>
    <w:tmpl w:val="FE244A2C"/>
    <w:lvl w:ilvl="0" w:tplc="314CB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4158"/>
    <w:multiLevelType w:val="multilevel"/>
    <w:tmpl w:val="057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07149"/>
    <w:multiLevelType w:val="hybridMultilevel"/>
    <w:tmpl w:val="E4EE16A0"/>
    <w:lvl w:ilvl="0" w:tplc="79425A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122488"/>
    <w:multiLevelType w:val="multilevel"/>
    <w:tmpl w:val="AE8C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F"/>
    <w:rsid w:val="00004850"/>
    <w:rsid w:val="0006426B"/>
    <w:rsid w:val="00077356"/>
    <w:rsid w:val="00083866"/>
    <w:rsid w:val="00104BD9"/>
    <w:rsid w:val="001201BF"/>
    <w:rsid w:val="00141AD5"/>
    <w:rsid w:val="00166ADD"/>
    <w:rsid w:val="001C3976"/>
    <w:rsid w:val="001F7183"/>
    <w:rsid w:val="00217001"/>
    <w:rsid w:val="00226FF5"/>
    <w:rsid w:val="00242E52"/>
    <w:rsid w:val="002A7C88"/>
    <w:rsid w:val="002B49A6"/>
    <w:rsid w:val="002D4E1C"/>
    <w:rsid w:val="002E3F9E"/>
    <w:rsid w:val="002E6B75"/>
    <w:rsid w:val="0030158A"/>
    <w:rsid w:val="003047EA"/>
    <w:rsid w:val="003140FF"/>
    <w:rsid w:val="00320058"/>
    <w:rsid w:val="003247C5"/>
    <w:rsid w:val="00355583"/>
    <w:rsid w:val="004100A4"/>
    <w:rsid w:val="00410ADD"/>
    <w:rsid w:val="004325A8"/>
    <w:rsid w:val="0045182E"/>
    <w:rsid w:val="0047229F"/>
    <w:rsid w:val="005720D6"/>
    <w:rsid w:val="005F79C2"/>
    <w:rsid w:val="00614644"/>
    <w:rsid w:val="00641909"/>
    <w:rsid w:val="0069027F"/>
    <w:rsid w:val="006B222E"/>
    <w:rsid w:val="007212F2"/>
    <w:rsid w:val="00761D87"/>
    <w:rsid w:val="00776B39"/>
    <w:rsid w:val="007A364A"/>
    <w:rsid w:val="007F2D48"/>
    <w:rsid w:val="008A520F"/>
    <w:rsid w:val="008D042B"/>
    <w:rsid w:val="008D7063"/>
    <w:rsid w:val="008E2081"/>
    <w:rsid w:val="00925328"/>
    <w:rsid w:val="009B20B7"/>
    <w:rsid w:val="009F57AA"/>
    <w:rsid w:val="00A415CC"/>
    <w:rsid w:val="00A45A35"/>
    <w:rsid w:val="00A71EC6"/>
    <w:rsid w:val="00A7772D"/>
    <w:rsid w:val="00AC1213"/>
    <w:rsid w:val="00B14ED6"/>
    <w:rsid w:val="00B2766E"/>
    <w:rsid w:val="00B473D6"/>
    <w:rsid w:val="00B6006C"/>
    <w:rsid w:val="00B92FC3"/>
    <w:rsid w:val="00BC204D"/>
    <w:rsid w:val="00BE3C21"/>
    <w:rsid w:val="00C22C83"/>
    <w:rsid w:val="00C25449"/>
    <w:rsid w:val="00CA0513"/>
    <w:rsid w:val="00D37816"/>
    <w:rsid w:val="00DA307C"/>
    <w:rsid w:val="00DC59A1"/>
    <w:rsid w:val="00E06D02"/>
    <w:rsid w:val="00EA5AE2"/>
    <w:rsid w:val="00F124E5"/>
    <w:rsid w:val="00F67A47"/>
    <w:rsid w:val="00F967FF"/>
    <w:rsid w:val="00FA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D6"/>
  </w:style>
  <w:style w:type="paragraph" w:styleId="Heading1">
    <w:name w:val="heading 1"/>
    <w:basedOn w:val="Normal"/>
    <w:link w:val="Heading1Char"/>
    <w:uiPriority w:val="9"/>
    <w:qFormat/>
    <w:rsid w:val="00B27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B27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A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766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2766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abel">
    <w:name w:val="label"/>
    <w:basedOn w:val="DefaultParagraphFont"/>
    <w:rsid w:val="00B2766E"/>
  </w:style>
  <w:style w:type="character" w:customStyle="1" w:styleId="separator">
    <w:name w:val="separator"/>
    <w:basedOn w:val="DefaultParagraphFont"/>
    <w:rsid w:val="00B2766E"/>
  </w:style>
  <w:style w:type="character" w:customStyle="1" w:styleId="apple-converted-space">
    <w:name w:val="apple-converted-space"/>
    <w:basedOn w:val="DefaultParagraphFont"/>
    <w:rsid w:val="00B2766E"/>
  </w:style>
  <w:style w:type="character" w:customStyle="1" w:styleId="value">
    <w:name w:val="value"/>
    <w:basedOn w:val="DefaultParagraphFont"/>
    <w:rsid w:val="00B2766E"/>
  </w:style>
  <w:style w:type="paragraph" w:styleId="ListParagraph">
    <w:name w:val="List Paragraph"/>
    <w:basedOn w:val="Normal"/>
    <w:uiPriority w:val="34"/>
    <w:qFormat/>
    <w:rsid w:val="00B2766E"/>
    <w:pPr>
      <w:ind w:left="720"/>
      <w:contextualSpacing/>
    </w:pPr>
  </w:style>
  <w:style w:type="paragraph" w:styleId="NoSpacing">
    <w:name w:val="No Spacing"/>
    <w:uiPriority w:val="1"/>
    <w:qFormat/>
    <w:rsid w:val="00B2766E"/>
    <w:pPr>
      <w:spacing w:after="0" w:line="240" w:lineRule="auto"/>
    </w:pPr>
  </w:style>
  <w:style w:type="character" w:customStyle="1" w:styleId="nlmarticle-title">
    <w:name w:val="nlm_article-title"/>
    <w:basedOn w:val="DefaultParagraphFont"/>
    <w:rsid w:val="00242E52"/>
  </w:style>
  <w:style w:type="character" w:customStyle="1" w:styleId="nlmyear">
    <w:name w:val="nlm_year"/>
    <w:basedOn w:val="DefaultParagraphFont"/>
    <w:rsid w:val="00242E52"/>
  </w:style>
  <w:style w:type="character" w:customStyle="1" w:styleId="nlmfpage">
    <w:name w:val="nlm_fpage"/>
    <w:basedOn w:val="DefaultParagraphFont"/>
    <w:rsid w:val="00242E52"/>
  </w:style>
  <w:style w:type="character" w:customStyle="1" w:styleId="nlmlpage">
    <w:name w:val="nlm_lpage"/>
    <w:basedOn w:val="DefaultParagraphFont"/>
    <w:rsid w:val="00242E52"/>
  </w:style>
  <w:style w:type="character" w:customStyle="1" w:styleId="Heading5Char">
    <w:name w:val="Heading 5 Char"/>
    <w:basedOn w:val="DefaultParagraphFont"/>
    <w:link w:val="Heading5"/>
    <w:uiPriority w:val="9"/>
    <w:rsid w:val="00242E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ghlight">
    <w:name w:val="highlight"/>
    <w:basedOn w:val="DefaultParagraphFont"/>
    <w:rsid w:val="00BC204D"/>
  </w:style>
  <w:style w:type="character" w:styleId="CommentReference">
    <w:name w:val="annotation reference"/>
    <w:basedOn w:val="DefaultParagraphFont"/>
    <w:uiPriority w:val="99"/>
    <w:semiHidden/>
    <w:unhideWhenUsed/>
    <w:rsid w:val="004325A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4325A8"/>
  </w:style>
  <w:style w:type="character" w:customStyle="1" w:styleId="CommentTextChar">
    <w:name w:val="Comment Text Char"/>
    <w:basedOn w:val="DefaultParagraphFont"/>
    <w:link w:val="CommentText"/>
    <w:uiPriority w:val="99"/>
    <w:rsid w:val="004325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A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A8"/>
    <w:rPr>
      <w:sz w:val="18"/>
      <w:szCs w:val="18"/>
    </w:rPr>
  </w:style>
  <w:style w:type="paragraph" w:styleId="Revision">
    <w:name w:val="Revision"/>
    <w:hidden/>
    <w:uiPriority w:val="99"/>
    <w:semiHidden/>
    <w:rsid w:val="007212F2"/>
    <w:pPr>
      <w:spacing w:after="0" w:line="240" w:lineRule="auto"/>
    </w:pPr>
  </w:style>
  <w:style w:type="character" w:styleId="Emphasis">
    <w:name w:val="Emphasis"/>
    <w:qFormat/>
    <w:rsid w:val="00F124E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D6"/>
  </w:style>
  <w:style w:type="paragraph" w:styleId="Heading1">
    <w:name w:val="heading 1"/>
    <w:basedOn w:val="Normal"/>
    <w:link w:val="Heading1Char"/>
    <w:uiPriority w:val="9"/>
    <w:qFormat/>
    <w:rsid w:val="00B27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B27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A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766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2766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abel">
    <w:name w:val="label"/>
    <w:basedOn w:val="DefaultParagraphFont"/>
    <w:rsid w:val="00B2766E"/>
  </w:style>
  <w:style w:type="character" w:customStyle="1" w:styleId="separator">
    <w:name w:val="separator"/>
    <w:basedOn w:val="DefaultParagraphFont"/>
    <w:rsid w:val="00B2766E"/>
  </w:style>
  <w:style w:type="character" w:customStyle="1" w:styleId="apple-converted-space">
    <w:name w:val="apple-converted-space"/>
    <w:basedOn w:val="DefaultParagraphFont"/>
    <w:rsid w:val="00B2766E"/>
  </w:style>
  <w:style w:type="character" w:customStyle="1" w:styleId="value">
    <w:name w:val="value"/>
    <w:basedOn w:val="DefaultParagraphFont"/>
    <w:rsid w:val="00B2766E"/>
  </w:style>
  <w:style w:type="paragraph" w:styleId="ListParagraph">
    <w:name w:val="List Paragraph"/>
    <w:basedOn w:val="Normal"/>
    <w:uiPriority w:val="34"/>
    <w:qFormat/>
    <w:rsid w:val="00B2766E"/>
    <w:pPr>
      <w:ind w:left="720"/>
      <w:contextualSpacing/>
    </w:pPr>
  </w:style>
  <w:style w:type="paragraph" w:styleId="NoSpacing">
    <w:name w:val="No Spacing"/>
    <w:uiPriority w:val="1"/>
    <w:qFormat/>
    <w:rsid w:val="00B2766E"/>
    <w:pPr>
      <w:spacing w:after="0" w:line="240" w:lineRule="auto"/>
    </w:pPr>
  </w:style>
  <w:style w:type="character" w:customStyle="1" w:styleId="nlmarticle-title">
    <w:name w:val="nlm_article-title"/>
    <w:basedOn w:val="DefaultParagraphFont"/>
    <w:rsid w:val="00242E52"/>
  </w:style>
  <w:style w:type="character" w:customStyle="1" w:styleId="nlmyear">
    <w:name w:val="nlm_year"/>
    <w:basedOn w:val="DefaultParagraphFont"/>
    <w:rsid w:val="00242E52"/>
  </w:style>
  <w:style w:type="character" w:customStyle="1" w:styleId="nlmfpage">
    <w:name w:val="nlm_fpage"/>
    <w:basedOn w:val="DefaultParagraphFont"/>
    <w:rsid w:val="00242E52"/>
  </w:style>
  <w:style w:type="character" w:customStyle="1" w:styleId="nlmlpage">
    <w:name w:val="nlm_lpage"/>
    <w:basedOn w:val="DefaultParagraphFont"/>
    <w:rsid w:val="00242E52"/>
  </w:style>
  <w:style w:type="character" w:customStyle="1" w:styleId="Heading5Char">
    <w:name w:val="Heading 5 Char"/>
    <w:basedOn w:val="DefaultParagraphFont"/>
    <w:link w:val="Heading5"/>
    <w:uiPriority w:val="9"/>
    <w:rsid w:val="00242E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ghlight">
    <w:name w:val="highlight"/>
    <w:basedOn w:val="DefaultParagraphFont"/>
    <w:rsid w:val="00BC204D"/>
  </w:style>
  <w:style w:type="character" w:styleId="CommentReference">
    <w:name w:val="annotation reference"/>
    <w:basedOn w:val="DefaultParagraphFont"/>
    <w:uiPriority w:val="99"/>
    <w:semiHidden/>
    <w:unhideWhenUsed/>
    <w:rsid w:val="004325A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4325A8"/>
  </w:style>
  <w:style w:type="character" w:customStyle="1" w:styleId="CommentTextChar">
    <w:name w:val="Comment Text Char"/>
    <w:basedOn w:val="DefaultParagraphFont"/>
    <w:link w:val="CommentText"/>
    <w:uiPriority w:val="99"/>
    <w:rsid w:val="004325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A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A8"/>
    <w:rPr>
      <w:sz w:val="18"/>
      <w:szCs w:val="18"/>
    </w:rPr>
  </w:style>
  <w:style w:type="paragraph" w:styleId="Revision">
    <w:name w:val="Revision"/>
    <w:hidden/>
    <w:uiPriority w:val="99"/>
    <w:semiHidden/>
    <w:rsid w:val="007212F2"/>
    <w:pPr>
      <w:spacing w:after="0" w:line="240" w:lineRule="auto"/>
    </w:pPr>
  </w:style>
  <w:style w:type="character" w:styleId="Emphasis">
    <w:name w:val="Emphasis"/>
    <w:qFormat/>
    <w:rsid w:val="00F124E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69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1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reativecommons.org/licenses/by-nc/4.0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1954</Words>
  <Characters>11139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 Ma</cp:lastModifiedBy>
  <cp:revision>2</cp:revision>
  <dcterms:created xsi:type="dcterms:W3CDTF">2017-04-16T21:52:00Z</dcterms:created>
  <dcterms:modified xsi:type="dcterms:W3CDTF">2017-04-16T21:52:00Z</dcterms:modified>
</cp:coreProperties>
</file>