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761E" w14:textId="77777777" w:rsidR="00CE3ABE" w:rsidRPr="00303E62" w:rsidRDefault="00CE3ABE" w:rsidP="00D305D7">
      <w:pPr>
        <w:snapToGrid w:val="0"/>
        <w:spacing w:after="0" w:line="360" w:lineRule="auto"/>
        <w:jc w:val="both"/>
        <w:rPr>
          <w:rFonts w:ascii="Book Antiqua" w:hAnsi="Book Antiqua" w:cs="Arial"/>
          <w:b/>
          <w:i/>
          <w:sz w:val="24"/>
          <w:szCs w:val="24"/>
          <w:lang w:val="en-GB"/>
        </w:rPr>
      </w:pPr>
      <w:r w:rsidRPr="00303E62">
        <w:rPr>
          <w:rFonts w:ascii="Book Antiqua" w:hAnsi="Book Antiqua" w:cs="Arial"/>
          <w:b/>
          <w:sz w:val="24"/>
          <w:szCs w:val="24"/>
          <w:lang w:val="en-GB"/>
        </w:rPr>
        <w:t xml:space="preserve">Name of Journal: </w:t>
      </w:r>
      <w:r w:rsidRPr="00303E62">
        <w:rPr>
          <w:rFonts w:ascii="Book Antiqua" w:hAnsi="Book Antiqua" w:cs="Arial"/>
          <w:b/>
          <w:i/>
          <w:sz w:val="24"/>
          <w:szCs w:val="24"/>
          <w:lang w:val="en-GB"/>
        </w:rPr>
        <w:t>World Journal of Gastroenterology</w:t>
      </w:r>
    </w:p>
    <w:p w14:paraId="4FA81A90" w14:textId="1857AC85" w:rsidR="007D3FDE" w:rsidRPr="00303E62" w:rsidRDefault="007D3FDE" w:rsidP="00D305D7">
      <w:pPr>
        <w:snapToGrid w:val="0"/>
        <w:spacing w:after="0" w:line="360" w:lineRule="auto"/>
        <w:jc w:val="both"/>
        <w:rPr>
          <w:rFonts w:ascii="Book Antiqua" w:hAnsi="Book Antiqua" w:cs="Arial"/>
          <w:b/>
          <w:sz w:val="24"/>
          <w:szCs w:val="24"/>
          <w:lang w:val="en-GB" w:eastAsia="zh-CN"/>
        </w:rPr>
      </w:pPr>
      <w:r w:rsidRPr="00303E62">
        <w:rPr>
          <w:rFonts w:ascii="Book Antiqua" w:hAnsi="Book Antiqua" w:cs="Arial"/>
          <w:b/>
          <w:sz w:val="24"/>
          <w:szCs w:val="24"/>
          <w:lang w:val="en-GB"/>
        </w:rPr>
        <w:t>Manuscript NO</w:t>
      </w:r>
      <w:r w:rsidRPr="00303E62">
        <w:rPr>
          <w:rFonts w:ascii="Book Antiqua" w:hAnsi="Book Antiqua" w:cs="Arial"/>
          <w:b/>
          <w:i/>
          <w:sz w:val="24"/>
          <w:szCs w:val="24"/>
          <w:lang w:val="en-GB"/>
        </w:rPr>
        <w:t xml:space="preserve">: </w:t>
      </w:r>
      <w:r w:rsidRPr="00303E62">
        <w:rPr>
          <w:rFonts w:ascii="Book Antiqua" w:hAnsi="Book Antiqua" w:cs="Arial"/>
          <w:b/>
          <w:sz w:val="24"/>
          <w:szCs w:val="24"/>
          <w:lang w:val="en-GB"/>
        </w:rPr>
        <w:t>33</w:t>
      </w:r>
      <w:r w:rsidR="00AF3F65">
        <w:rPr>
          <w:rFonts w:ascii="Book Antiqua" w:hAnsi="Book Antiqua" w:cs="Arial" w:hint="eastAsia"/>
          <w:b/>
          <w:sz w:val="24"/>
          <w:szCs w:val="24"/>
          <w:lang w:val="en-GB" w:eastAsia="zh-CN"/>
        </w:rPr>
        <w:t>627</w:t>
      </w:r>
    </w:p>
    <w:p w14:paraId="405CD176" w14:textId="401299C3" w:rsidR="00303E62" w:rsidRPr="00303E62" w:rsidRDefault="007D3FDE" w:rsidP="00D305D7">
      <w:pPr>
        <w:snapToGrid w:val="0"/>
        <w:spacing w:after="0" w:line="360" w:lineRule="auto"/>
        <w:jc w:val="both"/>
        <w:rPr>
          <w:rFonts w:ascii="Book Antiqua" w:hAnsi="Book Antiqua" w:cs="Arial"/>
          <w:b/>
          <w:sz w:val="24"/>
          <w:szCs w:val="24"/>
          <w:lang w:val="en-GB" w:eastAsia="zh-CN"/>
        </w:rPr>
      </w:pPr>
      <w:r w:rsidRPr="00303E62">
        <w:rPr>
          <w:rFonts w:ascii="Book Antiqua" w:hAnsi="Book Antiqua" w:cs="Arial"/>
          <w:b/>
          <w:sz w:val="24"/>
          <w:szCs w:val="24"/>
          <w:lang w:val="en-GB"/>
        </w:rPr>
        <w:t xml:space="preserve">Manuscript Type: </w:t>
      </w:r>
      <w:r w:rsidR="00303E62" w:rsidRPr="00303E62">
        <w:rPr>
          <w:rFonts w:ascii="Book Antiqua" w:hAnsi="Book Antiqua" w:cs="Arial"/>
          <w:b/>
          <w:sz w:val="24"/>
          <w:szCs w:val="24"/>
          <w:lang w:val="en-US"/>
        </w:rPr>
        <w:t>ORIGINAL ARTICLE</w:t>
      </w:r>
    </w:p>
    <w:p w14:paraId="7BF86E49" w14:textId="77777777" w:rsidR="00303E62" w:rsidRDefault="00303E62" w:rsidP="00D305D7">
      <w:pPr>
        <w:snapToGrid w:val="0"/>
        <w:spacing w:after="0" w:line="360" w:lineRule="auto"/>
        <w:jc w:val="both"/>
        <w:rPr>
          <w:rFonts w:ascii="Book Antiqua" w:hAnsi="Book Antiqua" w:cs="Arial"/>
          <w:b/>
          <w:sz w:val="24"/>
          <w:szCs w:val="24"/>
          <w:lang w:val="en-GB" w:eastAsia="zh-CN"/>
        </w:rPr>
      </w:pPr>
    </w:p>
    <w:p w14:paraId="276E1686" w14:textId="04ABD57E" w:rsidR="00303E62" w:rsidRPr="00303E62" w:rsidRDefault="007D3FDE" w:rsidP="00D305D7">
      <w:pPr>
        <w:snapToGrid w:val="0"/>
        <w:spacing w:after="0" w:line="360" w:lineRule="auto"/>
        <w:jc w:val="both"/>
        <w:rPr>
          <w:rFonts w:ascii="Book Antiqua" w:hAnsi="Book Antiqua" w:cs="Arial"/>
          <w:b/>
          <w:i/>
          <w:sz w:val="24"/>
          <w:szCs w:val="24"/>
          <w:lang w:val="en-GB" w:eastAsia="zh-CN"/>
        </w:rPr>
      </w:pPr>
      <w:r w:rsidRPr="00303E62">
        <w:rPr>
          <w:rFonts w:ascii="Book Antiqua" w:hAnsi="Book Antiqua" w:cs="Arial"/>
          <w:b/>
          <w:i/>
          <w:sz w:val="24"/>
          <w:szCs w:val="24"/>
          <w:lang w:val="en-GB"/>
        </w:rPr>
        <w:t>Retrospective study</w:t>
      </w:r>
    </w:p>
    <w:p w14:paraId="21E88962" w14:textId="4C24F1CB" w:rsidR="007D3FDE" w:rsidRPr="00303E62" w:rsidRDefault="00A93F87" w:rsidP="00D305D7">
      <w:pPr>
        <w:snapToGrid w:val="0"/>
        <w:spacing w:after="0" w:line="360" w:lineRule="auto"/>
        <w:jc w:val="both"/>
        <w:rPr>
          <w:rFonts w:ascii="Book Antiqua" w:hAnsi="Book Antiqua" w:cs="Arial"/>
          <w:b/>
          <w:sz w:val="24"/>
          <w:szCs w:val="24"/>
          <w:lang w:val="en-GB"/>
        </w:rPr>
      </w:pPr>
      <w:r w:rsidRPr="00303E62">
        <w:rPr>
          <w:rFonts w:ascii="Book Antiqua" w:hAnsi="Book Antiqua" w:cs="Arial"/>
          <w:b/>
          <w:sz w:val="24"/>
          <w:szCs w:val="24"/>
          <w:lang w:val="en-GB"/>
        </w:rPr>
        <w:t>Suspicious</w:t>
      </w:r>
      <w:r w:rsidR="00303E62">
        <w:rPr>
          <w:rFonts w:ascii="Book Antiqua" w:hAnsi="Book Antiqua" w:cs="Arial" w:hint="eastAsia"/>
          <w:b/>
          <w:sz w:val="24"/>
          <w:szCs w:val="24"/>
          <w:lang w:val="en-GB" w:eastAsia="zh-CN"/>
        </w:rPr>
        <w:t xml:space="preserve"> </w:t>
      </w:r>
      <w:r w:rsidR="00EB1E08" w:rsidRPr="00303E62">
        <w:rPr>
          <w:rFonts w:ascii="Book Antiqua" w:hAnsi="Book Antiqua" w:cs="Arial"/>
          <w:b/>
          <w:sz w:val="24"/>
          <w:szCs w:val="24"/>
          <w:lang w:val="en-GB"/>
        </w:rPr>
        <w:t xml:space="preserve">brush cytology is an indication for liver transplantation </w:t>
      </w:r>
      <w:r w:rsidR="008D1845" w:rsidRPr="00303E62">
        <w:rPr>
          <w:rFonts w:ascii="Book Antiqua" w:hAnsi="Book Antiqua" w:cs="Arial"/>
          <w:b/>
          <w:sz w:val="24"/>
          <w:szCs w:val="24"/>
          <w:lang w:val="en-GB"/>
        </w:rPr>
        <w:t xml:space="preserve">evaluation </w:t>
      </w:r>
      <w:r w:rsidR="00EB1E08" w:rsidRPr="00303E62">
        <w:rPr>
          <w:rFonts w:ascii="Book Antiqua" w:hAnsi="Book Antiqua" w:cs="Arial"/>
          <w:b/>
          <w:sz w:val="24"/>
          <w:szCs w:val="24"/>
          <w:lang w:val="en-GB"/>
        </w:rPr>
        <w:t xml:space="preserve">in </w:t>
      </w:r>
      <w:r w:rsidR="00303E62" w:rsidRPr="00303E62">
        <w:rPr>
          <w:rFonts w:ascii="Book Antiqua" w:hAnsi="Book Antiqua" w:cs="Arial"/>
          <w:b/>
          <w:sz w:val="24"/>
          <w:szCs w:val="24"/>
          <w:lang w:val="en-GB"/>
        </w:rPr>
        <w:t>primary sclerosing cholangitis</w:t>
      </w:r>
    </w:p>
    <w:p w14:paraId="4940B2EB" w14:textId="77777777" w:rsidR="00303E62" w:rsidRPr="00303E62" w:rsidRDefault="00303E62" w:rsidP="00D305D7">
      <w:pPr>
        <w:snapToGrid w:val="0"/>
        <w:spacing w:after="0" w:line="360" w:lineRule="auto"/>
        <w:jc w:val="both"/>
        <w:rPr>
          <w:rFonts w:ascii="Book Antiqua" w:hAnsi="Book Antiqua" w:cs="Arial"/>
          <w:sz w:val="24"/>
          <w:szCs w:val="24"/>
          <w:lang w:val="en-GB" w:eastAsia="zh-CN"/>
        </w:rPr>
      </w:pPr>
    </w:p>
    <w:p w14:paraId="08959721" w14:textId="4C0B8656" w:rsidR="00E6458F" w:rsidRPr="00303E62" w:rsidRDefault="001B4240" w:rsidP="00D305D7">
      <w:pPr>
        <w:snapToGrid w:val="0"/>
        <w:spacing w:after="0" w:line="360" w:lineRule="auto"/>
        <w:jc w:val="both"/>
        <w:rPr>
          <w:rFonts w:ascii="Book Antiqua" w:hAnsi="Book Antiqua" w:cs="Arial"/>
          <w:sz w:val="24"/>
          <w:szCs w:val="24"/>
          <w:lang w:val="en-GB"/>
        </w:rPr>
      </w:pPr>
      <w:r w:rsidRPr="00303E62">
        <w:rPr>
          <w:rFonts w:ascii="Book Antiqua" w:hAnsi="Book Antiqua" w:cs="Arial"/>
          <w:sz w:val="24"/>
          <w:szCs w:val="24"/>
          <w:lang w:val="en-GB"/>
        </w:rPr>
        <w:t xml:space="preserve">Boyd </w:t>
      </w:r>
      <w:r w:rsidRPr="00303E62">
        <w:rPr>
          <w:rFonts w:ascii="Book Antiqua" w:hAnsi="Book Antiqua" w:cs="Arial"/>
          <w:i/>
          <w:sz w:val="24"/>
          <w:szCs w:val="24"/>
          <w:lang w:val="en-GB"/>
        </w:rPr>
        <w:t>et al.</w:t>
      </w:r>
      <w:r w:rsidR="00303E62">
        <w:rPr>
          <w:rFonts w:ascii="Book Antiqua" w:hAnsi="Book Antiqua" w:cs="Arial" w:hint="eastAsia"/>
          <w:sz w:val="24"/>
          <w:szCs w:val="24"/>
          <w:lang w:val="en-GB" w:eastAsia="zh-CN"/>
        </w:rPr>
        <w:t xml:space="preserve"> </w:t>
      </w:r>
      <w:r w:rsidRPr="00303E62">
        <w:rPr>
          <w:rFonts w:ascii="Book Antiqua" w:hAnsi="Book Antiqua" w:cs="Arial"/>
          <w:sz w:val="24"/>
          <w:szCs w:val="24"/>
          <w:lang w:val="en-GB"/>
        </w:rPr>
        <w:t xml:space="preserve">Brush cytology and </w:t>
      </w:r>
      <w:r w:rsidR="00DC7376" w:rsidRPr="00DC7376">
        <w:rPr>
          <w:rFonts w:ascii="Book Antiqua" w:hAnsi="Book Antiqua" w:cs="Arial" w:hint="eastAsia"/>
          <w:caps/>
          <w:sz w:val="24"/>
          <w:szCs w:val="24"/>
          <w:lang w:val="en-GB" w:eastAsia="zh-CN"/>
        </w:rPr>
        <w:t>lt</w:t>
      </w:r>
      <w:r w:rsidR="00DC7376">
        <w:rPr>
          <w:rFonts w:ascii="Book Antiqua" w:hAnsi="Book Antiqua" w:cs="Arial" w:hint="eastAsia"/>
          <w:sz w:val="24"/>
          <w:szCs w:val="24"/>
          <w:lang w:val="en-GB" w:eastAsia="zh-CN"/>
        </w:rPr>
        <w:t xml:space="preserve"> </w:t>
      </w:r>
      <w:r w:rsidRPr="00303E62">
        <w:rPr>
          <w:rFonts w:ascii="Book Antiqua" w:hAnsi="Book Antiqua" w:cs="Arial"/>
          <w:sz w:val="24"/>
          <w:szCs w:val="24"/>
          <w:lang w:val="en-GB"/>
        </w:rPr>
        <w:t>in PSC</w:t>
      </w:r>
    </w:p>
    <w:p w14:paraId="048BC5FE" w14:textId="77777777" w:rsidR="00303E62" w:rsidRPr="00303E62" w:rsidRDefault="00303E62" w:rsidP="00D305D7">
      <w:pPr>
        <w:snapToGrid w:val="0"/>
        <w:spacing w:after="0" w:line="360" w:lineRule="auto"/>
        <w:jc w:val="both"/>
        <w:rPr>
          <w:rFonts w:ascii="Book Antiqua" w:hAnsi="Book Antiqua" w:cs="Arial"/>
          <w:b/>
          <w:sz w:val="24"/>
          <w:szCs w:val="24"/>
          <w:lang w:val="en-GB" w:eastAsia="zh-CN"/>
        </w:rPr>
      </w:pPr>
    </w:p>
    <w:p w14:paraId="6DD3930B" w14:textId="17EA0626" w:rsidR="00EB1E08" w:rsidRPr="009D2990" w:rsidRDefault="00EB1E08" w:rsidP="00D305D7">
      <w:pPr>
        <w:snapToGrid w:val="0"/>
        <w:spacing w:after="0" w:line="360" w:lineRule="auto"/>
        <w:jc w:val="both"/>
        <w:rPr>
          <w:rFonts w:ascii="Book Antiqua" w:hAnsi="Book Antiqua" w:cs="Arial"/>
          <w:sz w:val="24"/>
          <w:szCs w:val="24"/>
        </w:rPr>
      </w:pPr>
      <w:r w:rsidRPr="009D2990">
        <w:rPr>
          <w:rFonts w:ascii="Book Antiqua" w:hAnsi="Book Antiqua" w:cs="Arial"/>
          <w:sz w:val="24"/>
          <w:szCs w:val="24"/>
        </w:rPr>
        <w:t>Sonja Boyd, Marko</w:t>
      </w:r>
      <w:r w:rsidR="00303E62" w:rsidRPr="009D2990">
        <w:rPr>
          <w:rFonts w:ascii="Book Antiqua" w:hAnsi="Book Antiqua" w:cs="Arial" w:hint="eastAsia"/>
          <w:sz w:val="24"/>
          <w:szCs w:val="24"/>
          <w:lang w:eastAsia="zh-CN"/>
        </w:rPr>
        <w:t xml:space="preserve"> </w:t>
      </w:r>
      <w:r w:rsidRPr="009D2990">
        <w:rPr>
          <w:rFonts w:ascii="Book Antiqua" w:hAnsi="Book Antiqua" w:cs="Arial"/>
          <w:sz w:val="24"/>
          <w:szCs w:val="24"/>
        </w:rPr>
        <w:t xml:space="preserve">Vannas, Kalle Jokelainen, Helena Isoniemi, Heikki Mäkisalo, Martti A </w:t>
      </w:r>
      <w:r w:rsidR="00E6458F" w:rsidRPr="009D2990">
        <w:rPr>
          <w:rFonts w:ascii="Book Antiqua" w:hAnsi="Book Antiqua" w:cs="Arial"/>
          <w:sz w:val="24"/>
          <w:szCs w:val="24"/>
        </w:rPr>
        <w:t>Färkkilä</w:t>
      </w:r>
      <w:r w:rsidRPr="009D2990">
        <w:rPr>
          <w:rFonts w:ascii="Book Antiqua" w:hAnsi="Book Antiqua" w:cs="Arial"/>
          <w:sz w:val="24"/>
          <w:szCs w:val="24"/>
        </w:rPr>
        <w:t>, Johanna Arola</w:t>
      </w:r>
    </w:p>
    <w:p w14:paraId="68BD06D4" w14:textId="77777777" w:rsidR="00560FD3" w:rsidRPr="00303E62" w:rsidRDefault="00560FD3" w:rsidP="00D305D7">
      <w:pPr>
        <w:snapToGrid w:val="0"/>
        <w:spacing w:after="0" w:line="360" w:lineRule="auto"/>
        <w:jc w:val="both"/>
        <w:rPr>
          <w:rFonts w:ascii="Book Antiqua" w:hAnsi="Book Antiqua" w:cs="Arial"/>
          <w:b/>
          <w:sz w:val="24"/>
          <w:szCs w:val="24"/>
          <w:vertAlign w:val="superscript"/>
        </w:rPr>
      </w:pPr>
    </w:p>
    <w:p w14:paraId="36BBDA58" w14:textId="33BC396E" w:rsidR="00EB1E08" w:rsidRPr="00303E62" w:rsidRDefault="00E6458F" w:rsidP="00D305D7">
      <w:pPr>
        <w:snapToGrid w:val="0"/>
        <w:spacing w:after="0" w:line="360" w:lineRule="auto"/>
        <w:jc w:val="both"/>
        <w:rPr>
          <w:rFonts w:ascii="Book Antiqua" w:hAnsi="Book Antiqua" w:cs="Arial"/>
          <w:sz w:val="24"/>
          <w:szCs w:val="24"/>
          <w:lang w:val="en-GB" w:eastAsia="fi-FI"/>
        </w:rPr>
      </w:pPr>
      <w:r w:rsidRPr="00303E62">
        <w:rPr>
          <w:rFonts w:ascii="Book Antiqua" w:hAnsi="Book Antiqua" w:cs="Arial"/>
          <w:b/>
          <w:sz w:val="24"/>
          <w:szCs w:val="24"/>
          <w:lang w:val="en-GB" w:eastAsia="fi-FI"/>
        </w:rPr>
        <w:t>Sonja Boyd, Johanna Arola,</w:t>
      </w:r>
      <w:r w:rsidRPr="00303E62">
        <w:rPr>
          <w:rFonts w:ascii="Book Antiqua" w:hAnsi="Book Antiqua" w:cs="Arial"/>
          <w:sz w:val="24"/>
          <w:szCs w:val="24"/>
          <w:lang w:val="en-GB" w:eastAsia="fi-FI"/>
        </w:rPr>
        <w:t xml:space="preserve"> </w:t>
      </w:r>
      <w:r w:rsidR="00303E62" w:rsidRPr="00303E62">
        <w:rPr>
          <w:rFonts w:ascii="Book Antiqua" w:hAnsi="Book Antiqua" w:cs="Arial"/>
          <w:sz w:val="24"/>
          <w:szCs w:val="24"/>
          <w:lang w:val="en-GB" w:eastAsia="fi-FI"/>
        </w:rPr>
        <w:t>Department of Pathology,</w:t>
      </w:r>
      <w:r w:rsidR="00303E62">
        <w:rPr>
          <w:rFonts w:ascii="Book Antiqua" w:hAnsi="Book Antiqua" w:cs="Arial" w:hint="eastAsia"/>
          <w:sz w:val="24"/>
          <w:szCs w:val="24"/>
          <w:lang w:val="en-GB" w:eastAsia="zh-CN"/>
        </w:rPr>
        <w:t xml:space="preserve"> </w:t>
      </w:r>
      <w:r w:rsidR="00EB1E08" w:rsidRPr="00303E62">
        <w:rPr>
          <w:rFonts w:ascii="Book Antiqua" w:hAnsi="Book Antiqua" w:cs="Arial"/>
          <w:sz w:val="24"/>
          <w:szCs w:val="24"/>
          <w:lang w:val="en-GB" w:eastAsia="fi-FI"/>
        </w:rPr>
        <w:t xml:space="preserve">University of Helsinki and Helsinki University Hospital, </w:t>
      </w:r>
      <w:r w:rsidR="00234B0B" w:rsidRPr="00303E62">
        <w:rPr>
          <w:rFonts w:ascii="Book Antiqua" w:hAnsi="Book Antiqua" w:cs="Arial"/>
          <w:sz w:val="24"/>
          <w:szCs w:val="24"/>
          <w:lang w:val="en-GB" w:eastAsia="fi-FI"/>
        </w:rPr>
        <w:t>00029</w:t>
      </w:r>
      <w:r w:rsidR="00303E62">
        <w:rPr>
          <w:rFonts w:ascii="Book Antiqua" w:hAnsi="Book Antiqua" w:cs="Arial" w:hint="eastAsia"/>
          <w:sz w:val="24"/>
          <w:szCs w:val="24"/>
          <w:lang w:val="en-GB" w:eastAsia="zh-CN"/>
        </w:rPr>
        <w:t xml:space="preserve"> </w:t>
      </w:r>
      <w:r w:rsidR="00EB1E08" w:rsidRPr="00303E62">
        <w:rPr>
          <w:rFonts w:ascii="Book Antiqua" w:hAnsi="Book Antiqua" w:cs="Arial"/>
          <w:sz w:val="24"/>
          <w:szCs w:val="24"/>
          <w:lang w:val="en-GB" w:eastAsia="fi-FI"/>
        </w:rPr>
        <w:t xml:space="preserve">Helsinki, Finland </w:t>
      </w:r>
    </w:p>
    <w:p w14:paraId="01374252" w14:textId="77777777" w:rsidR="00303E62" w:rsidRPr="00303E62" w:rsidRDefault="00303E62" w:rsidP="00D305D7">
      <w:pPr>
        <w:snapToGrid w:val="0"/>
        <w:spacing w:after="0" w:line="360" w:lineRule="auto"/>
        <w:jc w:val="both"/>
        <w:rPr>
          <w:rFonts w:ascii="Book Antiqua" w:hAnsi="Book Antiqua" w:cs="Arial"/>
          <w:b/>
          <w:sz w:val="24"/>
          <w:szCs w:val="24"/>
          <w:lang w:val="en-GB" w:eastAsia="zh-CN"/>
        </w:rPr>
      </w:pPr>
    </w:p>
    <w:p w14:paraId="5FB427F3" w14:textId="04D69145" w:rsidR="00EB1E08" w:rsidRPr="00303E62" w:rsidRDefault="00E6458F" w:rsidP="00D305D7">
      <w:pPr>
        <w:snapToGrid w:val="0"/>
        <w:spacing w:after="0" w:line="360" w:lineRule="auto"/>
        <w:jc w:val="both"/>
        <w:rPr>
          <w:rFonts w:ascii="Book Antiqua" w:hAnsi="Book Antiqua" w:cs="Arial"/>
          <w:sz w:val="24"/>
          <w:szCs w:val="24"/>
          <w:lang w:val="en-GB" w:eastAsia="fi-FI"/>
        </w:rPr>
      </w:pPr>
      <w:r w:rsidRPr="00303E62">
        <w:rPr>
          <w:rFonts w:ascii="Book Antiqua" w:hAnsi="Book Antiqua" w:cs="Arial"/>
          <w:b/>
          <w:sz w:val="24"/>
          <w:szCs w:val="24"/>
          <w:lang w:val="en-GB" w:eastAsia="fi-FI"/>
        </w:rPr>
        <w:t>Marko Vannas, Heikki Mäkisalo, Helena Isoniemi,</w:t>
      </w:r>
      <w:r w:rsidRPr="00303E62">
        <w:rPr>
          <w:rFonts w:ascii="Book Antiqua" w:hAnsi="Book Antiqua" w:cs="Arial"/>
          <w:sz w:val="24"/>
          <w:szCs w:val="24"/>
          <w:lang w:val="en-GB" w:eastAsia="fi-FI"/>
        </w:rPr>
        <w:t xml:space="preserve"> </w:t>
      </w:r>
      <w:r w:rsidR="00303E62" w:rsidRPr="00303E62">
        <w:rPr>
          <w:rFonts w:ascii="Book Antiqua" w:hAnsi="Book Antiqua" w:cs="Arial"/>
          <w:sz w:val="24"/>
          <w:szCs w:val="24"/>
          <w:lang w:val="en-GB" w:eastAsia="fi-FI"/>
        </w:rPr>
        <w:t>Transplantation and Liver Surgery Clinic</w:t>
      </w:r>
      <w:r w:rsidR="00303E62">
        <w:rPr>
          <w:rFonts w:ascii="Book Antiqua" w:hAnsi="Book Antiqua" w:cs="Arial" w:hint="eastAsia"/>
          <w:sz w:val="24"/>
          <w:szCs w:val="24"/>
          <w:lang w:val="en-GB" w:eastAsia="zh-CN"/>
        </w:rPr>
        <w:t xml:space="preserve">, </w:t>
      </w:r>
      <w:r w:rsidR="00EB1E08" w:rsidRPr="00303E62">
        <w:rPr>
          <w:rFonts w:ascii="Book Antiqua" w:hAnsi="Book Antiqua" w:cs="Arial"/>
          <w:sz w:val="24"/>
          <w:szCs w:val="24"/>
          <w:lang w:val="en-GB" w:eastAsia="fi-FI"/>
        </w:rPr>
        <w:t>University of Helsinki and Helsinki University Hospital,</w:t>
      </w:r>
      <w:r w:rsidR="00303E62">
        <w:rPr>
          <w:rFonts w:ascii="Book Antiqua" w:hAnsi="Book Antiqua" w:cs="Arial" w:hint="eastAsia"/>
          <w:sz w:val="24"/>
          <w:szCs w:val="24"/>
          <w:lang w:val="en-GB" w:eastAsia="zh-CN"/>
        </w:rPr>
        <w:t xml:space="preserve"> </w:t>
      </w:r>
      <w:r w:rsidR="00234B0B" w:rsidRPr="00303E62">
        <w:rPr>
          <w:rFonts w:ascii="Book Antiqua" w:hAnsi="Book Antiqua" w:cs="Arial"/>
          <w:sz w:val="24"/>
          <w:szCs w:val="24"/>
          <w:lang w:val="en-GB" w:eastAsia="fi-FI"/>
        </w:rPr>
        <w:t xml:space="preserve">00029 </w:t>
      </w:r>
      <w:r w:rsidR="00EB1E08" w:rsidRPr="00303E62">
        <w:rPr>
          <w:rFonts w:ascii="Book Antiqua" w:hAnsi="Book Antiqua" w:cs="Arial"/>
          <w:sz w:val="24"/>
          <w:szCs w:val="24"/>
          <w:lang w:val="en-GB" w:eastAsia="fi-FI"/>
        </w:rPr>
        <w:t>Helsinki, Finland</w:t>
      </w:r>
    </w:p>
    <w:p w14:paraId="3FF7FB3D" w14:textId="77777777" w:rsidR="00303E62" w:rsidRPr="00303E62" w:rsidRDefault="00303E62" w:rsidP="00D305D7">
      <w:pPr>
        <w:snapToGrid w:val="0"/>
        <w:spacing w:after="0" w:line="360" w:lineRule="auto"/>
        <w:jc w:val="both"/>
        <w:rPr>
          <w:rFonts w:ascii="Book Antiqua" w:hAnsi="Book Antiqua" w:cs="Arial"/>
          <w:b/>
          <w:sz w:val="24"/>
          <w:szCs w:val="24"/>
          <w:lang w:val="en-GB" w:eastAsia="zh-CN"/>
        </w:rPr>
      </w:pPr>
    </w:p>
    <w:p w14:paraId="1D6D8825" w14:textId="26616D51" w:rsidR="00EB1E08" w:rsidRPr="00303E62" w:rsidRDefault="00E6458F" w:rsidP="00D305D7">
      <w:pPr>
        <w:snapToGrid w:val="0"/>
        <w:spacing w:after="0" w:line="360" w:lineRule="auto"/>
        <w:jc w:val="both"/>
        <w:rPr>
          <w:rFonts w:ascii="Book Antiqua" w:hAnsi="Book Antiqua" w:cs="Arial"/>
          <w:sz w:val="24"/>
          <w:szCs w:val="24"/>
          <w:lang w:val="en-GB" w:eastAsia="fi-FI"/>
        </w:rPr>
      </w:pPr>
      <w:r w:rsidRPr="00303E62">
        <w:rPr>
          <w:rFonts w:ascii="Book Antiqua" w:hAnsi="Book Antiqua" w:cs="Arial"/>
          <w:b/>
          <w:sz w:val="24"/>
          <w:szCs w:val="24"/>
          <w:lang w:val="en-GB" w:eastAsia="fi-FI"/>
        </w:rPr>
        <w:t>Kalle Jokelainen,</w:t>
      </w:r>
      <w:r w:rsidR="00303E62">
        <w:rPr>
          <w:rFonts w:ascii="Book Antiqua" w:hAnsi="Book Antiqua" w:cs="Arial" w:hint="eastAsia"/>
          <w:b/>
          <w:sz w:val="24"/>
          <w:szCs w:val="24"/>
          <w:lang w:val="en-GB" w:eastAsia="zh-CN"/>
        </w:rPr>
        <w:t xml:space="preserve"> </w:t>
      </w:r>
      <w:r w:rsidRPr="00303E62">
        <w:rPr>
          <w:rFonts w:ascii="Book Antiqua" w:hAnsi="Book Antiqua" w:cs="Arial"/>
          <w:b/>
          <w:sz w:val="24"/>
          <w:szCs w:val="24"/>
          <w:lang w:val="en-GB" w:eastAsia="fi-FI"/>
        </w:rPr>
        <w:t>Martti A Färkkilä,</w:t>
      </w:r>
      <w:r w:rsidRPr="00303E62">
        <w:rPr>
          <w:rFonts w:ascii="Book Antiqua" w:hAnsi="Book Antiqua" w:cs="Arial"/>
          <w:sz w:val="24"/>
          <w:szCs w:val="24"/>
          <w:lang w:val="en-GB" w:eastAsia="fi-FI"/>
        </w:rPr>
        <w:t xml:space="preserve"> </w:t>
      </w:r>
      <w:r w:rsidR="00303E62" w:rsidRPr="00303E62">
        <w:rPr>
          <w:rFonts w:ascii="Book Antiqua" w:hAnsi="Book Antiqua" w:cs="Arial"/>
          <w:sz w:val="24"/>
          <w:szCs w:val="24"/>
          <w:lang w:val="en-GB" w:eastAsia="fi-FI"/>
        </w:rPr>
        <w:t>Clinic of Gastroenterology,</w:t>
      </w:r>
      <w:r w:rsidR="00303E62">
        <w:rPr>
          <w:rFonts w:ascii="Book Antiqua" w:hAnsi="Book Antiqua" w:cs="Arial" w:hint="eastAsia"/>
          <w:sz w:val="24"/>
          <w:szCs w:val="24"/>
          <w:lang w:val="en-GB" w:eastAsia="zh-CN"/>
        </w:rPr>
        <w:t xml:space="preserve"> </w:t>
      </w:r>
      <w:r w:rsidR="00EB1E08" w:rsidRPr="00303E62">
        <w:rPr>
          <w:rFonts w:ascii="Book Antiqua" w:hAnsi="Book Antiqua" w:cs="Arial"/>
          <w:sz w:val="24"/>
          <w:szCs w:val="24"/>
          <w:lang w:val="en-GB" w:eastAsia="fi-FI"/>
        </w:rPr>
        <w:t xml:space="preserve">University of Helsinki and Helsinki University Hospital, </w:t>
      </w:r>
      <w:r w:rsidR="00234B0B" w:rsidRPr="00303E62">
        <w:rPr>
          <w:rFonts w:ascii="Book Antiqua" w:hAnsi="Book Antiqua" w:cs="Arial"/>
          <w:sz w:val="24"/>
          <w:szCs w:val="24"/>
          <w:lang w:val="en-GB" w:eastAsia="fi-FI"/>
        </w:rPr>
        <w:t xml:space="preserve">00029 </w:t>
      </w:r>
      <w:r w:rsidR="00EB1E08" w:rsidRPr="00303E62">
        <w:rPr>
          <w:rFonts w:ascii="Book Antiqua" w:hAnsi="Book Antiqua" w:cs="Arial"/>
          <w:sz w:val="24"/>
          <w:szCs w:val="24"/>
          <w:lang w:val="en-GB" w:eastAsia="fi-FI"/>
        </w:rPr>
        <w:t xml:space="preserve">Helsinki, Finland </w:t>
      </w:r>
    </w:p>
    <w:p w14:paraId="0E0CB861" w14:textId="77777777" w:rsidR="00E6458F" w:rsidRPr="00303E62" w:rsidRDefault="00E6458F" w:rsidP="00D305D7">
      <w:pPr>
        <w:snapToGrid w:val="0"/>
        <w:spacing w:after="0" w:line="360" w:lineRule="auto"/>
        <w:jc w:val="both"/>
        <w:rPr>
          <w:rFonts w:ascii="Book Antiqua" w:hAnsi="Book Antiqua" w:cs="Arial"/>
          <w:sz w:val="24"/>
          <w:szCs w:val="24"/>
          <w:lang w:val="en-GB" w:eastAsia="fi-FI"/>
        </w:rPr>
      </w:pPr>
    </w:p>
    <w:p w14:paraId="190A18EA" w14:textId="650B5364" w:rsidR="00E6458F" w:rsidRPr="00303E62" w:rsidRDefault="00E6458F" w:rsidP="00D305D7">
      <w:pPr>
        <w:snapToGrid w:val="0"/>
        <w:spacing w:after="0" w:line="360" w:lineRule="auto"/>
        <w:jc w:val="both"/>
        <w:rPr>
          <w:rFonts w:ascii="Book Antiqua" w:hAnsi="Book Antiqua" w:cs="Arial"/>
          <w:b/>
          <w:sz w:val="24"/>
          <w:szCs w:val="24"/>
          <w:lang w:val="en-GB" w:eastAsia="zh-CN"/>
        </w:rPr>
      </w:pPr>
      <w:r w:rsidRPr="00303E62">
        <w:rPr>
          <w:rFonts w:ascii="Book Antiqua" w:hAnsi="Book Antiqua" w:cs="Arial"/>
          <w:b/>
          <w:sz w:val="24"/>
          <w:szCs w:val="24"/>
          <w:lang w:val="en-GB" w:eastAsia="fi-FI"/>
        </w:rPr>
        <w:t xml:space="preserve">Author contributions: </w:t>
      </w:r>
      <w:r w:rsidR="00303E62" w:rsidRPr="00303E62">
        <w:rPr>
          <w:rFonts w:ascii="Book Antiqua" w:hAnsi="Book Antiqua" w:cs="Arial"/>
          <w:sz w:val="24"/>
          <w:szCs w:val="24"/>
          <w:lang w:val="en-GB" w:eastAsia="fi-FI"/>
        </w:rPr>
        <w:t xml:space="preserve">Boyd </w:t>
      </w:r>
      <w:r w:rsidRPr="00303E62">
        <w:rPr>
          <w:rFonts w:ascii="Book Antiqua" w:hAnsi="Book Antiqua" w:cs="Arial"/>
          <w:sz w:val="24"/>
          <w:szCs w:val="24"/>
          <w:lang w:val="en-GB" w:eastAsia="fi-FI"/>
        </w:rPr>
        <w:t>S</w:t>
      </w:r>
      <w:r w:rsidR="00303E62">
        <w:rPr>
          <w:rFonts w:ascii="Book Antiqua" w:hAnsi="Book Antiqua" w:cs="Arial" w:hint="eastAsia"/>
          <w:sz w:val="24"/>
          <w:szCs w:val="24"/>
          <w:lang w:val="en-GB" w:eastAsia="zh-CN"/>
        </w:rPr>
        <w:t xml:space="preserve"> and </w:t>
      </w:r>
      <w:r w:rsidR="00303E62" w:rsidRPr="00303E62">
        <w:rPr>
          <w:rFonts w:ascii="Book Antiqua" w:hAnsi="Book Antiqua" w:cs="Arial"/>
          <w:sz w:val="24"/>
          <w:szCs w:val="24"/>
          <w:lang w:val="en-GB" w:eastAsia="fi-FI"/>
        </w:rPr>
        <w:t xml:space="preserve">Vannas M </w:t>
      </w:r>
      <w:r w:rsidRPr="00303E62">
        <w:rPr>
          <w:rFonts w:ascii="Book Antiqua" w:hAnsi="Book Antiqua" w:cs="Arial"/>
          <w:sz w:val="24"/>
          <w:szCs w:val="24"/>
          <w:lang w:val="en-GB" w:eastAsia="fi-FI"/>
        </w:rPr>
        <w:t>collected the data</w:t>
      </w:r>
      <w:r w:rsidR="00AF3F65">
        <w:rPr>
          <w:rFonts w:ascii="Book Antiqua" w:hAnsi="Book Antiqua" w:cs="Arial" w:hint="eastAsia"/>
          <w:sz w:val="24"/>
          <w:szCs w:val="24"/>
          <w:lang w:val="en-GB" w:eastAsia="zh-CN"/>
        </w:rPr>
        <w:t>;</w:t>
      </w:r>
      <w:r w:rsidRPr="00303E62">
        <w:rPr>
          <w:rFonts w:ascii="Book Antiqua" w:hAnsi="Book Antiqua" w:cs="Arial"/>
          <w:sz w:val="24"/>
          <w:szCs w:val="24"/>
          <w:lang w:val="en-GB" w:eastAsia="fi-FI"/>
        </w:rPr>
        <w:t xml:space="preserve"> </w:t>
      </w:r>
      <w:r w:rsidR="00AF3F65" w:rsidRPr="00303E62">
        <w:rPr>
          <w:rFonts w:ascii="Book Antiqua" w:hAnsi="Book Antiqua" w:cs="Arial"/>
          <w:sz w:val="24"/>
          <w:szCs w:val="24"/>
          <w:lang w:val="en-GB" w:eastAsia="fi-FI"/>
        </w:rPr>
        <w:t xml:space="preserve">Boyd S </w:t>
      </w:r>
      <w:r w:rsidR="000146F1" w:rsidRPr="00303E62">
        <w:rPr>
          <w:rFonts w:ascii="Book Antiqua" w:hAnsi="Book Antiqua" w:cs="Arial"/>
          <w:sz w:val="24"/>
          <w:szCs w:val="24"/>
          <w:lang w:val="en-GB" w:eastAsia="fi-FI"/>
        </w:rPr>
        <w:t xml:space="preserve">prepared figures, </w:t>
      </w:r>
      <w:r w:rsidRPr="00303E62">
        <w:rPr>
          <w:rFonts w:ascii="Book Antiqua" w:hAnsi="Book Antiqua" w:cs="Arial"/>
          <w:sz w:val="24"/>
          <w:szCs w:val="24"/>
          <w:lang w:val="en-GB" w:eastAsia="fi-FI"/>
        </w:rPr>
        <w:t xml:space="preserve">wrote the first draft of the manuscript and </w:t>
      </w:r>
      <w:r w:rsidR="008C27AA" w:rsidRPr="00303E62">
        <w:rPr>
          <w:rFonts w:ascii="Book Antiqua" w:hAnsi="Book Antiqua" w:cs="Arial"/>
          <w:sz w:val="24"/>
          <w:szCs w:val="24"/>
          <w:lang w:val="en-GB" w:eastAsia="fi-FI"/>
        </w:rPr>
        <w:t>analysed the data</w:t>
      </w:r>
      <w:r w:rsidR="00303E62">
        <w:rPr>
          <w:rFonts w:ascii="Book Antiqua" w:hAnsi="Book Antiqua" w:cs="Arial" w:hint="eastAsia"/>
          <w:sz w:val="24"/>
          <w:szCs w:val="24"/>
          <w:lang w:val="en-GB" w:eastAsia="zh-CN"/>
        </w:rPr>
        <w:t>;</w:t>
      </w:r>
      <w:r w:rsidR="00AF3F65">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 xml:space="preserve">Vannas </w:t>
      </w:r>
      <w:r w:rsidRPr="00303E62">
        <w:rPr>
          <w:rFonts w:ascii="Book Antiqua" w:hAnsi="Book Antiqua" w:cs="Arial"/>
          <w:sz w:val="24"/>
          <w:szCs w:val="24"/>
          <w:lang w:val="en-GB" w:eastAsia="fi-FI"/>
        </w:rPr>
        <w:t>M</w:t>
      </w:r>
      <w:r w:rsidR="00AF3F65">
        <w:rPr>
          <w:rFonts w:ascii="Book Antiqua" w:hAnsi="Book Antiqua" w:cs="Arial" w:hint="eastAsia"/>
          <w:sz w:val="24"/>
          <w:szCs w:val="24"/>
          <w:lang w:val="en-GB" w:eastAsia="zh-CN"/>
        </w:rPr>
        <w:t xml:space="preserve"> </w:t>
      </w:r>
      <w:r w:rsidRPr="00303E62">
        <w:rPr>
          <w:rFonts w:ascii="Book Antiqua" w:hAnsi="Book Antiqua" w:cs="Arial"/>
          <w:sz w:val="24"/>
          <w:szCs w:val="24"/>
          <w:lang w:val="en-GB" w:eastAsia="fi-FI"/>
        </w:rPr>
        <w:t xml:space="preserve">participated in </w:t>
      </w:r>
      <w:r w:rsidR="008D1845" w:rsidRPr="00303E62">
        <w:rPr>
          <w:rFonts w:ascii="Book Antiqua" w:hAnsi="Book Antiqua" w:cs="Arial"/>
          <w:sz w:val="24"/>
          <w:szCs w:val="24"/>
          <w:lang w:val="en-GB" w:eastAsia="fi-FI"/>
        </w:rPr>
        <w:t xml:space="preserve">the </w:t>
      </w:r>
      <w:r w:rsidRPr="00303E62">
        <w:rPr>
          <w:rFonts w:ascii="Book Antiqua" w:hAnsi="Book Antiqua" w:cs="Arial"/>
          <w:sz w:val="24"/>
          <w:szCs w:val="24"/>
          <w:lang w:val="en-GB" w:eastAsia="fi-FI"/>
        </w:rPr>
        <w:t>writing of the manuscript</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 xml:space="preserve">Jokelainen </w:t>
      </w:r>
      <w:r w:rsidRPr="00303E62">
        <w:rPr>
          <w:rFonts w:ascii="Book Antiqua" w:hAnsi="Book Antiqua" w:cs="Arial"/>
          <w:sz w:val="24"/>
          <w:szCs w:val="24"/>
          <w:lang w:val="en-GB" w:eastAsia="fi-FI"/>
        </w:rPr>
        <w:t>K</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Mäkisalo H</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and Isoniemi H</w:t>
      </w:r>
      <w:r w:rsidR="00303E62">
        <w:rPr>
          <w:rFonts w:ascii="Book Antiqua" w:hAnsi="Book Antiqua" w:cs="Arial" w:hint="eastAsia"/>
          <w:sz w:val="24"/>
          <w:szCs w:val="24"/>
          <w:lang w:val="en-GB" w:eastAsia="zh-CN"/>
        </w:rPr>
        <w:t xml:space="preserve"> </w:t>
      </w:r>
      <w:r w:rsidR="00560FD3" w:rsidRPr="00303E62">
        <w:rPr>
          <w:rFonts w:ascii="Book Antiqua" w:hAnsi="Book Antiqua" w:cs="Arial"/>
          <w:sz w:val="24"/>
          <w:szCs w:val="24"/>
          <w:lang w:val="en-GB" w:eastAsia="fi-FI"/>
        </w:rPr>
        <w:t>provided clinical advice</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 xml:space="preserve">Färkkilä </w:t>
      </w:r>
      <w:r w:rsidRPr="00303E62">
        <w:rPr>
          <w:rFonts w:ascii="Book Antiqua" w:hAnsi="Book Antiqua" w:cs="Arial"/>
          <w:sz w:val="24"/>
          <w:szCs w:val="24"/>
          <w:lang w:val="en-GB" w:eastAsia="fi-FI"/>
        </w:rPr>
        <w:t xml:space="preserve">MA and </w:t>
      </w:r>
      <w:r w:rsidR="00303E62" w:rsidRPr="00303E62">
        <w:rPr>
          <w:rFonts w:ascii="Book Antiqua" w:hAnsi="Book Antiqua" w:cs="Arial"/>
          <w:sz w:val="24"/>
          <w:szCs w:val="24"/>
          <w:lang w:val="en-GB" w:eastAsia="fi-FI"/>
        </w:rPr>
        <w:t xml:space="preserve">Arola </w:t>
      </w:r>
      <w:r w:rsidRPr="00303E62">
        <w:rPr>
          <w:rFonts w:ascii="Book Antiqua" w:hAnsi="Book Antiqua" w:cs="Arial"/>
          <w:sz w:val="24"/>
          <w:szCs w:val="24"/>
          <w:lang w:val="en-GB" w:eastAsia="fi-FI"/>
        </w:rPr>
        <w:t>J</w:t>
      </w:r>
      <w:r w:rsidR="00303E62">
        <w:rPr>
          <w:rFonts w:ascii="Book Antiqua" w:hAnsi="Book Antiqua" w:cs="Arial" w:hint="eastAsia"/>
          <w:sz w:val="24"/>
          <w:szCs w:val="24"/>
          <w:lang w:val="en-GB" w:eastAsia="zh-CN"/>
        </w:rPr>
        <w:t xml:space="preserve"> </w:t>
      </w:r>
      <w:r w:rsidRPr="00303E62">
        <w:rPr>
          <w:rFonts w:ascii="Book Antiqua" w:hAnsi="Book Antiqua" w:cs="Arial"/>
          <w:sz w:val="24"/>
          <w:szCs w:val="24"/>
          <w:lang w:val="en-GB" w:eastAsia="fi-FI"/>
        </w:rPr>
        <w:t>designed the research</w:t>
      </w:r>
      <w:r w:rsidR="00303E62">
        <w:rPr>
          <w:rFonts w:ascii="Book Antiqua" w:hAnsi="Book Antiqua" w:cs="Arial" w:hint="eastAsia"/>
          <w:sz w:val="24"/>
          <w:szCs w:val="24"/>
          <w:lang w:val="en-GB" w:eastAsia="zh-CN"/>
        </w:rPr>
        <w:t xml:space="preserve"> </w:t>
      </w:r>
      <w:r w:rsidRPr="00303E62">
        <w:rPr>
          <w:rFonts w:ascii="Book Antiqua" w:hAnsi="Book Antiqua" w:cs="Arial"/>
          <w:sz w:val="24"/>
          <w:szCs w:val="24"/>
          <w:lang w:val="en-GB" w:eastAsia="fi-FI"/>
        </w:rPr>
        <w:t>and supervised the report</w:t>
      </w:r>
      <w:r w:rsidR="00303E62">
        <w:rPr>
          <w:rFonts w:ascii="Book Antiqua" w:hAnsi="Book Antiqua" w:cs="Arial" w:hint="eastAsia"/>
          <w:sz w:val="24"/>
          <w:szCs w:val="24"/>
          <w:lang w:val="en-GB" w:eastAsia="zh-CN"/>
        </w:rPr>
        <w:t>;</w:t>
      </w:r>
      <w:r w:rsidRPr="00303E62">
        <w:rPr>
          <w:rFonts w:ascii="Book Antiqua" w:hAnsi="Book Antiqua" w:cs="Arial"/>
          <w:b/>
          <w:sz w:val="24"/>
          <w:szCs w:val="24"/>
          <w:lang w:val="en-GB" w:eastAsia="fi-FI"/>
        </w:rPr>
        <w:t xml:space="preserve"> </w:t>
      </w:r>
      <w:r w:rsidR="00303E62" w:rsidRPr="00303E62">
        <w:rPr>
          <w:rFonts w:ascii="Book Antiqua" w:hAnsi="Book Antiqua" w:cs="Arial"/>
          <w:sz w:val="24"/>
          <w:szCs w:val="24"/>
          <w:lang w:val="en-GB" w:eastAsia="fi-FI"/>
        </w:rPr>
        <w:t>Jokelainen K</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Mäkisalo H</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Isoniemi H</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Färkkilä MA and Arola J</w:t>
      </w:r>
      <w:r w:rsidR="00303E62">
        <w:rPr>
          <w:rFonts w:ascii="Book Antiqua" w:hAnsi="Book Antiqua" w:cs="Arial" w:hint="eastAsia"/>
          <w:sz w:val="24"/>
          <w:szCs w:val="24"/>
          <w:lang w:val="en-GB" w:eastAsia="zh-CN"/>
        </w:rPr>
        <w:t xml:space="preserve"> </w:t>
      </w:r>
      <w:r w:rsidR="00303E62" w:rsidRPr="00303E62">
        <w:rPr>
          <w:rFonts w:ascii="Book Antiqua" w:hAnsi="Book Antiqua" w:cs="Arial"/>
          <w:sz w:val="24"/>
          <w:szCs w:val="24"/>
          <w:lang w:val="en-GB" w:eastAsia="fi-FI"/>
        </w:rPr>
        <w:t>revised the manuscript</w:t>
      </w:r>
      <w:r w:rsidR="00303E62">
        <w:rPr>
          <w:rFonts w:ascii="Book Antiqua" w:hAnsi="Book Antiqua" w:cs="Arial" w:hint="eastAsia"/>
          <w:sz w:val="24"/>
          <w:szCs w:val="24"/>
          <w:lang w:val="en-GB" w:eastAsia="zh-CN"/>
        </w:rPr>
        <w:t>.</w:t>
      </w:r>
    </w:p>
    <w:p w14:paraId="336A7AE9" w14:textId="77777777" w:rsidR="000146F1" w:rsidRPr="00303E62" w:rsidRDefault="000146F1" w:rsidP="00D305D7">
      <w:pPr>
        <w:snapToGrid w:val="0"/>
        <w:spacing w:after="0" w:line="360" w:lineRule="auto"/>
        <w:jc w:val="both"/>
        <w:rPr>
          <w:rFonts w:ascii="Book Antiqua" w:hAnsi="Book Antiqua" w:cs="Arial"/>
          <w:b/>
          <w:sz w:val="24"/>
          <w:szCs w:val="24"/>
          <w:lang w:val="en-GB" w:eastAsia="fi-FI"/>
        </w:rPr>
      </w:pPr>
    </w:p>
    <w:p w14:paraId="16FA1570" w14:textId="51BD2262" w:rsidR="000146F1" w:rsidRPr="00303E62" w:rsidRDefault="000146F1" w:rsidP="00D305D7">
      <w:pPr>
        <w:snapToGrid w:val="0"/>
        <w:spacing w:after="0" w:line="360" w:lineRule="auto"/>
        <w:jc w:val="both"/>
        <w:rPr>
          <w:rFonts w:ascii="Book Antiqua" w:hAnsi="Book Antiqua"/>
          <w:sz w:val="24"/>
          <w:szCs w:val="24"/>
          <w:lang w:val="en-GB"/>
        </w:rPr>
      </w:pPr>
      <w:r w:rsidRPr="00303E62">
        <w:rPr>
          <w:rFonts w:ascii="Book Antiqua" w:hAnsi="Book Antiqua" w:cs="Arial"/>
          <w:b/>
          <w:sz w:val="24"/>
          <w:szCs w:val="24"/>
          <w:lang w:val="en-GB" w:eastAsia="fi-FI"/>
        </w:rPr>
        <w:t>Supported by</w:t>
      </w:r>
      <w:r w:rsidR="00AF3F65">
        <w:rPr>
          <w:rFonts w:ascii="Book Antiqua" w:hAnsi="Book Antiqua" w:cs="Arial" w:hint="eastAsia"/>
          <w:b/>
          <w:sz w:val="24"/>
          <w:szCs w:val="24"/>
          <w:lang w:val="en-GB" w:eastAsia="zh-CN"/>
        </w:rPr>
        <w:t xml:space="preserve"> </w:t>
      </w:r>
      <w:r w:rsidRPr="00303E62">
        <w:rPr>
          <w:rFonts w:ascii="Book Antiqua" w:hAnsi="Book Antiqua"/>
          <w:sz w:val="24"/>
          <w:szCs w:val="24"/>
          <w:lang w:val="en-GB"/>
        </w:rPr>
        <w:t>the Sigrid Jusélius Foundation</w:t>
      </w:r>
      <w:r w:rsidR="00834248">
        <w:rPr>
          <w:rFonts w:ascii="Book Antiqua" w:hAnsi="Book Antiqua" w:hint="eastAsia"/>
          <w:sz w:val="24"/>
          <w:szCs w:val="24"/>
          <w:lang w:val="en-GB" w:eastAsia="zh-CN"/>
        </w:rPr>
        <w:t xml:space="preserve">; </w:t>
      </w:r>
      <w:r w:rsidRPr="00303E62">
        <w:rPr>
          <w:rFonts w:ascii="Book Antiqua" w:hAnsi="Book Antiqua"/>
          <w:sz w:val="24"/>
          <w:szCs w:val="24"/>
          <w:lang w:val="en-GB"/>
        </w:rPr>
        <w:t>the Gastroenterological Research Foundation</w:t>
      </w:r>
      <w:r w:rsidR="00AF3F65">
        <w:rPr>
          <w:rFonts w:ascii="Book Antiqua" w:hAnsi="Book Antiqua" w:cs="Arial" w:hint="eastAsia"/>
          <w:sz w:val="24"/>
          <w:szCs w:val="24"/>
          <w:lang w:val="en-GB" w:eastAsia="zh-CN"/>
        </w:rPr>
        <w:t xml:space="preserve">; and </w:t>
      </w:r>
      <w:r w:rsidRPr="00303E62">
        <w:rPr>
          <w:rFonts w:ascii="Book Antiqua" w:hAnsi="Book Antiqua"/>
          <w:sz w:val="24"/>
          <w:szCs w:val="24"/>
          <w:lang w:val="en-GB"/>
        </w:rPr>
        <w:t xml:space="preserve">State </w:t>
      </w:r>
      <w:r w:rsidRPr="00AF3F65">
        <w:rPr>
          <w:rFonts w:ascii="Book Antiqua" w:hAnsi="Book Antiqua"/>
          <w:caps/>
          <w:sz w:val="24"/>
          <w:szCs w:val="24"/>
          <w:lang w:val="en-GB"/>
        </w:rPr>
        <w:t>f</w:t>
      </w:r>
      <w:r w:rsidRPr="00303E62">
        <w:rPr>
          <w:rFonts w:ascii="Book Antiqua" w:hAnsi="Book Antiqua"/>
          <w:sz w:val="24"/>
          <w:szCs w:val="24"/>
          <w:lang w:val="en-GB"/>
        </w:rPr>
        <w:t xml:space="preserve">unding for </w:t>
      </w:r>
      <w:r w:rsidRPr="00AF3F65">
        <w:rPr>
          <w:rFonts w:ascii="Book Antiqua" w:hAnsi="Book Antiqua"/>
          <w:caps/>
          <w:sz w:val="24"/>
          <w:szCs w:val="24"/>
          <w:lang w:val="en-GB"/>
        </w:rPr>
        <w:t>u</w:t>
      </w:r>
      <w:r w:rsidRPr="00303E62">
        <w:rPr>
          <w:rFonts w:ascii="Book Antiqua" w:hAnsi="Book Antiqua"/>
          <w:sz w:val="24"/>
          <w:szCs w:val="24"/>
          <w:lang w:val="en-GB"/>
        </w:rPr>
        <w:t xml:space="preserve">niversity-level </w:t>
      </w:r>
      <w:r w:rsidRPr="00AF3F65">
        <w:rPr>
          <w:rFonts w:ascii="Book Antiqua" w:hAnsi="Book Antiqua"/>
          <w:caps/>
          <w:sz w:val="24"/>
          <w:szCs w:val="24"/>
          <w:lang w:val="en-GB"/>
        </w:rPr>
        <w:t>h</w:t>
      </w:r>
      <w:r w:rsidRPr="00303E62">
        <w:rPr>
          <w:rFonts w:ascii="Book Antiqua" w:hAnsi="Book Antiqua"/>
          <w:sz w:val="24"/>
          <w:szCs w:val="24"/>
          <w:lang w:val="en-GB"/>
        </w:rPr>
        <w:t xml:space="preserve">ealth </w:t>
      </w:r>
      <w:r w:rsidRPr="00AF3F65">
        <w:rPr>
          <w:rFonts w:ascii="Book Antiqua" w:hAnsi="Book Antiqua"/>
          <w:caps/>
          <w:sz w:val="24"/>
          <w:szCs w:val="24"/>
          <w:lang w:val="en-GB"/>
        </w:rPr>
        <w:t>r</w:t>
      </w:r>
      <w:r w:rsidRPr="00303E62">
        <w:rPr>
          <w:rFonts w:ascii="Book Antiqua" w:hAnsi="Book Antiqua"/>
          <w:sz w:val="24"/>
          <w:szCs w:val="24"/>
          <w:lang w:val="en-GB"/>
        </w:rPr>
        <w:t>esearch</w:t>
      </w:r>
      <w:r w:rsidRPr="00303E62">
        <w:rPr>
          <w:rFonts w:ascii="Book Antiqua" w:hAnsi="Book Antiqua" w:cs="Arial"/>
          <w:sz w:val="24"/>
          <w:szCs w:val="24"/>
          <w:lang w:val="en-GB"/>
        </w:rPr>
        <w:t xml:space="preserve"> from the</w:t>
      </w:r>
      <w:r w:rsidRPr="00303E62">
        <w:rPr>
          <w:rFonts w:ascii="Book Antiqua" w:hAnsi="Book Antiqua"/>
          <w:sz w:val="24"/>
          <w:szCs w:val="24"/>
          <w:lang w:val="en-GB"/>
        </w:rPr>
        <w:t xml:space="preserve"> Helsinki University Hospital.</w:t>
      </w:r>
      <w:r w:rsidR="00622E3C" w:rsidRPr="00303E62">
        <w:rPr>
          <w:rFonts w:ascii="Book Antiqua" w:hAnsi="Book Antiqua"/>
          <w:sz w:val="24"/>
          <w:szCs w:val="24"/>
          <w:lang w:val="en-GB"/>
        </w:rPr>
        <w:t xml:space="preserve"> </w:t>
      </w:r>
    </w:p>
    <w:p w14:paraId="13152688" w14:textId="77777777" w:rsidR="000146F1" w:rsidRPr="00AF3F65" w:rsidRDefault="000146F1" w:rsidP="00D305D7">
      <w:pPr>
        <w:snapToGrid w:val="0"/>
        <w:spacing w:after="0" w:line="360" w:lineRule="auto"/>
        <w:jc w:val="both"/>
        <w:rPr>
          <w:rFonts w:ascii="Book Antiqua" w:hAnsi="Book Antiqua"/>
          <w:sz w:val="24"/>
          <w:szCs w:val="24"/>
          <w:lang w:val="en-GB"/>
        </w:rPr>
      </w:pPr>
    </w:p>
    <w:p w14:paraId="2D73F5C4" w14:textId="5DF965F9" w:rsidR="00773FF1" w:rsidRPr="00303E62" w:rsidRDefault="000146F1" w:rsidP="00D305D7">
      <w:pPr>
        <w:snapToGrid w:val="0"/>
        <w:spacing w:after="0" w:line="360" w:lineRule="auto"/>
        <w:jc w:val="both"/>
        <w:rPr>
          <w:rFonts w:ascii="Book Antiqua" w:hAnsi="Book Antiqua"/>
          <w:sz w:val="24"/>
          <w:szCs w:val="24"/>
          <w:lang w:val="en-GB"/>
        </w:rPr>
      </w:pPr>
      <w:bookmarkStart w:id="0" w:name="_Hlk480046164"/>
      <w:r w:rsidRPr="00303E62">
        <w:rPr>
          <w:rFonts w:ascii="Book Antiqua" w:hAnsi="Book Antiqua"/>
          <w:b/>
          <w:sz w:val="24"/>
          <w:szCs w:val="24"/>
          <w:lang w:val="en-GB"/>
        </w:rPr>
        <w:t xml:space="preserve">Institutional review board statement: </w:t>
      </w:r>
      <w:r w:rsidR="008D1845" w:rsidRPr="00303E62">
        <w:rPr>
          <w:rFonts w:ascii="Book Antiqua" w:hAnsi="Book Antiqua"/>
          <w:sz w:val="24"/>
          <w:szCs w:val="24"/>
          <w:lang w:val="en-GB"/>
        </w:rPr>
        <w:t>T</w:t>
      </w:r>
      <w:r w:rsidRPr="00303E62">
        <w:rPr>
          <w:rFonts w:ascii="Book Antiqua" w:hAnsi="Book Antiqua"/>
          <w:sz w:val="24"/>
          <w:szCs w:val="24"/>
          <w:lang w:val="en-GB"/>
        </w:rPr>
        <w:t>he Ethical committee of Helsinki University Hospital</w:t>
      </w:r>
      <w:r w:rsidR="008D1845" w:rsidRPr="00303E62">
        <w:rPr>
          <w:rFonts w:ascii="Book Antiqua" w:hAnsi="Book Antiqua"/>
          <w:sz w:val="24"/>
          <w:szCs w:val="24"/>
          <w:lang w:val="en-GB"/>
        </w:rPr>
        <w:t xml:space="preserve"> approved this study</w:t>
      </w:r>
      <w:r w:rsidRPr="00303E62">
        <w:rPr>
          <w:rFonts w:ascii="Book Antiqua" w:hAnsi="Book Antiqua"/>
          <w:sz w:val="24"/>
          <w:szCs w:val="24"/>
          <w:lang w:val="en-GB"/>
        </w:rPr>
        <w:t xml:space="preserve"> </w:t>
      </w:r>
      <w:r w:rsidR="008D1845" w:rsidRPr="00303E62">
        <w:rPr>
          <w:rFonts w:ascii="Book Antiqua" w:hAnsi="Book Antiqua"/>
          <w:sz w:val="24"/>
          <w:szCs w:val="24"/>
          <w:lang w:val="en-GB"/>
        </w:rPr>
        <w:t>(</w:t>
      </w:r>
      <w:r w:rsidR="003D6093" w:rsidRPr="00303E62">
        <w:rPr>
          <w:rFonts w:ascii="Book Antiqua" w:hAnsi="Book Antiqua"/>
          <w:sz w:val="24"/>
          <w:szCs w:val="24"/>
          <w:lang w:val="en-GB"/>
        </w:rPr>
        <w:t>Dnro 278/13/03/01/09</w:t>
      </w:r>
      <w:r w:rsidR="008D1845" w:rsidRPr="00303E62">
        <w:rPr>
          <w:rFonts w:ascii="Book Antiqua" w:hAnsi="Book Antiqua"/>
          <w:sz w:val="24"/>
          <w:szCs w:val="24"/>
          <w:lang w:val="en-GB"/>
        </w:rPr>
        <w:t>)</w:t>
      </w:r>
      <w:r w:rsidR="003D6093" w:rsidRPr="00303E62">
        <w:rPr>
          <w:rFonts w:ascii="Book Antiqua" w:hAnsi="Book Antiqua"/>
          <w:sz w:val="24"/>
          <w:szCs w:val="24"/>
          <w:lang w:val="en-GB"/>
        </w:rPr>
        <w:t>.</w:t>
      </w:r>
    </w:p>
    <w:bookmarkEnd w:id="0"/>
    <w:p w14:paraId="6888D4A7" w14:textId="77777777" w:rsidR="00907FA2" w:rsidRPr="00303E62" w:rsidRDefault="00907FA2" w:rsidP="00D305D7">
      <w:pPr>
        <w:snapToGrid w:val="0"/>
        <w:spacing w:after="0" w:line="360" w:lineRule="auto"/>
        <w:jc w:val="both"/>
        <w:rPr>
          <w:rFonts w:ascii="Book Antiqua" w:hAnsi="Book Antiqua" w:cs="Arial"/>
          <w:sz w:val="24"/>
          <w:szCs w:val="24"/>
          <w:lang w:val="en-GB" w:eastAsia="zh-CN"/>
        </w:rPr>
      </w:pPr>
    </w:p>
    <w:p w14:paraId="6452F73D" w14:textId="5345C2E5" w:rsidR="000146F1" w:rsidRPr="00303E62" w:rsidRDefault="000146F1" w:rsidP="00D305D7">
      <w:pPr>
        <w:snapToGrid w:val="0"/>
        <w:spacing w:after="0" w:line="360" w:lineRule="auto"/>
        <w:jc w:val="both"/>
        <w:rPr>
          <w:rFonts w:ascii="Book Antiqua" w:hAnsi="Book Antiqua"/>
          <w:sz w:val="24"/>
          <w:szCs w:val="24"/>
          <w:lang w:val="en-GB"/>
        </w:rPr>
      </w:pPr>
      <w:bookmarkStart w:id="1" w:name="_Hlk480046258"/>
      <w:r w:rsidRPr="00303E62">
        <w:rPr>
          <w:rFonts w:ascii="Book Antiqua" w:hAnsi="Book Antiqua"/>
          <w:b/>
          <w:sz w:val="24"/>
          <w:szCs w:val="24"/>
          <w:lang w:val="en-GB"/>
        </w:rPr>
        <w:t>Conflicts-of-interest</w:t>
      </w:r>
      <w:r w:rsidR="00560FD3" w:rsidRPr="00303E62">
        <w:rPr>
          <w:rFonts w:ascii="Book Antiqua" w:hAnsi="Book Antiqua"/>
          <w:b/>
          <w:sz w:val="24"/>
          <w:szCs w:val="24"/>
          <w:lang w:val="en-GB"/>
        </w:rPr>
        <w:t xml:space="preserve"> statement</w:t>
      </w:r>
      <w:r w:rsidRPr="00303E62">
        <w:rPr>
          <w:rFonts w:ascii="Book Antiqua" w:hAnsi="Book Antiqua"/>
          <w:b/>
          <w:sz w:val="24"/>
          <w:szCs w:val="24"/>
          <w:lang w:val="en-GB"/>
        </w:rPr>
        <w:t>:</w:t>
      </w:r>
      <w:r w:rsidR="00AF3F65">
        <w:rPr>
          <w:rFonts w:ascii="Book Antiqua" w:hAnsi="Book Antiqua" w:hint="eastAsia"/>
          <w:sz w:val="24"/>
          <w:szCs w:val="24"/>
          <w:lang w:val="en-GB" w:eastAsia="zh-CN"/>
        </w:rPr>
        <w:t xml:space="preserve"> </w:t>
      </w:r>
      <w:r w:rsidR="00560FD3" w:rsidRPr="00303E62">
        <w:rPr>
          <w:rFonts w:ascii="Book Antiqua" w:hAnsi="Book Antiqua"/>
          <w:sz w:val="24"/>
          <w:szCs w:val="24"/>
          <w:lang w:val="en-GB"/>
        </w:rPr>
        <w:t>We have no financial relationships to disclose.</w:t>
      </w:r>
    </w:p>
    <w:bookmarkEnd w:id="1"/>
    <w:p w14:paraId="5DE3C091" w14:textId="77777777" w:rsidR="00560FD3" w:rsidRPr="00AF3F65" w:rsidRDefault="00560FD3" w:rsidP="00D305D7">
      <w:pPr>
        <w:snapToGrid w:val="0"/>
        <w:spacing w:after="0" w:line="360" w:lineRule="auto"/>
        <w:jc w:val="both"/>
        <w:rPr>
          <w:rFonts w:ascii="Book Antiqua" w:hAnsi="Book Antiqua"/>
          <w:sz w:val="24"/>
          <w:szCs w:val="24"/>
          <w:lang w:val="en-GB"/>
        </w:rPr>
      </w:pPr>
    </w:p>
    <w:p w14:paraId="055F599D" w14:textId="77777777" w:rsidR="00560FD3" w:rsidRPr="00303E62" w:rsidRDefault="00560FD3" w:rsidP="00D305D7">
      <w:pPr>
        <w:snapToGrid w:val="0"/>
        <w:spacing w:after="0" w:line="360" w:lineRule="auto"/>
        <w:jc w:val="both"/>
        <w:rPr>
          <w:rFonts w:ascii="Book Antiqua" w:hAnsi="Book Antiqua"/>
          <w:sz w:val="24"/>
          <w:szCs w:val="24"/>
          <w:lang w:val="en-GB"/>
        </w:rPr>
      </w:pPr>
      <w:bookmarkStart w:id="2" w:name="_Hlk480046300"/>
      <w:r w:rsidRPr="00303E62">
        <w:rPr>
          <w:rFonts w:ascii="Book Antiqua" w:hAnsi="Book Antiqua"/>
          <w:b/>
          <w:sz w:val="24"/>
          <w:szCs w:val="24"/>
          <w:lang w:val="en-GB"/>
        </w:rPr>
        <w:t>Data sharing statement:</w:t>
      </w:r>
      <w:r w:rsidRPr="00303E62">
        <w:rPr>
          <w:rFonts w:ascii="Book Antiqua" w:hAnsi="Book Antiqua"/>
          <w:sz w:val="24"/>
          <w:szCs w:val="24"/>
          <w:lang w:val="en-GB"/>
        </w:rPr>
        <w:t xml:space="preserve"> No additional data are available.</w:t>
      </w:r>
    </w:p>
    <w:bookmarkEnd w:id="2"/>
    <w:p w14:paraId="35FD94D5" w14:textId="77777777" w:rsidR="004D0F37" w:rsidRPr="00303E62" w:rsidRDefault="004D0F37" w:rsidP="00D305D7">
      <w:pPr>
        <w:snapToGrid w:val="0"/>
        <w:spacing w:after="0" w:line="360" w:lineRule="auto"/>
        <w:jc w:val="both"/>
        <w:rPr>
          <w:rFonts w:ascii="Book Antiqua" w:hAnsi="Book Antiqua"/>
          <w:sz w:val="24"/>
          <w:szCs w:val="24"/>
          <w:lang w:val="en-GB"/>
        </w:rPr>
      </w:pPr>
    </w:p>
    <w:p w14:paraId="2B858F36" w14:textId="77777777" w:rsidR="00AF3F65" w:rsidRPr="00005305" w:rsidRDefault="00AF3F65" w:rsidP="00D305D7">
      <w:pPr>
        <w:pStyle w:val="1"/>
        <w:snapToGrid w:val="0"/>
        <w:spacing w:line="360" w:lineRule="auto"/>
        <w:jc w:val="both"/>
        <w:rPr>
          <w:rFonts w:ascii="Book Antiqua" w:hAnsi="Book Antiqua" w:cs="Times New Roman"/>
          <w:bCs/>
          <w:color w:val="auto"/>
          <w:sz w:val="24"/>
          <w:highlight w:val="white"/>
          <w:lang w:val="en-US"/>
        </w:rPr>
      </w:pPr>
      <w:bookmarkStart w:id="3" w:name="OLE_LINK734"/>
      <w:bookmarkStart w:id="4" w:name="OLE_LINK441"/>
      <w:bookmarkStart w:id="5" w:name="OLE_LINK442"/>
      <w:bookmarkStart w:id="6" w:name="OLE_LINK1032"/>
      <w:bookmarkStart w:id="7" w:name="OLE_LINK1232"/>
      <w:bookmarkStart w:id="8" w:name="OLE_LINK559"/>
      <w:bookmarkStart w:id="9" w:name="OLE_LINK878"/>
      <w:bookmarkStart w:id="10"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1" w:name="OLE_LINK479"/>
      <w:bookmarkStart w:id="12" w:name="OLE_LINK496"/>
      <w:bookmarkStart w:id="13" w:name="OLE_LINK506"/>
      <w:bookmarkStart w:id="14"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3"/>
      <w:bookmarkEnd w:id="11"/>
      <w:bookmarkEnd w:id="12"/>
      <w:bookmarkEnd w:id="13"/>
      <w:bookmarkEnd w:id="14"/>
    </w:p>
    <w:bookmarkEnd w:id="4"/>
    <w:bookmarkEnd w:id="5"/>
    <w:bookmarkEnd w:id="6"/>
    <w:bookmarkEnd w:id="7"/>
    <w:bookmarkEnd w:id="8"/>
    <w:p w14:paraId="3DD3C656" w14:textId="77777777" w:rsidR="00AF3F65" w:rsidRDefault="00AF3F65" w:rsidP="00D305D7">
      <w:pPr>
        <w:pStyle w:val="1"/>
        <w:snapToGrid w:val="0"/>
        <w:spacing w:line="360" w:lineRule="auto"/>
        <w:jc w:val="both"/>
        <w:rPr>
          <w:rFonts w:ascii="Book Antiqua" w:hAnsi="Book Antiqua" w:cs="Times New Roman"/>
          <w:b/>
          <w:bCs/>
          <w:color w:val="FF0000"/>
          <w:sz w:val="24"/>
          <w:highlight w:val="white"/>
          <w:lang w:val="en-US" w:eastAsia="zh-CN"/>
        </w:rPr>
      </w:pPr>
    </w:p>
    <w:p w14:paraId="30652860" w14:textId="77777777" w:rsidR="00AF3F65" w:rsidRDefault="00AF3F65" w:rsidP="00D305D7">
      <w:pPr>
        <w:snapToGrid w:val="0"/>
        <w:spacing w:after="0" w:line="360" w:lineRule="auto"/>
        <w:jc w:val="both"/>
        <w:rPr>
          <w:rFonts w:ascii="Book Antiqua" w:hAnsi="Book Antiqua" w:cs="Times New Roman"/>
          <w:bCs/>
          <w:sz w:val="24"/>
          <w:lang w:val="en-US" w:eastAsia="zh-CN"/>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Unsolicited manuscript</w:t>
      </w:r>
      <w:bookmarkEnd w:id="9"/>
      <w:bookmarkEnd w:id="10"/>
    </w:p>
    <w:p w14:paraId="24224FF8" w14:textId="33CABE59" w:rsidR="00C41F86" w:rsidRPr="00303E62" w:rsidRDefault="004D0F37" w:rsidP="00D305D7">
      <w:pPr>
        <w:snapToGrid w:val="0"/>
        <w:spacing w:after="0" w:line="360" w:lineRule="auto"/>
        <w:jc w:val="both"/>
        <w:rPr>
          <w:rFonts w:ascii="Book Antiqua" w:hAnsi="Book Antiqua" w:cs="Arial"/>
          <w:sz w:val="24"/>
          <w:szCs w:val="24"/>
          <w:lang w:val="en-GB"/>
        </w:rPr>
      </w:pPr>
      <w:r w:rsidRPr="00303E62">
        <w:rPr>
          <w:rFonts w:ascii="Book Antiqua" w:hAnsi="Book Antiqua" w:cs="Arial"/>
          <w:sz w:val="24"/>
          <w:szCs w:val="24"/>
          <w:lang w:val="en-GB"/>
        </w:rPr>
        <w:t xml:space="preserve"> </w:t>
      </w:r>
    </w:p>
    <w:p w14:paraId="53629F8E" w14:textId="67902FD7" w:rsidR="00560FD3" w:rsidRPr="00303E62" w:rsidRDefault="00560FD3" w:rsidP="00D305D7">
      <w:pPr>
        <w:snapToGrid w:val="0"/>
        <w:spacing w:after="0" w:line="360" w:lineRule="auto"/>
        <w:jc w:val="both"/>
        <w:rPr>
          <w:rFonts w:ascii="Book Antiqua" w:hAnsi="Book Antiqua" w:cs="Arial"/>
          <w:sz w:val="24"/>
          <w:szCs w:val="24"/>
          <w:lang w:val="en-GB" w:eastAsia="zh-CN"/>
        </w:rPr>
      </w:pPr>
      <w:r w:rsidRPr="00303E62">
        <w:rPr>
          <w:rFonts w:ascii="Book Antiqua" w:hAnsi="Book Antiqua" w:cs="Arial"/>
          <w:b/>
          <w:sz w:val="24"/>
          <w:szCs w:val="24"/>
          <w:lang w:val="en-GB"/>
        </w:rPr>
        <w:t>Correspondence</w:t>
      </w:r>
      <w:r w:rsidR="008749F2">
        <w:rPr>
          <w:rFonts w:ascii="Book Antiqua" w:hAnsi="Book Antiqua" w:cs="Arial" w:hint="eastAsia"/>
          <w:b/>
          <w:sz w:val="24"/>
          <w:szCs w:val="24"/>
          <w:lang w:val="en-GB" w:eastAsia="zh-CN"/>
        </w:rPr>
        <w:t xml:space="preserve"> to</w:t>
      </w:r>
      <w:r w:rsidRPr="00303E62">
        <w:rPr>
          <w:rFonts w:ascii="Book Antiqua" w:hAnsi="Book Antiqua" w:cs="Arial"/>
          <w:b/>
          <w:sz w:val="24"/>
          <w:szCs w:val="24"/>
          <w:lang w:val="en-GB"/>
        </w:rPr>
        <w:t>:</w:t>
      </w:r>
      <w:r w:rsidR="008749F2">
        <w:rPr>
          <w:rFonts w:ascii="Book Antiqua" w:hAnsi="Book Antiqua" w:cs="Arial" w:hint="eastAsia"/>
          <w:b/>
          <w:sz w:val="24"/>
          <w:szCs w:val="24"/>
          <w:lang w:val="en-GB" w:eastAsia="zh-CN"/>
        </w:rPr>
        <w:t xml:space="preserve"> </w:t>
      </w:r>
      <w:r w:rsidRPr="00303E62">
        <w:rPr>
          <w:rFonts w:ascii="Book Antiqua" w:hAnsi="Book Antiqua" w:cs="Arial"/>
          <w:b/>
          <w:sz w:val="24"/>
          <w:szCs w:val="24"/>
          <w:lang w:val="en-GB"/>
        </w:rPr>
        <w:t>Sonja Boyd, MD,</w:t>
      </w:r>
      <w:r w:rsidRPr="00303E62">
        <w:rPr>
          <w:rFonts w:ascii="Book Antiqua" w:hAnsi="Book Antiqua" w:cs="Arial"/>
          <w:sz w:val="24"/>
          <w:szCs w:val="24"/>
          <w:lang w:val="en-GB"/>
        </w:rPr>
        <w:t xml:space="preserve"> </w:t>
      </w:r>
      <w:r w:rsidR="00303E62" w:rsidRPr="00303E62">
        <w:rPr>
          <w:rFonts w:ascii="Book Antiqua" w:hAnsi="Book Antiqua" w:cs="Arial"/>
          <w:sz w:val="24"/>
          <w:szCs w:val="24"/>
          <w:lang w:val="en-GB"/>
        </w:rPr>
        <w:t>Department of Pathology,</w:t>
      </w:r>
      <w:r w:rsidR="00303E62">
        <w:rPr>
          <w:rFonts w:ascii="Book Antiqua" w:hAnsi="Book Antiqua" w:cs="Arial" w:hint="eastAsia"/>
          <w:sz w:val="24"/>
          <w:szCs w:val="24"/>
          <w:lang w:val="en-GB" w:eastAsia="zh-CN"/>
        </w:rPr>
        <w:t xml:space="preserve"> </w:t>
      </w:r>
      <w:r w:rsidRPr="00303E62">
        <w:rPr>
          <w:rFonts w:ascii="Book Antiqua" w:hAnsi="Book Antiqua" w:cs="Arial"/>
          <w:sz w:val="24"/>
          <w:szCs w:val="24"/>
          <w:lang w:val="en-GB"/>
        </w:rPr>
        <w:t>Helsinki University Hospital, HUSLAB, PB 400, 00029 Helsinki</w:t>
      </w:r>
      <w:r w:rsidR="00AF3F65" w:rsidRPr="00303E62">
        <w:rPr>
          <w:rFonts w:ascii="Book Antiqua" w:hAnsi="Book Antiqua" w:cs="Arial"/>
          <w:sz w:val="24"/>
          <w:szCs w:val="24"/>
          <w:lang w:val="en-GB" w:eastAsia="fi-FI"/>
        </w:rPr>
        <w:t>, Finland</w:t>
      </w:r>
      <w:r w:rsidR="00AF3F65">
        <w:rPr>
          <w:rFonts w:ascii="Book Antiqua" w:hAnsi="Book Antiqua" w:cs="Arial" w:hint="eastAsia"/>
          <w:sz w:val="24"/>
          <w:szCs w:val="24"/>
          <w:lang w:val="en-GB" w:eastAsia="zh-CN"/>
        </w:rPr>
        <w:t xml:space="preserve">. </w:t>
      </w:r>
      <w:hyperlink r:id="rId8" w:history="1">
        <w:r w:rsidR="00433E47" w:rsidRPr="00DF1FE7">
          <w:rPr>
            <w:rStyle w:val="Hyperlink"/>
            <w:rFonts w:ascii="Book Antiqua" w:hAnsi="Book Antiqua" w:cs="Arial"/>
            <w:sz w:val="24"/>
            <w:szCs w:val="24"/>
            <w:lang w:val="en-GB"/>
          </w:rPr>
          <w:t>sonja.boyd@hus.fi</w:t>
        </w:r>
      </w:hyperlink>
      <w:r w:rsidR="00433E47">
        <w:rPr>
          <w:rFonts w:ascii="Book Antiqua" w:hAnsi="Book Antiqua" w:cs="Arial" w:hint="eastAsia"/>
          <w:sz w:val="24"/>
          <w:szCs w:val="24"/>
          <w:lang w:val="en-GB" w:eastAsia="zh-CN"/>
        </w:rPr>
        <w:t xml:space="preserve"> </w:t>
      </w:r>
    </w:p>
    <w:p w14:paraId="06A990BF" w14:textId="77777777" w:rsidR="00303E62" w:rsidRPr="00303E62" w:rsidRDefault="00303E62" w:rsidP="00D305D7">
      <w:pPr>
        <w:snapToGrid w:val="0"/>
        <w:spacing w:after="0" w:line="360" w:lineRule="auto"/>
        <w:jc w:val="both"/>
        <w:rPr>
          <w:rFonts w:ascii="Book Antiqua" w:hAnsi="Book Antiqua" w:cs="Arial"/>
          <w:sz w:val="24"/>
          <w:szCs w:val="24"/>
          <w:lang w:val="en-GB"/>
        </w:rPr>
      </w:pPr>
      <w:r w:rsidRPr="00303E62">
        <w:rPr>
          <w:rFonts w:ascii="Book Antiqua" w:hAnsi="Book Antiqua" w:cs="Arial"/>
          <w:b/>
          <w:sz w:val="24"/>
          <w:szCs w:val="24"/>
          <w:lang w:val="en-GB"/>
        </w:rPr>
        <w:t>Telephone:</w:t>
      </w:r>
      <w:r>
        <w:rPr>
          <w:rFonts w:ascii="Book Antiqua" w:hAnsi="Book Antiqua" w:cs="Arial"/>
          <w:sz w:val="24"/>
          <w:szCs w:val="24"/>
          <w:lang w:val="en-GB"/>
        </w:rPr>
        <w:t xml:space="preserve"> +358-50-427</w:t>
      </w:r>
      <w:r w:rsidRPr="00303E62">
        <w:rPr>
          <w:rFonts w:ascii="Book Antiqua" w:hAnsi="Book Antiqua" w:cs="Arial"/>
          <w:sz w:val="24"/>
          <w:szCs w:val="24"/>
          <w:lang w:val="en-GB"/>
        </w:rPr>
        <w:t>0551</w:t>
      </w:r>
    </w:p>
    <w:p w14:paraId="098FE8D9" w14:textId="16467D4F" w:rsidR="00560FD3" w:rsidRPr="00303E62" w:rsidRDefault="00560FD3" w:rsidP="00D305D7">
      <w:pPr>
        <w:snapToGrid w:val="0"/>
        <w:spacing w:after="0" w:line="360" w:lineRule="auto"/>
        <w:jc w:val="both"/>
        <w:rPr>
          <w:rFonts w:ascii="Book Antiqua" w:hAnsi="Book Antiqua" w:cs="Arial"/>
          <w:sz w:val="24"/>
          <w:szCs w:val="24"/>
          <w:lang w:val="en-GB" w:eastAsia="zh-CN"/>
        </w:rPr>
      </w:pPr>
      <w:r w:rsidRPr="00303E62">
        <w:rPr>
          <w:rFonts w:ascii="Book Antiqua" w:hAnsi="Book Antiqua" w:cs="Arial"/>
          <w:b/>
          <w:sz w:val="24"/>
          <w:szCs w:val="24"/>
          <w:lang w:val="en-GB"/>
        </w:rPr>
        <w:t>Fax:</w:t>
      </w:r>
      <w:r w:rsidR="009D2990">
        <w:rPr>
          <w:rFonts w:ascii="Book Antiqua" w:hAnsi="Book Antiqua" w:cs="Arial"/>
          <w:sz w:val="24"/>
          <w:szCs w:val="24"/>
          <w:lang w:val="en-GB"/>
        </w:rPr>
        <w:t xml:space="preserve"> +358-9-47175372</w:t>
      </w:r>
    </w:p>
    <w:p w14:paraId="0C00C702" w14:textId="77777777" w:rsidR="00EB25BB" w:rsidRDefault="00EB25BB" w:rsidP="00D305D7">
      <w:pPr>
        <w:snapToGrid w:val="0"/>
        <w:spacing w:after="0" w:line="360" w:lineRule="auto"/>
        <w:jc w:val="both"/>
        <w:rPr>
          <w:rFonts w:ascii="Book Antiqua" w:hAnsi="Book Antiqua"/>
          <w:sz w:val="24"/>
          <w:szCs w:val="24"/>
          <w:lang w:val="en-GB" w:eastAsia="zh-CN"/>
        </w:rPr>
      </w:pPr>
    </w:p>
    <w:p w14:paraId="64679FB5" w14:textId="1F71C460" w:rsidR="00AF3F65" w:rsidRPr="00AF3F65" w:rsidRDefault="00AF3F65" w:rsidP="00D305D7">
      <w:pPr>
        <w:snapToGrid w:val="0"/>
        <w:spacing w:after="0" w:line="360" w:lineRule="auto"/>
        <w:jc w:val="both"/>
        <w:rPr>
          <w:rFonts w:ascii="Book Antiqua" w:eastAsia="SimSun" w:hAnsi="Book Antiqua" w:cs="SimSun"/>
          <w:b/>
          <w:sz w:val="24"/>
          <w:szCs w:val="24"/>
          <w:lang w:val="en-US" w:eastAsia="zh-CN"/>
        </w:rPr>
      </w:pPr>
      <w:r w:rsidRPr="00AF3F65">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008749F2" w:rsidRPr="008749F2">
        <w:rPr>
          <w:rFonts w:ascii="Book Antiqua" w:eastAsia="SimSun" w:hAnsi="Book Antiqua" w:cs="SimSun" w:hint="eastAsia"/>
          <w:sz w:val="24"/>
          <w:szCs w:val="24"/>
          <w:lang w:val="en-US" w:eastAsia="zh-CN"/>
        </w:rPr>
        <w:t>February 21, 2017</w:t>
      </w:r>
    </w:p>
    <w:p w14:paraId="7666CE33" w14:textId="7307C7FC" w:rsidR="00AF3F65" w:rsidRPr="00AF3F65" w:rsidRDefault="00AF3F65" w:rsidP="00D305D7">
      <w:pPr>
        <w:snapToGrid w:val="0"/>
        <w:spacing w:after="0" w:line="360" w:lineRule="auto"/>
        <w:jc w:val="both"/>
        <w:rPr>
          <w:rFonts w:ascii="Book Antiqua" w:eastAsia="SimSun" w:hAnsi="Book Antiqua" w:cs="SimSun"/>
          <w:b/>
          <w:sz w:val="24"/>
          <w:szCs w:val="24"/>
          <w:lang w:val="en-US" w:eastAsia="zh-CN"/>
        </w:rPr>
      </w:pPr>
      <w:r w:rsidRPr="00AF3F65">
        <w:rPr>
          <w:rFonts w:ascii="Book Antiqua" w:eastAsia="SimSun" w:hAnsi="Book Antiqua" w:cs="SimSun"/>
          <w:b/>
          <w:sz w:val="24"/>
          <w:szCs w:val="24"/>
          <w:lang w:val="en-US" w:eastAsia="zh-CN"/>
        </w:rPr>
        <w:t>Peer-review started:</w:t>
      </w:r>
      <w:r w:rsidR="008749F2">
        <w:rPr>
          <w:rFonts w:ascii="Book Antiqua" w:eastAsia="SimSun" w:hAnsi="Book Antiqua" w:cs="SimSun" w:hint="eastAsia"/>
          <w:b/>
          <w:sz w:val="24"/>
          <w:szCs w:val="24"/>
          <w:lang w:val="en-US" w:eastAsia="zh-CN"/>
        </w:rPr>
        <w:t xml:space="preserve"> </w:t>
      </w:r>
      <w:r w:rsidR="008749F2" w:rsidRPr="008749F2">
        <w:rPr>
          <w:rFonts w:ascii="Book Antiqua" w:eastAsia="SimSun" w:hAnsi="Book Antiqua" w:cs="SimSun" w:hint="eastAsia"/>
          <w:sz w:val="24"/>
          <w:szCs w:val="24"/>
          <w:lang w:val="en-US" w:eastAsia="zh-CN"/>
        </w:rPr>
        <w:t>February 2</w:t>
      </w:r>
      <w:r w:rsidR="008749F2">
        <w:rPr>
          <w:rFonts w:ascii="Book Antiqua" w:eastAsia="SimSun" w:hAnsi="Book Antiqua" w:cs="SimSun" w:hint="eastAsia"/>
          <w:sz w:val="24"/>
          <w:szCs w:val="24"/>
          <w:lang w:val="en-US" w:eastAsia="zh-CN"/>
        </w:rPr>
        <w:t>2</w:t>
      </w:r>
      <w:r w:rsidR="008749F2" w:rsidRPr="008749F2">
        <w:rPr>
          <w:rFonts w:ascii="Book Antiqua" w:eastAsia="SimSun" w:hAnsi="Book Antiqua" w:cs="SimSun" w:hint="eastAsia"/>
          <w:sz w:val="24"/>
          <w:szCs w:val="24"/>
          <w:lang w:val="en-US" w:eastAsia="zh-CN"/>
        </w:rPr>
        <w:t>, 2017</w:t>
      </w:r>
    </w:p>
    <w:p w14:paraId="6101667F" w14:textId="78D74B91" w:rsidR="00AF3F65" w:rsidRPr="00AF3F65" w:rsidRDefault="00AF3F65" w:rsidP="00D305D7">
      <w:pPr>
        <w:snapToGrid w:val="0"/>
        <w:spacing w:after="0" w:line="360" w:lineRule="auto"/>
        <w:jc w:val="both"/>
        <w:rPr>
          <w:rFonts w:ascii="Book Antiqua" w:eastAsia="SimSun" w:hAnsi="Book Antiqua" w:cs="SimSun"/>
          <w:b/>
          <w:sz w:val="24"/>
          <w:szCs w:val="24"/>
          <w:lang w:val="en-US" w:eastAsia="zh-CN"/>
        </w:rPr>
      </w:pPr>
      <w:r w:rsidRPr="00AF3F65">
        <w:rPr>
          <w:rFonts w:ascii="Book Antiqua" w:eastAsia="SimSun" w:hAnsi="Book Antiqua" w:cs="SimSun"/>
          <w:b/>
          <w:sz w:val="24"/>
          <w:szCs w:val="24"/>
          <w:lang w:val="en-US" w:eastAsia="zh-CN"/>
        </w:rPr>
        <w:t>First decision:</w:t>
      </w:r>
      <w:r w:rsidR="008749F2">
        <w:rPr>
          <w:rFonts w:ascii="Book Antiqua" w:eastAsia="SimSun" w:hAnsi="Book Antiqua" w:cs="SimSun" w:hint="eastAsia"/>
          <w:b/>
          <w:sz w:val="24"/>
          <w:szCs w:val="24"/>
          <w:lang w:val="en-US" w:eastAsia="zh-CN"/>
        </w:rPr>
        <w:t xml:space="preserve"> </w:t>
      </w:r>
      <w:r w:rsidR="008749F2" w:rsidRPr="008749F2">
        <w:rPr>
          <w:rFonts w:ascii="Book Antiqua" w:eastAsia="SimSun" w:hAnsi="Book Antiqua" w:cs="SimSun" w:hint="eastAsia"/>
          <w:sz w:val="24"/>
          <w:szCs w:val="24"/>
          <w:lang w:val="en-US" w:eastAsia="zh-CN"/>
        </w:rPr>
        <w:t>March 16, 2017</w:t>
      </w:r>
    </w:p>
    <w:p w14:paraId="0DC60C9A" w14:textId="64475BB6" w:rsidR="00AF3F65" w:rsidRPr="00AF3F65" w:rsidRDefault="00AF3F65" w:rsidP="00D305D7">
      <w:pPr>
        <w:snapToGrid w:val="0"/>
        <w:spacing w:after="0" w:line="360" w:lineRule="auto"/>
        <w:jc w:val="both"/>
        <w:rPr>
          <w:rFonts w:ascii="Book Antiqua" w:eastAsia="SimSun" w:hAnsi="Book Antiqua" w:cs="SimSun"/>
          <w:b/>
          <w:sz w:val="24"/>
          <w:szCs w:val="24"/>
          <w:lang w:val="en-US" w:eastAsia="zh-CN"/>
        </w:rPr>
      </w:pPr>
      <w:r w:rsidRPr="00AF3F65">
        <w:rPr>
          <w:rFonts w:ascii="Book Antiqua" w:eastAsia="SimSun" w:hAnsi="Book Antiqua" w:cs="SimSun"/>
          <w:b/>
          <w:sz w:val="24"/>
          <w:szCs w:val="24"/>
          <w:lang w:val="en-US" w:eastAsia="zh-CN"/>
        </w:rPr>
        <w:t>Revised:</w:t>
      </w:r>
      <w:r w:rsidR="008749F2">
        <w:rPr>
          <w:rFonts w:ascii="Book Antiqua" w:eastAsia="SimSun" w:hAnsi="Book Antiqua" w:cs="SimSun" w:hint="eastAsia"/>
          <w:b/>
          <w:sz w:val="24"/>
          <w:szCs w:val="24"/>
          <w:lang w:val="en-US" w:eastAsia="zh-CN"/>
        </w:rPr>
        <w:t xml:space="preserve"> </w:t>
      </w:r>
      <w:r w:rsidR="008749F2" w:rsidRPr="008749F2">
        <w:rPr>
          <w:rFonts w:ascii="Book Antiqua" w:eastAsia="SimSun" w:hAnsi="Book Antiqua" w:cs="SimSun" w:hint="eastAsia"/>
          <w:sz w:val="24"/>
          <w:szCs w:val="24"/>
          <w:lang w:val="en-US" w:eastAsia="zh-CN"/>
        </w:rPr>
        <w:t>April 16, 2017</w:t>
      </w:r>
    </w:p>
    <w:p w14:paraId="01DE2A18" w14:textId="4E84A54C" w:rsidR="00AF3F65" w:rsidRPr="003E183B" w:rsidRDefault="00AF3F65" w:rsidP="003E183B">
      <w:pPr>
        <w:spacing w:line="360" w:lineRule="auto"/>
        <w:rPr>
          <w:rFonts w:ascii="Book Antiqua" w:hAnsi="Book Antiqua"/>
          <w:color w:val="000000"/>
          <w:sz w:val="24"/>
        </w:rPr>
      </w:pPr>
      <w:r w:rsidRPr="00AF3F65">
        <w:rPr>
          <w:rFonts w:ascii="Book Antiqua" w:eastAsia="SimSun" w:hAnsi="Book Antiqua" w:cs="SimSun"/>
          <w:b/>
          <w:sz w:val="24"/>
          <w:szCs w:val="24"/>
          <w:lang w:val="en-US" w:eastAsia="zh-CN"/>
        </w:rPr>
        <w:t>Accepted:</w:t>
      </w:r>
      <w:bookmarkStart w:id="15" w:name="OLE_LINK116"/>
      <w:bookmarkStart w:id="16" w:name="OLE_LINK117"/>
      <w:bookmarkStart w:id="17" w:name="OLE_LINK118"/>
      <w:bookmarkStart w:id="18" w:name="OLE_LINK125"/>
      <w:bookmarkStart w:id="19" w:name="OLE_LINK122"/>
      <w:bookmarkStart w:id="20" w:name="OLE_LINK126"/>
      <w:bookmarkStart w:id="21" w:name="OLE_LINK127"/>
      <w:bookmarkStart w:id="22" w:name="OLE_LINK129"/>
      <w:r w:rsidR="003E183B" w:rsidRPr="003E183B">
        <w:rPr>
          <w:rFonts w:ascii="Book Antiqua" w:hAnsi="Book Antiqua"/>
          <w:color w:val="000000"/>
          <w:sz w:val="24"/>
        </w:rPr>
        <w:t xml:space="preserve"> </w:t>
      </w:r>
      <w:r w:rsidR="003E183B">
        <w:rPr>
          <w:rFonts w:ascii="Book Antiqua" w:hAnsi="Book Antiqua"/>
          <w:color w:val="000000"/>
          <w:sz w:val="24"/>
        </w:rPr>
        <w:t>June 18, 2017</w:t>
      </w:r>
      <w:bookmarkStart w:id="23" w:name="_GoBack"/>
      <w:bookmarkEnd w:id="15"/>
      <w:bookmarkEnd w:id="16"/>
      <w:bookmarkEnd w:id="17"/>
      <w:bookmarkEnd w:id="18"/>
      <w:bookmarkEnd w:id="19"/>
      <w:bookmarkEnd w:id="20"/>
      <w:bookmarkEnd w:id="21"/>
      <w:bookmarkEnd w:id="22"/>
      <w:bookmarkEnd w:id="23"/>
    </w:p>
    <w:p w14:paraId="43018C65" w14:textId="77777777" w:rsidR="00AF3F65" w:rsidRPr="00AF3F65" w:rsidRDefault="00AF3F65" w:rsidP="00D305D7">
      <w:pPr>
        <w:snapToGrid w:val="0"/>
        <w:spacing w:after="0" w:line="360" w:lineRule="auto"/>
        <w:jc w:val="both"/>
        <w:rPr>
          <w:rFonts w:ascii="Book Antiqua" w:eastAsia="SimSun" w:hAnsi="Book Antiqua" w:cs="SimSun"/>
          <w:b/>
          <w:sz w:val="24"/>
          <w:szCs w:val="24"/>
          <w:lang w:val="en-US" w:eastAsia="zh-CN"/>
        </w:rPr>
      </w:pPr>
      <w:r w:rsidRPr="00AF3F65">
        <w:rPr>
          <w:rFonts w:ascii="Book Antiqua" w:eastAsia="SimSun" w:hAnsi="Book Antiqua" w:cs="SimSun"/>
          <w:b/>
          <w:sz w:val="24"/>
          <w:szCs w:val="24"/>
          <w:lang w:val="en-US" w:eastAsia="zh-CN"/>
        </w:rPr>
        <w:t>Article in press:</w:t>
      </w:r>
    </w:p>
    <w:p w14:paraId="2D73E8F2" w14:textId="13ED17A5" w:rsidR="00AC7236" w:rsidRDefault="00AF3F65" w:rsidP="00D305D7">
      <w:pPr>
        <w:snapToGrid w:val="0"/>
        <w:spacing w:after="0" w:line="360" w:lineRule="auto"/>
        <w:jc w:val="both"/>
        <w:rPr>
          <w:rFonts w:ascii="Book Antiqua" w:eastAsia="SimSun" w:hAnsi="Book Antiqua" w:cs="Arial"/>
          <w:b/>
          <w:sz w:val="24"/>
          <w:szCs w:val="24"/>
          <w:lang w:val="pl-PL" w:eastAsia="pl-PL"/>
        </w:rPr>
      </w:pPr>
      <w:r w:rsidRPr="00AF3F65">
        <w:rPr>
          <w:rFonts w:ascii="Book Antiqua" w:eastAsia="SimSun" w:hAnsi="Book Antiqua" w:cs="Arial"/>
          <w:b/>
          <w:sz w:val="24"/>
          <w:szCs w:val="24"/>
          <w:lang w:val="pl-PL" w:eastAsia="pl-PL"/>
        </w:rPr>
        <w:t>Published online</w:t>
      </w:r>
      <w:r w:rsidRPr="00AF3F65">
        <w:rPr>
          <w:rFonts w:ascii="Book Antiqua" w:eastAsia="SimSun" w:hAnsi="Book Antiqua" w:cs="Arial" w:hint="eastAsia"/>
          <w:b/>
          <w:sz w:val="24"/>
          <w:szCs w:val="24"/>
          <w:lang w:val="pl-PL" w:eastAsia="pl-PL"/>
        </w:rPr>
        <w:t>:</w:t>
      </w:r>
    </w:p>
    <w:p w14:paraId="09B0D65C" w14:textId="77777777" w:rsidR="00AC7236" w:rsidRDefault="00AC7236">
      <w:pPr>
        <w:rPr>
          <w:rFonts w:ascii="Book Antiqua" w:eastAsia="SimSun" w:hAnsi="Book Antiqua" w:cs="Arial"/>
          <w:b/>
          <w:sz w:val="24"/>
          <w:szCs w:val="24"/>
          <w:lang w:val="pl-PL" w:eastAsia="pl-PL"/>
        </w:rPr>
      </w:pPr>
      <w:r>
        <w:rPr>
          <w:rFonts w:ascii="Book Antiqua" w:eastAsia="SimSun" w:hAnsi="Book Antiqua" w:cs="Arial"/>
          <w:b/>
          <w:sz w:val="24"/>
          <w:szCs w:val="24"/>
          <w:lang w:val="pl-PL" w:eastAsia="pl-PL"/>
        </w:rPr>
        <w:br w:type="page"/>
      </w:r>
    </w:p>
    <w:p w14:paraId="14DF55B2" w14:textId="0EC3A84A"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b/>
          <w:sz w:val="24"/>
          <w:szCs w:val="24"/>
          <w:lang w:val="en-GB"/>
        </w:rPr>
        <w:lastRenderedPageBreak/>
        <w:t>Abstract</w:t>
      </w:r>
    </w:p>
    <w:p w14:paraId="622C8E25" w14:textId="77777777" w:rsidR="00303E62" w:rsidRPr="008749F2" w:rsidRDefault="007F1D01" w:rsidP="00D305D7">
      <w:pPr>
        <w:snapToGrid w:val="0"/>
        <w:spacing w:after="0" w:line="360" w:lineRule="auto"/>
        <w:jc w:val="both"/>
        <w:rPr>
          <w:rFonts w:ascii="Book Antiqua" w:hAnsi="Book Antiqua" w:cs="Arial"/>
          <w:b/>
          <w:i/>
          <w:sz w:val="24"/>
          <w:szCs w:val="24"/>
          <w:lang w:val="en-GB" w:eastAsia="zh-CN"/>
        </w:rPr>
      </w:pPr>
      <w:r w:rsidRPr="008749F2">
        <w:rPr>
          <w:rFonts w:ascii="Book Antiqua" w:eastAsia="Calibri" w:hAnsi="Book Antiqua" w:cs="Arial"/>
          <w:b/>
          <w:i/>
          <w:sz w:val="24"/>
          <w:szCs w:val="24"/>
          <w:lang w:val="en-GB"/>
        </w:rPr>
        <w:t>AIM</w:t>
      </w:r>
    </w:p>
    <w:p w14:paraId="56E74975" w14:textId="7E477660" w:rsidR="00234B0B" w:rsidRPr="00303E62" w:rsidRDefault="00C16CD2"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To</w:t>
      </w:r>
      <w:r w:rsidR="008749F2">
        <w:rPr>
          <w:rFonts w:ascii="Book Antiqua" w:eastAsia="Calibri" w:hAnsi="Book Antiqua" w:cs="Arial" w:hint="eastAsia"/>
          <w:sz w:val="24"/>
          <w:szCs w:val="24"/>
          <w:lang w:val="en-GB" w:eastAsia="zh-CN"/>
        </w:rPr>
        <w:t xml:space="preserve"> </w:t>
      </w:r>
      <w:r w:rsidR="008D1845" w:rsidRPr="00303E62">
        <w:rPr>
          <w:rFonts w:ascii="Book Antiqua" w:eastAsia="Calibri" w:hAnsi="Book Antiqua" w:cs="Arial"/>
          <w:sz w:val="24"/>
          <w:szCs w:val="24"/>
          <w:lang w:val="en-GB"/>
        </w:rPr>
        <w:t>investigate</w:t>
      </w:r>
      <w:r w:rsidR="00234B0B" w:rsidRPr="00303E62">
        <w:rPr>
          <w:rFonts w:ascii="Book Antiqua" w:eastAsia="Calibri" w:hAnsi="Book Antiqua" w:cs="Arial"/>
          <w:sz w:val="24"/>
          <w:szCs w:val="24"/>
          <w:lang w:val="en-GB"/>
        </w:rPr>
        <w:t xml:space="preserve"> markers for high-grade dysplasia for </w:t>
      </w:r>
      <w:r w:rsidR="008D1845" w:rsidRPr="00303E62">
        <w:rPr>
          <w:rFonts w:ascii="Book Antiqua" w:eastAsia="Calibri" w:hAnsi="Book Antiqua" w:cs="Arial"/>
          <w:sz w:val="24"/>
          <w:szCs w:val="24"/>
          <w:lang w:val="en-GB"/>
        </w:rPr>
        <w:t xml:space="preserve">the </w:t>
      </w:r>
      <w:r w:rsidR="00234B0B" w:rsidRPr="00303E62">
        <w:rPr>
          <w:rFonts w:ascii="Book Antiqua" w:eastAsia="Calibri" w:hAnsi="Book Antiqua" w:cs="Arial"/>
          <w:sz w:val="24"/>
          <w:szCs w:val="24"/>
          <w:lang w:val="en-GB"/>
        </w:rPr>
        <w:t xml:space="preserve">optimal timing of liver transplantation </w:t>
      </w:r>
      <w:r w:rsidR="008D1845" w:rsidRPr="00303E62">
        <w:rPr>
          <w:rFonts w:ascii="Book Antiqua" w:eastAsia="Calibri" w:hAnsi="Book Antiqua" w:cs="Arial"/>
          <w:sz w:val="24"/>
          <w:szCs w:val="24"/>
          <w:lang w:val="en-GB"/>
        </w:rPr>
        <w:t>in</w:t>
      </w:r>
      <w:r w:rsidR="00234B0B" w:rsidRPr="00303E62">
        <w:rPr>
          <w:rFonts w:ascii="Book Antiqua" w:eastAsia="Calibri" w:hAnsi="Book Antiqua" w:cs="Arial"/>
          <w:sz w:val="24"/>
          <w:szCs w:val="24"/>
          <w:lang w:val="en-GB"/>
        </w:rPr>
        <w:t xml:space="preserve"> patients with primary sclerosing cholangitis (PSC).</w:t>
      </w:r>
    </w:p>
    <w:p w14:paraId="1825845D" w14:textId="77777777" w:rsidR="00303E62" w:rsidRPr="008749F2" w:rsidRDefault="00303E62" w:rsidP="00D305D7">
      <w:pPr>
        <w:snapToGrid w:val="0"/>
        <w:spacing w:after="0" w:line="360" w:lineRule="auto"/>
        <w:jc w:val="both"/>
        <w:rPr>
          <w:rFonts w:ascii="Book Antiqua" w:hAnsi="Book Antiqua" w:cs="Arial"/>
          <w:b/>
          <w:sz w:val="24"/>
          <w:szCs w:val="24"/>
          <w:lang w:val="en-GB" w:eastAsia="zh-CN"/>
        </w:rPr>
      </w:pPr>
    </w:p>
    <w:p w14:paraId="0F6B0E26" w14:textId="77777777" w:rsidR="00303E62" w:rsidRPr="008749F2" w:rsidRDefault="00663156" w:rsidP="00D305D7">
      <w:pPr>
        <w:snapToGrid w:val="0"/>
        <w:spacing w:after="0" w:line="360" w:lineRule="auto"/>
        <w:jc w:val="both"/>
        <w:rPr>
          <w:rFonts w:ascii="Book Antiqua" w:hAnsi="Book Antiqua" w:cs="Arial"/>
          <w:i/>
          <w:sz w:val="24"/>
          <w:szCs w:val="24"/>
          <w:lang w:val="en-GB" w:eastAsia="zh-CN"/>
        </w:rPr>
      </w:pPr>
      <w:r w:rsidRPr="008749F2">
        <w:rPr>
          <w:rFonts w:ascii="Book Antiqua" w:eastAsia="Calibri" w:hAnsi="Book Antiqua" w:cs="Arial"/>
          <w:b/>
          <w:i/>
          <w:sz w:val="24"/>
          <w:szCs w:val="24"/>
          <w:lang w:val="en-GB"/>
        </w:rPr>
        <w:t>M</w:t>
      </w:r>
      <w:r w:rsidR="007F1D01" w:rsidRPr="008749F2">
        <w:rPr>
          <w:rFonts w:ascii="Book Antiqua" w:eastAsia="Calibri" w:hAnsi="Book Antiqua" w:cs="Arial"/>
          <w:b/>
          <w:i/>
          <w:sz w:val="24"/>
          <w:szCs w:val="24"/>
          <w:lang w:val="en-GB"/>
        </w:rPr>
        <w:t>ETHODS</w:t>
      </w:r>
    </w:p>
    <w:p w14:paraId="01F9E566" w14:textId="737F9F3C" w:rsidR="007F1D01" w:rsidRPr="00303E62" w:rsidRDefault="00234B0B"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Earlier data support a dysplasia-carcinoma sequence</w:t>
      </w:r>
      <w:r w:rsidR="004960BE" w:rsidRPr="00303E62">
        <w:rPr>
          <w:rFonts w:ascii="Book Antiqua" w:eastAsia="Calibri" w:hAnsi="Book Antiqua" w:cs="Arial"/>
          <w:sz w:val="24"/>
          <w:szCs w:val="24"/>
          <w:lang w:val="en-GB"/>
        </w:rPr>
        <w:t>, even low</w:t>
      </w:r>
      <w:r w:rsidR="008D1845" w:rsidRPr="00303E62">
        <w:rPr>
          <w:rFonts w:ascii="Book Antiqua" w:eastAsia="Calibri" w:hAnsi="Book Antiqua" w:cs="Arial"/>
          <w:sz w:val="24"/>
          <w:szCs w:val="24"/>
          <w:lang w:val="en-GB"/>
        </w:rPr>
        <w:t>-</w:t>
      </w:r>
      <w:r w:rsidR="004960BE" w:rsidRPr="00303E62">
        <w:rPr>
          <w:rFonts w:ascii="Book Antiqua" w:eastAsia="Calibri" w:hAnsi="Book Antiqua" w:cs="Arial"/>
          <w:sz w:val="24"/>
          <w:szCs w:val="24"/>
          <w:lang w:val="en-GB"/>
        </w:rPr>
        <w:t xml:space="preserve"> to high</w:t>
      </w:r>
      <w:r w:rsidR="008D1845" w:rsidRPr="00303E62">
        <w:rPr>
          <w:rFonts w:ascii="Book Antiqua" w:eastAsia="Calibri" w:hAnsi="Book Antiqua" w:cs="Arial"/>
          <w:sz w:val="24"/>
          <w:szCs w:val="24"/>
          <w:lang w:val="en-GB"/>
        </w:rPr>
        <w:t>-</w:t>
      </w:r>
      <w:r w:rsidR="004960BE" w:rsidRPr="00303E62">
        <w:rPr>
          <w:rFonts w:ascii="Book Antiqua" w:eastAsia="Calibri" w:hAnsi="Book Antiqua" w:cs="Arial"/>
          <w:sz w:val="24"/>
          <w:szCs w:val="24"/>
          <w:lang w:val="en-GB"/>
        </w:rPr>
        <w:t>grade dysplasia,</w:t>
      </w:r>
      <w:r w:rsidRPr="00303E62">
        <w:rPr>
          <w:rFonts w:ascii="Book Antiqua" w:eastAsia="Calibri" w:hAnsi="Book Antiqua" w:cs="Arial"/>
          <w:sz w:val="24"/>
          <w:szCs w:val="24"/>
          <w:lang w:val="en-GB"/>
        </w:rPr>
        <w:t xml:space="preserve"> in PSC-associated cholangiocarcinoma</w:t>
      </w:r>
      <w:r w:rsidR="008749F2">
        <w:rPr>
          <w:rFonts w:ascii="Book Antiqua" w:eastAsia="Calibri" w:hAnsi="Book Antiqua" w:cs="Arial" w:hint="eastAsia"/>
          <w:sz w:val="24"/>
          <w:szCs w:val="24"/>
          <w:lang w:val="en-GB" w:eastAsia="zh-CN"/>
        </w:rPr>
        <w:t xml:space="preserve"> (CCA)</w:t>
      </w:r>
      <w:r w:rsidRPr="00303E62">
        <w:rPr>
          <w:rFonts w:ascii="Book Antiqua" w:eastAsia="Calibri" w:hAnsi="Book Antiqua" w:cs="Arial"/>
          <w:sz w:val="24"/>
          <w:szCs w:val="24"/>
          <w:lang w:val="en-GB"/>
        </w:rPr>
        <w:t xml:space="preserve">. </w:t>
      </w:r>
      <w:r w:rsidR="00D57D4C"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urveillance </w:t>
      </w:r>
      <w:r w:rsidR="008D1845" w:rsidRPr="00303E62">
        <w:rPr>
          <w:rFonts w:ascii="Book Antiqua" w:eastAsia="Calibri" w:hAnsi="Book Antiqua" w:cs="Arial"/>
          <w:sz w:val="24"/>
          <w:szCs w:val="24"/>
          <w:lang w:val="en-GB"/>
        </w:rPr>
        <w:t>using</w:t>
      </w:r>
      <w:r w:rsidRPr="00303E62">
        <w:rPr>
          <w:rFonts w:ascii="Book Antiqua" w:eastAsia="Calibri" w:hAnsi="Book Antiqua" w:cs="Arial"/>
          <w:sz w:val="24"/>
          <w:szCs w:val="24"/>
          <w:lang w:val="en-GB"/>
        </w:rPr>
        <w:t xml:space="preserve"> endoscopic retrograde cholangiography (ERC) and brush cytology </w:t>
      </w:r>
      <w:r w:rsidR="00A72AEC" w:rsidRPr="00303E62">
        <w:rPr>
          <w:rFonts w:ascii="Book Antiqua" w:eastAsia="Calibri" w:hAnsi="Book Antiqua" w:cs="Arial"/>
          <w:sz w:val="24"/>
          <w:szCs w:val="24"/>
          <w:lang w:val="en-GB"/>
        </w:rPr>
        <w:t xml:space="preserve">aims to </w:t>
      </w:r>
      <w:r w:rsidRPr="00303E62">
        <w:rPr>
          <w:rFonts w:ascii="Book Antiqua" w:eastAsia="Calibri" w:hAnsi="Book Antiqua" w:cs="Arial"/>
          <w:sz w:val="24"/>
          <w:szCs w:val="24"/>
          <w:lang w:val="en-GB"/>
        </w:rPr>
        <w:t xml:space="preserve">detect cases </w:t>
      </w:r>
      <w:r w:rsidR="008D1845" w:rsidRPr="00303E62">
        <w:rPr>
          <w:rFonts w:ascii="Book Antiqua" w:eastAsia="Calibri" w:hAnsi="Book Antiqua" w:cs="Arial"/>
          <w:sz w:val="24"/>
          <w:szCs w:val="24"/>
          <w:lang w:val="en-GB"/>
        </w:rPr>
        <w:t>of</w:t>
      </w:r>
      <w:r w:rsidRPr="00303E62">
        <w:rPr>
          <w:rFonts w:ascii="Book Antiqua" w:eastAsia="Calibri" w:hAnsi="Book Antiqua" w:cs="Arial"/>
          <w:sz w:val="24"/>
          <w:szCs w:val="24"/>
          <w:lang w:val="en-GB"/>
        </w:rPr>
        <w:t xml:space="preserve"> biliary dysplasia, and </w:t>
      </w:r>
      <w:r w:rsidR="008D1845" w:rsidRPr="00303E62">
        <w:rPr>
          <w:rFonts w:ascii="Book Antiqua" w:eastAsia="Calibri" w:hAnsi="Book Antiqua" w:cs="Arial"/>
          <w:sz w:val="24"/>
          <w:szCs w:val="24"/>
          <w:lang w:val="en-GB"/>
        </w:rPr>
        <w:t xml:space="preserve">liver transplantation is an option </w:t>
      </w:r>
      <w:r w:rsidRPr="00303E62">
        <w:rPr>
          <w:rFonts w:ascii="Book Antiqua" w:eastAsia="Calibri" w:hAnsi="Book Antiqua" w:cs="Arial"/>
          <w:sz w:val="24"/>
          <w:szCs w:val="24"/>
          <w:lang w:val="en-GB"/>
        </w:rPr>
        <w:t xml:space="preserve">in cases with suspicion of malignancy in brushing. This study </w:t>
      </w:r>
      <w:r w:rsidR="008D1845" w:rsidRPr="00303E62">
        <w:rPr>
          <w:rFonts w:ascii="Book Antiqua" w:eastAsia="Calibri" w:hAnsi="Book Antiqua" w:cs="Arial"/>
          <w:sz w:val="24"/>
          <w:szCs w:val="24"/>
          <w:lang w:val="en-GB"/>
        </w:rPr>
        <w:t>investigated</w:t>
      </w:r>
      <w:r w:rsidRPr="00303E62">
        <w:rPr>
          <w:rFonts w:ascii="Book Antiqua" w:eastAsia="Calibri" w:hAnsi="Book Antiqua" w:cs="Arial"/>
          <w:sz w:val="24"/>
          <w:szCs w:val="24"/>
          <w:lang w:val="en-GB"/>
        </w:rPr>
        <w:t xml:space="preserve"> markers t</w:t>
      </w:r>
      <w:r w:rsidR="008D1845" w:rsidRPr="00303E62">
        <w:rPr>
          <w:rFonts w:ascii="Book Antiqua" w:eastAsia="Calibri" w:hAnsi="Book Antiqua" w:cs="Arial"/>
          <w:sz w:val="24"/>
          <w:szCs w:val="24"/>
          <w:lang w:val="en-GB"/>
        </w:rPr>
        <w:t>o</w:t>
      </w:r>
      <w:r w:rsidRPr="00303E62">
        <w:rPr>
          <w:rFonts w:ascii="Book Antiqua" w:eastAsia="Calibri" w:hAnsi="Book Antiqua" w:cs="Arial"/>
          <w:sz w:val="24"/>
          <w:szCs w:val="24"/>
          <w:lang w:val="en-GB"/>
        </w:rPr>
        <w:t xml:space="preserve"> identify patients with high-grade biliary dysplasia for optimal timing </w:t>
      </w:r>
      <w:r w:rsidR="008D1845"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early liver transplantation.</w:t>
      </w:r>
      <w:r w:rsidR="00D57D4C" w:rsidRPr="00303E62">
        <w:rPr>
          <w:rFonts w:ascii="Book Antiqua" w:eastAsia="Calibri" w:hAnsi="Book Antiqua" w:cs="Arial"/>
          <w:sz w:val="24"/>
          <w:szCs w:val="24"/>
          <w:lang w:val="en-GB"/>
        </w:rPr>
        <w:t xml:space="preserve"> </w:t>
      </w:r>
      <w:r w:rsidR="00663156" w:rsidRPr="00303E62">
        <w:rPr>
          <w:rFonts w:ascii="Book Antiqua" w:eastAsia="Calibri" w:hAnsi="Book Antiqua" w:cs="Arial"/>
          <w:sz w:val="24"/>
          <w:szCs w:val="24"/>
          <w:lang w:val="en-GB"/>
        </w:rPr>
        <w:t xml:space="preserve">Patients undergoing surveillance using ERC and brush cytology during 2008-2014 and </w:t>
      </w:r>
      <w:r w:rsidR="008D1845" w:rsidRPr="00303E62">
        <w:rPr>
          <w:rFonts w:ascii="Book Antiqua" w:eastAsia="Calibri" w:hAnsi="Book Antiqua" w:cs="Arial"/>
          <w:sz w:val="24"/>
          <w:szCs w:val="24"/>
          <w:lang w:val="en-GB"/>
        </w:rPr>
        <w:t xml:space="preserve">who were </w:t>
      </w:r>
      <w:r w:rsidR="00663156" w:rsidRPr="00303E62">
        <w:rPr>
          <w:rFonts w:ascii="Book Antiqua" w:eastAsia="Calibri" w:hAnsi="Book Antiqua" w:cs="Arial"/>
          <w:sz w:val="24"/>
          <w:szCs w:val="24"/>
          <w:lang w:val="en-GB"/>
        </w:rPr>
        <w:t xml:space="preserve">diagnosed with biliary dysplasia in explanted liver or </w:t>
      </w:r>
      <w:r w:rsidR="008749F2">
        <w:rPr>
          <w:rFonts w:ascii="Book Antiqua" w:eastAsia="Calibri" w:hAnsi="Book Antiqua" w:cs="Arial" w:hint="eastAsia"/>
          <w:sz w:val="24"/>
          <w:szCs w:val="24"/>
          <w:lang w:val="en-GB" w:eastAsia="zh-CN"/>
        </w:rPr>
        <w:t>CCA</w:t>
      </w:r>
      <w:r w:rsidR="00663156" w:rsidRPr="00303E62">
        <w:rPr>
          <w:rFonts w:ascii="Book Antiqua" w:eastAsia="Calibri" w:hAnsi="Book Antiqua" w:cs="Arial"/>
          <w:sz w:val="24"/>
          <w:szCs w:val="24"/>
          <w:lang w:val="en-GB"/>
        </w:rPr>
        <w:t xml:space="preserve"> until February 2016 were included in the study. Demographic data, cholangiography findings, laboratory values, cytological morphology and DNA ploidy were analy</w:t>
      </w:r>
      <w:r w:rsidR="008D1845" w:rsidRPr="00303E62">
        <w:rPr>
          <w:rFonts w:ascii="Book Antiqua" w:eastAsia="Calibri" w:hAnsi="Book Antiqua" w:cs="Arial"/>
          <w:sz w:val="24"/>
          <w:szCs w:val="24"/>
          <w:lang w:val="en-GB"/>
        </w:rPr>
        <w:t>s</w:t>
      </w:r>
      <w:r w:rsidR="00663156" w:rsidRPr="00303E62">
        <w:rPr>
          <w:rFonts w:ascii="Book Antiqua" w:eastAsia="Calibri" w:hAnsi="Book Antiqua" w:cs="Arial"/>
          <w:sz w:val="24"/>
          <w:szCs w:val="24"/>
          <w:lang w:val="en-GB"/>
        </w:rPr>
        <w:t>ed.</w:t>
      </w:r>
    </w:p>
    <w:p w14:paraId="426787FC" w14:textId="77777777" w:rsidR="00303E62" w:rsidRDefault="00303E62" w:rsidP="00D305D7">
      <w:pPr>
        <w:snapToGrid w:val="0"/>
        <w:spacing w:after="0" w:line="360" w:lineRule="auto"/>
        <w:jc w:val="both"/>
        <w:rPr>
          <w:rFonts w:ascii="Book Antiqua" w:hAnsi="Book Antiqua" w:cs="Arial"/>
          <w:b/>
          <w:sz w:val="24"/>
          <w:szCs w:val="24"/>
          <w:lang w:val="en-GB" w:eastAsia="zh-CN"/>
        </w:rPr>
      </w:pPr>
    </w:p>
    <w:p w14:paraId="4898C878" w14:textId="77777777" w:rsidR="00303E62" w:rsidRPr="008749F2" w:rsidRDefault="00AA1103" w:rsidP="00D305D7">
      <w:pPr>
        <w:snapToGrid w:val="0"/>
        <w:spacing w:after="0" w:line="360" w:lineRule="auto"/>
        <w:jc w:val="both"/>
        <w:rPr>
          <w:rFonts w:ascii="Book Antiqua" w:hAnsi="Book Antiqua" w:cs="Arial"/>
          <w:b/>
          <w:i/>
          <w:sz w:val="24"/>
          <w:szCs w:val="24"/>
          <w:lang w:val="en-GB" w:eastAsia="zh-CN"/>
        </w:rPr>
      </w:pPr>
      <w:r w:rsidRPr="008749F2">
        <w:rPr>
          <w:rFonts w:ascii="Book Antiqua" w:eastAsia="Calibri" w:hAnsi="Book Antiqua" w:cs="Arial"/>
          <w:b/>
          <w:i/>
          <w:sz w:val="24"/>
          <w:szCs w:val="24"/>
          <w:lang w:val="en-GB"/>
        </w:rPr>
        <w:t>RESULTS</w:t>
      </w:r>
    </w:p>
    <w:p w14:paraId="6AE23000" w14:textId="0C9C1CFF" w:rsidR="00AA1103" w:rsidRPr="00303E62" w:rsidRDefault="008D1845"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Thirty</w:t>
      </w:r>
      <w:r w:rsidR="00D57D4C" w:rsidRPr="00303E62">
        <w:rPr>
          <w:rFonts w:ascii="Book Antiqua" w:eastAsia="Calibri" w:hAnsi="Book Antiqua" w:cs="Arial"/>
          <w:sz w:val="24"/>
          <w:szCs w:val="24"/>
          <w:lang w:val="en-GB"/>
        </w:rPr>
        <w:t xml:space="preserve"> PSC patients had biliary </w:t>
      </w:r>
      <w:r w:rsidR="00842FE8" w:rsidRPr="00303E62">
        <w:rPr>
          <w:rFonts w:ascii="Book Antiqua" w:eastAsia="Calibri" w:hAnsi="Book Antiqua" w:cs="Arial"/>
          <w:sz w:val="24"/>
          <w:szCs w:val="24"/>
          <w:lang w:val="en-GB"/>
        </w:rPr>
        <w:t>neoplasia</w:t>
      </w:r>
      <w:r w:rsidR="00D57D4C" w:rsidRPr="00303E62">
        <w:rPr>
          <w:rFonts w:ascii="Book Antiqua" w:eastAsia="Calibri" w:hAnsi="Book Antiqua" w:cs="Arial"/>
          <w:sz w:val="24"/>
          <w:szCs w:val="24"/>
          <w:lang w:val="en-GB"/>
        </w:rPr>
        <w:t xml:space="preserve"> in</w:t>
      </w:r>
      <w:r w:rsidR="00842FE8" w:rsidRPr="00303E62">
        <w:rPr>
          <w:rFonts w:ascii="Book Antiqua" w:eastAsia="Calibri" w:hAnsi="Book Antiqua" w:cs="Arial"/>
          <w:sz w:val="24"/>
          <w:szCs w:val="24"/>
          <w:lang w:val="en-GB"/>
        </w:rPr>
        <w:t xml:space="preserve"> the explanted liver</w:t>
      </w:r>
      <w:r w:rsidRPr="00303E62">
        <w:rPr>
          <w:rFonts w:ascii="Book Antiqua" w:eastAsia="Calibri" w:hAnsi="Book Antiqua" w:cs="Arial"/>
          <w:sz w:val="24"/>
          <w:szCs w:val="24"/>
          <w:lang w:val="en-GB"/>
        </w:rPr>
        <w:t xml:space="preserve"> during the study period</w:t>
      </w:r>
      <w:r w:rsidR="00842FE8"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Sixteen</w:t>
      </w:r>
      <w:r w:rsidR="00842FE8" w:rsidRPr="00303E62">
        <w:rPr>
          <w:rFonts w:ascii="Book Antiqua" w:eastAsia="Calibri" w:hAnsi="Book Antiqua" w:cs="Arial"/>
          <w:sz w:val="24"/>
          <w:szCs w:val="24"/>
          <w:lang w:val="en-GB"/>
        </w:rPr>
        <w:t xml:space="preserve"> of the</w:t>
      </w:r>
      <w:r w:rsidRPr="00303E62">
        <w:rPr>
          <w:rFonts w:ascii="Book Antiqua" w:eastAsia="Calibri" w:hAnsi="Book Antiqua" w:cs="Arial"/>
          <w:sz w:val="24"/>
          <w:szCs w:val="24"/>
          <w:lang w:val="en-GB"/>
        </w:rPr>
        <w:t>se patients</w:t>
      </w:r>
      <w:r w:rsidR="00842FE8" w:rsidRPr="00303E62">
        <w:rPr>
          <w:rFonts w:ascii="Book Antiqua" w:eastAsia="Calibri" w:hAnsi="Book Antiqua" w:cs="Arial"/>
          <w:sz w:val="24"/>
          <w:szCs w:val="24"/>
          <w:lang w:val="en-GB"/>
        </w:rPr>
        <w:t xml:space="preserve"> had low-grade dysplasia, 10 </w:t>
      </w:r>
      <w:r w:rsidRPr="00303E62">
        <w:rPr>
          <w:rFonts w:ascii="Book Antiqua" w:eastAsia="Calibri" w:hAnsi="Book Antiqua" w:cs="Arial"/>
          <w:sz w:val="24"/>
          <w:szCs w:val="24"/>
          <w:lang w:val="en-GB"/>
        </w:rPr>
        <w:t xml:space="preserve">patients </w:t>
      </w:r>
      <w:r w:rsidR="00842FE8" w:rsidRPr="00303E62">
        <w:rPr>
          <w:rFonts w:ascii="Book Antiqua" w:eastAsia="Calibri" w:hAnsi="Book Antiqua" w:cs="Arial"/>
          <w:sz w:val="24"/>
          <w:szCs w:val="24"/>
          <w:lang w:val="en-GB"/>
        </w:rPr>
        <w:t xml:space="preserve">had high-grade dysplasia, and 4 </w:t>
      </w:r>
      <w:r w:rsidRPr="00303E62">
        <w:rPr>
          <w:rFonts w:ascii="Book Antiqua" w:eastAsia="Calibri" w:hAnsi="Book Antiqua" w:cs="Arial"/>
          <w:sz w:val="24"/>
          <w:szCs w:val="24"/>
          <w:lang w:val="en-GB"/>
        </w:rPr>
        <w:t xml:space="preserve">patients </w:t>
      </w:r>
      <w:r w:rsidR="00842FE8" w:rsidRPr="00303E62">
        <w:rPr>
          <w:rFonts w:ascii="Book Antiqua" w:eastAsia="Calibri" w:hAnsi="Book Antiqua" w:cs="Arial"/>
          <w:sz w:val="24"/>
          <w:szCs w:val="24"/>
          <w:lang w:val="en-GB"/>
        </w:rPr>
        <w:t xml:space="preserve">had </w:t>
      </w:r>
      <w:r w:rsidR="008749F2">
        <w:rPr>
          <w:rFonts w:ascii="Book Antiqua" w:eastAsia="Calibri" w:hAnsi="Book Antiqua" w:cs="Arial" w:hint="eastAsia"/>
          <w:sz w:val="24"/>
          <w:szCs w:val="24"/>
          <w:lang w:val="en-GB" w:eastAsia="zh-CN"/>
        </w:rPr>
        <w:t>CCA</w:t>
      </w:r>
      <w:r w:rsidR="00842FE8"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Fifteen</w:t>
      </w:r>
      <w:r w:rsidR="0011121E" w:rsidRPr="00303E62">
        <w:rPr>
          <w:rFonts w:ascii="Book Antiqua" w:eastAsia="Calibri" w:hAnsi="Book Antiqua" w:cs="Arial"/>
          <w:sz w:val="24"/>
          <w:szCs w:val="24"/>
          <w:lang w:val="en-GB"/>
        </w:rPr>
        <w:t xml:space="preserve"> PSC</w:t>
      </w:r>
      <w:r w:rsidR="00BA37E9" w:rsidRPr="00303E62">
        <w:rPr>
          <w:rFonts w:ascii="Book Antiqua" w:eastAsia="Calibri" w:hAnsi="Book Antiqua" w:cs="Arial"/>
          <w:sz w:val="24"/>
          <w:szCs w:val="24"/>
          <w:lang w:val="en-GB"/>
        </w:rPr>
        <w:t xml:space="preserve"> </w:t>
      </w:r>
      <w:r w:rsidR="00D57D4C" w:rsidRPr="00303E62">
        <w:rPr>
          <w:rFonts w:ascii="Book Antiqua" w:eastAsia="Calibri" w:hAnsi="Book Antiqua" w:cs="Arial"/>
          <w:sz w:val="24"/>
          <w:szCs w:val="24"/>
          <w:lang w:val="en-GB"/>
        </w:rPr>
        <w:t xml:space="preserve">patients diagnosed with </w:t>
      </w:r>
      <w:r w:rsidR="008749F2">
        <w:rPr>
          <w:rFonts w:ascii="Book Antiqua" w:eastAsia="Calibri" w:hAnsi="Book Antiqua" w:cs="Arial" w:hint="eastAsia"/>
          <w:sz w:val="24"/>
          <w:szCs w:val="24"/>
          <w:lang w:val="en-GB" w:eastAsia="zh-CN"/>
        </w:rPr>
        <w:t>CCA</w:t>
      </w:r>
      <w:r w:rsidR="0011121E" w:rsidRPr="00303E62">
        <w:rPr>
          <w:rFonts w:ascii="Book Antiqua" w:eastAsia="Calibri" w:hAnsi="Book Antiqua" w:cs="Arial"/>
          <w:sz w:val="24"/>
          <w:szCs w:val="24"/>
          <w:lang w:val="en-GB"/>
        </w:rPr>
        <w:t xml:space="preserve"> were not transplanted</w:t>
      </w:r>
      <w:r w:rsidR="00D57D4C" w:rsidRPr="00303E62">
        <w:rPr>
          <w:rFonts w:ascii="Book Antiqua" w:eastAsia="Calibri" w:hAnsi="Book Antiqua" w:cs="Arial"/>
          <w:sz w:val="24"/>
          <w:szCs w:val="24"/>
          <w:lang w:val="en-GB"/>
        </w:rPr>
        <w:t xml:space="preserve">. </w:t>
      </w:r>
      <w:r w:rsidR="00663156" w:rsidRPr="00303E62">
        <w:rPr>
          <w:rFonts w:ascii="Book Antiqua" w:eastAsia="Calibri" w:hAnsi="Book Antiqua" w:cs="Arial"/>
          <w:sz w:val="24"/>
          <w:szCs w:val="24"/>
          <w:lang w:val="en-GB"/>
        </w:rPr>
        <w:t xml:space="preserve">Patients with low-grade dysplasia were younger. Alkaline phosphatase or carcinoembryonic antigen values did not differ between groups during surveillance, but carbohydrate antigen 19-9 was higher </w:t>
      </w:r>
      <w:r w:rsidRPr="00303E62">
        <w:rPr>
          <w:rFonts w:ascii="Book Antiqua" w:eastAsia="Calibri" w:hAnsi="Book Antiqua" w:cs="Arial"/>
          <w:sz w:val="24"/>
          <w:szCs w:val="24"/>
          <w:lang w:val="en-GB"/>
        </w:rPr>
        <w:t>in</w:t>
      </w:r>
      <w:r w:rsidR="00A07CF1" w:rsidRPr="00303E62">
        <w:rPr>
          <w:rFonts w:ascii="Book Antiqua" w:eastAsia="Calibri" w:hAnsi="Book Antiqua" w:cs="Arial"/>
          <w:sz w:val="24"/>
          <w:szCs w:val="24"/>
          <w:lang w:val="en-GB"/>
        </w:rPr>
        <w:t xml:space="preserve"> </w:t>
      </w:r>
      <w:r w:rsidR="008749F2">
        <w:rPr>
          <w:rFonts w:ascii="Book Antiqua" w:eastAsia="Calibri" w:hAnsi="Book Antiqua" w:cs="Arial" w:hint="eastAsia"/>
          <w:sz w:val="24"/>
          <w:szCs w:val="24"/>
          <w:lang w:val="en-GB" w:eastAsia="zh-CN"/>
        </w:rPr>
        <w:t xml:space="preserve">CCA </w:t>
      </w:r>
      <w:r w:rsidR="00A07CF1" w:rsidRPr="00303E62">
        <w:rPr>
          <w:rFonts w:ascii="Book Antiqua" w:eastAsia="Calibri" w:hAnsi="Book Antiqua" w:cs="Arial"/>
          <w:sz w:val="24"/>
          <w:szCs w:val="24"/>
          <w:lang w:val="en-GB"/>
        </w:rPr>
        <w:t xml:space="preserve">patients. </w:t>
      </w:r>
      <w:r w:rsidR="00663156" w:rsidRPr="00303E62">
        <w:rPr>
          <w:rFonts w:ascii="Book Antiqua" w:eastAsia="Calibri" w:hAnsi="Book Antiqua" w:cs="Arial"/>
          <w:sz w:val="24"/>
          <w:szCs w:val="24"/>
          <w:lang w:val="en-GB"/>
        </w:rPr>
        <w:t>No difference in PSC duration, ERC scores, suspicious cytology, or ploidy analysis was found between groups. N</w:t>
      </w:r>
      <w:r w:rsidRPr="00303E62">
        <w:rPr>
          <w:rFonts w:ascii="Book Antiqua" w:eastAsia="Calibri" w:hAnsi="Book Antiqua" w:cs="Arial"/>
          <w:sz w:val="24"/>
          <w:szCs w:val="24"/>
          <w:lang w:val="en-GB"/>
        </w:rPr>
        <w:t xml:space="preserve">o </w:t>
      </w:r>
      <w:r w:rsidR="00663156" w:rsidRPr="00303E62">
        <w:rPr>
          <w:rFonts w:ascii="Book Antiqua" w:eastAsia="Calibri" w:hAnsi="Book Antiqua" w:cs="Arial"/>
          <w:sz w:val="24"/>
          <w:szCs w:val="24"/>
          <w:lang w:val="en-GB"/>
        </w:rPr>
        <w:t xml:space="preserve">difference </w:t>
      </w:r>
      <w:r w:rsidR="00047A5D" w:rsidRPr="00303E62">
        <w:rPr>
          <w:rFonts w:ascii="Book Antiqua" w:eastAsia="Calibri" w:hAnsi="Book Antiqua" w:cs="Arial"/>
          <w:sz w:val="24"/>
          <w:szCs w:val="24"/>
          <w:lang w:val="en-GB"/>
        </w:rPr>
        <w:t xml:space="preserve">was observed </w:t>
      </w:r>
      <w:r w:rsidR="00663156" w:rsidRPr="00303E62">
        <w:rPr>
          <w:rFonts w:ascii="Book Antiqua" w:eastAsia="Calibri" w:hAnsi="Book Antiqua" w:cs="Arial"/>
          <w:sz w:val="24"/>
          <w:szCs w:val="24"/>
          <w:lang w:val="en-GB"/>
        </w:rPr>
        <w:t>between fibrosis</w:t>
      </w:r>
      <w:r w:rsidR="008749F2">
        <w:rPr>
          <w:rFonts w:ascii="Book Antiqua" w:eastAsia="Calibri" w:hAnsi="Book Antiqua" w:cs="Arial" w:hint="eastAsia"/>
          <w:sz w:val="24"/>
          <w:szCs w:val="24"/>
          <w:lang w:val="en-GB" w:eastAsia="zh-CN"/>
        </w:rPr>
        <w:t xml:space="preserve"> </w:t>
      </w:r>
      <w:r w:rsidR="00047A5D" w:rsidRPr="00303E62">
        <w:rPr>
          <w:rFonts w:ascii="Book Antiqua" w:eastAsia="Calibri" w:hAnsi="Book Antiqua" w:cs="Arial"/>
          <w:sz w:val="24"/>
          <w:szCs w:val="24"/>
          <w:lang w:val="en-GB"/>
        </w:rPr>
        <w:t xml:space="preserve">stage </w:t>
      </w:r>
      <w:r w:rsidR="00663156" w:rsidRPr="00303E62">
        <w:rPr>
          <w:rFonts w:ascii="Book Antiqua" w:eastAsia="Calibri" w:hAnsi="Book Antiqua" w:cs="Arial"/>
          <w:sz w:val="24"/>
          <w:szCs w:val="24"/>
          <w:lang w:val="en-GB"/>
        </w:rPr>
        <w:t>in explanted livers.</w:t>
      </w:r>
      <w:r w:rsidR="00D57D4C" w:rsidRPr="00303E62">
        <w:rPr>
          <w:rFonts w:ascii="Book Antiqua" w:eastAsia="Calibri" w:hAnsi="Book Antiqua" w:cs="Arial"/>
          <w:sz w:val="24"/>
          <w:szCs w:val="24"/>
          <w:lang w:val="en-GB"/>
        </w:rPr>
        <w:t xml:space="preserve"> </w:t>
      </w:r>
      <w:r w:rsidR="00047A5D" w:rsidRPr="00303E62">
        <w:rPr>
          <w:rFonts w:ascii="Book Antiqua" w:eastAsia="Calibri" w:hAnsi="Book Antiqua" w:cs="Arial"/>
          <w:sz w:val="24"/>
          <w:szCs w:val="24"/>
          <w:lang w:val="en-GB"/>
        </w:rPr>
        <w:t>L</w:t>
      </w:r>
      <w:r w:rsidR="00D57D4C" w:rsidRPr="00303E62">
        <w:rPr>
          <w:rFonts w:ascii="Book Antiqua" w:eastAsia="Calibri" w:hAnsi="Book Antiqua" w:cs="Arial"/>
          <w:sz w:val="24"/>
          <w:szCs w:val="24"/>
          <w:lang w:val="en-GB"/>
        </w:rPr>
        <w:t>ow- and high-grade dysplasia c</w:t>
      </w:r>
      <w:r w:rsidR="00047A5D" w:rsidRPr="00303E62">
        <w:rPr>
          <w:rFonts w:ascii="Book Antiqua" w:eastAsia="Calibri" w:hAnsi="Book Antiqua" w:cs="Arial"/>
          <w:sz w:val="24"/>
          <w:szCs w:val="24"/>
          <w:lang w:val="en-GB"/>
        </w:rPr>
        <w:t xml:space="preserve">ould </w:t>
      </w:r>
      <w:r w:rsidR="00D57D4C" w:rsidRPr="00303E62">
        <w:rPr>
          <w:rFonts w:ascii="Book Antiqua" w:eastAsia="Calibri" w:hAnsi="Book Antiqua" w:cs="Arial"/>
          <w:sz w:val="24"/>
          <w:szCs w:val="24"/>
          <w:lang w:val="en-GB"/>
        </w:rPr>
        <w:t>not be differentiated before liver transplantation</w:t>
      </w:r>
      <w:r w:rsidR="00047A5D" w:rsidRPr="00303E62">
        <w:rPr>
          <w:rFonts w:ascii="Book Antiqua" w:eastAsia="Calibri" w:hAnsi="Book Antiqua" w:cs="Arial"/>
          <w:sz w:val="24"/>
          <w:szCs w:val="24"/>
          <w:lang w:val="en-GB"/>
        </w:rPr>
        <w:t xml:space="preserve"> based on liver enzymes, tumour markers, ERC scores, brush cytology or DNA ploidy</w:t>
      </w:r>
      <w:r w:rsidR="00D57D4C" w:rsidRPr="00303E62">
        <w:rPr>
          <w:rFonts w:ascii="Book Antiqua" w:eastAsia="Calibri" w:hAnsi="Book Antiqua" w:cs="Arial"/>
          <w:sz w:val="24"/>
          <w:szCs w:val="24"/>
          <w:lang w:val="en-GB"/>
        </w:rPr>
        <w:t>.</w:t>
      </w:r>
    </w:p>
    <w:p w14:paraId="0A52B69B" w14:textId="77777777" w:rsidR="00303E62" w:rsidRDefault="00303E62" w:rsidP="00D305D7">
      <w:pPr>
        <w:snapToGrid w:val="0"/>
        <w:spacing w:after="0" w:line="360" w:lineRule="auto"/>
        <w:jc w:val="both"/>
        <w:rPr>
          <w:rFonts w:ascii="Book Antiqua" w:hAnsi="Book Antiqua" w:cs="Arial"/>
          <w:b/>
          <w:sz w:val="24"/>
          <w:szCs w:val="24"/>
          <w:lang w:val="en-GB" w:eastAsia="zh-CN"/>
        </w:rPr>
      </w:pPr>
    </w:p>
    <w:p w14:paraId="43305E9F" w14:textId="77777777" w:rsidR="00303E62" w:rsidRPr="008749F2" w:rsidRDefault="00842FE8" w:rsidP="00D305D7">
      <w:pPr>
        <w:snapToGrid w:val="0"/>
        <w:spacing w:after="0" w:line="360" w:lineRule="auto"/>
        <w:jc w:val="both"/>
        <w:rPr>
          <w:rFonts w:ascii="Book Antiqua" w:hAnsi="Book Antiqua" w:cs="Arial"/>
          <w:b/>
          <w:i/>
          <w:sz w:val="24"/>
          <w:szCs w:val="24"/>
          <w:lang w:val="en-GB" w:eastAsia="zh-CN"/>
        </w:rPr>
      </w:pPr>
      <w:r w:rsidRPr="008749F2">
        <w:rPr>
          <w:rFonts w:ascii="Book Antiqua" w:eastAsia="Calibri" w:hAnsi="Book Antiqua" w:cs="Arial"/>
          <w:b/>
          <w:i/>
          <w:sz w:val="24"/>
          <w:szCs w:val="24"/>
          <w:lang w:val="en-GB"/>
        </w:rPr>
        <w:t>CONCLUSION</w:t>
      </w:r>
    </w:p>
    <w:p w14:paraId="025867D1" w14:textId="31AACC42" w:rsidR="00663156" w:rsidRPr="00303E62" w:rsidRDefault="00D57D4C"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lastRenderedPageBreak/>
        <w:t>Repeated</w:t>
      </w:r>
      <w:r w:rsidR="00663156" w:rsidRPr="00303E62">
        <w:rPr>
          <w:rFonts w:ascii="Book Antiqua" w:eastAsia="Calibri" w:hAnsi="Book Antiqua" w:cs="Arial"/>
          <w:sz w:val="24"/>
          <w:szCs w:val="24"/>
          <w:lang w:val="en-GB"/>
        </w:rPr>
        <w:t xml:space="preserve"> suspicion of neoplasia in </w:t>
      </w:r>
      <w:r w:rsidRPr="00303E62">
        <w:rPr>
          <w:rFonts w:ascii="Book Antiqua" w:eastAsia="Calibri" w:hAnsi="Book Antiqua" w:cs="Arial"/>
          <w:sz w:val="24"/>
          <w:szCs w:val="24"/>
          <w:lang w:val="en-GB"/>
        </w:rPr>
        <w:t xml:space="preserve">brush </w:t>
      </w:r>
      <w:r w:rsidR="00663156" w:rsidRPr="00303E62">
        <w:rPr>
          <w:rFonts w:ascii="Book Antiqua" w:eastAsia="Calibri" w:hAnsi="Book Antiqua" w:cs="Arial"/>
          <w:sz w:val="24"/>
          <w:szCs w:val="24"/>
          <w:lang w:val="en-GB"/>
        </w:rPr>
        <w:t>cytology should be an indication for evaluation</w:t>
      </w:r>
      <w:r w:rsidR="00047A5D" w:rsidRPr="00303E62">
        <w:rPr>
          <w:rFonts w:ascii="Book Antiqua" w:eastAsia="Calibri" w:hAnsi="Book Antiqua" w:cs="Arial"/>
          <w:sz w:val="24"/>
          <w:szCs w:val="24"/>
          <w:lang w:val="en-GB"/>
        </w:rPr>
        <w:t>s</w:t>
      </w:r>
      <w:r w:rsidR="00663156" w:rsidRPr="00303E62">
        <w:rPr>
          <w:rFonts w:ascii="Book Antiqua" w:eastAsia="Calibri" w:hAnsi="Book Antiqua" w:cs="Arial"/>
          <w:sz w:val="24"/>
          <w:szCs w:val="24"/>
          <w:lang w:val="en-GB"/>
        </w:rPr>
        <w:t xml:space="preserve"> of liver transplantation </w:t>
      </w:r>
      <w:r w:rsidR="00047A5D" w:rsidRPr="00303E62">
        <w:rPr>
          <w:rFonts w:ascii="Book Antiqua" w:eastAsia="Calibri" w:hAnsi="Book Antiqua" w:cs="Arial"/>
          <w:sz w:val="24"/>
          <w:szCs w:val="24"/>
          <w:lang w:val="en-GB"/>
        </w:rPr>
        <w:t>prior to the</w:t>
      </w:r>
      <w:r w:rsidR="00663156" w:rsidRPr="00303E62">
        <w:rPr>
          <w:rFonts w:ascii="Book Antiqua" w:eastAsia="Calibri" w:hAnsi="Book Antiqua" w:cs="Arial"/>
          <w:sz w:val="24"/>
          <w:szCs w:val="24"/>
          <w:lang w:val="en-GB"/>
        </w:rPr>
        <w:t xml:space="preserve"> development of CCA.</w:t>
      </w:r>
    </w:p>
    <w:p w14:paraId="1493720E" w14:textId="77777777" w:rsidR="00AA1103" w:rsidRPr="00303E62" w:rsidRDefault="00AA1103" w:rsidP="00D305D7">
      <w:pPr>
        <w:snapToGrid w:val="0"/>
        <w:spacing w:after="0" w:line="360" w:lineRule="auto"/>
        <w:jc w:val="both"/>
        <w:rPr>
          <w:rFonts w:ascii="Book Antiqua" w:eastAsia="Calibri" w:hAnsi="Book Antiqua" w:cs="Arial"/>
          <w:sz w:val="24"/>
          <w:szCs w:val="24"/>
          <w:lang w:val="en-GB"/>
        </w:rPr>
      </w:pPr>
    </w:p>
    <w:p w14:paraId="778B2E3E" w14:textId="77777777" w:rsidR="00AA1103" w:rsidRPr="00303E62" w:rsidRDefault="00AA1103"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b/>
          <w:sz w:val="24"/>
          <w:szCs w:val="24"/>
          <w:lang w:val="en-GB"/>
        </w:rPr>
        <w:t>Key words:</w:t>
      </w:r>
      <w:r w:rsidR="00E00465" w:rsidRPr="00303E62">
        <w:rPr>
          <w:rFonts w:ascii="Book Antiqua" w:eastAsia="Calibri" w:hAnsi="Book Antiqua" w:cs="Arial"/>
          <w:sz w:val="24"/>
          <w:szCs w:val="24"/>
          <w:lang w:val="en-GB"/>
        </w:rPr>
        <w:t xml:space="preserve"> </w:t>
      </w:r>
      <w:r w:rsidR="00E00465" w:rsidRPr="00CF64C3">
        <w:rPr>
          <w:rFonts w:ascii="Book Antiqua" w:eastAsia="Calibri" w:hAnsi="Book Antiqua" w:cs="Arial"/>
          <w:caps/>
          <w:sz w:val="24"/>
          <w:szCs w:val="24"/>
          <w:lang w:val="en-GB"/>
        </w:rPr>
        <w:t>e</w:t>
      </w:r>
      <w:r w:rsidRPr="00303E62">
        <w:rPr>
          <w:rFonts w:ascii="Book Antiqua" w:eastAsia="Calibri" w:hAnsi="Book Antiqua" w:cs="Arial"/>
          <w:sz w:val="24"/>
          <w:szCs w:val="24"/>
          <w:lang w:val="en-GB"/>
        </w:rPr>
        <w:t>ndosc</w:t>
      </w:r>
      <w:r w:rsidR="003A6A7F" w:rsidRPr="00303E62">
        <w:rPr>
          <w:rFonts w:ascii="Book Antiqua" w:eastAsia="Calibri" w:hAnsi="Book Antiqua" w:cs="Arial"/>
          <w:sz w:val="24"/>
          <w:szCs w:val="24"/>
          <w:lang w:val="en-GB"/>
        </w:rPr>
        <w:t xml:space="preserve">opic retrograde cholangiography; </w:t>
      </w:r>
      <w:r w:rsidR="003A6A7F" w:rsidRPr="00CF64C3">
        <w:rPr>
          <w:rFonts w:ascii="Book Antiqua" w:eastAsia="Calibri" w:hAnsi="Book Antiqua" w:cs="Arial"/>
          <w:caps/>
          <w:sz w:val="24"/>
          <w:szCs w:val="24"/>
          <w:lang w:val="en-GB"/>
        </w:rPr>
        <w:t>b</w:t>
      </w:r>
      <w:r w:rsidR="003A6A7F" w:rsidRPr="00303E62">
        <w:rPr>
          <w:rFonts w:ascii="Book Antiqua" w:eastAsia="Calibri" w:hAnsi="Book Antiqua" w:cs="Arial"/>
          <w:sz w:val="24"/>
          <w:szCs w:val="24"/>
          <w:lang w:val="en-GB"/>
        </w:rPr>
        <w:t xml:space="preserve">rush cytology; </w:t>
      </w:r>
      <w:r w:rsidR="003A6A7F" w:rsidRPr="00CF64C3">
        <w:rPr>
          <w:rFonts w:ascii="Book Antiqua" w:eastAsia="Calibri" w:hAnsi="Book Antiqua" w:cs="Arial"/>
          <w:caps/>
          <w:sz w:val="24"/>
          <w:szCs w:val="24"/>
          <w:lang w:val="en-GB"/>
        </w:rPr>
        <w:t>c</w:t>
      </w:r>
      <w:r w:rsidR="003A6A7F" w:rsidRPr="00303E62">
        <w:rPr>
          <w:rFonts w:ascii="Book Antiqua" w:eastAsia="Calibri" w:hAnsi="Book Antiqua" w:cs="Arial"/>
          <w:sz w:val="24"/>
          <w:szCs w:val="24"/>
          <w:lang w:val="en-GB"/>
        </w:rPr>
        <w:t>holangiocarcinoma;</w:t>
      </w:r>
      <w:r w:rsidRPr="00303E62">
        <w:rPr>
          <w:rFonts w:ascii="Book Antiqua" w:eastAsia="Calibri" w:hAnsi="Book Antiqua" w:cs="Arial"/>
          <w:sz w:val="24"/>
          <w:szCs w:val="24"/>
          <w:lang w:val="en-GB"/>
        </w:rPr>
        <w:t xml:space="preserve"> </w:t>
      </w:r>
      <w:r w:rsidRPr="00CF64C3">
        <w:rPr>
          <w:rFonts w:ascii="Book Antiqua" w:eastAsia="Calibri" w:hAnsi="Book Antiqua" w:cs="Arial"/>
          <w:caps/>
          <w:sz w:val="24"/>
          <w:szCs w:val="24"/>
          <w:lang w:val="en-GB"/>
        </w:rPr>
        <w:t>b</w:t>
      </w:r>
      <w:r w:rsidRPr="00303E62">
        <w:rPr>
          <w:rFonts w:ascii="Book Antiqua" w:eastAsia="Calibri" w:hAnsi="Book Antiqua" w:cs="Arial"/>
          <w:sz w:val="24"/>
          <w:szCs w:val="24"/>
          <w:lang w:val="en-GB"/>
        </w:rPr>
        <w:t>iliary dysplasia</w:t>
      </w:r>
    </w:p>
    <w:p w14:paraId="006AD94C" w14:textId="77777777" w:rsidR="00303E62" w:rsidRDefault="00303E62" w:rsidP="00D305D7">
      <w:pPr>
        <w:snapToGrid w:val="0"/>
        <w:spacing w:after="0" w:line="360" w:lineRule="auto"/>
        <w:jc w:val="both"/>
        <w:rPr>
          <w:rFonts w:ascii="Book Antiqua" w:hAnsi="Book Antiqua" w:cs="Arial"/>
          <w:b/>
          <w:sz w:val="24"/>
          <w:szCs w:val="24"/>
          <w:lang w:val="en-GB" w:eastAsia="zh-CN"/>
        </w:rPr>
      </w:pPr>
    </w:p>
    <w:p w14:paraId="31C54285" w14:textId="1E1ED981" w:rsidR="003A6A7F" w:rsidRPr="00303E62" w:rsidRDefault="003A6A7F"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 </w:t>
      </w:r>
      <w:r w:rsidRPr="00303E62">
        <w:rPr>
          <w:rFonts w:ascii="Book Antiqua" w:eastAsia="Calibri" w:hAnsi="Book Antiqua" w:cs="Arial"/>
          <w:b/>
          <w:sz w:val="24"/>
          <w:szCs w:val="24"/>
          <w:lang w:val="en-GB"/>
        </w:rPr>
        <w:t>The Authors</w:t>
      </w:r>
      <w:r w:rsidRPr="00303E62">
        <w:rPr>
          <w:rFonts w:ascii="Book Antiqua" w:eastAsia="Calibri" w:hAnsi="Book Antiqua" w:cs="Arial"/>
          <w:sz w:val="24"/>
          <w:szCs w:val="24"/>
          <w:lang w:val="en-GB"/>
        </w:rPr>
        <w:t xml:space="preserve"> </w:t>
      </w:r>
      <w:r w:rsidRPr="00303E62">
        <w:rPr>
          <w:rFonts w:ascii="Book Antiqua" w:eastAsia="Calibri" w:hAnsi="Book Antiqua" w:cs="Arial"/>
          <w:b/>
          <w:sz w:val="24"/>
          <w:szCs w:val="24"/>
          <w:lang w:val="en-GB"/>
        </w:rPr>
        <w:t>2017</w:t>
      </w:r>
      <w:r w:rsidRPr="00303E62">
        <w:rPr>
          <w:rFonts w:ascii="Book Antiqua" w:eastAsia="Calibri" w:hAnsi="Book Antiqua" w:cs="Arial"/>
          <w:sz w:val="24"/>
          <w:szCs w:val="24"/>
          <w:lang w:val="en-GB"/>
        </w:rPr>
        <w:t>. Published by Baishideng Publishing Groups Inc. All rights reserved.</w:t>
      </w:r>
    </w:p>
    <w:p w14:paraId="00531C78" w14:textId="77777777" w:rsidR="00663156" w:rsidRPr="00CF64C3" w:rsidRDefault="00663156" w:rsidP="00D305D7">
      <w:pPr>
        <w:snapToGrid w:val="0"/>
        <w:spacing w:after="0" w:line="360" w:lineRule="auto"/>
        <w:jc w:val="both"/>
        <w:rPr>
          <w:rFonts w:ascii="Book Antiqua" w:hAnsi="Book Antiqua" w:cs="Arial"/>
          <w:sz w:val="24"/>
          <w:szCs w:val="24"/>
          <w:lang w:val="en-GB" w:eastAsia="zh-CN"/>
        </w:rPr>
      </w:pPr>
    </w:p>
    <w:p w14:paraId="0F77D60D" w14:textId="28A1CE51" w:rsidR="00842FE8" w:rsidRPr="00303E62" w:rsidRDefault="00842FE8"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b/>
          <w:sz w:val="24"/>
          <w:szCs w:val="24"/>
          <w:lang w:val="en-GB"/>
        </w:rPr>
        <w:t xml:space="preserve">Core tip: </w:t>
      </w:r>
      <w:r w:rsidR="007A3537" w:rsidRPr="00303E62">
        <w:rPr>
          <w:rFonts w:ascii="Book Antiqua" w:eastAsia="Calibri" w:hAnsi="Book Antiqua" w:cs="Arial"/>
          <w:sz w:val="24"/>
          <w:szCs w:val="24"/>
          <w:lang w:val="en-GB"/>
        </w:rPr>
        <w:t>We</w:t>
      </w:r>
      <w:r w:rsidR="00E86819" w:rsidRPr="00303E62">
        <w:rPr>
          <w:rFonts w:ascii="Book Antiqua" w:eastAsia="Calibri" w:hAnsi="Book Antiqua" w:cs="Arial"/>
          <w:sz w:val="24"/>
          <w:szCs w:val="24"/>
          <w:lang w:val="en-GB"/>
        </w:rPr>
        <w:t xml:space="preserve"> </w:t>
      </w:r>
      <w:r w:rsidR="00047A5D" w:rsidRPr="00303E62">
        <w:rPr>
          <w:rFonts w:ascii="Book Antiqua" w:eastAsia="Calibri" w:hAnsi="Book Antiqua" w:cs="Arial"/>
          <w:sz w:val="24"/>
          <w:szCs w:val="24"/>
          <w:lang w:val="en-GB"/>
        </w:rPr>
        <w:t>investigated</w:t>
      </w:r>
      <w:r w:rsidRPr="00303E62">
        <w:rPr>
          <w:rFonts w:ascii="Book Antiqua" w:eastAsia="Calibri" w:hAnsi="Book Antiqua" w:cs="Arial"/>
          <w:sz w:val="24"/>
          <w:szCs w:val="24"/>
          <w:lang w:val="en-GB"/>
        </w:rPr>
        <w:t xml:space="preserve"> markers of high-grade dysplasia for </w:t>
      </w:r>
      <w:r w:rsidR="00047A5D"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optimal timing of early liver transplantation</w:t>
      </w:r>
      <w:r w:rsidR="00E86819" w:rsidRPr="00303E62">
        <w:rPr>
          <w:rFonts w:ascii="Book Antiqua" w:eastAsia="Calibri" w:hAnsi="Book Antiqua" w:cs="Arial"/>
          <w:sz w:val="24"/>
          <w:szCs w:val="24"/>
          <w:lang w:val="en-GB"/>
        </w:rPr>
        <w:t xml:space="preserve"> (LT)</w:t>
      </w:r>
      <w:r w:rsidRPr="00303E62">
        <w:rPr>
          <w:rFonts w:ascii="Book Antiqua" w:eastAsia="Calibri" w:hAnsi="Book Antiqua" w:cs="Arial"/>
          <w:sz w:val="24"/>
          <w:szCs w:val="24"/>
          <w:lang w:val="en-GB"/>
        </w:rPr>
        <w:t xml:space="preserve"> </w:t>
      </w:r>
      <w:r w:rsidR="00047A5D"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patients with primary sclerosing cholangitis (PSC). </w:t>
      </w:r>
      <w:r w:rsidR="00025A52" w:rsidRPr="00303E62">
        <w:rPr>
          <w:rFonts w:ascii="Book Antiqua" w:eastAsia="Calibri" w:hAnsi="Book Antiqua" w:cs="Arial"/>
          <w:sz w:val="24"/>
          <w:szCs w:val="24"/>
          <w:lang w:val="en-GB"/>
        </w:rPr>
        <w:t xml:space="preserve">PSC patients </w:t>
      </w:r>
      <w:r w:rsidR="00047A5D" w:rsidRPr="00303E62">
        <w:rPr>
          <w:rFonts w:ascii="Book Antiqua" w:eastAsia="Calibri" w:hAnsi="Book Antiqua" w:cs="Arial"/>
          <w:sz w:val="24"/>
          <w:szCs w:val="24"/>
          <w:lang w:val="en-GB"/>
        </w:rPr>
        <w:t xml:space="preserve">in our unit </w:t>
      </w:r>
      <w:r w:rsidR="00025A52" w:rsidRPr="00303E62">
        <w:rPr>
          <w:rFonts w:ascii="Book Antiqua" w:eastAsia="Calibri" w:hAnsi="Book Antiqua" w:cs="Arial"/>
          <w:sz w:val="24"/>
          <w:szCs w:val="24"/>
          <w:lang w:val="en-GB"/>
        </w:rPr>
        <w:t>undergo surveillance with endoscopic retrograde cholangiography (ERC) and brush cytology</w:t>
      </w:r>
      <w:r w:rsidR="007A3537" w:rsidRPr="00303E62">
        <w:rPr>
          <w:rFonts w:ascii="Book Antiqua" w:eastAsia="Calibri" w:hAnsi="Book Antiqua" w:cs="Arial"/>
          <w:sz w:val="24"/>
          <w:szCs w:val="24"/>
          <w:lang w:val="en-GB"/>
        </w:rPr>
        <w:t xml:space="preserve"> (BC)</w:t>
      </w:r>
      <w:r w:rsidR="00025A52" w:rsidRPr="00303E62">
        <w:rPr>
          <w:rFonts w:ascii="Book Antiqua" w:eastAsia="Calibri" w:hAnsi="Book Antiqua" w:cs="Arial"/>
          <w:sz w:val="24"/>
          <w:szCs w:val="24"/>
          <w:lang w:val="en-GB"/>
        </w:rPr>
        <w:t xml:space="preserve"> to </w:t>
      </w:r>
      <w:r w:rsidR="00047A5D" w:rsidRPr="00303E62">
        <w:rPr>
          <w:rFonts w:ascii="Book Antiqua" w:eastAsia="Calibri" w:hAnsi="Book Antiqua" w:cs="Arial"/>
          <w:sz w:val="24"/>
          <w:szCs w:val="24"/>
          <w:lang w:val="en-GB"/>
        </w:rPr>
        <w:t>identify</w:t>
      </w:r>
      <w:r w:rsidR="00025A52" w:rsidRPr="00303E62">
        <w:rPr>
          <w:rFonts w:ascii="Book Antiqua" w:eastAsia="Calibri" w:hAnsi="Book Antiqua" w:cs="Arial"/>
          <w:sz w:val="24"/>
          <w:szCs w:val="24"/>
          <w:lang w:val="en-GB"/>
        </w:rPr>
        <w:t xml:space="preserve"> evidence of dysplasia before progression to cholangiocarcinoma. Carbohydrate antigen 19-9 was higher </w:t>
      </w:r>
      <w:r w:rsidR="00047A5D" w:rsidRPr="00303E62">
        <w:rPr>
          <w:rFonts w:ascii="Book Antiqua" w:eastAsia="Calibri" w:hAnsi="Book Antiqua" w:cs="Arial"/>
          <w:sz w:val="24"/>
          <w:szCs w:val="24"/>
          <w:lang w:val="en-GB"/>
        </w:rPr>
        <w:t>in</w:t>
      </w:r>
      <w:r w:rsidR="00025A52" w:rsidRPr="00303E62">
        <w:rPr>
          <w:rFonts w:ascii="Book Antiqua" w:eastAsia="Calibri" w:hAnsi="Book Antiqua" w:cs="Arial"/>
          <w:sz w:val="24"/>
          <w:szCs w:val="24"/>
          <w:lang w:val="en-GB"/>
        </w:rPr>
        <w:t xml:space="preserve"> patients with cholangiocarcinoma, but no </w:t>
      </w:r>
      <w:r w:rsidR="00047A5D" w:rsidRPr="00303E62">
        <w:rPr>
          <w:rFonts w:ascii="Book Antiqua" w:eastAsia="Calibri" w:hAnsi="Book Antiqua" w:cs="Arial"/>
          <w:sz w:val="24"/>
          <w:szCs w:val="24"/>
          <w:lang w:val="en-GB"/>
        </w:rPr>
        <w:t xml:space="preserve">other </w:t>
      </w:r>
      <w:r w:rsidR="00025A52" w:rsidRPr="00303E62">
        <w:rPr>
          <w:rFonts w:ascii="Book Antiqua" w:eastAsia="Calibri" w:hAnsi="Book Antiqua" w:cs="Arial"/>
          <w:sz w:val="24"/>
          <w:szCs w:val="24"/>
          <w:lang w:val="en-GB"/>
        </w:rPr>
        <w:t xml:space="preserve">differences between laboratory values, ERC scores, </w:t>
      </w:r>
      <w:r w:rsidR="007A3537" w:rsidRPr="00303E62">
        <w:rPr>
          <w:rFonts w:ascii="Book Antiqua" w:eastAsia="Calibri" w:hAnsi="Book Antiqua" w:cs="Arial"/>
          <w:sz w:val="24"/>
          <w:szCs w:val="24"/>
          <w:lang w:val="en-GB"/>
        </w:rPr>
        <w:t>BC</w:t>
      </w:r>
      <w:r w:rsidR="00025A52" w:rsidRPr="00303E62">
        <w:rPr>
          <w:rFonts w:ascii="Book Antiqua" w:eastAsia="Calibri" w:hAnsi="Book Antiqua" w:cs="Arial"/>
          <w:sz w:val="24"/>
          <w:szCs w:val="24"/>
          <w:lang w:val="en-GB"/>
        </w:rPr>
        <w:t xml:space="preserve"> or ploidy analysis between </w:t>
      </w:r>
      <w:r w:rsidR="00E86819" w:rsidRPr="00303E62">
        <w:rPr>
          <w:rFonts w:ascii="Book Antiqua" w:eastAsia="Calibri" w:hAnsi="Book Antiqua" w:cs="Arial"/>
          <w:sz w:val="24"/>
          <w:szCs w:val="24"/>
          <w:lang w:val="en-GB"/>
        </w:rPr>
        <w:t>the</w:t>
      </w:r>
      <w:r w:rsidR="00C4678C" w:rsidRPr="00303E62">
        <w:rPr>
          <w:rFonts w:ascii="Book Antiqua" w:eastAsia="Calibri" w:hAnsi="Book Antiqua" w:cs="Arial"/>
          <w:sz w:val="24"/>
          <w:szCs w:val="24"/>
          <w:lang w:val="en-GB"/>
        </w:rPr>
        <w:t xml:space="preserve"> low</w:t>
      </w:r>
      <w:r w:rsidR="009027FD" w:rsidRPr="00303E62">
        <w:rPr>
          <w:rFonts w:ascii="Book Antiqua" w:eastAsia="Calibri" w:hAnsi="Book Antiqua" w:cs="Arial"/>
          <w:sz w:val="24"/>
          <w:szCs w:val="24"/>
          <w:lang w:val="en-GB"/>
        </w:rPr>
        <w:t>-</w:t>
      </w:r>
      <w:r w:rsidR="00C4678C" w:rsidRPr="00303E62">
        <w:rPr>
          <w:rFonts w:ascii="Book Antiqua" w:eastAsia="Calibri" w:hAnsi="Book Antiqua" w:cs="Arial"/>
          <w:sz w:val="24"/>
          <w:szCs w:val="24"/>
          <w:lang w:val="en-GB"/>
        </w:rPr>
        <w:t>grade, high</w:t>
      </w:r>
      <w:r w:rsidR="009027FD" w:rsidRPr="00303E62">
        <w:rPr>
          <w:rFonts w:ascii="Book Antiqua" w:eastAsia="Calibri" w:hAnsi="Book Antiqua" w:cs="Arial"/>
          <w:sz w:val="24"/>
          <w:szCs w:val="24"/>
          <w:lang w:val="en-GB"/>
        </w:rPr>
        <w:t>-</w:t>
      </w:r>
      <w:r w:rsidR="00C4678C" w:rsidRPr="00303E62">
        <w:rPr>
          <w:rFonts w:ascii="Book Antiqua" w:eastAsia="Calibri" w:hAnsi="Book Antiqua" w:cs="Arial"/>
          <w:sz w:val="24"/>
          <w:szCs w:val="24"/>
          <w:lang w:val="en-GB"/>
        </w:rPr>
        <w:t xml:space="preserve">grade </w:t>
      </w:r>
      <w:r w:rsidR="00047A5D" w:rsidRPr="00303E62">
        <w:rPr>
          <w:rFonts w:ascii="Book Antiqua" w:eastAsia="Calibri" w:hAnsi="Book Antiqua" w:cs="Arial"/>
          <w:sz w:val="24"/>
          <w:szCs w:val="24"/>
          <w:lang w:val="en-GB"/>
        </w:rPr>
        <w:t>or</w:t>
      </w:r>
      <w:r w:rsidR="00C4678C" w:rsidRPr="00303E62">
        <w:rPr>
          <w:rFonts w:ascii="Book Antiqua" w:eastAsia="Calibri" w:hAnsi="Book Antiqua" w:cs="Arial"/>
          <w:sz w:val="24"/>
          <w:szCs w:val="24"/>
          <w:lang w:val="en-GB"/>
        </w:rPr>
        <w:t xml:space="preserve"> CCA</w:t>
      </w:r>
      <w:r w:rsidR="00025A52" w:rsidRPr="00303E62">
        <w:rPr>
          <w:rFonts w:ascii="Book Antiqua" w:eastAsia="Calibri" w:hAnsi="Book Antiqua" w:cs="Arial"/>
          <w:sz w:val="24"/>
          <w:szCs w:val="24"/>
          <w:lang w:val="en-GB"/>
        </w:rPr>
        <w:t xml:space="preserve"> groups</w:t>
      </w:r>
      <w:r w:rsidR="00047A5D" w:rsidRPr="00303E62">
        <w:rPr>
          <w:rFonts w:ascii="Book Antiqua" w:eastAsia="Calibri" w:hAnsi="Book Antiqua" w:cs="Arial"/>
          <w:sz w:val="24"/>
          <w:szCs w:val="24"/>
          <w:lang w:val="en-GB"/>
        </w:rPr>
        <w:t xml:space="preserve"> were observed</w:t>
      </w:r>
      <w:r w:rsidR="00025A52" w:rsidRPr="00303E62">
        <w:rPr>
          <w:rFonts w:ascii="Book Antiqua" w:eastAsia="Calibri" w:hAnsi="Book Antiqua" w:cs="Arial"/>
          <w:sz w:val="24"/>
          <w:szCs w:val="24"/>
          <w:lang w:val="en-GB"/>
        </w:rPr>
        <w:t xml:space="preserve">. Repeated suspicion of neoplasia in </w:t>
      </w:r>
      <w:r w:rsidR="007A3537" w:rsidRPr="00303E62">
        <w:rPr>
          <w:rFonts w:ascii="Book Antiqua" w:eastAsia="Calibri" w:hAnsi="Book Antiqua" w:cs="Arial"/>
          <w:sz w:val="24"/>
          <w:szCs w:val="24"/>
          <w:lang w:val="en-GB"/>
        </w:rPr>
        <w:t>BC</w:t>
      </w:r>
      <w:r w:rsidR="00025A52" w:rsidRPr="00303E62">
        <w:rPr>
          <w:rFonts w:ascii="Book Antiqua" w:eastAsia="Calibri" w:hAnsi="Book Antiqua" w:cs="Arial"/>
          <w:sz w:val="24"/>
          <w:szCs w:val="24"/>
          <w:lang w:val="en-GB"/>
        </w:rPr>
        <w:t xml:space="preserve"> should be an indication for </w:t>
      </w:r>
      <w:r w:rsidR="00047A5D" w:rsidRPr="00303E62">
        <w:rPr>
          <w:rFonts w:ascii="Book Antiqua" w:eastAsia="Calibri" w:hAnsi="Book Antiqua" w:cs="Arial"/>
          <w:sz w:val="24"/>
          <w:szCs w:val="24"/>
          <w:lang w:val="en-GB"/>
        </w:rPr>
        <w:t xml:space="preserve">the </w:t>
      </w:r>
      <w:r w:rsidR="00025A52" w:rsidRPr="00303E62">
        <w:rPr>
          <w:rFonts w:ascii="Book Antiqua" w:eastAsia="Calibri" w:hAnsi="Book Antiqua" w:cs="Arial"/>
          <w:sz w:val="24"/>
          <w:szCs w:val="24"/>
          <w:lang w:val="en-GB"/>
        </w:rPr>
        <w:t xml:space="preserve">evaluation for </w:t>
      </w:r>
      <w:r w:rsidR="00E86819" w:rsidRPr="00303E62">
        <w:rPr>
          <w:rFonts w:ascii="Book Antiqua" w:eastAsia="Calibri" w:hAnsi="Book Antiqua" w:cs="Arial"/>
          <w:sz w:val="24"/>
          <w:szCs w:val="24"/>
          <w:lang w:val="en-GB"/>
        </w:rPr>
        <w:t>LT</w:t>
      </w:r>
      <w:r w:rsidR="00025A52" w:rsidRPr="00303E62">
        <w:rPr>
          <w:rFonts w:ascii="Book Antiqua" w:eastAsia="Calibri" w:hAnsi="Book Antiqua" w:cs="Arial"/>
          <w:sz w:val="24"/>
          <w:szCs w:val="24"/>
          <w:lang w:val="en-GB"/>
        </w:rPr>
        <w:t xml:space="preserve"> </w:t>
      </w:r>
      <w:r w:rsidR="00047A5D" w:rsidRPr="00303E62">
        <w:rPr>
          <w:rFonts w:ascii="Book Antiqua" w:eastAsia="Calibri" w:hAnsi="Book Antiqua" w:cs="Arial"/>
          <w:sz w:val="24"/>
          <w:szCs w:val="24"/>
          <w:lang w:val="en-GB"/>
        </w:rPr>
        <w:t>prior to the</w:t>
      </w:r>
      <w:r w:rsidR="00025A52" w:rsidRPr="00303E62">
        <w:rPr>
          <w:rFonts w:ascii="Book Antiqua" w:eastAsia="Calibri" w:hAnsi="Book Antiqua" w:cs="Arial"/>
          <w:sz w:val="24"/>
          <w:szCs w:val="24"/>
          <w:lang w:val="en-GB"/>
        </w:rPr>
        <w:t xml:space="preserve"> development of cholangiocarcinoma</w:t>
      </w:r>
      <w:r w:rsidR="00E86819" w:rsidRPr="00303E62">
        <w:rPr>
          <w:rFonts w:ascii="Book Antiqua" w:eastAsia="Calibri" w:hAnsi="Book Antiqua" w:cs="Arial"/>
          <w:sz w:val="24"/>
          <w:szCs w:val="24"/>
          <w:lang w:val="en-GB"/>
        </w:rPr>
        <w:t>.</w:t>
      </w:r>
    </w:p>
    <w:p w14:paraId="035B7BE2" w14:textId="77777777" w:rsidR="00842FE8" w:rsidRPr="00303E62" w:rsidRDefault="00842FE8" w:rsidP="00D305D7">
      <w:pPr>
        <w:snapToGrid w:val="0"/>
        <w:spacing w:after="0" w:line="360" w:lineRule="auto"/>
        <w:jc w:val="both"/>
        <w:rPr>
          <w:rFonts w:ascii="Book Antiqua" w:eastAsia="Calibri" w:hAnsi="Book Antiqua" w:cs="Arial"/>
          <w:b/>
          <w:sz w:val="24"/>
          <w:szCs w:val="24"/>
          <w:lang w:val="en-GB"/>
        </w:rPr>
      </w:pPr>
    </w:p>
    <w:p w14:paraId="67AC2FB3" w14:textId="1CEFE870" w:rsidR="00842FE8" w:rsidRPr="00303E62" w:rsidRDefault="00842FE8"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sz w:val="24"/>
          <w:szCs w:val="24"/>
          <w:lang w:val="en-GB"/>
        </w:rPr>
        <w:t>Boyd S, Vannas M, Jokelainen K, Isoniemi H, Mäkisalo H, Färkkilä MA, Arola J.</w:t>
      </w:r>
      <w:r w:rsidR="00CF64C3" w:rsidRPr="00CF64C3">
        <w:rPr>
          <w:rFonts w:ascii="Book Antiqua" w:hAnsi="Book Antiqua" w:cs="Arial"/>
          <w:b/>
          <w:sz w:val="24"/>
          <w:szCs w:val="24"/>
          <w:lang w:val="en-GB"/>
        </w:rPr>
        <w:t xml:space="preserve"> </w:t>
      </w:r>
      <w:r w:rsidR="00CF64C3" w:rsidRPr="00CF64C3">
        <w:rPr>
          <w:rFonts w:ascii="Book Antiqua" w:hAnsi="Book Antiqua" w:cs="Arial"/>
          <w:sz w:val="24"/>
          <w:szCs w:val="24"/>
          <w:lang w:val="en-GB"/>
        </w:rPr>
        <w:t>Suspicious</w:t>
      </w:r>
      <w:r w:rsidR="00CF64C3" w:rsidRPr="00CF64C3">
        <w:rPr>
          <w:rFonts w:ascii="Book Antiqua" w:hAnsi="Book Antiqua" w:cs="Arial" w:hint="eastAsia"/>
          <w:sz w:val="24"/>
          <w:szCs w:val="24"/>
          <w:lang w:val="en-GB" w:eastAsia="zh-CN"/>
        </w:rPr>
        <w:t xml:space="preserve"> </w:t>
      </w:r>
      <w:r w:rsidR="00CF64C3" w:rsidRPr="00CF64C3">
        <w:rPr>
          <w:rFonts w:ascii="Book Antiqua" w:hAnsi="Book Antiqua" w:cs="Arial"/>
          <w:sz w:val="24"/>
          <w:szCs w:val="24"/>
          <w:lang w:val="en-GB"/>
        </w:rPr>
        <w:t>brush cytology is an indication for liver transplantation evaluation in primary sclerosing cholangitis</w:t>
      </w:r>
      <w:r w:rsidR="00CF64C3">
        <w:rPr>
          <w:rFonts w:ascii="Book Antiqua" w:hAnsi="Book Antiqua" w:cs="Arial" w:hint="eastAsia"/>
          <w:sz w:val="24"/>
          <w:szCs w:val="24"/>
          <w:lang w:val="en-GB" w:eastAsia="zh-CN"/>
        </w:rPr>
        <w:t xml:space="preserve">. </w:t>
      </w:r>
      <w:r w:rsidRPr="00303E62">
        <w:rPr>
          <w:rFonts w:ascii="Book Antiqua" w:hAnsi="Book Antiqua" w:cs="Arial"/>
          <w:i/>
          <w:sz w:val="24"/>
          <w:szCs w:val="24"/>
          <w:lang w:val="en-GB"/>
        </w:rPr>
        <w:t xml:space="preserve">World J Gastroenterol </w:t>
      </w:r>
      <w:r w:rsidRPr="00516682">
        <w:rPr>
          <w:rFonts w:ascii="Book Antiqua" w:hAnsi="Book Antiqua" w:cs="Arial"/>
          <w:sz w:val="24"/>
          <w:szCs w:val="24"/>
          <w:lang w:val="en-GB"/>
        </w:rPr>
        <w:t>2017</w:t>
      </w:r>
      <w:r w:rsidR="00CF64C3">
        <w:rPr>
          <w:rFonts w:ascii="Book Antiqua" w:hAnsi="Book Antiqua" w:cs="Arial" w:hint="eastAsia"/>
          <w:sz w:val="24"/>
          <w:szCs w:val="24"/>
          <w:lang w:val="en-GB" w:eastAsia="zh-CN"/>
        </w:rPr>
        <w:t xml:space="preserve">; </w:t>
      </w:r>
      <w:r w:rsidRPr="00303E62">
        <w:rPr>
          <w:rFonts w:ascii="Book Antiqua" w:hAnsi="Book Antiqua" w:cs="Arial"/>
          <w:sz w:val="24"/>
          <w:szCs w:val="24"/>
          <w:lang w:val="en-GB"/>
        </w:rPr>
        <w:t>In press</w:t>
      </w:r>
    </w:p>
    <w:p w14:paraId="69B6CAF6" w14:textId="77777777" w:rsidR="00CF64C3" w:rsidRPr="00FA6ADB" w:rsidRDefault="00CF64C3" w:rsidP="00D305D7">
      <w:pPr>
        <w:snapToGrid w:val="0"/>
        <w:spacing w:after="0" w:line="360" w:lineRule="auto"/>
        <w:jc w:val="both"/>
        <w:rPr>
          <w:rFonts w:ascii="Book Antiqua" w:hAnsi="Book Antiqua" w:cs="Arial"/>
          <w:sz w:val="24"/>
          <w:szCs w:val="24"/>
          <w:lang w:val="en-GB" w:eastAsia="zh-CN"/>
        </w:rPr>
      </w:pPr>
    </w:p>
    <w:p w14:paraId="20EE23A4" w14:textId="208AF9BE" w:rsidR="00303E62" w:rsidRDefault="00303E62" w:rsidP="00D305D7">
      <w:pPr>
        <w:snapToGrid w:val="0"/>
        <w:spacing w:after="0" w:line="360" w:lineRule="auto"/>
        <w:rPr>
          <w:rFonts w:ascii="Book Antiqua" w:eastAsia="Calibri" w:hAnsi="Book Antiqua" w:cs="Arial"/>
          <w:b/>
          <w:sz w:val="24"/>
          <w:szCs w:val="24"/>
          <w:lang w:val="en-GB"/>
        </w:rPr>
      </w:pPr>
      <w:r>
        <w:rPr>
          <w:rFonts w:ascii="Book Antiqua" w:eastAsia="Calibri" w:hAnsi="Book Antiqua" w:cs="Arial"/>
          <w:b/>
          <w:sz w:val="24"/>
          <w:szCs w:val="24"/>
          <w:lang w:val="en-GB"/>
        </w:rPr>
        <w:br w:type="page"/>
      </w:r>
    </w:p>
    <w:p w14:paraId="7938AB08" w14:textId="77777777" w:rsidR="00663156" w:rsidRPr="00303E62" w:rsidRDefault="00AA1103"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lastRenderedPageBreak/>
        <w:t>INTRODUCTION</w:t>
      </w:r>
    </w:p>
    <w:p w14:paraId="0E063C75" w14:textId="475448B6"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Primary sclerosing cholangitis (PSC) is a chronic cholestatic disease</w:t>
      </w:r>
      <w:r w:rsidR="00FD2FC3" w:rsidRPr="00303E62">
        <w:rPr>
          <w:rFonts w:ascii="Book Antiqua" w:eastAsia="Calibri" w:hAnsi="Book Antiqua" w:cs="Arial"/>
          <w:sz w:val="24"/>
          <w:szCs w:val="24"/>
          <w:lang w:val="en-GB"/>
        </w:rPr>
        <w:t xml:space="preserve"> that</w:t>
      </w:r>
      <w:r w:rsidRPr="00303E62">
        <w:rPr>
          <w:rFonts w:ascii="Book Antiqua" w:eastAsia="Calibri" w:hAnsi="Book Antiqua" w:cs="Arial"/>
          <w:sz w:val="24"/>
          <w:szCs w:val="24"/>
          <w:lang w:val="en-GB"/>
        </w:rPr>
        <w:t xml:space="preserve"> often </w:t>
      </w:r>
      <w:r w:rsidR="00FD2FC3" w:rsidRPr="00303E62">
        <w:rPr>
          <w:rFonts w:ascii="Book Antiqua" w:eastAsia="Calibri" w:hAnsi="Book Antiqua" w:cs="Arial"/>
          <w:sz w:val="24"/>
          <w:szCs w:val="24"/>
          <w:lang w:val="en-GB"/>
        </w:rPr>
        <w:t>presents</w:t>
      </w:r>
      <w:r w:rsidRPr="00303E62">
        <w:rPr>
          <w:rFonts w:ascii="Book Antiqua" w:eastAsia="Calibri" w:hAnsi="Book Antiqua" w:cs="Arial"/>
          <w:sz w:val="24"/>
          <w:szCs w:val="24"/>
          <w:lang w:val="en-GB"/>
        </w:rPr>
        <w:t xml:space="preserve"> in conjunction with inflammatory bowel disease</w:t>
      </w:r>
      <w:r w:rsidR="00C41259" w:rsidRPr="00303E62">
        <w:rPr>
          <w:rFonts w:ascii="Book Antiqua" w:eastAsia="Calibri" w:hAnsi="Book Antiqua" w:cs="Arial"/>
          <w:sz w:val="24"/>
          <w:szCs w:val="24"/>
          <w:lang w:val="en-GB"/>
        </w:rPr>
        <w:t xml:space="preserve"> (IBD)</w:t>
      </w:r>
      <w:r w:rsidR="00047A5D" w:rsidRPr="00303E62">
        <w:rPr>
          <w:rFonts w:ascii="Book Antiqua" w:eastAsia="Calibri" w:hAnsi="Book Antiqua" w:cs="Arial"/>
          <w:sz w:val="24"/>
          <w:szCs w:val="24"/>
          <w:lang w:val="en-GB"/>
        </w:rPr>
        <w:t>. PSC</w:t>
      </w:r>
      <w:r w:rsidRPr="00303E62">
        <w:rPr>
          <w:rFonts w:ascii="Book Antiqua" w:eastAsia="Calibri" w:hAnsi="Book Antiqua" w:cs="Arial"/>
          <w:sz w:val="24"/>
          <w:szCs w:val="24"/>
          <w:lang w:val="en-GB"/>
        </w:rPr>
        <w:t xml:space="preserve"> lead</w:t>
      </w:r>
      <w:r w:rsidR="00047A5D"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to bile duct strictures and liver fibrosis. PSC also </w:t>
      </w:r>
      <w:r w:rsidR="00FD2FC3" w:rsidRPr="00303E62">
        <w:rPr>
          <w:rFonts w:ascii="Book Antiqua" w:eastAsia="Calibri" w:hAnsi="Book Antiqua" w:cs="Arial"/>
          <w:sz w:val="24"/>
          <w:szCs w:val="24"/>
          <w:lang w:val="en-GB"/>
        </w:rPr>
        <w:t xml:space="preserve">markedly </w:t>
      </w:r>
      <w:r w:rsidRPr="00303E62">
        <w:rPr>
          <w:rFonts w:ascii="Book Antiqua" w:eastAsia="Calibri" w:hAnsi="Book Antiqua" w:cs="Arial"/>
          <w:sz w:val="24"/>
          <w:szCs w:val="24"/>
          <w:lang w:val="en-GB"/>
        </w:rPr>
        <w:t>increases the risk for cholangiocarcinoma (</w:t>
      </w:r>
      <w:r w:rsidR="00FD2450" w:rsidRPr="00303E62">
        <w:rPr>
          <w:rFonts w:ascii="Book Antiqua" w:eastAsia="Calibri" w:hAnsi="Book Antiqua" w:cs="Arial"/>
          <w:sz w:val="24"/>
          <w:szCs w:val="24"/>
          <w:lang w:val="en-GB"/>
        </w:rPr>
        <w:t xml:space="preserve">CCA), with a lifetime </w:t>
      </w:r>
      <w:r w:rsidRPr="00303E62">
        <w:rPr>
          <w:rFonts w:ascii="Book Antiqua" w:eastAsia="Calibri" w:hAnsi="Book Antiqua" w:cs="Arial"/>
          <w:sz w:val="24"/>
          <w:szCs w:val="24"/>
          <w:lang w:val="en-GB"/>
        </w:rPr>
        <w:t>risk of 5</w:t>
      </w:r>
      <w:r w:rsidR="00CF64C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-10%</w:t>
      </w:r>
      <w:r w:rsidR="00525B28" w:rsidRPr="00303E62">
        <w:rPr>
          <w:rFonts w:ascii="Book Antiqua" w:eastAsia="Calibri" w:hAnsi="Book Antiqua" w:cs="Arial"/>
          <w:sz w:val="24"/>
          <w:szCs w:val="24"/>
          <w:vertAlign w:val="superscript"/>
          <w:lang w:val="en-GB"/>
        </w:rPr>
        <w:t>[1,2]</w:t>
      </w:r>
      <w:r w:rsidRPr="00303E62">
        <w:rPr>
          <w:rFonts w:ascii="Book Antiqua" w:eastAsia="Calibri" w:hAnsi="Book Antiqua" w:cs="Arial"/>
          <w:sz w:val="24"/>
          <w:szCs w:val="24"/>
          <w:lang w:val="en-GB"/>
        </w:rPr>
        <w:t>. Bile duct dysplasia is a precursor for CCA</w:t>
      </w:r>
      <w:r w:rsidR="00525B28" w:rsidRPr="00303E62">
        <w:rPr>
          <w:rFonts w:ascii="Book Antiqua" w:eastAsia="Calibri" w:hAnsi="Book Antiqua" w:cs="Arial"/>
          <w:sz w:val="24"/>
          <w:szCs w:val="24"/>
          <w:vertAlign w:val="superscript"/>
          <w:lang w:val="en-GB"/>
        </w:rPr>
        <w:t>[3]</w:t>
      </w:r>
      <w:r w:rsidR="00525B28"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in PSC. Brush cytology (BC) a</w:t>
      </w:r>
      <w:r w:rsidR="00FD2FC3" w:rsidRPr="00303E62">
        <w:rPr>
          <w:rFonts w:ascii="Book Antiqua" w:eastAsia="Calibri" w:hAnsi="Book Antiqua" w:cs="Arial"/>
          <w:sz w:val="24"/>
          <w:szCs w:val="24"/>
          <w:lang w:val="en-GB"/>
        </w:rPr>
        <w:t>nd</w:t>
      </w:r>
      <w:r w:rsidRPr="00303E62">
        <w:rPr>
          <w:rFonts w:ascii="Book Antiqua" w:eastAsia="Calibri" w:hAnsi="Book Antiqua" w:cs="Arial"/>
          <w:sz w:val="24"/>
          <w:szCs w:val="24"/>
          <w:lang w:val="en-GB"/>
        </w:rPr>
        <w:t xml:space="preserve"> imaging </w:t>
      </w:r>
      <w:r w:rsidR="00FD2FC3" w:rsidRPr="00303E62">
        <w:rPr>
          <w:rFonts w:ascii="Book Antiqua" w:eastAsia="Calibri" w:hAnsi="Book Antiqua" w:cs="Arial"/>
          <w:sz w:val="24"/>
          <w:szCs w:val="24"/>
          <w:lang w:val="en-GB"/>
        </w:rPr>
        <w:t>are</w:t>
      </w:r>
      <w:r w:rsidRPr="00303E62">
        <w:rPr>
          <w:rFonts w:ascii="Book Antiqua" w:eastAsia="Calibri" w:hAnsi="Book Antiqua" w:cs="Arial"/>
          <w:sz w:val="24"/>
          <w:szCs w:val="24"/>
          <w:lang w:val="en-GB"/>
        </w:rPr>
        <w:t xml:space="preserve"> used </w:t>
      </w:r>
      <w:r w:rsidR="00FD2FC3" w:rsidRPr="00303E62">
        <w:rPr>
          <w:rFonts w:ascii="Book Antiqua" w:eastAsia="Calibri" w:hAnsi="Book Antiqua" w:cs="Arial"/>
          <w:sz w:val="24"/>
          <w:szCs w:val="24"/>
          <w:lang w:val="en-GB"/>
        </w:rPr>
        <w:t>for the</w:t>
      </w:r>
      <w:r w:rsidRPr="00303E62">
        <w:rPr>
          <w:rFonts w:ascii="Book Antiqua" w:eastAsia="Calibri" w:hAnsi="Book Antiqua" w:cs="Arial"/>
          <w:sz w:val="24"/>
          <w:szCs w:val="24"/>
          <w:lang w:val="en-GB"/>
        </w:rPr>
        <w:t xml:space="preserve"> detecti</w:t>
      </w:r>
      <w:r w:rsidR="00FD2FC3" w:rsidRPr="00303E62">
        <w:rPr>
          <w:rFonts w:ascii="Book Antiqua" w:eastAsia="Calibri" w:hAnsi="Book Antiqua" w:cs="Arial"/>
          <w:sz w:val="24"/>
          <w:szCs w:val="24"/>
          <w:lang w:val="en-GB"/>
        </w:rPr>
        <w:t>o</w:t>
      </w:r>
      <w:r w:rsidRPr="00303E62">
        <w:rPr>
          <w:rFonts w:ascii="Book Antiqua" w:eastAsia="Calibri" w:hAnsi="Book Antiqua" w:cs="Arial"/>
          <w:sz w:val="24"/>
          <w:szCs w:val="24"/>
          <w:lang w:val="en-GB"/>
        </w:rPr>
        <w:t>n</w:t>
      </w:r>
      <w:r w:rsidR="00FD2FC3" w:rsidRPr="00303E62">
        <w:rPr>
          <w:rFonts w:ascii="Book Antiqua" w:eastAsia="Calibri" w:hAnsi="Book Antiqua" w:cs="Arial"/>
          <w:sz w:val="24"/>
          <w:szCs w:val="24"/>
          <w:lang w:val="en-GB"/>
        </w:rPr>
        <w:t xml:space="preserve"> of</w:t>
      </w:r>
      <w:r w:rsidRPr="00303E62">
        <w:rPr>
          <w:rFonts w:ascii="Book Antiqua" w:eastAsia="Calibri" w:hAnsi="Book Antiqua" w:cs="Arial"/>
          <w:sz w:val="24"/>
          <w:szCs w:val="24"/>
          <w:lang w:val="en-GB"/>
        </w:rPr>
        <w:t xml:space="preserve"> malignancy in PSC. </w:t>
      </w:r>
    </w:p>
    <w:p w14:paraId="204A135F" w14:textId="2EDFFD10"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The incidence of PSC is high in Nordic countries. </w:t>
      </w:r>
      <w:r w:rsidR="00FD2FC3"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he primary diagnosis of PSC </w:t>
      </w:r>
      <w:r w:rsidR="00FD2FC3" w:rsidRPr="00303E62">
        <w:rPr>
          <w:rFonts w:ascii="Book Antiqua" w:eastAsia="Calibri" w:hAnsi="Book Antiqua" w:cs="Arial"/>
          <w:sz w:val="24"/>
          <w:szCs w:val="24"/>
          <w:lang w:val="en-GB"/>
        </w:rPr>
        <w:t>in our hospital uses</w:t>
      </w:r>
      <w:r w:rsidR="00C41F86" w:rsidRPr="00303E62">
        <w:rPr>
          <w:rFonts w:ascii="Book Antiqua" w:eastAsia="Calibri" w:hAnsi="Book Antiqua" w:cs="Arial"/>
          <w:sz w:val="24"/>
          <w:szCs w:val="24"/>
          <w:lang w:val="en-GB"/>
        </w:rPr>
        <w:t xml:space="preserve"> endoscopic retrograde</w:t>
      </w:r>
      <w:r w:rsidRPr="00303E62">
        <w:rPr>
          <w:rFonts w:ascii="Book Antiqua" w:eastAsia="Calibri" w:hAnsi="Book Antiqua" w:cs="Arial"/>
          <w:sz w:val="24"/>
          <w:szCs w:val="24"/>
          <w:lang w:val="en-GB"/>
        </w:rPr>
        <w:t xml:space="preserve"> cholangiography (ERC) with BC in all patients for individual risk stratification to estimate disease progression and risk for dysplasia</w:t>
      </w:r>
      <w:r w:rsidR="00525B28" w:rsidRPr="00303E62">
        <w:rPr>
          <w:rFonts w:ascii="Book Antiqua" w:eastAsia="Calibri" w:hAnsi="Book Antiqua" w:cs="Arial"/>
          <w:sz w:val="24"/>
          <w:szCs w:val="24"/>
          <w:vertAlign w:val="superscript"/>
          <w:lang w:val="en-GB"/>
        </w:rPr>
        <w:t>[4]</w:t>
      </w:r>
      <w:r w:rsidRPr="00303E62">
        <w:rPr>
          <w:rFonts w:ascii="Book Antiqua" w:eastAsia="Calibri" w:hAnsi="Book Antiqua" w:cs="Arial"/>
          <w:sz w:val="24"/>
          <w:szCs w:val="24"/>
          <w:lang w:val="en-GB"/>
        </w:rPr>
        <w:t xml:space="preserve">. PSC patients also undergo a regular surveillance </w:t>
      </w:r>
      <w:r w:rsidR="00A1119C" w:rsidRPr="00303E62">
        <w:rPr>
          <w:rFonts w:ascii="Book Antiqua" w:eastAsia="Calibri" w:hAnsi="Book Antiqua" w:cs="Arial"/>
          <w:sz w:val="24"/>
          <w:szCs w:val="24"/>
          <w:lang w:val="en-GB"/>
        </w:rPr>
        <w:t xml:space="preserve">programme </w:t>
      </w:r>
      <w:r w:rsidR="00FD2FC3" w:rsidRPr="00303E62">
        <w:rPr>
          <w:rFonts w:ascii="Book Antiqua" w:eastAsia="Calibri" w:hAnsi="Book Antiqua" w:cs="Arial"/>
          <w:sz w:val="24"/>
          <w:szCs w:val="24"/>
          <w:lang w:val="en-GB"/>
        </w:rPr>
        <w:t>using</w:t>
      </w:r>
      <w:r w:rsidRPr="00303E62">
        <w:rPr>
          <w:rFonts w:ascii="Book Antiqua" w:eastAsia="Calibri" w:hAnsi="Book Antiqua" w:cs="Arial"/>
          <w:sz w:val="24"/>
          <w:szCs w:val="24"/>
          <w:lang w:val="en-GB"/>
        </w:rPr>
        <w:t xml:space="preserve"> ERC</w:t>
      </w:r>
      <w:r w:rsidR="002977CF" w:rsidRPr="00303E62">
        <w:rPr>
          <w:rFonts w:ascii="Book Antiqua" w:eastAsia="Calibri" w:hAnsi="Book Antiqua" w:cs="Arial"/>
          <w:sz w:val="24"/>
          <w:szCs w:val="24"/>
          <w:lang w:val="en-GB"/>
        </w:rPr>
        <w:t xml:space="preserve"> and BC according to a </w:t>
      </w:r>
      <w:r w:rsidR="00FD2FC3" w:rsidRPr="00303E62">
        <w:rPr>
          <w:rFonts w:ascii="Book Antiqua" w:eastAsia="Calibri" w:hAnsi="Book Antiqua" w:cs="Arial"/>
          <w:sz w:val="24"/>
          <w:szCs w:val="24"/>
          <w:lang w:val="en-GB"/>
        </w:rPr>
        <w:t xml:space="preserve">previously described </w:t>
      </w:r>
      <w:r w:rsidR="002977CF" w:rsidRPr="00303E62">
        <w:rPr>
          <w:rFonts w:ascii="Book Antiqua" w:eastAsia="Calibri" w:hAnsi="Book Antiqua" w:cs="Arial"/>
          <w:sz w:val="24"/>
          <w:szCs w:val="24"/>
          <w:lang w:val="en-GB"/>
        </w:rPr>
        <w:t>protocol</w:t>
      </w:r>
      <w:r w:rsidR="002977CF" w:rsidRPr="00303E62">
        <w:rPr>
          <w:rFonts w:ascii="Book Antiqua" w:eastAsia="Calibri" w:hAnsi="Book Antiqua" w:cs="Arial"/>
          <w:sz w:val="24"/>
          <w:szCs w:val="24"/>
          <w:vertAlign w:val="superscript"/>
          <w:lang w:val="en-GB"/>
        </w:rPr>
        <w:t>[</w:t>
      </w:r>
      <w:r w:rsidR="00AA70C9" w:rsidRPr="00303E62">
        <w:rPr>
          <w:rFonts w:ascii="Book Antiqua" w:eastAsia="Calibri" w:hAnsi="Book Antiqua" w:cs="Arial"/>
          <w:sz w:val="24"/>
          <w:szCs w:val="24"/>
          <w:vertAlign w:val="superscript"/>
          <w:lang w:val="en-GB"/>
        </w:rPr>
        <w:t>5</w:t>
      </w:r>
      <w:r w:rsidR="002977CF" w:rsidRPr="00303E62">
        <w:rPr>
          <w:rFonts w:ascii="Book Antiqua" w:eastAsia="Calibri" w:hAnsi="Book Antiqua" w:cs="Arial"/>
          <w:sz w:val="24"/>
          <w:szCs w:val="24"/>
          <w:vertAlign w:val="superscript"/>
          <w:lang w:val="en-GB"/>
        </w:rPr>
        <w:t>]</w:t>
      </w:r>
      <w:r w:rsidR="002977CF" w:rsidRPr="00303E62">
        <w:rPr>
          <w:rFonts w:ascii="Book Antiqua" w:eastAsia="Calibri" w:hAnsi="Book Antiqua" w:cs="Arial"/>
          <w:sz w:val="24"/>
          <w:szCs w:val="24"/>
          <w:lang w:val="en-GB"/>
        </w:rPr>
        <w:t>, wh</w:t>
      </w:r>
      <w:r w:rsidR="00FD2FC3" w:rsidRPr="00303E62">
        <w:rPr>
          <w:rFonts w:ascii="Book Antiqua" w:eastAsia="Calibri" w:hAnsi="Book Antiqua" w:cs="Arial"/>
          <w:sz w:val="24"/>
          <w:szCs w:val="24"/>
          <w:lang w:val="en-GB"/>
        </w:rPr>
        <w:t>ich demonstrated that</w:t>
      </w:r>
      <w:r w:rsidR="002977CF" w:rsidRPr="00303E62">
        <w:rPr>
          <w:rFonts w:ascii="Book Antiqua" w:eastAsia="Calibri" w:hAnsi="Book Antiqua" w:cs="Arial"/>
          <w:sz w:val="24"/>
          <w:szCs w:val="24"/>
          <w:lang w:val="en-GB"/>
        </w:rPr>
        <w:t xml:space="preserve"> the frequency of ERCs depends on disease severity in ERC and earlier results in BC and ploidy analysis</w:t>
      </w:r>
      <w:r w:rsidRPr="00303E62">
        <w:rPr>
          <w:rFonts w:ascii="Book Antiqua" w:eastAsia="Calibri" w:hAnsi="Book Antiqua" w:cs="Arial"/>
          <w:sz w:val="24"/>
          <w:szCs w:val="24"/>
          <w:lang w:val="en-GB"/>
        </w:rPr>
        <w:t>. The indications for liver transplantation (LT) in PSC patients include end-stage liver disease or symptoms of the disease (</w:t>
      </w:r>
      <w:r w:rsidRPr="00CF64C3">
        <w:rPr>
          <w:rFonts w:ascii="Book Antiqua" w:eastAsia="Calibri" w:hAnsi="Book Antiqua" w:cs="Arial"/>
          <w:i/>
          <w:sz w:val="24"/>
          <w:szCs w:val="24"/>
          <w:lang w:val="en-GB"/>
        </w:rPr>
        <w:t>e.g</w:t>
      </w:r>
      <w:r w:rsidRPr="00303E62">
        <w:rPr>
          <w:rFonts w:ascii="Book Antiqua" w:eastAsia="Calibri" w:hAnsi="Book Antiqua" w:cs="Arial"/>
          <w:sz w:val="24"/>
          <w:szCs w:val="24"/>
          <w:lang w:val="en-GB"/>
        </w:rPr>
        <w:t>.</w:t>
      </w:r>
      <w:r w:rsidR="00FD2FC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recurrent cholangitis). CCA is also an indication for LT </w:t>
      </w:r>
      <w:r w:rsidR="00FD2FC3" w:rsidRPr="00303E62">
        <w:rPr>
          <w:rFonts w:ascii="Book Antiqua" w:eastAsia="Calibri" w:hAnsi="Book Antiqua" w:cs="Arial"/>
          <w:sz w:val="24"/>
          <w:szCs w:val="24"/>
          <w:lang w:val="en-GB"/>
        </w:rPr>
        <w:t xml:space="preserve">in </w:t>
      </w:r>
      <w:r w:rsidRPr="00303E62">
        <w:rPr>
          <w:rFonts w:ascii="Book Antiqua" w:eastAsia="Calibri" w:hAnsi="Book Antiqua" w:cs="Arial"/>
          <w:sz w:val="24"/>
          <w:szCs w:val="24"/>
          <w:lang w:val="en-GB"/>
        </w:rPr>
        <w:t>combin</w:t>
      </w:r>
      <w:r w:rsidR="00FD2FC3" w:rsidRPr="00303E62">
        <w:rPr>
          <w:rFonts w:ascii="Book Antiqua" w:eastAsia="Calibri" w:hAnsi="Book Antiqua" w:cs="Arial"/>
          <w:sz w:val="24"/>
          <w:szCs w:val="24"/>
          <w:lang w:val="en-GB"/>
        </w:rPr>
        <w:t>ation</w:t>
      </w:r>
      <w:r w:rsidRPr="00303E62">
        <w:rPr>
          <w:rFonts w:ascii="Book Antiqua" w:eastAsia="Calibri" w:hAnsi="Book Antiqua" w:cs="Arial"/>
          <w:sz w:val="24"/>
          <w:szCs w:val="24"/>
          <w:lang w:val="en-GB"/>
        </w:rPr>
        <w:t xml:space="preserve"> with chemoradiation</w:t>
      </w:r>
      <w:r w:rsidR="00FD2FC3" w:rsidRPr="00303E62">
        <w:rPr>
          <w:rFonts w:ascii="Book Antiqua" w:eastAsia="Calibri" w:hAnsi="Book Antiqua" w:cs="Arial"/>
          <w:sz w:val="24"/>
          <w:szCs w:val="24"/>
          <w:lang w:val="en-GB"/>
        </w:rPr>
        <w:t xml:space="preserve"> in select centres</w:t>
      </w:r>
      <w:r w:rsidR="00AA70C9" w:rsidRPr="00303E62">
        <w:rPr>
          <w:rFonts w:ascii="Book Antiqua" w:eastAsia="Calibri" w:hAnsi="Book Antiqua" w:cs="Arial"/>
          <w:sz w:val="24"/>
          <w:szCs w:val="24"/>
          <w:vertAlign w:val="superscript"/>
          <w:lang w:val="en-GB"/>
        </w:rPr>
        <w:t>[6</w:t>
      </w:r>
      <w:r w:rsidR="00525B28"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CCA is generally a contraindication for LT</w:t>
      </w:r>
      <w:r w:rsidR="00FD2FC3" w:rsidRPr="00303E62">
        <w:rPr>
          <w:rFonts w:ascii="Book Antiqua" w:eastAsia="Calibri" w:hAnsi="Book Antiqua" w:cs="Arial"/>
          <w:sz w:val="24"/>
          <w:szCs w:val="24"/>
          <w:lang w:val="en-GB"/>
        </w:rPr>
        <w:t xml:space="preserve"> in our centre</w:t>
      </w:r>
      <w:r w:rsidRPr="00303E62">
        <w:rPr>
          <w:rFonts w:ascii="Book Antiqua" w:eastAsia="Calibri" w:hAnsi="Book Antiqua" w:cs="Arial"/>
          <w:sz w:val="24"/>
          <w:szCs w:val="24"/>
          <w:lang w:val="en-GB"/>
        </w:rPr>
        <w:t>. However, liver transplantation (LT) may be considered to prevent progression to CCA</w:t>
      </w:r>
      <w:r w:rsidR="00AA70C9" w:rsidRPr="00303E62">
        <w:rPr>
          <w:rFonts w:ascii="Book Antiqua" w:eastAsia="Calibri" w:hAnsi="Book Antiqua" w:cs="Arial"/>
          <w:sz w:val="24"/>
          <w:szCs w:val="24"/>
          <w:vertAlign w:val="superscript"/>
          <w:lang w:val="en-GB"/>
        </w:rPr>
        <w:t>[4,7</w:t>
      </w:r>
      <w:r w:rsidR="00525B28" w:rsidRPr="00303E62">
        <w:rPr>
          <w:rFonts w:ascii="Book Antiqua" w:eastAsia="Calibri" w:hAnsi="Book Antiqua" w:cs="Arial"/>
          <w:sz w:val="24"/>
          <w:szCs w:val="24"/>
          <w:vertAlign w:val="superscript"/>
          <w:lang w:val="en-GB"/>
        </w:rPr>
        <w:t>]</w:t>
      </w:r>
      <w:r w:rsidR="00525B28"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in cases with biliary dysplasia.</w:t>
      </w:r>
    </w:p>
    <w:p w14:paraId="54D5E632" w14:textId="06445DAB" w:rsidR="00663156" w:rsidRPr="00303E62" w:rsidRDefault="00FD2FC3"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w:t>
      </w:r>
      <w:r w:rsidR="00663156" w:rsidRPr="00303E62">
        <w:rPr>
          <w:rFonts w:ascii="Book Antiqua" w:eastAsia="Calibri" w:hAnsi="Book Antiqua" w:cs="Arial"/>
          <w:sz w:val="24"/>
          <w:szCs w:val="24"/>
          <w:lang w:val="en-GB"/>
        </w:rPr>
        <w:t>his study evaluate</w:t>
      </w:r>
      <w:r w:rsidRPr="00303E62">
        <w:rPr>
          <w:rFonts w:ascii="Book Antiqua" w:eastAsia="Calibri" w:hAnsi="Book Antiqua" w:cs="Arial"/>
          <w:sz w:val="24"/>
          <w:szCs w:val="24"/>
          <w:lang w:val="en-GB"/>
        </w:rPr>
        <w:t>d</w:t>
      </w:r>
      <w:r w:rsidR="00663156" w:rsidRPr="00303E62">
        <w:rPr>
          <w:rFonts w:ascii="Book Antiqua" w:eastAsia="Calibri" w:hAnsi="Book Antiqua" w:cs="Arial"/>
          <w:sz w:val="24"/>
          <w:szCs w:val="24"/>
          <w:lang w:val="en-GB"/>
        </w:rPr>
        <w:t xml:space="preserve"> risk factors </w:t>
      </w:r>
      <w:r w:rsidRPr="00303E62">
        <w:rPr>
          <w:rFonts w:ascii="Book Antiqua" w:eastAsia="Calibri" w:hAnsi="Book Antiqua" w:cs="Arial"/>
          <w:sz w:val="24"/>
          <w:szCs w:val="24"/>
          <w:lang w:val="en-GB"/>
        </w:rPr>
        <w:t>in</w:t>
      </w:r>
      <w:r w:rsidR="00663156" w:rsidRPr="00303E62">
        <w:rPr>
          <w:rFonts w:ascii="Book Antiqua" w:eastAsia="Calibri" w:hAnsi="Book Antiqua" w:cs="Arial"/>
          <w:sz w:val="24"/>
          <w:szCs w:val="24"/>
          <w:lang w:val="en-GB"/>
        </w:rPr>
        <w:t xml:space="preserve"> PSC patients with histologically confirmed biliary dysplasia or CCA. </w:t>
      </w:r>
    </w:p>
    <w:p w14:paraId="2CECFF55" w14:textId="77777777" w:rsidR="00F42CC0" w:rsidRPr="00303E62" w:rsidRDefault="00F42CC0" w:rsidP="00D305D7">
      <w:pPr>
        <w:snapToGrid w:val="0"/>
        <w:spacing w:after="0" w:line="360" w:lineRule="auto"/>
        <w:jc w:val="both"/>
        <w:rPr>
          <w:rFonts w:ascii="Book Antiqua" w:eastAsia="Calibri" w:hAnsi="Book Antiqua" w:cs="Arial"/>
          <w:b/>
          <w:sz w:val="24"/>
          <w:szCs w:val="24"/>
          <w:lang w:val="en-GB"/>
        </w:rPr>
      </w:pPr>
    </w:p>
    <w:p w14:paraId="1B0C1A53" w14:textId="77777777" w:rsidR="00AA1103" w:rsidRPr="00303E62" w:rsidRDefault="00AA1103"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t>MATERIALS AND METHODS</w:t>
      </w:r>
    </w:p>
    <w:p w14:paraId="5D494F7B"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Patients</w:t>
      </w:r>
    </w:p>
    <w:p w14:paraId="3A5AAFB4" w14:textId="63049A0F"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This study include</w:t>
      </w:r>
      <w:r w:rsidR="00FD2FC3" w:rsidRPr="00303E62">
        <w:rPr>
          <w:rFonts w:ascii="Book Antiqua" w:eastAsia="Calibri" w:hAnsi="Book Antiqua" w:cs="Arial"/>
          <w:sz w:val="24"/>
          <w:szCs w:val="24"/>
          <w:lang w:val="en-GB"/>
        </w:rPr>
        <w:t>d</w:t>
      </w:r>
      <w:r w:rsidRPr="00303E62">
        <w:rPr>
          <w:rFonts w:ascii="Book Antiqua" w:eastAsia="Calibri" w:hAnsi="Book Antiqua" w:cs="Arial"/>
          <w:sz w:val="24"/>
          <w:szCs w:val="24"/>
          <w:lang w:val="en-GB"/>
        </w:rPr>
        <w:t xml:space="preserve"> PSC patients with verified biliary dysplasia or CCA. </w:t>
      </w:r>
      <w:r w:rsidR="002977CF" w:rsidRPr="00303E62">
        <w:rPr>
          <w:rFonts w:ascii="Book Antiqua" w:eastAsia="Calibri" w:hAnsi="Book Antiqua" w:cs="Arial"/>
          <w:sz w:val="24"/>
          <w:szCs w:val="24"/>
          <w:lang w:val="en-GB"/>
        </w:rPr>
        <w:t xml:space="preserve">There were </w:t>
      </w:r>
      <w:r w:rsidR="00773FF1" w:rsidRPr="00303E62">
        <w:rPr>
          <w:rFonts w:ascii="Book Antiqua" w:eastAsia="Calibri" w:hAnsi="Book Antiqua" w:cs="Arial"/>
          <w:sz w:val="24"/>
          <w:szCs w:val="24"/>
          <w:lang w:val="en-GB"/>
        </w:rPr>
        <w:t xml:space="preserve">588 </w:t>
      </w:r>
      <w:r w:rsidR="002977CF" w:rsidRPr="00303E62">
        <w:rPr>
          <w:rFonts w:ascii="Book Antiqua" w:eastAsia="Calibri" w:hAnsi="Book Antiqua" w:cs="Arial"/>
          <w:sz w:val="24"/>
          <w:szCs w:val="24"/>
          <w:lang w:val="en-GB"/>
        </w:rPr>
        <w:t xml:space="preserve">PSC patients </w:t>
      </w:r>
      <w:r w:rsidR="00FD2FC3" w:rsidRPr="00303E62">
        <w:rPr>
          <w:rFonts w:ascii="Book Antiqua" w:eastAsia="Calibri" w:hAnsi="Book Antiqua" w:cs="Arial"/>
          <w:sz w:val="24"/>
          <w:szCs w:val="24"/>
          <w:lang w:val="en-GB"/>
        </w:rPr>
        <w:t>u</w:t>
      </w:r>
      <w:r w:rsidR="002977CF" w:rsidRPr="00303E62">
        <w:rPr>
          <w:rFonts w:ascii="Book Antiqua" w:eastAsia="Calibri" w:hAnsi="Book Antiqua" w:cs="Arial"/>
          <w:sz w:val="24"/>
          <w:szCs w:val="24"/>
          <w:lang w:val="en-GB"/>
        </w:rPr>
        <w:t>n</w:t>
      </w:r>
      <w:r w:rsidR="00FD2FC3" w:rsidRPr="00303E62">
        <w:rPr>
          <w:rFonts w:ascii="Book Antiqua" w:eastAsia="Calibri" w:hAnsi="Book Antiqua" w:cs="Arial"/>
          <w:sz w:val="24"/>
          <w:szCs w:val="24"/>
          <w:lang w:val="en-GB"/>
        </w:rPr>
        <w:t>der</w:t>
      </w:r>
      <w:r w:rsidR="002977CF" w:rsidRPr="00303E62">
        <w:rPr>
          <w:rFonts w:ascii="Book Antiqua" w:eastAsia="Calibri" w:hAnsi="Book Antiqua" w:cs="Arial"/>
          <w:sz w:val="24"/>
          <w:szCs w:val="24"/>
          <w:lang w:val="en-GB"/>
        </w:rPr>
        <w:t xml:space="preserve"> surveillance at </w:t>
      </w:r>
      <w:r w:rsidR="00FD2FC3" w:rsidRPr="00303E62">
        <w:rPr>
          <w:rFonts w:ascii="Book Antiqua" w:eastAsia="Calibri" w:hAnsi="Book Antiqua" w:cs="Arial"/>
          <w:sz w:val="24"/>
          <w:szCs w:val="24"/>
          <w:lang w:val="en-GB"/>
        </w:rPr>
        <w:t xml:space="preserve">the </w:t>
      </w:r>
      <w:r w:rsidR="002977CF" w:rsidRPr="00303E62">
        <w:rPr>
          <w:rFonts w:ascii="Book Antiqua" w:eastAsia="Calibri" w:hAnsi="Book Antiqua" w:cs="Arial"/>
          <w:sz w:val="24"/>
          <w:szCs w:val="24"/>
          <w:lang w:val="en-GB"/>
        </w:rPr>
        <w:t xml:space="preserve">Helsinki University Hospital during 2008-2014. </w:t>
      </w:r>
      <w:r w:rsidR="00FD2FC3" w:rsidRPr="00303E62">
        <w:rPr>
          <w:rFonts w:ascii="Book Antiqua" w:eastAsia="Calibri" w:hAnsi="Book Antiqua" w:cs="Arial"/>
          <w:sz w:val="24"/>
          <w:szCs w:val="24"/>
          <w:lang w:val="en-GB"/>
        </w:rPr>
        <w:t>PSC patients in</w:t>
      </w:r>
      <w:r w:rsidR="002977CF" w:rsidRPr="00303E62">
        <w:rPr>
          <w:rFonts w:ascii="Book Antiqua" w:eastAsia="Calibri" w:hAnsi="Book Antiqua" w:cs="Arial"/>
          <w:sz w:val="24"/>
          <w:szCs w:val="24"/>
          <w:lang w:val="en-GB"/>
        </w:rPr>
        <w:t xml:space="preserve"> the study population </w:t>
      </w:r>
      <w:r w:rsidR="00FD2FC3" w:rsidRPr="00303E62">
        <w:rPr>
          <w:rFonts w:ascii="Book Antiqua" w:eastAsia="Calibri" w:hAnsi="Book Antiqua" w:cs="Arial"/>
          <w:sz w:val="24"/>
          <w:szCs w:val="24"/>
          <w:lang w:val="en-GB"/>
        </w:rPr>
        <w:t>who were</w:t>
      </w:r>
      <w:r w:rsidRPr="00303E62">
        <w:rPr>
          <w:rFonts w:ascii="Book Antiqua" w:eastAsia="Calibri" w:hAnsi="Book Antiqua" w:cs="Arial"/>
          <w:sz w:val="24"/>
          <w:szCs w:val="24"/>
          <w:lang w:val="en-GB"/>
        </w:rPr>
        <w:t xml:space="preserve"> diagnosed with CCA or biliary dysplasia until February 2016 were included</w:t>
      </w:r>
      <w:r w:rsidR="002977CF" w:rsidRPr="00303E62">
        <w:rPr>
          <w:rFonts w:ascii="Book Antiqua" w:eastAsia="Calibri" w:hAnsi="Book Antiqua" w:cs="Arial"/>
          <w:sz w:val="24"/>
          <w:szCs w:val="24"/>
          <w:lang w:val="en-GB"/>
        </w:rPr>
        <w:t xml:space="preserve"> in this study. All explanted </w:t>
      </w:r>
      <w:r w:rsidR="00460744" w:rsidRPr="00303E62">
        <w:rPr>
          <w:rFonts w:ascii="Book Antiqua" w:eastAsia="Calibri" w:hAnsi="Book Antiqua" w:cs="Arial"/>
          <w:sz w:val="24"/>
          <w:szCs w:val="24"/>
          <w:lang w:val="en-GB"/>
        </w:rPr>
        <w:t xml:space="preserve">PSC </w:t>
      </w:r>
      <w:r w:rsidR="002977CF" w:rsidRPr="00303E62">
        <w:rPr>
          <w:rFonts w:ascii="Book Antiqua" w:eastAsia="Calibri" w:hAnsi="Book Antiqua" w:cs="Arial"/>
          <w:sz w:val="24"/>
          <w:szCs w:val="24"/>
          <w:lang w:val="en-GB"/>
        </w:rPr>
        <w:t>livers were re-evaluated</w:t>
      </w:r>
      <w:r w:rsidR="00FD2FC3" w:rsidRPr="00303E62">
        <w:rPr>
          <w:rFonts w:ascii="Book Antiqua" w:eastAsia="Calibri" w:hAnsi="Book Antiqua" w:cs="Arial"/>
          <w:sz w:val="24"/>
          <w:szCs w:val="24"/>
          <w:lang w:val="en-GB"/>
        </w:rPr>
        <w:t>,</w:t>
      </w:r>
      <w:r w:rsidR="002977CF" w:rsidRPr="00303E62">
        <w:rPr>
          <w:rFonts w:ascii="Book Antiqua" w:eastAsia="Calibri" w:hAnsi="Book Antiqua" w:cs="Arial"/>
          <w:sz w:val="24"/>
          <w:szCs w:val="24"/>
          <w:lang w:val="en-GB"/>
        </w:rPr>
        <w:t xml:space="preserve"> and </w:t>
      </w:r>
      <w:r w:rsidR="00FD2FC3" w:rsidRPr="00303E62">
        <w:rPr>
          <w:rFonts w:ascii="Book Antiqua" w:eastAsia="Calibri" w:hAnsi="Book Antiqua" w:cs="Arial"/>
          <w:sz w:val="24"/>
          <w:szCs w:val="24"/>
          <w:lang w:val="en-GB"/>
        </w:rPr>
        <w:t>case</w:t>
      </w:r>
      <w:r w:rsidR="00460744" w:rsidRPr="00303E62">
        <w:rPr>
          <w:rFonts w:ascii="Book Antiqua" w:eastAsia="Calibri" w:hAnsi="Book Antiqua" w:cs="Arial"/>
          <w:sz w:val="24"/>
          <w:szCs w:val="24"/>
          <w:lang w:val="en-GB"/>
        </w:rPr>
        <w:t>s with biliary dysplasia or CCA (</w:t>
      </w:r>
      <w:r w:rsidR="00460744" w:rsidRPr="00CF64C3">
        <w:rPr>
          <w:rFonts w:ascii="Book Antiqua" w:eastAsia="Calibri" w:hAnsi="Book Antiqua" w:cs="Arial"/>
          <w:i/>
          <w:sz w:val="24"/>
          <w:szCs w:val="24"/>
          <w:lang w:val="en-GB"/>
        </w:rPr>
        <w:t>n</w:t>
      </w:r>
      <w:r w:rsidR="00CF64C3">
        <w:rPr>
          <w:rFonts w:ascii="Book Antiqua" w:eastAsia="Calibri" w:hAnsi="Book Antiqua" w:cs="Arial" w:hint="eastAsia"/>
          <w:i/>
          <w:sz w:val="24"/>
          <w:szCs w:val="24"/>
          <w:lang w:val="en-GB" w:eastAsia="zh-CN"/>
        </w:rPr>
        <w:t xml:space="preserve"> </w:t>
      </w:r>
      <w:r w:rsidR="00460744"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00460744" w:rsidRPr="00303E62">
        <w:rPr>
          <w:rFonts w:ascii="Book Antiqua" w:eastAsia="Calibri" w:hAnsi="Book Antiqua" w:cs="Arial"/>
          <w:sz w:val="24"/>
          <w:szCs w:val="24"/>
          <w:lang w:val="en-GB"/>
        </w:rPr>
        <w:t>30) were included</w:t>
      </w:r>
      <w:r w:rsidRPr="00303E62">
        <w:rPr>
          <w:rFonts w:ascii="Book Antiqua" w:eastAsia="Calibri" w:hAnsi="Book Antiqua" w:cs="Arial"/>
          <w:sz w:val="24"/>
          <w:szCs w:val="24"/>
          <w:lang w:val="en-GB"/>
        </w:rPr>
        <w:t xml:space="preserve">. </w:t>
      </w:r>
      <w:r w:rsidR="00FD2FC3" w:rsidRPr="00303E62">
        <w:rPr>
          <w:rFonts w:ascii="Book Antiqua" w:eastAsia="Calibri" w:hAnsi="Book Antiqua" w:cs="Arial"/>
          <w:sz w:val="24"/>
          <w:szCs w:val="24"/>
          <w:lang w:val="en-GB"/>
        </w:rPr>
        <w:t>A</w:t>
      </w:r>
      <w:r w:rsidR="00460744" w:rsidRPr="00303E62">
        <w:rPr>
          <w:rFonts w:ascii="Book Antiqua" w:eastAsia="Calibri" w:hAnsi="Book Antiqua" w:cs="Arial"/>
          <w:sz w:val="24"/>
          <w:szCs w:val="24"/>
          <w:lang w:val="en-GB"/>
        </w:rPr>
        <w:t xml:space="preserve">ll </w:t>
      </w:r>
      <w:r w:rsidR="00923921" w:rsidRPr="00303E62">
        <w:rPr>
          <w:rFonts w:ascii="Book Antiqua" w:eastAsia="Calibri" w:hAnsi="Book Antiqua" w:cs="Arial"/>
          <w:sz w:val="24"/>
          <w:szCs w:val="24"/>
          <w:lang w:val="en-GB"/>
        </w:rPr>
        <w:t xml:space="preserve">PSC </w:t>
      </w:r>
      <w:r w:rsidR="00FD2FC3" w:rsidRPr="00303E62">
        <w:rPr>
          <w:rFonts w:ascii="Book Antiqua" w:eastAsia="Calibri" w:hAnsi="Book Antiqua" w:cs="Arial"/>
          <w:sz w:val="24"/>
          <w:szCs w:val="24"/>
          <w:lang w:val="en-GB"/>
        </w:rPr>
        <w:t xml:space="preserve">patients </w:t>
      </w:r>
      <w:r w:rsidR="00460744" w:rsidRPr="00303E62">
        <w:rPr>
          <w:rFonts w:ascii="Book Antiqua" w:eastAsia="Calibri" w:hAnsi="Book Antiqua" w:cs="Arial"/>
          <w:sz w:val="24"/>
          <w:szCs w:val="24"/>
          <w:lang w:val="en-GB"/>
        </w:rPr>
        <w:t>who were diagnosed with CCA</w:t>
      </w:r>
      <w:r w:rsidR="00BA37E9" w:rsidRPr="00303E62">
        <w:rPr>
          <w:rFonts w:ascii="Book Antiqua" w:eastAsia="Calibri" w:hAnsi="Book Antiqua" w:cs="Arial"/>
          <w:sz w:val="24"/>
          <w:szCs w:val="24"/>
          <w:lang w:val="en-GB"/>
        </w:rPr>
        <w:t xml:space="preserve"> during </w:t>
      </w:r>
      <w:r w:rsidR="00FD2FC3" w:rsidRPr="00303E62">
        <w:rPr>
          <w:rFonts w:ascii="Book Antiqua" w:eastAsia="Calibri" w:hAnsi="Book Antiqua" w:cs="Arial"/>
          <w:sz w:val="24"/>
          <w:szCs w:val="24"/>
          <w:lang w:val="en-GB"/>
        </w:rPr>
        <w:t xml:space="preserve">the </w:t>
      </w:r>
      <w:r w:rsidR="00BA37E9" w:rsidRPr="00303E62">
        <w:rPr>
          <w:rFonts w:ascii="Book Antiqua" w:eastAsia="Calibri" w:hAnsi="Book Antiqua" w:cs="Arial"/>
          <w:sz w:val="24"/>
          <w:szCs w:val="24"/>
          <w:lang w:val="en-GB"/>
        </w:rPr>
        <w:t>aforementioned period</w:t>
      </w:r>
      <w:r w:rsidR="00460744" w:rsidRPr="00303E62">
        <w:rPr>
          <w:rFonts w:ascii="Book Antiqua" w:eastAsia="Calibri" w:hAnsi="Book Antiqua" w:cs="Arial"/>
          <w:sz w:val="24"/>
          <w:szCs w:val="24"/>
          <w:lang w:val="en-GB"/>
        </w:rPr>
        <w:t xml:space="preserve"> </w:t>
      </w:r>
      <w:r w:rsidR="00FD2FC3" w:rsidRPr="00303E62">
        <w:rPr>
          <w:rFonts w:ascii="Book Antiqua" w:eastAsia="Calibri" w:hAnsi="Book Antiqua" w:cs="Arial"/>
          <w:sz w:val="24"/>
          <w:szCs w:val="24"/>
          <w:lang w:val="en-GB"/>
        </w:rPr>
        <w:t>who did</w:t>
      </w:r>
      <w:r w:rsidR="00460744" w:rsidRPr="00303E62">
        <w:rPr>
          <w:rFonts w:ascii="Book Antiqua" w:eastAsia="Calibri" w:hAnsi="Book Antiqua" w:cs="Arial"/>
          <w:sz w:val="24"/>
          <w:szCs w:val="24"/>
          <w:lang w:val="en-GB"/>
        </w:rPr>
        <w:t xml:space="preserve"> not </w:t>
      </w:r>
      <w:r w:rsidR="00FD2FC3" w:rsidRPr="00303E62">
        <w:rPr>
          <w:rFonts w:ascii="Book Antiqua" w:eastAsia="Calibri" w:hAnsi="Book Antiqua" w:cs="Arial"/>
          <w:sz w:val="24"/>
          <w:szCs w:val="24"/>
          <w:lang w:val="en-GB"/>
        </w:rPr>
        <w:t xml:space="preserve">undergo </w:t>
      </w:r>
      <w:r w:rsidR="00460744" w:rsidRPr="00303E62">
        <w:rPr>
          <w:rFonts w:ascii="Book Antiqua" w:eastAsia="Calibri" w:hAnsi="Book Antiqua" w:cs="Arial"/>
          <w:sz w:val="24"/>
          <w:szCs w:val="24"/>
          <w:lang w:val="en-GB"/>
        </w:rPr>
        <w:t>liver transplant</w:t>
      </w:r>
      <w:r w:rsidR="00FD2FC3" w:rsidRPr="00303E62">
        <w:rPr>
          <w:rFonts w:ascii="Book Antiqua" w:eastAsia="Calibri" w:hAnsi="Book Antiqua" w:cs="Arial"/>
          <w:sz w:val="24"/>
          <w:szCs w:val="24"/>
          <w:lang w:val="en-GB"/>
        </w:rPr>
        <w:t>ation</w:t>
      </w:r>
      <w:r w:rsidR="00460744" w:rsidRPr="00303E62">
        <w:rPr>
          <w:rFonts w:ascii="Book Antiqua" w:eastAsia="Calibri" w:hAnsi="Book Antiqua" w:cs="Arial"/>
          <w:sz w:val="24"/>
          <w:szCs w:val="24"/>
          <w:lang w:val="en-GB"/>
        </w:rPr>
        <w:t xml:space="preserve"> were included (</w:t>
      </w:r>
      <w:r w:rsidR="00CF64C3" w:rsidRPr="00CF64C3">
        <w:rPr>
          <w:rFonts w:ascii="Book Antiqua" w:eastAsia="Calibri" w:hAnsi="Book Antiqua" w:cs="Arial"/>
          <w:i/>
          <w:sz w:val="24"/>
          <w:szCs w:val="24"/>
          <w:lang w:val="en-GB"/>
        </w:rPr>
        <w:t>n</w:t>
      </w:r>
      <w:r w:rsidR="00CF64C3" w:rsidRPr="00303E62">
        <w:rPr>
          <w:rFonts w:ascii="Book Antiqua" w:eastAsia="Calibri" w:hAnsi="Book Antiqua" w:cs="Arial"/>
          <w:sz w:val="24"/>
          <w:szCs w:val="24"/>
          <w:lang w:val="en-GB"/>
        </w:rPr>
        <w:t xml:space="preserve"> </w:t>
      </w:r>
      <w:r w:rsidR="00460744"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00460744" w:rsidRPr="00303E62">
        <w:rPr>
          <w:rFonts w:ascii="Book Antiqua" w:eastAsia="Calibri" w:hAnsi="Book Antiqua" w:cs="Arial"/>
          <w:sz w:val="24"/>
          <w:szCs w:val="24"/>
          <w:lang w:val="en-GB"/>
        </w:rPr>
        <w:t xml:space="preserve">15). </w:t>
      </w:r>
      <w:r w:rsidRPr="00303E62">
        <w:rPr>
          <w:rFonts w:ascii="Book Antiqua" w:eastAsia="Calibri" w:hAnsi="Book Antiqua" w:cs="Arial"/>
          <w:sz w:val="24"/>
          <w:szCs w:val="24"/>
          <w:lang w:val="en-GB"/>
        </w:rPr>
        <w:t xml:space="preserve">At least one ERC was performed </w:t>
      </w:r>
      <w:r w:rsidR="00FD2FC3" w:rsidRPr="00303E62">
        <w:rPr>
          <w:rFonts w:ascii="Book Antiqua" w:eastAsia="Calibri" w:hAnsi="Book Antiqua" w:cs="Arial"/>
          <w:sz w:val="24"/>
          <w:szCs w:val="24"/>
          <w:lang w:val="en-GB"/>
        </w:rPr>
        <w:t xml:space="preserve">for each patient </w:t>
      </w:r>
      <w:r w:rsidRPr="00303E62">
        <w:rPr>
          <w:rFonts w:ascii="Book Antiqua" w:eastAsia="Calibri" w:hAnsi="Book Antiqua" w:cs="Arial"/>
          <w:sz w:val="24"/>
          <w:szCs w:val="24"/>
          <w:lang w:val="en-GB"/>
        </w:rPr>
        <w:t xml:space="preserve">during the study period. Low-grade dysplasia (LGD) of the bile ducts was </w:t>
      </w:r>
      <w:r w:rsidR="00FD2FC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w:t>
      </w:r>
      <w:r w:rsidR="00FD2FC3" w:rsidRPr="00303E62">
        <w:rPr>
          <w:rFonts w:ascii="Book Antiqua" w:eastAsia="Calibri" w:hAnsi="Book Antiqua" w:cs="Arial"/>
          <w:sz w:val="24"/>
          <w:szCs w:val="24"/>
          <w:lang w:val="en-GB"/>
        </w:rPr>
        <w:t>16</w:t>
      </w:r>
      <w:r w:rsidRPr="00303E62">
        <w:rPr>
          <w:rFonts w:ascii="Book Antiqua" w:eastAsia="Calibri" w:hAnsi="Book Antiqua" w:cs="Arial"/>
          <w:sz w:val="24"/>
          <w:szCs w:val="24"/>
          <w:lang w:val="en-GB"/>
        </w:rPr>
        <w:t xml:space="preserve"> transplanted patients, and high-grade dysplasia (HGD)</w:t>
      </w:r>
      <w:r w:rsidR="00FD2FC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including carcinoma in situ</w:t>
      </w:r>
      <w:r w:rsidR="00FD2FC3" w:rsidRPr="00303E62">
        <w:rPr>
          <w:rFonts w:ascii="Book Antiqua" w:eastAsia="Calibri" w:hAnsi="Book Antiqua" w:cs="Arial"/>
          <w:sz w:val="24"/>
          <w:szCs w:val="24"/>
          <w:lang w:val="en-GB"/>
        </w:rPr>
        <w:t xml:space="preserve">, was </w:t>
      </w:r>
      <w:r w:rsidR="00FD2FC3" w:rsidRPr="00303E62">
        <w:rPr>
          <w:rFonts w:ascii="Book Antiqua" w:eastAsia="Calibri" w:hAnsi="Book Antiqua" w:cs="Arial"/>
          <w:sz w:val="24"/>
          <w:szCs w:val="24"/>
          <w:lang w:val="en-GB"/>
        </w:rPr>
        <w:lastRenderedPageBreak/>
        <w:t>observed</w:t>
      </w:r>
      <w:r w:rsidRPr="00303E62">
        <w:rPr>
          <w:rFonts w:ascii="Book Antiqua" w:eastAsia="Calibri" w:hAnsi="Book Antiqua" w:cs="Arial"/>
          <w:sz w:val="24"/>
          <w:szCs w:val="24"/>
          <w:lang w:val="en-GB"/>
        </w:rPr>
        <w:t xml:space="preserve"> in </w:t>
      </w:r>
      <w:r w:rsidR="00FD2FC3" w:rsidRPr="00303E62">
        <w:rPr>
          <w:rFonts w:ascii="Book Antiqua" w:eastAsia="Calibri" w:hAnsi="Book Antiqua" w:cs="Arial"/>
          <w:sz w:val="24"/>
          <w:szCs w:val="24"/>
          <w:lang w:val="en-GB"/>
        </w:rPr>
        <w:t>10</w:t>
      </w:r>
      <w:r w:rsidRPr="00303E62">
        <w:rPr>
          <w:rFonts w:ascii="Book Antiqua" w:eastAsia="Calibri" w:hAnsi="Book Antiqua" w:cs="Arial"/>
          <w:sz w:val="24"/>
          <w:szCs w:val="24"/>
          <w:lang w:val="en-GB"/>
        </w:rPr>
        <w:t xml:space="preserve"> patients with LT. </w:t>
      </w:r>
      <w:r w:rsidR="00A039A6" w:rsidRPr="00303E62">
        <w:rPr>
          <w:rFonts w:ascii="Book Antiqua" w:eastAsia="Calibri" w:hAnsi="Book Antiqua" w:cs="Arial"/>
          <w:sz w:val="24"/>
          <w:szCs w:val="24"/>
          <w:lang w:val="en-GB"/>
        </w:rPr>
        <w:t xml:space="preserve">CCA was </w:t>
      </w:r>
      <w:r w:rsidR="00FD2FC3" w:rsidRPr="00303E62">
        <w:rPr>
          <w:rFonts w:ascii="Book Antiqua" w:eastAsia="Calibri" w:hAnsi="Book Antiqua" w:cs="Arial"/>
          <w:sz w:val="24"/>
          <w:szCs w:val="24"/>
          <w:lang w:val="en-GB"/>
        </w:rPr>
        <w:t>observed</w:t>
      </w:r>
      <w:r w:rsidR="00A039A6" w:rsidRPr="00303E62">
        <w:rPr>
          <w:rFonts w:ascii="Book Antiqua" w:eastAsia="Calibri" w:hAnsi="Book Antiqua" w:cs="Arial"/>
          <w:sz w:val="24"/>
          <w:szCs w:val="24"/>
          <w:lang w:val="en-GB"/>
        </w:rPr>
        <w:t xml:space="preserve"> in four patients with LT and </w:t>
      </w:r>
      <w:r w:rsidR="00FD2FC3" w:rsidRPr="00303E62">
        <w:rPr>
          <w:rFonts w:ascii="Book Antiqua" w:eastAsia="Calibri" w:hAnsi="Book Antiqua" w:cs="Arial"/>
          <w:sz w:val="24"/>
          <w:szCs w:val="24"/>
          <w:lang w:val="en-GB"/>
        </w:rPr>
        <w:t>15</w:t>
      </w:r>
      <w:r w:rsidR="00A039A6" w:rsidRPr="00303E62">
        <w:rPr>
          <w:rFonts w:ascii="Book Antiqua" w:eastAsia="Calibri" w:hAnsi="Book Antiqua" w:cs="Arial"/>
          <w:sz w:val="24"/>
          <w:szCs w:val="24"/>
          <w:lang w:val="en-GB"/>
        </w:rPr>
        <w:t xml:space="preserve"> patients without LT. </w:t>
      </w:r>
      <w:r w:rsidRPr="00303E62">
        <w:rPr>
          <w:rFonts w:ascii="Book Antiqua" w:eastAsia="Calibri" w:hAnsi="Book Antiqua" w:cs="Arial"/>
          <w:sz w:val="24"/>
          <w:szCs w:val="24"/>
          <w:lang w:val="en-GB"/>
        </w:rPr>
        <w:t>Suspicion of biliar</w:t>
      </w:r>
      <w:r w:rsidR="00A039A6" w:rsidRPr="00303E62">
        <w:rPr>
          <w:rFonts w:ascii="Book Antiqua" w:eastAsia="Calibri" w:hAnsi="Book Antiqua" w:cs="Arial"/>
          <w:sz w:val="24"/>
          <w:szCs w:val="24"/>
          <w:lang w:val="en-GB"/>
        </w:rPr>
        <w:t>y dysplasia was considered</w:t>
      </w:r>
      <w:r w:rsidRPr="00303E62">
        <w:rPr>
          <w:rFonts w:ascii="Book Antiqua" w:eastAsia="Calibri" w:hAnsi="Book Antiqua" w:cs="Arial"/>
          <w:sz w:val="24"/>
          <w:szCs w:val="24"/>
          <w:lang w:val="en-GB"/>
        </w:rPr>
        <w:t xml:space="preserve"> an important decision criterion for evaluation for liver transplantation </w:t>
      </w:r>
      <w:r w:rsidR="00FD2FC3"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7/10 patients with HGD, 12/16 patients with LGD, and 4/4 patients with CCA. Thirty-two patients (71%) were male, and </w:t>
      </w:r>
      <w:r w:rsidR="00FD2FC3" w:rsidRPr="00303E62">
        <w:rPr>
          <w:rFonts w:ascii="Book Antiqua" w:eastAsia="Calibri" w:hAnsi="Book Antiqua" w:cs="Arial"/>
          <w:sz w:val="24"/>
          <w:szCs w:val="24"/>
          <w:lang w:val="en-GB"/>
        </w:rPr>
        <w:t>13 patients</w:t>
      </w:r>
      <w:r w:rsidRPr="00303E62">
        <w:rPr>
          <w:rFonts w:ascii="Book Antiqua" w:eastAsia="Calibri" w:hAnsi="Book Antiqua" w:cs="Arial"/>
          <w:sz w:val="24"/>
          <w:szCs w:val="24"/>
          <w:lang w:val="en-GB"/>
        </w:rPr>
        <w:t xml:space="preserve"> were female.</w:t>
      </w:r>
    </w:p>
    <w:p w14:paraId="6999D2B7"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3BF43560"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Laboratory results</w:t>
      </w:r>
    </w:p>
    <w:p w14:paraId="44136628" w14:textId="5E433C12"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Laboratory parameters </w:t>
      </w:r>
      <w:r w:rsidR="00CF64C3">
        <w:rPr>
          <w:rFonts w:ascii="Book Antiqua" w:eastAsia="Calibri" w:hAnsi="Book Antiqua" w:cs="Arial" w:hint="eastAsia"/>
          <w:sz w:val="24"/>
          <w:szCs w:val="24"/>
          <w:lang w:val="en-GB" w:eastAsia="zh-CN"/>
        </w:rPr>
        <w:t>[</w:t>
      </w:r>
      <w:r w:rsidRPr="00303E62">
        <w:rPr>
          <w:rFonts w:ascii="Book Antiqua" w:eastAsia="Calibri" w:hAnsi="Book Antiqua" w:cs="Arial"/>
          <w:sz w:val="24"/>
          <w:szCs w:val="24"/>
          <w:lang w:val="en-GB"/>
        </w:rPr>
        <w:t>carbohydrate antigen 19-9 (CA19-9), carcinoembryonic antigen (CEA), alkaline phosphatase (ALP), aspartate aminotransferase (AST), alanine aminotransferase (ALT), creatinine, bilirubin, and international normali</w:t>
      </w:r>
      <w:r w:rsidR="00A50321"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ed ratio (INR)</w:t>
      </w:r>
      <w:r w:rsidR="00CF64C3">
        <w:rPr>
          <w:rFonts w:ascii="Book Antiqua" w:eastAsia="Calibri" w:hAnsi="Book Antiqua" w:cs="Arial" w:hint="eastAsia"/>
          <w:sz w:val="24"/>
          <w:szCs w:val="24"/>
          <w:lang w:val="en-GB" w:eastAsia="zh-CN"/>
        </w:rPr>
        <w:t>]</w:t>
      </w:r>
      <w:r w:rsidRPr="00303E62">
        <w:rPr>
          <w:rFonts w:ascii="Book Antiqua" w:eastAsia="Calibri" w:hAnsi="Book Antiqua" w:cs="Arial"/>
          <w:sz w:val="24"/>
          <w:szCs w:val="24"/>
          <w:lang w:val="en-GB"/>
        </w:rPr>
        <w:t xml:space="preserve"> </w:t>
      </w:r>
      <w:r w:rsidR="00A50321" w:rsidRPr="00303E62">
        <w:rPr>
          <w:rFonts w:ascii="Book Antiqua" w:eastAsia="Calibri" w:hAnsi="Book Antiqua" w:cs="Arial"/>
          <w:sz w:val="24"/>
          <w:szCs w:val="24"/>
          <w:lang w:val="en-GB"/>
        </w:rPr>
        <w:t>were collected one</w:t>
      </w:r>
      <w:r w:rsidRPr="00303E62">
        <w:rPr>
          <w:rFonts w:ascii="Book Antiqua" w:eastAsia="Calibri" w:hAnsi="Book Antiqua" w:cs="Arial"/>
          <w:sz w:val="24"/>
          <w:szCs w:val="24"/>
          <w:lang w:val="en-GB"/>
        </w:rPr>
        <w:t xml:space="preserve"> day before the latest ERC. </w:t>
      </w:r>
    </w:p>
    <w:p w14:paraId="4D35B748" w14:textId="77777777" w:rsidR="00CF64C3" w:rsidRPr="00CF64C3" w:rsidRDefault="00CF64C3" w:rsidP="00D305D7">
      <w:pPr>
        <w:snapToGrid w:val="0"/>
        <w:spacing w:after="0" w:line="360" w:lineRule="auto"/>
        <w:jc w:val="both"/>
        <w:rPr>
          <w:rFonts w:ascii="Book Antiqua" w:hAnsi="Book Antiqua" w:cs="Arial"/>
          <w:b/>
          <w:i/>
          <w:sz w:val="24"/>
          <w:szCs w:val="24"/>
          <w:lang w:val="en-GB" w:eastAsia="zh-CN"/>
        </w:rPr>
      </w:pPr>
    </w:p>
    <w:p w14:paraId="46A47E67"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Imaging studies</w:t>
      </w:r>
    </w:p>
    <w:p w14:paraId="3742D73C" w14:textId="2F9206A4"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Images from the latest ERC were scored according to a modified Amsterdam score</w:t>
      </w:r>
      <w:r w:rsidR="00525B28" w:rsidRPr="00303E62">
        <w:rPr>
          <w:rFonts w:ascii="Book Antiqua" w:eastAsia="Calibri" w:hAnsi="Book Antiqua" w:cs="Arial"/>
          <w:sz w:val="24"/>
          <w:szCs w:val="24"/>
          <w:vertAlign w:val="superscript"/>
          <w:lang w:val="en-GB"/>
        </w:rPr>
        <w:t>[4]</w:t>
      </w:r>
      <w:r w:rsidRPr="00303E62">
        <w:rPr>
          <w:rFonts w:ascii="Book Antiqua" w:eastAsia="Calibri" w:hAnsi="Book Antiqua" w:cs="Arial"/>
          <w:sz w:val="24"/>
          <w:szCs w:val="24"/>
          <w:lang w:val="en-GB"/>
        </w:rPr>
        <w:t xml:space="preserve">. An MRI and/or CT were performed </w:t>
      </w:r>
      <w:r w:rsidR="00A50321" w:rsidRPr="00303E62">
        <w:rPr>
          <w:rFonts w:ascii="Book Antiqua" w:eastAsia="Calibri" w:hAnsi="Book Antiqua" w:cs="Arial"/>
          <w:sz w:val="24"/>
          <w:szCs w:val="24"/>
          <w:lang w:val="en-GB"/>
        </w:rPr>
        <w:t>prior to</w:t>
      </w:r>
      <w:r w:rsidRPr="00303E62">
        <w:rPr>
          <w:rFonts w:ascii="Book Antiqua" w:eastAsia="Calibri" w:hAnsi="Book Antiqua" w:cs="Arial"/>
          <w:sz w:val="24"/>
          <w:szCs w:val="24"/>
          <w:lang w:val="en-GB"/>
        </w:rPr>
        <w:t xml:space="preserve"> LT.</w:t>
      </w:r>
    </w:p>
    <w:p w14:paraId="10159786"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10111093"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Brush cytology and ploidy analysis</w:t>
      </w:r>
    </w:p>
    <w:p w14:paraId="1A47F64F" w14:textId="19850269"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All brush samples and DNA flow cytometry specimens until LT or detection of CCA were included. Brush samples were </w:t>
      </w:r>
      <w:r w:rsidR="0011121E" w:rsidRPr="00303E62">
        <w:rPr>
          <w:rFonts w:ascii="Book Antiqua" w:eastAsia="Calibri" w:hAnsi="Book Antiqua" w:cs="Arial"/>
          <w:sz w:val="24"/>
          <w:szCs w:val="24"/>
          <w:lang w:val="en-GB"/>
        </w:rPr>
        <w:t>re</w:t>
      </w:r>
      <w:r w:rsidR="00A50321" w:rsidRPr="00303E62">
        <w:rPr>
          <w:rFonts w:ascii="Book Antiqua" w:eastAsia="Calibri" w:hAnsi="Book Antiqua" w:cs="Arial"/>
          <w:sz w:val="24"/>
          <w:szCs w:val="24"/>
          <w:lang w:val="en-GB"/>
        </w:rPr>
        <w:t>-</w:t>
      </w:r>
      <w:r w:rsidR="0011121E" w:rsidRPr="00303E62">
        <w:rPr>
          <w:rFonts w:ascii="Book Antiqua" w:eastAsia="Calibri" w:hAnsi="Book Antiqua" w:cs="Arial"/>
          <w:sz w:val="24"/>
          <w:szCs w:val="24"/>
          <w:lang w:val="en-GB"/>
        </w:rPr>
        <w:t xml:space="preserve">evaluated and </w:t>
      </w:r>
      <w:r w:rsidRPr="00303E62">
        <w:rPr>
          <w:rFonts w:ascii="Book Antiqua" w:eastAsia="Calibri" w:hAnsi="Book Antiqua" w:cs="Arial"/>
          <w:sz w:val="24"/>
          <w:szCs w:val="24"/>
          <w:lang w:val="en-GB"/>
        </w:rPr>
        <w:t>graded as benign</w:t>
      </w:r>
      <w:r w:rsidR="00A039A6" w:rsidRPr="00303E62">
        <w:rPr>
          <w:rFonts w:ascii="Book Antiqua" w:eastAsia="Calibri" w:hAnsi="Book Antiqua" w:cs="Arial"/>
          <w:sz w:val="24"/>
          <w:szCs w:val="24"/>
          <w:lang w:val="en-GB"/>
        </w:rPr>
        <w:t xml:space="preserve"> (including atypical due to inflammation or regeneration)</w:t>
      </w:r>
      <w:r w:rsidRPr="00303E62">
        <w:rPr>
          <w:rFonts w:ascii="Book Antiqua" w:eastAsia="Calibri" w:hAnsi="Book Antiqua" w:cs="Arial"/>
          <w:sz w:val="24"/>
          <w:szCs w:val="24"/>
          <w:lang w:val="en-GB"/>
        </w:rPr>
        <w:t>, suspicious for neoplasia, or malignant</w:t>
      </w:r>
      <w:r w:rsidR="00A51EE2" w:rsidRPr="00303E62">
        <w:rPr>
          <w:rFonts w:ascii="Book Antiqua" w:eastAsia="Calibri" w:hAnsi="Book Antiqua" w:cs="Arial"/>
          <w:sz w:val="24"/>
          <w:szCs w:val="24"/>
          <w:lang w:val="en-GB"/>
        </w:rPr>
        <w:t xml:space="preserve"> (Figure 1)</w:t>
      </w:r>
      <w:r w:rsidRPr="00303E62">
        <w:rPr>
          <w:rFonts w:ascii="Book Antiqua" w:eastAsia="Calibri" w:hAnsi="Book Antiqua" w:cs="Arial"/>
          <w:sz w:val="24"/>
          <w:szCs w:val="24"/>
          <w:lang w:val="en-GB"/>
        </w:rPr>
        <w:t xml:space="preserve">. </w:t>
      </w:r>
      <w:r w:rsidR="00A50321" w:rsidRPr="00303E62">
        <w:rPr>
          <w:rFonts w:ascii="Book Antiqua" w:eastAsia="Calibri" w:hAnsi="Book Antiqua" w:cs="Arial"/>
          <w:sz w:val="24"/>
          <w:szCs w:val="24"/>
          <w:lang w:val="en-GB"/>
        </w:rPr>
        <w:t>C</w:t>
      </w:r>
      <w:r w:rsidR="00753904" w:rsidRPr="00303E62">
        <w:rPr>
          <w:rFonts w:ascii="Book Antiqua" w:eastAsia="Calibri" w:hAnsi="Book Antiqua" w:cs="Arial"/>
          <w:sz w:val="24"/>
          <w:szCs w:val="24"/>
          <w:lang w:val="en-GB"/>
        </w:rPr>
        <w:t>ytocentrifuge slides and slides from cellblocks were evaluated</w:t>
      </w:r>
      <w:r w:rsidR="00A50321" w:rsidRPr="00303E62">
        <w:rPr>
          <w:rFonts w:ascii="Book Antiqua" w:eastAsia="Calibri" w:hAnsi="Book Antiqua" w:cs="Arial"/>
          <w:sz w:val="24"/>
          <w:szCs w:val="24"/>
          <w:lang w:val="en-GB"/>
        </w:rPr>
        <w:t xml:space="preserve"> when</w:t>
      </w:r>
      <w:r w:rsidR="00753904" w:rsidRPr="00303E62">
        <w:rPr>
          <w:rFonts w:ascii="Book Antiqua" w:eastAsia="Calibri" w:hAnsi="Book Antiqua" w:cs="Arial"/>
          <w:sz w:val="24"/>
          <w:szCs w:val="24"/>
          <w:lang w:val="en-GB"/>
        </w:rPr>
        <w:t xml:space="preserve"> cellblocks were available. </w:t>
      </w:r>
      <w:r w:rsidRPr="00303E62">
        <w:rPr>
          <w:rFonts w:ascii="Book Antiqua" w:eastAsia="Calibri" w:hAnsi="Book Antiqua" w:cs="Arial"/>
          <w:sz w:val="24"/>
          <w:szCs w:val="24"/>
          <w:lang w:val="en-GB"/>
        </w:rPr>
        <w:t xml:space="preserve">Ploidy analyses were performed as </w:t>
      </w:r>
      <w:r w:rsidR="000B0BA2" w:rsidRPr="00303E62">
        <w:rPr>
          <w:rFonts w:ascii="Book Antiqua" w:eastAsia="Calibri" w:hAnsi="Book Antiqua" w:cs="Arial"/>
          <w:sz w:val="24"/>
          <w:szCs w:val="24"/>
          <w:lang w:val="en-GB"/>
        </w:rPr>
        <w:t xml:space="preserve">previously </w:t>
      </w:r>
      <w:r w:rsidRPr="00303E62">
        <w:rPr>
          <w:rFonts w:ascii="Book Antiqua" w:eastAsia="Calibri" w:hAnsi="Book Antiqua" w:cs="Arial"/>
          <w:sz w:val="24"/>
          <w:szCs w:val="24"/>
          <w:lang w:val="en-GB"/>
        </w:rPr>
        <w:t>described</w:t>
      </w:r>
      <w:r w:rsidR="00AA70C9" w:rsidRPr="00303E62">
        <w:rPr>
          <w:rFonts w:ascii="Book Antiqua" w:eastAsia="Calibri" w:hAnsi="Book Antiqua" w:cs="Arial"/>
          <w:sz w:val="24"/>
          <w:szCs w:val="24"/>
          <w:vertAlign w:val="superscript"/>
          <w:lang w:val="en-GB"/>
        </w:rPr>
        <w:t>[7</w:t>
      </w:r>
      <w:r w:rsidR="00525B28" w:rsidRPr="00303E62">
        <w:rPr>
          <w:rFonts w:ascii="Book Antiqua" w:eastAsia="Calibri" w:hAnsi="Book Antiqua" w:cs="Arial"/>
          <w:sz w:val="24"/>
          <w:szCs w:val="24"/>
          <w:vertAlign w:val="superscript"/>
          <w:lang w:val="en-GB"/>
        </w:rPr>
        <w:t>]</w:t>
      </w:r>
      <w:r w:rsidR="00051A49" w:rsidRPr="00303E62">
        <w:rPr>
          <w:rFonts w:ascii="Book Antiqua" w:eastAsia="Calibri" w:hAnsi="Book Antiqua" w:cs="Arial"/>
          <w:sz w:val="24"/>
          <w:szCs w:val="24"/>
          <w:lang w:val="en-GB"/>
        </w:rPr>
        <w:t xml:space="preserve">. </w:t>
      </w:r>
      <w:r w:rsidR="00A50321" w:rsidRPr="00303E62">
        <w:rPr>
          <w:rFonts w:ascii="Book Antiqua" w:eastAsia="Calibri" w:hAnsi="Book Antiqua" w:cs="Arial"/>
          <w:sz w:val="24"/>
          <w:szCs w:val="24"/>
          <w:lang w:val="en-GB"/>
        </w:rPr>
        <w:t>Briefly</w:t>
      </w:r>
      <w:r w:rsidR="00051A49" w:rsidRPr="00303E62">
        <w:rPr>
          <w:rFonts w:ascii="Book Antiqua" w:eastAsia="Calibri" w:hAnsi="Book Antiqua" w:cs="Arial"/>
          <w:sz w:val="24"/>
          <w:szCs w:val="24"/>
          <w:lang w:val="en-GB"/>
        </w:rPr>
        <w:t>, a separate sample for DNA flow cytometry was obtained before</w:t>
      </w:r>
      <w:r w:rsidR="00A50321" w:rsidRPr="00303E62">
        <w:rPr>
          <w:rFonts w:ascii="Book Antiqua" w:eastAsia="Calibri" w:hAnsi="Book Antiqua" w:cs="Arial"/>
          <w:sz w:val="24"/>
          <w:szCs w:val="24"/>
          <w:lang w:val="en-GB"/>
        </w:rPr>
        <w:t xml:space="preserve"> the</w:t>
      </w:r>
      <w:r w:rsidR="00051A49" w:rsidRPr="00303E62">
        <w:rPr>
          <w:rFonts w:ascii="Book Antiqua" w:eastAsia="Calibri" w:hAnsi="Book Antiqua" w:cs="Arial"/>
          <w:sz w:val="24"/>
          <w:szCs w:val="24"/>
          <w:lang w:val="en-GB"/>
        </w:rPr>
        <w:t xml:space="preserve"> BC sample and added to RPMI 1640 medium (Gibco/Thermo Scientific, MA, U</w:t>
      </w:r>
      <w:r w:rsidR="00CF64C3">
        <w:rPr>
          <w:rFonts w:ascii="Book Antiqua" w:eastAsia="Calibri" w:hAnsi="Book Antiqua" w:cs="Arial" w:hint="eastAsia"/>
          <w:sz w:val="24"/>
          <w:szCs w:val="24"/>
          <w:lang w:val="en-GB" w:eastAsia="zh-CN"/>
        </w:rPr>
        <w:t>nited States</w:t>
      </w:r>
      <w:r w:rsidR="00051A49" w:rsidRPr="00303E62">
        <w:rPr>
          <w:rFonts w:ascii="Book Antiqua" w:eastAsia="Calibri" w:hAnsi="Book Antiqua" w:cs="Arial"/>
          <w:sz w:val="24"/>
          <w:szCs w:val="24"/>
          <w:lang w:val="en-GB"/>
        </w:rPr>
        <w:t xml:space="preserve">) supplemented with </w:t>
      </w:r>
      <w:r w:rsidR="00A50321" w:rsidRPr="00303E62">
        <w:rPr>
          <w:rFonts w:ascii="Book Antiqua" w:eastAsia="Calibri" w:hAnsi="Book Antiqua" w:cs="Arial"/>
          <w:sz w:val="24"/>
          <w:szCs w:val="24"/>
          <w:lang w:val="en-GB"/>
        </w:rPr>
        <w:t xml:space="preserve">1% </w:t>
      </w:r>
      <w:r w:rsidR="00051A49" w:rsidRPr="00303E62">
        <w:rPr>
          <w:rFonts w:ascii="Book Antiqua" w:eastAsia="Calibri" w:hAnsi="Book Antiqua" w:cs="Arial"/>
          <w:sz w:val="24"/>
          <w:szCs w:val="24"/>
          <w:lang w:val="en-GB"/>
        </w:rPr>
        <w:t>L-</w:t>
      </w:r>
      <w:r w:rsidR="00A50321" w:rsidRPr="00303E62">
        <w:rPr>
          <w:rFonts w:ascii="Book Antiqua" w:eastAsia="Calibri" w:hAnsi="Book Antiqua" w:cs="Arial"/>
          <w:sz w:val="24"/>
          <w:szCs w:val="24"/>
          <w:lang w:val="en-GB"/>
        </w:rPr>
        <w:t>g</w:t>
      </w:r>
      <w:r w:rsidR="00051A49" w:rsidRPr="00303E62">
        <w:rPr>
          <w:rFonts w:ascii="Book Antiqua" w:eastAsia="Calibri" w:hAnsi="Book Antiqua" w:cs="Arial"/>
          <w:sz w:val="24"/>
          <w:szCs w:val="24"/>
          <w:lang w:val="en-GB"/>
        </w:rPr>
        <w:t xml:space="preserve">lutamine, </w:t>
      </w:r>
      <w:r w:rsidR="00A50321" w:rsidRPr="00303E62">
        <w:rPr>
          <w:rFonts w:ascii="Book Antiqua" w:eastAsia="Calibri" w:hAnsi="Book Antiqua" w:cs="Arial"/>
          <w:sz w:val="24"/>
          <w:szCs w:val="24"/>
          <w:lang w:val="en-GB"/>
        </w:rPr>
        <w:t>1% p</w:t>
      </w:r>
      <w:r w:rsidR="00051A49" w:rsidRPr="00303E62">
        <w:rPr>
          <w:rFonts w:ascii="Book Antiqua" w:eastAsia="Calibri" w:hAnsi="Book Antiqua" w:cs="Arial"/>
          <w:sz w:val="24"/>
          <w:szCs w:val="24"/>
          <w:lang w:val="en-GB"/>
        </w:rPr>
        <w:t>enicillin</w:t>
      </w:r>
      <w:r w:rsidR="00A50321" w:rsidRPr="00303E62">
        <w:rPr>
          <w:rFonts w:ascii="Book Antiqua" w:eastAsia="Calibri" w:hAnsi="Book Antiqua" w:cs="Arial"/>
          <w:sz w:val="24"/>
          <w:szCs w:val="24"/>
          <w:lang w:val="en-GB"/>
        </w:rPr>
        <w:t>-s</w:t>
      </w:r>
      <w:r w:rsidR="00051A49" w:rsidRPr="00303E62">
        <w:rPr>
          <w:rFonts w:ascii="Book Antiqua" w:eastAsia="Calibri" w:hAnsi="Book Antiqua" w:cs="Arial"/>
          <w:sz w:val="24"/>
          <w:szCs w:val="24"/>
          <w:lang w:val="en-GB"/>
        </w:rPr>
        <w:t xml:space="preserve">treptomycin, </w:t>
      </w:r>
      <w:r w:rsidR="00A50321" w:rsidRPr="00303E62">
        <w:rPr>
          <w:rFonts w:ascii="Book Antiqua" w:eastAsia="Calibri" w:hAnsi="Book Antiqua" w:cs="Arial"/>
          <w:sz w:val="24"/>
          <w:szCs w:val="24"/>
          <w:lang w:val="en-GB"/>
        </w:rPr>
        <w:t xml:space="preserve">0.5% </w:t>
      </w:r>
      <w:r w:rsidR="00051A49" w:rsidRPr="00303E62">
        <w:rPr>
          <w:rFonts w:ascii="Book Antiqua" w:eastAsia="Calibri" w:hAnsi="Book Antiqua" w:cs="Arial"/>
          <w:sz w:val="24"/>
          <w:szCs w:val="24"/>
          <w:lang w:val="en-GB"/>
        </w:rPr>
        <w:t xml:space="preserve">heparin and </w:t>
      </w:r>
      <w:r w:rsidR="00A50321" w:rsidRPr="00303E62">
        <w:rPr>
          <w:rFonts w:ascii="Book Antiqua" w:eastAsia="Calibri" w:hAnsi="Book Antiqua" w:cs="Arial"/>
          <w:sz w:val="24"/>
          <w:szCs w:val="24"/>
          <w:lang w:val="en-GB"/>
        </w:rPr>
        <w:t xml:space="preserve">0.5% </w:t>
      </w:r>
      <w:r w:rsidR="00051A49" w:rsidRPr="00303E62">
        <w:rPr>
          <w:rFonts w:ascii="Book Antiqua" w:eastAsia="Calibri" w:hAnsi="Book Antiqua" w:cs="Arial"/>
          <w:sz w:val="24"/>
          <w:szCs w:val="24"/>
          <w:lang w:val="en-GB"/>
        </w:rPr>
        <w:t xml:space="preserve">human serum albumin. </w:t>
      </w:r>
      <w:r w:rsidR="00A50321" w:rsidRPr="00303E62">
        <w:rPr>
          <w:rFonts w:ascii="Book Antiqua" w:eastAsia="Calibri" w:hAnsi="Book Antiqua" w:cs="Arial"/>
          <w:sz w:val="24"/>
          <w:szCs w:val="24"/>
          <w:lang w:val="en-GB"/>
        </w:rPr>
        <w:t>Cells were</w:t>
      </w:r>
      <w:r w:rsidR="00051A49" w:rsidRPr="00303E62">
        <w:rPr>
          <w:rFonts w:ascii="Book Antiqua" w:eastAsia="Calibri" w:hAnsi="Book Antiqua" w:cs="Arial"/>
          <w:sz w:val="24"/>
          <w:szCs w:val="24"/>
          <w:lang w:val="en-GB"/>
        </w:rPr>
        <w:t xml:space="preserve"> centrifug</w:t>
      </w:r>
      <w:r w:rsidR="00A50321" w:rsidRPr="00303E62">
        <w:rPr>
          <w:rFonts w:ascii="Book Antiqua" w:eastAsia="Calibri" w:hAnsi="Book Antiqua" w:cs="Arial"/>
          <w:sz w:val="24"/>
          <w:szCs w:val="24"/>
          <w:lang w:val="en-GB"/>
        </w:rPr>
        <w:t>ed,</w:t>
      </w:r>
      <w:r w:rsidR="00051A49" w:rsidRPr="00303E62">
        <w:rPr>
          <w:rFonts w:ascii="Book Antiqua" w:eastAsia="Calibri" w:hAnsi="Book Antiqua" w:cs="Arial"/>
          <w:sz w:val="24"/>
          <w:szCs w:val="24"/>
          <w:lang w:val="en-GB"/>
        </w:rPr>
        <w:t xml:space="preserve"> wash</w:t>
      </w:r>
      <w:r w:rsidR="00A50321" w:rsidRPr="00303E62">
        <w:rPr>
          <w:rFonts w:ascii="Book Antiqua" w:eastAsia="Calibri" w:hAnsi="Book Antiqua" w:cs="Arial"/>
          <w:sz w:val="24"/>
          <w:szCs w:val="24"/>
          <w:lang w:val="en-GB"/>
        </w:rPr>
        <w:t>ed</w:t>
      </w:r>
      <w:r w:rsidR="00051A49" w:rsidRPr="00303E62">
        <w:rPr>
          <w:rFonts w:ascii="Book Antiqua" w:eastAsia="Calibri" w:hAnsi="Book Antiqua" w:cs="Arial"/>
          <w:sz w:val="24"/>
          <w:szCs w:val="24"/>
          <w:lang w:val="en-GB"/>
        </w:rPr>
        <w:t xml:space="preserve">, treated with RNAse (Sigma Chemical Company, MO, USA) and </w:t>
      </w:r>
      <w:r w:rsidR="00A50321" w:rsidRPr="00303E62">
        <w:rPr>
          <w:rFonts w:ascii="Book Antiqua" w:eastAsia="Calibri" w:hAnsi="Book Antiqua" w:cs="Arial"/>
          <w:sz w:val="24"/>
          <w:szCs w:val="24"/>
          <w:lang w:val="en-GB"/>
        </w:rPr>
        <w:t>stain</w:t>
      </w:r>
      <w:r w:rsidR="00051A49" w:rsidRPr="00303E62">
        <w:rPr>
          <w:rFonts w:ascii="Book Antiqua" w:eastAsia="Calibri" w:hAnsi="Book Antiqua" w:cs="Arial"/>
          <w:sz w:val="24"/>
          <w:szCs w:val="24"/>
          <w:lang w:val="en-GB"/>
        </w:rPr>
        <w:t xml:space="preserve">ed with ethidium bromide (Sigma Chemical Company, MO, </w:t>
      </w:r>
      <w:r w:rsidR="00CF64C3" w:rsidRPr="00303E62">
        <w:rPr>
          <w:rFonts w:ascii="Book Antiqua" w:eastAsia="Calibri" w:hAnsi="Book Antiqua" w:cs="Arial"/>
          <w:sz w:val="24"/>
          <w:szCs w:val="24"/>
          <w:lang w:val="en-GB"/>
        </w:rPr>
        <w:t>U</w:t>
      </w:r>
      <w:r w:rsidR="00CF64C3">
        <w:rPr>
          <w:rFonts w:ascii="Book Antiqua" w:eastAsia="Calibri" w:hAnsi="Book Antiqua" w:cs="Arial" w:hint="eastAsia"/>
          <w:sz w:val="24"/>
          <w:szCs w:val="24"/>
          <w:lang w:val="en-GB" w:eastAsia="zh-CN"/>
        </w:rPr>
        <w:t>nited States</w:t>
      </w:r>
      <w:r w:rsidR="00051A49" w:rsidRPr="00303E62">
        <w:rPr>
          <w:rFonts w:ascii="Book Antiqua" w:eastAsia="Calibri" w:hAnsi="Book Antiqua" w:cs="Arial"/>
          <w:sz w:val="24"/>
          <w:szCs w:val="24"/>
          <w:lang w:val="en-GB"/>
        </w:rPr>
        <w:t>) in Tris-EDTA buffer. HL-60 cell</w:t>
      </w:r>
      <w:r w:rsidR="00753904" w:rsidRPr="00303E62">
        <w:rPr>
          <w:rFonts w:ascii="Book Antiqua" w:eastAsia="Calibri" w:hAnsi="Book Antiqua" w:cs="Arial"/>
          <w:sz w:val="24"/>
          <w:szCs w:val="24"/>
          <w:lang w:val="en-GB"/>
        </w:rPr>
        <w:t>s</w:t>
      </w:r>
      <w:r w:rsidR="00051A49" w:rsidRPr="00303E62">
        <w:rPr>
          <w:rFonts w:ascii="Book Antiqua" w:eastAsia="Calibri" w:hAnsi="Book Antiqua" w:cs="Arial"/>
          <w:sz w:val="24"/>
          <w:szCs w:val="24"/>
          <w:lang w:val="en-GB"/>
        </w:rPr>
        <w:t xml:space="preserve"> were used as a normal control, and goose and salmon trout red </w:t>
      </w:r>
      <w:r w:rsidR="00B34366" w:rsidRPr="00303E62">
        <w:rPr>
          <w:rFonts w:ascii="Book Antiqua" w:eastAsia="Calibri" w:hAnsi="Book Antiqua" w:cs="Arial"/>
          <w:sz w:val="24"/>
          <w:szCs w:val="24"/>
          <w:lang w:val="en-GB"/>
        </w:rPr>
        <w:t xml:space="preserve">blood </w:t>
      </w:r>
      <w:r w:rsidR="00051A49" w:rsidRPr="00303E62">
        <w:rPr>
          <w:rFonts w:ascii="Book Antiqua" w:eastAsia="Calibri" w:hAnsi="Book Antiqua" w:cs="Arial"/>
          <w:sz w:val="24"/>
          <w:szCs w:val="24"/>
          <w:lang w:val="en-GB"/>
        </w:rPr>
        <w:t>cell</w:t>
      </w:r>
      <w:r w:rsidR="00B34366" w:rsidRPr="00303E62">
        <w:rPr>
          <w:rFonts w:ascii="Book Antiqua" w:eastAsia="Calibri" w:hAnsi="Book Antiqua" w:cs="Arial"/>
          <w:sz w:val="24"/>
          <w:szCs w:val="24"/>
          <w:lang w:val="en-GB"/>
        </w:rPr>
        <w:t>s</w:t>
      </w:r>
      <w:r w:rsidR="00051A49" w:rsidRPr="00303E62">
        <w:rPr>
          <w:rFonts w:ascii="Book Antiqua" w:eastAsia="Calibri" w:hAnsi="Book Antiqua" w:cs="Arial"/>
          <w:sz w:val="24"/>
          <w:szCs w:val="24"/>
          <w:lang w:val="en-GB"/>
        </w:rPr>
        <w:t xml:space="preserve"> were used as internal controls. DNA flow cytometry was performed </w:t>
      </w:r>
      <w:r w:rsidR="00B34366" w:rsidRPr="00303E62">
        <w:rPr>
          <w:rFonts w:ascii="Book Antiqua" w:eastAsia="Calibri" w:hAnsi="Book Antiqua" w:cs="Arial"/>
          <w:sz w:val="24"/>
          <w:szCs w:val="24"/>
          <w:lang w:val="en-GB"/>
        </w:rPr>
        <w:t>using</w:t>
      </w:r>
      <w:r w:rsidR="00051A49" w:rsidRPr="00303E62">
        <w:rPr>
          <w:rFonts w:ascii="Book Antiqua" w:eastAsia="Calibri" w:hAnsi="Book Antiqua" w:cs="Arial"/>
          <w:sz w:val="24"/>
          <w:szCs w:val="24"/>
          <w:lang w:val="en-GB"/>
        </w:rPr>
        <w:t xml:space="preserve"> a FACS</w:t>
      </w:r>
      <w:r w:rsidR="00A8775D" w:rsidRPr="00303E62">
        <w:rPr>
          <w:rFonts w:ascii="Book Antiqua" w:eastAsia="Calibri" w:hAnsi="Book Antiqua" w:cs="Arial"/>
          <w:sz w:val="24"/>
          <w:szCs w:val="24"/>
          <w:lang w:val="en-GB"/>
        </w:rPr>
        <w:t>C</w:t>
      </w:r>
      <w:r w:rsidR="00051A49" w:rsidRPr="00303E62">
        <w:rPr>
          <w:rFonts w:ascii="Book Antiqua" w:eastAsia="Calibri" w:hAnsi="Book Antiqua" w:cs="Arial"/>
          <w:sz w:val="24"/>
          <w:szCs w:val="24"/>
          <w:lang w:val="en-GB"/>
        </w:rPr>
        <w:t>alib</w:t>
      </w:r>
      <w:r w:rsidR="00A8775D" w:rsidRPr="00303E62">
        <w:rPr>
          <w:rFonts w:ascii="Book Antiqua" w:eastAsia="Calibri" w:hAnsi="Book Antiqua" w:cs="Arial"/>
          <w:sz w:val="24"/>
          <w:szCs w:val="24"/>
          <w:lang w:val="en-GB"/>
        </w:rPr>
        <w:t>u</w:t>
      </w:r>
      <w:r w:rsidR="00051A49" w:rsidRPr="00303E62">
        <w:rPr>
          <w:rFonts w:ascii="Book Antiqua" w:eastAsia="Calibri" w:hAnsi="Book Antiqua" w:cs="Arial"/>
          <w:sz w:val="24"/>
          <w:szCs w:val="24"/>
          <w:lang w:val="en-GB"/>
        </w:rPr>
        <w:t>r flow cytometer (BD Biosciences, Oxford, U</w:t>
      </w:r>
      <w:r w:rsidR="00CF64C3">
        <w:rPr>
          <w:rFonts w:ascii="Book Antiqua" w:eastAsia="Calibri" w:hAnsi="Book Antiqua" w:cs="Arial" w:hint="eastAsia"/>
          <w:sz w:val="24"/>
          <w:szCs w:val="24"/>
          <w:lang w:val="en-GB" w:eastAsia="zh-CN"/>
        </w:rPr>
        <w:t xml:space="preserve">nited </w:t>
      </w:r>
      <w:r w:rsidR="00051A49" w:rsidRPr="00303E62">
        <w:rPr>
          <w:rFonts w:ascii="Book Antiqua" w:eastAsia="Calibri" w:hAnsi="Book Antiqua" w:cs="Arial"/>
          <w:sz w:val="24"/>
          <w:szCs w:val="24"/>
          <w:lang w:val="en-GB"/>
        </w:rPr>
        <w:t>K</w:t>
      </w:r>
      <w:r w:rsidR="00CF64C3">
        <w:rPr>
          <w:rFonts w:ascii="Book Antiqua" w:eastAsia="Calibri" w:hAnsi="Book Antiqua" w:cs="Arial" w:hint="eastAsia"/>
          <w:sz w:val="24"/>
          <w:szCs w:val="24"/>
          <w:lang w:val="en-GB" w:eastAsia="zh-CN"/>
        </w:rPr>
        <w:t>ingdom</w:t>
      </w:r>
      <w:r w:rsidR="00A1119C" w:rsidRPr="00303E62">
        <w:rPr>
          <w:rFonts w:ascii="Book Antiqua" w:eastAsia="Calibri" w:hAnsi="Book Antiqua" w:cs="Arial"/>
          <w:sz w:val="24"/>
          <w:szCs w:val="24"/>
          <w:lang w:val="en-GB"/>
        </w:rPr>
        <w:t>). The results</w:t>
      </w:r>
      <w:r w:rsidR="00051A49" w:rsidRPr="00303E62">
        <w:rPr>
          <w:rFonts w:ascii="Book Antiqua" w:eastAsia="Calibri" w:hAnsi="Book Antiqua" w:cs="Arial"/>
          <w:sz w:val="24"/>
          <w:szCs w:val="24"/>
          <w:lang w:val="en-GB"/>
        </w:rPr>
        <w:t xml:space="preserve"> were analysed </w:t>
      </w:r>
      <w:r w:rsidR="00B34366" w:rsidRPr="00303E62">
        <w:rPr>
          <w:rFonts w:ascii="Book Antiqua" w:eastAsia="Calibri" w:hAnsi="Book Antiqua" w:cs="Arial"/>
          <w:sz w:val="24"/>
          <w:szCs w:val="24"/>
          <w:lang w:val="en-GB"/>
        </w:rPr>
        <w:t>using</w:t>
      </w:r>
      <w:r w:rsidR="00051A49" w:rsidRPr="00303E62">
        <w:rPr>
          <w:rFonts w:ascii="Book Antiqua" w:eastAsia="Calibri" w:hAnsi="Book Antiqua" w:cs="Arial"/>
          <w:sz w:val="24"/>
          <w:szCs w:val="24"/>
          <w:lang w:val="en-GB"/>
        </w:rPr>
        <w:t xml:space="preserve"> ModFit LT software (Becton Dickinson Immunocytometry </w:t>
      </w:r>
      <w:r w:rsidR="00051A49" w:rsidRPr="00303E62">
        <w:rPr>
          <w:rFonts w:ascii="Book Antiqua" w:eastAsia="Calibri" w:hAnsi="Book Antiqua" w:cs="Arial"/>
          <w:sz w:val="24"/>
          <w:szCs w:val="24"/>
          <w:lang w:val="en-GB"/>
        </w:rPr>
        <w:lastRenderedPageBreak/>
        <w:t xml:space="preserve">Systems, Becton, Dickinson and Company, Franklin Lakes, NJ, </w:t>
      </w:r>
      <w:r w:rsidR="00CF64C3" w:rsidRPr="00303E62">
        <w:rPr>
          <w:rFonts w:ascii="Book Antiqua" w:eastAsia="Calibri" w:hAnsi="Book Antiqua" w:cs="Arial"/>
          <w:sz w:val="24"/>
          <w:szCs w:val="24"/>
          <w:lang w:val="en-GB"/>
        </w:rPr>
        <w:t>U</w:t>
      </w:r>
      <w:r w:rsidR="00CF64C3">
        <w:rPr>
          <w:rFonts w:ascii="Book Antiqua" w:eastAsia="Calibri" w:hAnsi="Book Antiqua" w:cs="Arial" w:hint="eastAsia"/>
          <w:sz w:val="24"/>
          <w:szCs w:val="24"/>
          <w:lang w:val="en-GB" w:eastAsia="zh-CN"/>
        </w:rPr>
        <w:t>nited States</w:t>
      </w:r>
      <w:r w:rsidR="00051A49" w:rsidRPr="00303E62">
        <w:rPr>
          <w:rFonts w:ascii="Book Antiqua" w:eastAsia="Calibri" w:hAnsi="Book Antiqua" w:cs="Arial"/>
          <w:sz w:val="24"/>
          <w:szCs w:val="24"/>
          <w:lang w:val="en-GB"/>
        </w:rPr>
        <w:t>)</w:t>
      </w:r>
      <w:r w:rsidR="00B34366"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and a DNA index over 1.1 was considered aneuploidy.</w:t>
      </w:r>
      <w:r w:rsidR="00051A49" w:rsidRPr="00303E62">
        <w:rPr>
          <w:rFonts w:ascii="Book Antiqua" w:eastAsia="Calibri" w:hAnsi="Book Antiqua" w:cs="Arial"/>
          <w:sz w:val="24"/>
          <w:szCs w:val="24"/>
          <w:lang w:val="en-GB"/>
        </w:rPr>
        <w:t xml:space="preserve"> </w:t>
      </w:r>
    </w:p>
    <w:p w14:paraId="5DCBF5FA"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7BD82974"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Histology</w:t>
      </w:r>
    </w:p>
    <w:p w14:paraId="55C1028C" w14:textId="2EBB513C" w:rsidR="00663156" w:rsidRPr="00303E62" w:rsidRDefault="00B3436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w:t>
      </w:r>
      <w:r w:rsidR="00663156" w:rsidRPr="00303E62">
        <w:rPr>
          <w:rFonts w:ascii="Book Antiqua" w:eastAsia="Calibri" w:hAnsi="Book Antiqua" w:cs="Arial"/>
          <w:sz w:val="24"/>
          <w:szCs w:val="24"/>
          <w:lang w:val="en-GB"/>
        </w:rPr>
        <w:t>wo pathologists</w:t>
      </w:r>
      <w:r w:rsidRPr="00303E62">
        <w:rPr>
          <w:rFonts w:ascii="Book Antiqua" w:eastAsia="Calibri" w:hAnsi="Book Antiqua" w:cs="Arial"/>
          <w:sz w:val="24"/>
          <w:szCs w:val="24"/>
          <w:lang w:val="en-GB"/>
        </w:rPr>
        <w:t>, who were</w:t>
      </w:r>
      <w:r w:rsidR="00663156" w:rsidRPr="00303E62">
        <w:rPr>
          <w:rFonts w:ascii="Book Antiqua" w:eastAsia="Calibri" w:hAnsi="Book Antiqua" w:cs="Arial"/>
          <w:sz w:val="24"/>
          <w:szCs w:val="24"/>
          <w:lang w:val="en-GB"/>
        </w:rPr>
        <w:t xml:space="preserve"> blinded to the BC or original interpretation</w:t>
      </w:r>
      <w:r w:rsidRPr="00303E62">
        <w:rPr>
          <w:rFonts w:ascii="Book Antiqua" w:eastAsia="Calibri" w:hAnsi="Book Antiqua" w:cs="Arial"/>
          <w:sz w:val="24"/>
          <w:szCs w:val="24"/>
          <w:lang w:val="en-GB"/>
        </w:rPr>
        <w:t>, re-evaluated</w:t>
      </w:r>
      <w:r w:rsidR="00663156"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 xml:space="preserve">explanted livers and bile ducts or other histological samples </w:t>
      </w:r>
      <w:r w:rsidR="00663156" w:rsidRPr="00303E62">
        <w:rPr>
          <w:rFonts w:ascii="Book Antiqua" w:eastAsia="Calibri" w:hAnsi="Book Antiqua" w:cs="Arial"/>
          <w:sz w:val="24"/>
          <w:szCs w:val="24"/>
          <w:lang w:val="en-GB"/>
        </w:rPr>
        <w:t>(Table 1</w:t>
      </w:r>
      <w:r w:rsidR="00A51EE2" w:rsidRPr="00303E62">
        <w:rPr>
          <w:rFonts w:ascii="Book Antiqua" w:eastAsia="Calibri" w:hAnsi="Book Antiqua" w:cs="Arial"/>
          <w:sz w:val="24"/>
          <w:szCs w:val="24"/>
          <w:lang w:val="en-GB"/>
        </w:rPr>
        <w:t>, Figure 2</w:t>
      </w:r>
      <w:r w:rsidR="00663156" w:rsidRPr="00303E62">
        <w:rPr>
          <w:rFonts w:ascii="Book Antiqua" w:eastAsia="Calibri" w:hAnsi="Book Antiqua" w:cs="Arial"/>
          <w:sz w:val="24"/>
          <w:szCs w:val="24"/>
          <w:lang w:val="en-GB"/>
        </w:rPr>
        <w:t xml:space="preserve">). Biliary dysplasia was graded as high-grade or low-grade. Patients were divided into groups (LGD, HGD, CCA) </w:t>
      </w:r>
      <w:r w:rsidRPr="00303E62">
        <w:rPr>
          <w:rFonts w:ascii="Book Antiqua" w:eastAsia="Calibri" w:hAnsi="Book Antiqua" w:cs="Arial"/>
          <w:sz w:val="24"/>
          <w:szCs w:val="24"/>
          <w:lang w:val="en-GB"/>
        </w:rPr>
        <w:t>using</w:t>
      </w:r>
      <w:r w:rsidR="00663156" w:rsidRPr="00303E62">
        <w:rPr>
          <w:rFonts w:ascii="Book Antiqua" w:eastAsia="Calibri" w:hAnsi="Book Antiqua" w:cs="Arial"/>
          <w:sz w:val="24"/>
          <w:szCs w:val="24"/>
          <w:lang w:val="en-GB"/>
        </w:rPr>
        <w:t xml:space="preserve"> the worst histological finding. </w:t>
      </w:r>
    </w:p>
    <w:p w14:paraId="1EBA24FA"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7B911ECF" w14:textId="77777777" w:rsidR="00CF64C3" w:rsidRDefault="00CF64C3" w:rsidP="00D305D7">
      <w:pPr>
        <w:snapToGrid w:val="0"/>
        <w:spacing w:after="0" w:line="360" w:lineRule="auto"/>
        <w:jc w:val="both"/>
        <w:rPr>
          <w:rFonts w:ascii="Book Antiqua" w:hAnsi="Book Antiqua" w:cs="Arial"/>
          <w:b/>
          <w:i/>
          <w:sz w:val="24"/>
          <w:szCs w:val="24"/>
          <w:lang w:val="en-GB" w:eastAsia="zh-CN"/>
        </w:rPr>
      </w:pPr>
      <w:r w:rsidRPr="00CF64C3">
        <w:rPr>
          <w:rFonts w:ascii="Book Antiqua" w:eastAsia="Calibri" w:hAnsi="Book Antiqua" w:cs="Arial"/>
          <w:b/>
          <w:i/>
          <w:caps/>
          <w:sz w:val="24"/>
          <w:szCs w:val="24"/>
          <w:lang w:val="en-GB"/>
        </w:rPr>
        <w:t>s</w:t>
      </w:r>
      <w:r w:rsidRPr="00CF64C3">
        <w:rPr>
          <w:rFonts w:ascii="Book Antiqua" w:eastAsia="Calibri" w:hAnsi="Book Antiqua" w:cs="Arial"/>
          <w:b/>
          <w:i/>
          <w:sz w:val="24"/>
          <w:szCs w:val="24"/>
          <w:lang w:val="en-GB"/>
        </w:rPr>
        <w:t>tatistical analysis</w:t>
      </w:r>
    </w:p>
    <w:p w14:paraId="688BAA7F" w14:textId="0957EFAB"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Statistical analyses were performed using the IBM SPSS statistical</w:t>
      </w:r>
      <w:r w:rsidR="00351E2E" w:rsidRPr="00303E62">
        <w:rPr>
          <w:rFonts w:ascii="Book Antiqua" w:eastAsia="Calibri" w:hAnsi="Book Antiqua" w:cs="Arial"/>
          <w:sz w:val="24"/>
          <w:szCs w:val="24"/>
          <w:lang w:val="en-GB"/>
        </w:rPr>
        <w:t xml:space="preserve"> software</w:t>
      </w:r>
      <w:r w:rsidRPr="00303E62">
        <w:rPr>
          <w:rFonts w:ascii="Book Antiqua" w:eastAsia="Calibri" w:hAnsi="Book Antiqua" w:cs="Arial"/>
          <w:sz w:val="24"/>
          <w:szCs w:val="24"/>
          <w:lang w:val="en-GB"/>
        </w:rPr>
        <w:t xml:space="preserve"> pac</w:t>
      </w:r>
      <w:r w:rsidR="003220CB" w:rsidRPr="00303E62">
        <w:rPr>
          <w:rFonts w:ascii="Book Antiqua" w:eastAsia="Calibri" w:hAnsi="Book Antiqua" w:cs="Arial"/>
          <w:sz w:val="24"/>
          <w:szCs w:val="24"/>
          <w:lang w:val="en-GB"/>
        </w:rPr>
        <w:t>kage version 24</w:t>
      </w:r>
      <w:r w:rsidRPr="00303E62">
        <w:rPr>
          <w:rFonts w:ascii="Book Antiqua" w:eastAsia="Calibri" w:hAnsi="Book Antiqua" w:cs="Arial"/>
          <w:sz w:val="24"/>
          <w:szCs w:val="24"/>
          <w:lang w:val="en-GB"/>
        </w:rPr>
        <w:t xml:space="preserve"> (IBM, New York, NY, </w:t>
      </w:r>
      <w:r w:rsidR="00CF64C3" w:rsidRPr="00303E62">
        <w:rPr>
          <w:rFonts w:ascii="Book Antiqua" w:eastAsia="Calibri" w:hAnsi="Book Antiqua" w:cs="Arial"/>
          <w:sz w:val="24"/>
          <w:szCs w:val="24"/>
          <w:lang w:val="en-GB"/>
        </w:rPr>
        <w:t>U</w:t>
      </w:r>
      <w:r w:rsidR="00CF64C3">
        <w:rPr>
          <w:rFonts w:ascii="Book Antiqua" w:eastAsia="Calibri" w:hAnsi="Book Antiqua" w:cs="Arial" w:hint="eastAsia"/>
          <w:sz w:val="24"/>
          <w:szCs w:val="24"/>
          <w:lang w:val="en-GB" w:eastAsia="zh-CN"/>
        </w:rPr>
        <w:t>nited States</w:t>
      </w:r>
      <w:r w:rsidRPr="00303E62">
        <w:rPr>
          <w:rFonts w:ascii="Book Antiqua" w:eastAsia="Calibri" w:hAnsi="Book Antiqua" w:cs="Arial"/>
          <w:sz w:val="24"/>
          <w:szCs w:val="24"/>
          <w:lang w:val="en-GB"/>
        </w:rPr>
        <w:t xml:space="preserve">). The Jonckheere-Terpstra and Mann-Whitney </w:t>
      </w:r>
      <w:r w:rsidRPr="00303E62">
        <w:rPr>
          <w:rFonts w:ascii="Book Antiqua" w:eastAsia="Calibri" w:hAnsi="Book Antiqua" w:cs="Arial"/>
          <w:i/>
          <w:sz w:val="24"/>
          <w:szCs w:val="24"/>
          <w:lang w:val="en-GB"/>
        </w:rPr>
        <w:t>U</w:t>
      </w:r>
      <w:r w:rsidR="000B0BA2"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tests were used to evaluate differences </w:t>
      </w:r>
      <w:r w:rsidR="00B34366"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continuous variables between groups. Fisher’s exact test was used</w:t>
      </w:r>
      <w:r w:rsidR="00B34366" w:rsidRPr="00303E62">
        <w:rPr>
          <w:rFonts w:ascii="Book Antiqua" w:eastAsia="Calibri" w:hAnsi="Book Antiqua" w:cs="Arial"/>
          <w:sz w:val="24"/>
          <w:szCs w:val="24"/>
          <w:lang w:val="en-GB"/>
        </w:rPr>
        <w:t xml:space="preserve"> for dichotomous variables</w:t>
      </w:r>
      <w:r w:rsidRPr="00303E62">
        <w:rPr>
          <w:rFonts w:ascii="Book Antiqua" w:eastAsia="Calibri" w:hAnsi="Book Antiqua" w:cs="Arial"/>
          <w:sz w:val="24"/>
          <w:szCs w:val="24"/>
          <w:lang w:val="en-GB"/>
        </w:rPr>
        <w:t xml:space="preserve">. </w:t>
      </w:r>
      <w:r w:rsidR="003220CB" w:rsidRPr="00303E62">
        <w:rPr>
          <w:rFonts w:ascii="Book Antiqua" w:eastAsia="Calibri" w:hAnsi="Book Antiqua" w:cs="Arial"/>
          <w:sz w:val="24"/>
          <w:szCs w:val="24"/>
          <w:lang w:val="en-GB"/>
        </w:rPr>
        <w:t xml:space="preserve">Bonferroni correction was used in pairwise tests, and adjusted values </w:t>
      </w:r>
      <w:r w:rsidR="00B34366" w:rsidRPr="00303E62">
        <w:rPr>
          <w:rFonts w:ascii="Book Antiqua" w:eastAsia="Calibri" w:hAnsi="Book Antiqua" w:cs="Arial"/>
          <w:sz w:val="24"/>
          <w:szCs w:val="24"/>
          <w:lang w:val="en-GB"/>
        </w:rPr>
        <w:t>a</w:t>
      </w:r>
      <w:r w:rsidR="003220CB" w:rsidRPr="00303E62">
        <w:rPr>
          <w:rFonts w:ascii="Book Antiqua" w:eastAsia="Calibri" w:hAnsi="Book Antiqua" w:cs="Arial"/>
          <w:sz w:val="24"/>
          <w:szCs w:val="24"/>
          <w:lang w:val="en-GB"/>
        </w:rPr>
        <w:t>re presented.</w:t>
      </w:r>
    </w:p>
    <w:p w14:paraId="66295273"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55E5D722" w14:textId="77777777" w:rsidR="00CF64C3" w:rsidRDefault="00663156" w:rsidP="00D305D7">
      <w:pPr>
        <w:snapToGrid w:val="0"/>
        <w:spacing w:after="0" w:line="360" w:lineRule="auto"/>
        <w:jc w:val="both"/>
        <w:rPr>
          <w:rFonts w:ascii="Book Antiqua" w:hAnsi="Book Antiqua" w:cs="Arial"/>
          <w:sz w:val="24"/>
          <w:szCs w:val="24"/>
          <w:lang w:val="en-GB" w:eastAsia="zh-CN"/>
        </w:rPr>
      </w:pPr>
      <w:r w:rsidRPr="00303E62">
        <w:rPr>
          <w:rFonts w:ascii="Book Antiqua" w:eastAsia="Calibri" w:hAnsi="Book Antiqua" w:cs="Arial"/>
          <w:b/>
          <w:i/>
          <w:sz w:val="24"/>
          <w:szCs w:val="24"/>
          <w:lang w:val="en-GB"/>
        </w:rPr>
        <w:t>Ethics</w:t>
      </w:r>
    </w:p>
    <w:p w14:paraId="5118AAB8" w14:textId="6D7B19A0"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The local ethics committee approved the study protocol.</w:t>
      </w:r>
    </w:p>
    <w:p w14:paraId="3A5A33DA" w14:textId="77777777" w:rsidR="00663156" w:rsidRPr="00303E62" w:rsidRDefault="00663156" w:rsidP="00D305D7">
      <w:pPr>
        <w:snapToGrid w:val="0"/>
        <w:spacing w:after="0" w:line="360" w:lineRule="auto"/>
        <w:jc w:val="both"/>
        <w:rPr>
          <w:rFonts w:ascii="Book Antiqua" w:eastAsia="Calibri" w:hAnsi="Book Antiqua" w:cs="Arial"/>
          <w:sz w:val="24"/>
          <w:szCs w:val="24"/>
          <w:lang w:val="en-GB"/>
        </w:rPr>
      </w:pPr>
    </w:p>
    <w:p w14:paraId="31841853" w14:textId="77777777" w:rsidR="00663156" w:rsidRPr="00303E62" w:rsidRDefault="00AA1103"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t>RESULTS</w:t>
      </w:r>
    </w:p>
    <w:p w14:paraId="6BC482BC" w14:textId="77777777" w:rsidR="00CF64C3" w:rsidRDefault="00663156" w:rsidP="00D305D7">
      <w:pPr>
        <w:snapToGrid w:val="0"/>
        <w:spacing w:after="0" w:line="360" w:lineRule="auto"/>
        <w:jc w:val="both"/>
        <w:rPr>
          <w:rFonts w:ascii="Book Antiqua" w:hAnsi="Book Antiqua" w:cs="Arial"/>
          <w:b/>
          <w:i/>
          <w:sz w:val="24"/>
          <w:szCs w:val="24"/>
          <w:lang w:val="en-GB" w:eastAsia="zh-CN"/>
        </w:rPr>
      </w:pPr>
      <w:r w:rsidRPr="00303E62">
        <w:rPr>
          <w:rFonts w:ascii="Book Antiqua" w:eastAsia="Calibri" w:hAnsi="Book Antiqua" w:cs="Arial"/>
          <w:b/>
          <w:i/>
          <w:sz w:val="24"/>
          <w:szCs w:val="24"/>
          <w:lang w:val="en-GB"/>
        </w:rPr>
        <w:t>Demographics</w:t>
      </w:r>
    </w:p>
    <w:p w14:paraId="33A5F1BC" w14:textId="10F129D4" w:rsidR="00663156" w:rsidRPr="00303E62" w:rsidRDefault="00663156" w:rsidP="00D305D7">
      <w:pPr>
        <w:snapToGrid w:val="0"/>
        <w:spacing w:after="0" w:line="360" w:lineRule="auto"/>
        <w:jc w:val="both"/>
        <w:rPr>
          <w:rFonts w:ascii="Book Antiqua" w:eastAsia="Calibri" w:hAnsi="Book Antiqua" w:cs="Arial"/>
          <w:i/>
          <w:sz w:val="24"/>
          <w:szCs w:val="24"/>
          <w:lang w:val="en-GB"/>
        </w:rPr>
      </w:pPr>
      <w:r w:rsidRPr="00303E62">
        <w:rPr>
          <w:rFonts w:ascii="Book Antiqua" w:eastAsia="Calibri" w:hAnsi="Book Antiqua" w:cs="Arial"/>
          <w:sz w:val="24"/>
          <w:szCs w:val="24"/>
          <w:lang w:val="en-GB"/>
        </w:rPr>
        <w:t xml:space="preserve">There was no statistically significant gender difference between groups </w:t>
      </w:r>
      <w:r w:rsidR="00F349B0"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Table 2</w:t>
      </w:r>
      <w:r w:rsidR="00F349B0"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but all groups </w:t>
      </w:r>
      <w:r w:rsidR="00F349B0" w:rsidRPr="00303E62">
        <w:rPr>
          <w:rFonts w:ascii="Book Antiqua" w:eastAsia="Calibri" w:hAnsi="Book Antiqua" w:cs="Arial"/>
          <w:sz w:val="24"/>
          <w:szCs w:val="24"/>
          <w:lang w:val="en-GB"/>
        </w:rPr>
        <w:t>include</w:t>
      </w:r>
      <w:r w:rsidRPr="00303E62">
        <w:rPr>
          <w:rFonts w:ascii="Book Antiqua" w:eastAsia="Calibri" w:hAnsi="Book Antiqua" w:cs="Arial"/>
          <w:sz w:val="24"/>
          <w:szCs w:val="24"/>
          <w:lang w:val="en-GB"/>
        </w:rPr>
        <w:t>d a majority of male patients (32 males and 13 females</w:t>
      </w:r>
      <w:r w:rsidR="00F349B0" w:rsidRPr="00303E62">
        <w:rPr>
          <w:rFonts w:ascii="Book Antiqua" w:eastAsia="Calibri" w:hAnsi="Book Antiqua" w:cs="Arial"/>
          <w:sz w:val="24"/>
          <w:szCs w:val="24"/>
          <w:lang w:val="en-GB"/>
        </w:rPr>
        <w:t xml:space="preserve"> in total</w:t>
      </w:r>
      <w:r w:rsidRPr="00303E62">
        <w:rPr>
          <w:rFonts w:ascii="Book Antiqua" w:eastAsia="Calibri" w:hAnsi="Book Antiqua" w:cs="Arial"/>
          <w:sz w:val="24"/>
          <w:szCs w:val="24"/>
          <w:lang w:val="en-GB"/>
        </w:rPr>
        <w:t>). Patients with LGD were significan</w:t>
      </w:r>
      <w:r w:rsidR="003220CB" w:rsidRPr="00303E62">
        <w:rPr>
          <w:rFonts w:ascii="Book Antiqua" w:eastAsia="Calibri" w:hAnsi="Book Antiqua" w:cs="Arial"/>
          <w:sz w:val="24"/>
          <w:szCs w:val="24"/>
          <w:lang w:val="en-GB"/>
        </w:rPr>
        <w:t>tly younger than other</w:t>
      </w:r>
      <w:r w:rsidR="00F349B0" w:rsidRPr="00303E62">
        <w:rPr>
          <w:rFonts w:ascii="Book Antiqua" w:eastAsia="Calibri" w:hAnsi="Book Antiqua" w:cs="Arial"/>
          <w:sz w:val="24"/>
          <w:szCs w:val="24"/>
          <w:lang w:val="en-GB"/>
        </w:rPr>
        <w:t xml:space="preserve"> patient</w:t>
      </w:r>
      <w:r w:rsidR="003220CB" w:rsidRPr="00303E62">
        <w:rPr>
          <w:rFonts w:ascii="Book Antiqua" w:eastAsia="Calibri" w:hAnsi="Book Antiqua" w:cs="Arial"/>
          <w:sz w:val="24"/>
          <w:szCs w:val="24"/>
          <w:lang w:val="en-GB"/>
        </w:rPr>
        <w:t>s (</w:t>
      </w:r>
      <w:r w:rsidR="003220CB" w:rsidRPr="00CF64C3">
        <w:rPr>
          <w:rFonts w:ascii="Book Antiqua" w:eastAsia="Calibri" w:hAnsi="Book Antiqua" w:cs="Arial"/>
          <w:i/>
          <w:caps/>
          <w:sz w:val="24"/>
          <w:szCs w:val="24"/>
          <w:lang w:val="en-GB"/>
        </w:rPr>
        <w:t>p</w:t>
      </w:r>
      <w:r w:rsidR="00CF64C3">
        <w:rPr>
          <w:rFonts w:ascii="Book Antiqua" w:eastAsia="Calibri" w:hAnsi="Book Antiqua" w:cs="Arial" w:hint="eastAsia"/>
          <w:sz w:val="24"/>
          <w:szCs w:val="24"/>
          <w:lang w:val="en-GB" w:eastAsia="zh-CN"/>
        </w:rPr>
        <w:t xml:space="preserve"> </w:t>
      </w:r>
      <w:r w:rsidR="003220CB"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003220CB" w:rsidRPr="00303E62">
        <w:rPr>
          <w:rFonts w:ascii="Book Antiqua" w:eastAsia="Calibri" w:hAnsi="Book Antiqua" w:cs="Arial"/>
          <w:sz w:val="24"/>
          <w:szCs w:val="24"/>
          <w:lang w:val="en-GB"/>
        </w:rPr>
        <w:t>0.003</w:t>
      </w:r>
      <w:r w:rsidRPr="00303E62">
        <w:rPr>
          <w:rFonts w:ascii="Book Antiqua" w:eastAsia="Calibri" w:hAnsi="Book Antiqua" w:cs="Arial"/>
          <w:sz w:val="24"/>
          <w:szCs w:val="24"/>
          <w:lang w:val="en-GB"/>
        </w:rPr>
        <w:t>). There was no difference in PSC duration before dysplasia or CCA diagnosis. Thirty (67%) patients had IBD</w:t>
      </w:r>
      <w:r w:rsidR="00F349B0"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t>
      </w:r>
      <w:r w:rsidR="00F349B0"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wenty-two of </w:t>
      </w:r>
      <w:r w:rsidR="00F349B0" w:rsidRPr="00303E62">
        <w:rPr>
          <w:rFonts w:ascii="Book Antiqua" w:eastAsia="Calibri" w:hAnsi="Book Antiqua" w:cs="Arial"/>
          <w:sz w:val="24"/>
          <w:szCs w:val="24"/>
          <w:lang w:val="en-GB"/>
        </w:rPr>
        <w:t>these 30 patients</w:t>
      </w:r>
      <w:r w:rsidRPr="00303E62">
        <w:rPr>
          <w:rFonts w:ascii="Book Antiqua" w:eastAsia="Calibri" w:hAnsi="Book Antiqua" w:cs="Arial"/>
          <w:sz w:val="24"/>
          <w:szCs w:val="24"/>
          <w:lang w:val="en-GB"/>
        </w:rPr>
        <w:t xml:space="preserve"> </w:t>
      </w:r>
      <w:r w:rsidR="00F349B0" w:rsidRPr="00303E62">
        <w:rPr>
          <w:rFonts w:ascii="Book Antiqua" w:eastAsia="Calibri" w:hAnsi="Book Antiqua" w:cs="Arial"/>
          <w:sz w:val="24"/>
          <w:szCs w:val="24"/>
          <w:lang w:val="en-GB"/>
        </w:rPr>
        <w:t>had</w:t>
      </w:r>
      <w:r w:rsidRPr="00303E62">
        <w:rPr>
          <w:rFonts w:ascii="Book Antiqua" w:eastAsia="Calibri" w:hAnsi="Book Antiqua" w:cs="Arial"/>
          <w:sz w:val="24"/>
          <w:szCs w:val="24"/>
          <w:lang w:val="en-GB"/>
        </w:rPr>
        <w:t xml:space="preserve"> ulcerative colitis, seven </w:t>
      </w:r>
      <w:r w:rsidR="00F349B0" w:rsidRPr="00303E62">
        <w:rPr>
          <w:rFonts w:ascii="Book Antiqua" w:eastAsia="Calibri" w:hAnsi="Book Antiqua" w:cs="Arial"/>
          <w:sz w:val="24"/>
          <w:szCs w:val="24"/>
          <w:lang w:val="en-GB"/>
        </w:rPr>
        <w:t xml:space="preserve">patients </w:t>
      </w:r>
      <w:r w:rsidRPr="00303E62">
        <w:rPr>
          <w:rFonts w:ascii="Book Antiqua" w:eastAsia="Calibri" w:hAnsi="Book Antiqua" w:cs="Arial"/>
          <w:sz w:val="24"/>
          <w:szCs w:val="24"/>
          <w:lang w:val="en-GB"/>
        </w:rPr>
        <w:t xml:space="preserve">had Crohn’s disease, and one </w:t>
      </w:r>
      <w:r w:rsidR="00F349B0" w:rsidRPr="00303E62">
        <w:rPr>
          <w:rFonts w:ascii="Book Antiqua" w:eastAsia="Calibri" w:hAnsi="Book Antiqua" w:cs="Arial"/>
          <w:sz w:val="24"/>
          <w:szCs w:val="24"/>
          <w:lang w:val="en-GB"/>
        </w:rPr>
        <w:t xml:space="preserve">patient </w:t>
      </w:r>
      <w:r w:rsidRPr="00303E62">
        <w:rPr>
          <w:rFonts w:ascii="Book Antiqua" w:eastAsia="Calibri" w:hAnsi="Book Antiqua" w:cs="Arial"/>
          <w:sz w:val="24"/>
          <w:szCs w:val="24"/>
          <w:lang w:val="en-GB"/>
        </w:rPr>
        <w:t>had indeterminate colitis. The presence of IBD was not significantly different between groups.</w:t>
      </w:r>
    </w:p>
    <w:p w14:paraId="0EDE53E7"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413F08CD" w14:textId="77777777" w:rsidR="00CF64C3" w:rsidRDefault="00663156" w:rsidP="00D305D7">
      <w:pPr>
        <w:snapToGrid w:val="0"/>
        <w:spacing w:after="0" w:line="360" w:lineRule="auto"/>
        <w:jc w:val="both"/>
        <w:rPr>
          <w:rFonts w:ascii="Book Antiqua" w:hAnsi="Book Antiqua" w:cs="Arial"/>
          <w:i/>
          <w:sz w:val="24"/>
          <w:szCs w:val="24"/>
          <w:lang w:val="en-GB" w:eastAsia="zh-CN"/>
        </w:rPr>
      </w:pPr>
      <w:r w:rsidRPr="00303E62">
        <w:rPr>
          <w:rFonts w:ascii="Book Antiqua" w:eastAsia="Calibri" w:hAnsi="Book Antiqua" w:cs="Arial"/>
          <w:b/>
          <w:i/>
          <w:sz w:val="24"/>
          <w:szCs w:val="24"/>
          <w:lang w:val="en-GB"/>
        </w:rPr>
        <w:t>Laboratory values</w:t>
      </w:r>
    </w:p>
    <w:p w14:paraId="00377B03" w14:textId="55134CFA"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lastRenderedPageBreak/>
        <w:t xml:space="preserve">ALP, </w:t>
      </w:r>
      <w:r w:rsidR="00EB0A78" w:rsidRPr="00303E62">
        <w:rPr>
          <w:rFonts w:ascii="Book Antiqua" w:eastAsia="Calibri" w:hAnsi="Book Antiqua" w:cs="Arial"/>
          <w:sz w:val="24"/>
          <w:szCs w:val="24"/>
          <w:lang w:val="en-GB"/>
        </w:rPr>
        <w:t xml:space="preserve">bilirubin, </w:t>
      </w:r>
      <w:r w:rsidRPr="00303E62">
        <w:rPr>
          <w:rFonts w:ascii="Book Antiqua" w:eastAsia="Calibri" w:hAnsi="Book Antiqua" w:cs="Arial"/>
          <w:sz w:val="24"/>
          <w:szCs w:val="24"/>
          <w:lang w:val="en-GB"/>
        </w:rPr>
        <w:t xml:space="preserve">AST </w:t>
      </w:r>
      <w:r w:rsidR="00F349B0" w:rsidRPr="00303E62">
        <w:rPr>
          <w:rFonts w:ascii="Book Antiqua" w:eastAsia="Calibri" w:hAnsi="Book Antiqua" w:cs="Arial"/>
          <w:sz w:val="24"/>
          <w:szCs w:val="24"/>
          <w:lang w:val="en-GB"/>
        </w:rPr>
        <w:t>and</w:t>
      </w:r>
      <w:r w:rsidRPr="00303E62">
        <w:rPr>
          <w:rFonts w:ascii="Book Antiqua" w:eastAsia="Calibri" w:hAnsi="Book Antiqua" w:cs="Arial"/>
          <w:sz w:val="24"/>
          <w:szCs w:val="24"/>
          <w:lang w:val="en-GB"/>
        </w:rPr>
        <w:t xml:space="preserve"> ALT values </w:t>
      </w:r>
      <w:r w:rsidR="00F349B0" w:rsidRPr="00303E62">
        <w:rPr>
          <w:rFonts w:ascii="Book Antiqua" w:eastAsia="Calibri" w:hAnsi="Book Antiqua" w:cs="Arial"/>
          <w:sz w:val="24"/>
          <w:szCs w:val="24"/>
          <w:lang w:val="en-GB"/>
        </w:rPr>
        <w:t>were</w:t>
      </w:r>
      <w:r w:rsidRPr="00303E62">
        <w:rPr>
          <w:rFonts w:ascii="Book Antiqua" w:eastAsia="Calibri" w:hAnsi="Book Antiqua" w:cs="Arial"/>
          <w:sz w:val="24"/>
          <w:szCs w:val="24"/>
          <w:lang w:val="en-GB"/>
        </w:rPr>
        <w:t xml:space="preserve"> not significantly </w:t>
      </w:r>
      <w:r w:rsidR="00F349B0" w:rsidRPr="00303E62">
        <w:rPr>
          <w:rFonts w:ascii="Book Antiqua" w:eastAsia="Calibri" w:hAnsi="Book Antiqua" w:cs="Arial"/>
          <w:sz w:val="24"/>
          <w:szCs w:val="24"/>
          <w:lang w:val="en-GB"/>
        </w:rPr>
        <w:t xml:space="preserve">different </w:t>
      </w:r>
      <w:r w:rsidRPr="00303E62">
        <w:rPr>
          <w:rFonts w:ascii="Book Antiqua" w:eastAsia="Calibri" w:hAnsi="Book Antiqua" w:cs="Arial"/>
          <w:sz w:val="24"/>
          <w:szCs w:val="24"/>
          <w:lang w:val="en-GB"/>
        </w:rPr>
        <w:t>between the three groups</w:t>
      </w:r>
      <w:r w:rsidR="00F349B0" w:rsidRPr="00303E62">
        <w:rPr>
          <w:rFonts w:ascii="Book Antiqua" w:eastAsia="Calibri" w:hAnsi="Book Antiqua" w:cs="Arial"/>
          <w:sz w:val="24"/>
          <w:szCs w:val="24"/>
          <w:lang w:val="en-GB"/>
        </w:rPr>
        <w:t xml:space="preserve"> at the latest ERC before LT or detection of CCA</w:t>
      </w:r>
      <w:r w:rsidRPr="00303E62">
        <w:rPr>
          <w:rFonts w:ascii="Book Antiqua" w:eastAsia="Calibri" w:hAnsi="Book Antiqua" w:cs="Arial"/>
          <w:sz w:val="24"/>
          <w:szCs w:val="24"/>
          <w:lang w:val="en-GB"/>
        </w:rPr>
        <w:t xml:space="preserve">. CA19-9 was higher </w:t>
      </w:r>
      <w:r w:rsidR="00F349B0"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CCA patients (</w:t>
      </w:r>
      <w:r w:rsidR="00CF64C3" w:rsidRPr="00CF64C3">
        <w:rPr>
          <w:rFonts w:ascii="Book Antiqua" w:eastAsia="Calibri" w:hAnsi="Book Antiqua" w:cs="Arial"/>
          <w:i/>
          <w:caps/>
          <w:sz w:val="24"/>
          <w:szCs w:val="24"/>
          <w:lang w:val="en-GB"/>
        </w:rPr>
        <w:t>p</w:t>
      </w:r>
      <w:r w:rsidR="00CF64C3"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Pr="00303E62">
        <w:rPr>
          <w:rFonts w:ascii="Book Antiqua" w:eastAsia="Calibri" w:hAnsi="Book Antiqua" w:cs="Arial"/>
          <w:sz w:val="24"/>
          <w:szCs w:val="24"/>
          <w:lang w:val="en-GB"/>
        </w:rPr>
        <w:t>0.002). CEA values did not significantly</w:t>
      </w:r>
      <w:r w:rsidR="000B0BA2" w:rsidRPr="00303E62">
        <w:rPr>
          <w:rFonts w:ascii="Book Antiqua" w:eastAsia="Calibri" w:hAnsi="Book Antiqua" w:cs="Arial"/>
          <w:sz w:val="24"/>
          <w:szCs w:val="24"/>
          <w:lang w:val="en-GB"/>
        </w:rPr>
        <w:t xml:space="preserve"> differ</w:t>
      </w:r>
      <w:r w:rsidRPr="00303E62">
        <w:rPr>
          <w:rFonts w:ascii="Book Antiqua" w:eastAsia="Calibri" w:hAnsi="Book Antiqua" w:cs="Arial"/>
          <w:sz w:val="24"/>
          <w:szCs w:val="24"/>
          <w:lang w:val="en-GB"/>
        </w:rPr>
        <w:t xml:space="preserve"> between groups (</w:t>
      </w:r>
      <w:r w:rsidR="00CF64C3" w:rsidRPr="00CF64C3">
        <w:rPr>
          <w:rFonts w:ascii="Book Antiqua" w:eastAsia="Calibri" w:hAnsi="Book Antiqua" w:cs="Arial"/>
          <w:i/>
          <w:caps/>
          <w:sz w:val="24"/>
          <w:szCs w:val="24"/>
          <w:lang w:val="en-GB"/>
        </w:rPr>
        <w:t>p</w:t>
      </w:r>
      <w:r w:rsidR="00CF64C3"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Pr="00303E62">
        <w:rPr>
          <w:rFonts w:ascii="Book Antiqua" w:eastAsia="Calibri" w:hAnsi="Book Antiqua" w:cs="Arial"/>
          <w:sz w:val="24"/>
          <w:szCs w:val="24"/>
          <w:lang w:val="en-GB"/>
        </w:rPr>
        <w:t xml:space="preserve">0.081).  </w:t>
      </w:r>
    </w:p>
    <w:p w14:paraId="6E0340E6"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0BE2960B" w14:textId="77777777" w:rsidR="00CF64C3" w:rsidRDefault="00663156" w:rsidP="00D305D7">
      <w:pPr>
        <w:snapToGrid w:val="0"/>
        <w:spacing w:after="0" w:line="360" w:lineRule="auto"/>
        <w:jc w:val="both"/>
        <w:rPr>
          <w:rFonts w:ascii="Book Antiqua" w:hAnsi="Book Antiqua" w:cs="Arial"/>
          <w:i/>
          <w:sz w:val="24"/>
          <w:szCs w:val="24"/>
          <w:lang w:val="en-GB" w:eastAsia="zh-CN"/>
        </w:rPr>
      </w:pPr>
      <w:r w:rsidRPr="00303E62">
        <w:rPr>
          <w:rFonts w:ascii="Book Antiqua" w:eastAsia="Calibri" w:hAnsi="Book Antiqua" w:cs="Arial"/>
          <w:b/>
          <w:i/>
          <w:sz w:val="24"/>
          <w:szCs w:val="24"/>
          <w:lang w:val="en-GB"/>
        </w:rPr>
        <w:t>ERC findings</w:t>
      </w:r>
    </w:p>
    <w:p w14:paraId="6B76E107" w14:textId="75FE8EED"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There were no significant differences in ERC scores between patient groups (Table 2). </w:t>
      </w:r>
      <w:r w:rsidR="00F349B0" w:rsidRPr="00303E62">
        <w:rPr>
          <w:rFonts w:ascii="Book Antiqua" w:eastAsia="Calibri" w:hAnsi="Book Antiqua" w:cs="Arial"/>
          <w:sz w:val="24"/>
          <w:szCs w:val="24"/>
          <w:lang w:val="en-GB"/>
        </w:rPr>
        <w:t>I</w:t>
      </w:r>
      <w:r w:rsidRPr="00303E62">
        <w:rPr>
          <w:rFonts w:ascii="Book Antiqua" w:eastAsia="Calibri" w:hAnsi="Book Antiqua" w:cs="Arial"/>
          <w:sz w:val="24"/>
          <w:szCs w:val="24"/>
          <w:lang w:val="en-GB"/>
        </w:rPr>
        <w:t xml:space="preserve">ntrahepatic disease </w:t>
      </w:r>
      <w:r w:rsidR="00525A13" w:rsidRPr="00303E62">
        <w:rPr>
          <w:rFonts w:ascii="Book Antiqua" w:eastAsia="Calibri" w:hAnsi="Book Antiqua" w:cs="Arial"/>
          <w:sz w:val="24"/>
          <w:szCs w:val="24"/>
          <w:lang w:val="en-GB"/>
        </w:rPr>
        <w:t>without</w:t>
      </w:r>
      <w:r w:rsidR="00923921" w:rsidRPr="00303E62">
        <w:rPr>
          <w:rFonts w:ascii="Book Antiqua" w:eastAsia="Calibri" w:hAnsi="Book Antiqua" w:cs="Arial"/>
          <w:sz w:val="24"/>
          <w:szCs w:val="24"/>
          <w:lang w:val="en-GB"/>
        </w:rPr>
        <w:t xml:space="preserve"> extrahepatic change</w:t>
      </w:r>
      <w:r w:rsidR="00525A13" w:rsidRPr="00303E62">
        <w:rPr>
          <w:rFonts w:ascii="Book Antiqua" w:eastAsia="Calibri" w:hAnsi="Book Antiqua" w:cs="Arial"/>
          <w:sz w:val="24"/>
          <w:szCs w:val="24"/>
          <w:lang w:val="en-GB"/>
        </w:rPr>
        <w:t>s</w:t>
      </w:r>
      <w:r w:rsidR="00923921"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 xml:space="preserve">was </w:t>
      </w:r>
      <w:r w:rsidR="00F349B0"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ERC in </w:t>
      </w:r>
      <w:r w:rsidR="00F349B0" w:rsidRPr="00303E62">
        <w:rPr>
          <w:rFonts w:ascii="Book Antiqua" w:eastAsia="Calibri" w:hAnsi="Book Antiqua" w:cs="Arial"/>
          <w:sz w:val="24"/>
          <w:szCs w:val="24"/>
          <w:lang w:val="en-GB"/>
        </w:rPr>
        <w:t xml:space="preserve">only </w:t>
      </w:r>
      <w:r w:rsidRPr="00303E62">
        <w:rPr>
          <w:rFonts w:ascii="Book Antiqua" w:eastAsia="Calibri" w:hAnsi="Book Antiqua" w:cs="Arial"/>
          <w:sz w:val="24"/>
          <w:szCs w:val="24"/>
          <w:lang w:val="en-GB"/>
        </w:rPr>
        <w:t xml:space="preserve">two patients, </w:t>
      </w:r>
      <w:r w:rsidR="00F349B0" w:rsidRPr="00303E62">
        <w:rPr>
          <w:rFonts w:ascii="Book Antiqua" w:eastAsia="Calibri" w:hAnsi="Book Antiqua" w:cs="Arial"/>
          <w:sz w:val="24"/>
          <w:szCs w:val="24"/>
          <w:lang w:val="en-GB"/>
        </w:rPr>
        <w:t xml:space="preserve">and </w:t>
      </w:r>
      <w:r w:rsidRPr="00303E62">
        <w:rPr>
          <w:rFonts w:ascii="Book Antiqua" w:eastAsia="Calibri" w:hAnsi="Book Antiqua" w:cs="Arial"/>
          <w:sz w:val="24"/>
          <w:szCs w:val="24"/>
          <w:lang w:val="en-GB"/>
        </w:rPr>
        <w:t xml:space="preserve">both </w:t>
      </w:r>
      <w:r w:rsidR="00F349B0" w:rsidRPr="00303E62">
        <w:rPr>
          <w:rFonts w:ascii="Book Antiqua" w:eastAsia="Calibri" w:hAnsi="Book Antiqua" w:cs="Arial"/>
          <w:sz w:val="24"/>
          <w:szCs w:val="24"/>
          <w:lang w:val="en-GB"/>
        </w:rPr>
        <w:t>of these patients exhibited</w:t>
      </w:r>
      <w:r w:rsidRPr="00303E62">
        <w:rPr>
          <w:rFonts w:ascii="Book Antiqua" w:eastAsia="Calibri" w:hAnsi="Book Antiqua" w:cs="Arial"/>
          <w:sz w:val="24"/>
          <w:szCs w:val="24"/>
          <w:lang w:val="en-GB"/>
        </w:rPr>
        <w:t xml:space="preserve"> LGD. Only mild extrahepatic ERC changes (modified Amsterdam ERC score 1-2) were </w:t>
      </w:r>
      <w:r w:rsidR="00F349B0"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w:t>
      </w:r>
      <w:r w:rsidR="00F349B0" w:rsidRPr="00303E62">
        <w:rPr>
          <w:rFonts w:ascii="Book Antiqua" w:eastAsia="Calibri" w:hAnsi="Book Antiqua" w:cs="Arial"/>
          <w:sz w:val="24"/>
          <w:szCs w:val="24"/>
          <w:lang w:val="en-GB"/>
        </w:rPr>
        <w:t>11</w:t>
      </w:r>
      <w:r w:rsidRPr="00303E62">
        <w:rPr>
          <w:rFonts w:ascii="Book Antiqua" w:eastAsia="Calibri" w:hAnsi="Book Antiqua" w:cs="Arial"/>
          <w:sz w:val="24"/>
          <w:szCs w:val="24"/>
          <w:lang w:val="en-GB"/>
        </w:rPr>
        <w:t xml:space="preserve"> patients, </w:t>
      </w:r>
      <w:r w:rsidR="00F349B0" w:rsidRPr="00303E62">
        <w:rPr>
          <w:rFonts w:ascii="Book Antiqua" w:eastAsia="Calibri" w:hAnsi="Book Antiqua" w:cs="Arial"/>
          <w:sz w:val="24"/>
          <w:szCs w:val="24"/>
          <w:lang w:val="en-GB"/>
        </w:rPr>
        <w:t xml:space="preserve">and </w:t>
      </w:r>
      <w:r w:rsidRPr="00303E62">
        <w:rPr>
          <w:rFonts w:ascii="Book Antiqua" w:eastAsia="Calibri" w:hAnsi="Book Antiqua" w:cs="Arial"/>
          <w:sz w:val="24"/>
          <w:szCs w:val="24"/>
          <w:lang w:val="en-GB"/>
        </w:rPr>
        <w:t>five of the</w:t>
      </w:r>
      <w:r w:rsidR="00F349B0" w:rsidRPr="00303E62">
        <w:rPr>
          <w:rFonts w:ascii="Book Antiqua" w:eastAsia="Calibri" w:hAnsi="Book Antiqua" w:cs="Arial"/>
          <w:sz w:val="24"/>
          <w:szCs w:val="24"/>
          <w:lang w:val="en-GB"/>
        </w:rPr>
        <w:t>se patients</w:t>
      </w:r>
      <w:r w:rsidRPr="00303E62">
        <w:rPr>
          <w:rFonts w:ascii="Book Antiqua" w:eastAsia="Calibri" w:hAnsi="Book Antiqua" w:cs="Arial"/>
          <w:sz w:val="24"/>
          <w:szCs w:val="24"/>
          <w:lang w:val="en-GB"/>
        </w:rPr>
        <w:t xml:space="preserve"> </w:t>
      </w:r>
      <w:r w:rsidR="00F349B0" w:rsidRPr="00303E62">
        <w:rPr>
          <w:rFonts w:ascii="Book Antiqua" w:eastAsia="Calibri" w:hAnsi="Book Antiqua" w:cs="Arial"/>
          <w:sz w:val="24"/>
          <w:szCs w:val="24"/>
          <w:lang w:val="en-GB"/>
        </w:rPr>
        <w:t>exhibited</w:t>
      </w:r>
      <w:r w:rsidRPr="00303E62">
        <w:rPr>
          <w:rFonts w:ascii="Book Antiqua" w:eastAsia="Calibri" w:hAnsi="Book Antiqua" w:cs="Arial"/>
          <w:sz w:val="24"/>
          <w:szCs w:val="24"/>
          <w:lang w:val="en-GB"/>
        </w:rPr>
        <w:t xml:space="preserve"> CCA. Abundant extrahepatic ERC changes (score</w:t>
      </w:r>
      <w:r w:rsidR="00CF64C3">
        <w:rPr>
          <w:rFonts w:ascii="Book Antiqua" w:eastAsia="Calibri" w:hAnsi="Book Antiqua" w:cs="Arial" w:hint="eastAsia"/>
          <w:sz w:val="24"/>
          <w:szCs w:val="24"/>
          <w:lang w:val="en-GB" w:eastAsia="zh-CN"/>
        </w:rPr>
        <w:t xml:space="preserve"> </w:t>
      </w:r>
      <w:r w:rsidR="00CF64C3">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Pr="00303E62">
        <w:rPr>
          <w:rFonts w:ascii="Book Antiqua" w:eastAsia="Calibri" w:hAnsi="Book Antiqua" w:cs="Arial"/>
          <w:sz w:val="24"/>
          <w:szCs w:val="24"/>
          <w:lang w:val="en-GB"/>
        </w:rPr>
        <w:t xml:space="preserve">3, corresponding </w:t>
      </w:r>
      <w:r w:rsidR="00F349B0" w:rsidRPr="00303E62">
        <w:rPr>
          <w:rFonts w:ascii="Book Antiqua" w:eastAsia="Calibri" w:hAnsi="Book Antiqua" w:cs="Arial"/>
          <w:sz w:val="24"/>
          <w:szCs w:val="24"/>
          <w:lang w:val="en-GB"/>
        </w:rPr>
        <w:t>to</w:t>
      </w:r>
      <w:r w:rsidRPr="00303E62">
        <w:rPr>
          <w:rFonts w:ascii="Book Antiqua" w:eastAsia="Calibri" w:hAnsi="Book Antiqua" w:cs="Arial"/>
          <w:sz w:val="24"/>
          <w:szCs w:val="24"/>
          <w:lang w:val="en-GB"/>
        </w:rPr>
        <w:t xml:space="preserve"> dominant stricture) were </w:t>
      </w:r>
      <w:r w:rsidR="00F349B0"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w:t>
      </w:r>
      <w:r w:rsidR="00F349B0" w:rsidRPr="00303E62">
        <w:rPr>
          <w:rFonts w:ascii="Book Antiqua" w:eastAsia="Calibri" w:hAnsi="Book Antiqua" w:cs="Arial"/>
          <w:sz w:val="24"/>
          <w:szCs w:val="24"/>
          <w:lang w:val="en-GB"/>
        </w:rPr>
        <w:t>32</w:t>
      </w:r>
      <w:r w:rsidRPr="00303E62">
        <w:rPr>
          <w:rFonts w:ascii="Book Antiqua" w:eastAsia="Calibri" w:hAnsi="Book Antiqua" w:cs="Arial"/>
          <w:sz w:val="24"/>
          <w:szCs w:val="24"/>
          <w:lang w:val="en-GB"/>
        </w:rPr>
        <w:t xml:space="preserve"> patients. Fourteen (14/32) of the</w:t>
      </w:r>
      <w:r w:rsidR="00F349B0" w:rsidRPr="00303E62">
        <w:rPr>
          <w:rFonts w:ascii="Book Antiqua" w:eastAsia="Calibri" w:hAnsi="Book Antiqua" w:cs="Arial"/>
          <w:sz w:val="24"/>
          <w:szCs w:val="24"/>
          <w:lang w:val="en-GB"/>
        </w:rPr>
        <w:t>se patients</w:t>
      </w:r>
      <w:r w:rsidRPr="00303E62">
        <w:rPr>
          <w:rFonts w:ascii="Book Antiqua" w:eastAsia="Calibri" w:hAnsi="Book Antiqua" w:cs="Arial"/>
          <w:sz w:val="24"/>
          <w:szCs w:val="24"/>
          <w:lang w:val="en-GB"/>
        </w:rPr>
        <w:t xml:space="preserve"> were diagnosed with CCA.</w:t>
      </w:r>
    </w:p>
    <w:p w14:paraId="1833EE81"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3659DE41" w14:textId="77777777" w:rsidR="00CF64C3" w:rsidRDefault="00663156"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i/>
          <w:sz w:val="24"/>
          <w:szCs w:val="24"/>
          <w:lang w:val="en-GB"/>
        </w:rPr>
        <w:t>Brush cytology</w:t>
      </w:r>
    </w:p>
    <w:p w14:paraId="4AA3B990" w14:textId="30B04552"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All patients underwent ERC with BC </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1-9 BC/patient, median 3 BCs</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The number of available BCs did not significantly</w:t>
      </w:r>
      <w:r w:rsidR="00896133" w:rsidRPr="00303E62">
        <w:rPr>
          <w:rFonts w:ascii="Book Antiqua" w:eastAsia="Calibri" w:hAnsi="Book Antiqua" w:cs="Arial"/>
          <w:sz w:val="24"/>
          <w:szCs w:val="24"/>
          <w:lang w:val="en-GB"/>
        </w:rPr>
        <w:t xml:space="preserve"> differ</w:t>
      </w:r>
      <w:r w:rsidRPr="00303E62">
        <w:rPr>
          <w:rFonts w:ascii="Book Antiqua" w:eastAsia="Calibri" w:hAnsi="Book Antiqua" w:cs="Arial"/>
          <w:sz w:val="24"/>
          <w:szCs w:val="24"/>
          <w:lang w:val="en-GB"/>
        </w:rPr>
        <w:t xml:space="preserve"> between groups (Table 3). </w:t>
      </w:r>
      <w:r w:rsidR="00B672AC" w:rsidRPr="00303E62">
        <w:rPr>
          <w:rFonts w:ascii="Book Antiqua" w:eastAsia="Calibri" w:hAnsi="Book Antiqua" w:cs="Arial"/>
          <w:sz w:val="24"/>
          <w:szCs w:val="24"/>
          <w:lang w:val="en-GB"/>
        </w:rPr>
        <w:t xml:space="preserve">Suspicious BC was </w:t>
      </w:r>
      <w:r w:rsidR="00D3651B" w:rsidRPr="00303E62">
        <w:rPr>
          <w:rFonts w:ascii="Book Antiqua" w:eastAsia="Calibri" w:hAnsi="Book Antiqua" w:cs="Arial"/>
          <w:sz w:val="24"/>
          <w:szCs w:val="24"/>
          <w:lang w:val="en-GB"/>
        </w:rPr>
        <w:t>observed</w:t>
      </w:r>
      <w:r w:rsidR="00B672AC" w:rsidRPr="00303E62">
        <w:rPr>
          <w:rFonts w:ascii="Book Antiqua" w:eastAsia="Calibri" w:hAnsi="Book Antiqua" w:cs="Arial"/>
          <w:sz w:val="24"/>
          <w:szCs w:val="24"/>
          <w:lang w:val="en-GB"/>
        </w:rPr>
        <w:t xml:space="preserve"> in 11/16 patients with LGD, 8/10 patients with HGD and 4/4 </w:t>
      </w:r>
      <w:r w:rsidR="00D3651B" w:rsidRPr="00303E62">
        <w:rPr>
          <w:rFonts w:ascii="Book Antiqua" w:eastAsia="Calibri" w:hAnsi="Book Antiqua" w:cs="Arial"/>
          <w:sz w:val="24"/>
          <w:szCs w:val="24"/>
          <w:lang w:val="en-GB"/>
        </w:rPr>
        <w:t xml:space="preserve">patients </w:t>
      </w:r>
      <w:r w:rsidR="00B672AC" w:rsidRPr="00303E62">
        <w:rPr>
          <w:rFonts w:ascii="Book Antiqua" w:eastAsia="Calibri" w:hAnsi="Book Antiqua" w:cs="Arial"/>
          <w:sz w:val="24"/>
          <w:szCs w:val="24"/>
          <w:lang w:val="en-GB"/>
        </w:rPr>
        <w:t xml:space="preserve">with CCA </w:t>
      </w:r>
      <w:r w:rsidR="00D3651B" w:rsidRPr="00303E62">
        <w:rPr>
          <w:rFonts w:ascii="Book Antiqua" w:eastAsia="Calibri" w:hAnsi="Book Antiqua" w:cs="Arial"/>
          <w:sz w:val="24"/>
          <w:szCs w:val="24"/>
          <w:lang w:val="en-GB"/>
        </w:rPr>
        <w:t>in</w:t>
      </w:r>
      <w:r w:rsidR="00B672AC" w:rsidRPr="00303E62">
        <w:rPr>
          <w:rFonts w:ascii="Book Antiqua" w:eastAsia="Calibri" w:hAnsi="Book Antiqua" w:cs="Arial"/>
          <w:sz w:val="24"/>
          <w:szCs w:val="24"/>
          <w:lang w:val="en-GB"/>
        </w:rPr>
        <w:t xml:space="preserve"> liver transplanted patients. </w:t>
      </w:r>
      <w:r w:rsidR="00D3651B" w:rsidRPr="00303E62">
        <w:rPr>
          <w:rFonts w:ascii="Book Antiqua" w:eastAsia="Calibri" w:hAnsi="Book Antiqua" w:cs="Arial"/>
          <w:sz w:val="24"/>
          <w:szCs w:val="24"/>
          <w:lang w:val="en-GB"/>
        </w:rPr>
        <w:t>Eleven of 15</w:t>
      </w:r>
      <w:r w:rsidR="00B672AC" w:rsidRPr="00303E62">
        <w:rPr>
          <w:rFonts w:ascii="Book Antiqua" w:eastAsia="Calibri" w:hAnsi="Book Antiqua" w:cs="Arial"/>
          <w:sz w:val="24"/>
          <w:szCs w:val="24"/>
          <w:lang w:val="en-GB"/>
        </w:rPr>
        <w:t xml:space="preserve"> patients without LT had suspicious or malignant BC (malignant 2</w:t>
      </w:r>
      <w:r w:rsidR="00D3651B" w:rsidRPr="00303E62">
        <w:rPr>
          <w:rFonts w:ascii="Book Antiqua" w:eastAsia="Calibri" w:hAnsi="Book Antiqua" w:cs="Arial"/>
          <w:sz w:val="24"/>
          <w:szCs w:val="24"/>
          <w:lang w:val="en-GB"/>
        </w:rPr>
        <w:t xml:space="preserve"> patients</w:t>
      </w:r>
      <w:r w:rsidR="00B672AC" w:rsidRPr="00303E62">
        <w:rPr>
          <w:rFonts w:ascii="Book Antiqua" w:eastAsia="Calibri" w:hAnsi="Book Antiqua" w:cs="Arial"/>
          <w:sz w:val="24"/>
          <w:szCs w:val="24"/>
          <w:lang w:val="en-GB"/>
        </w:rPr>
        <w:t xml:space="preserve">, suspicious 9 patients). </w:t>
      </w:r>
      <w:r w:rsidR="00D3651B"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uspicious or malignant BC was </w:t>
      </w:r>
      <w:r w:rsidR="00D3651B"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34/45 patients (76%)</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with no difference b</w:t>
      </w:r>
      <w:r w:rsidR="00D76B03" w:rsidRPr="00303E62">
        <w:rPr>
          <w:rFonts w:ascii="Book Antiqua" w:eastAsia="Calibri" w:hAnsi="Book Antiqua" w:cs="Arial"/>
          <w:sz w:val="24"/>
          <w:szCs w:val="24"/>
          <w:lang w:val="en-GB"/>
        </w:rPr>
        <w:t xml:space="preserve">etween the </w:t>
      </w:r>
      <w:r w:rsidR="00773FF1" w:rsidRPr="00303E62">
        <w:rPr>
          <w:rFonts w:ascii="Book Antiqua" w:eastAsia="Calibri" w:hAnsi="Book Antiqua" w:cs="Arial"/>
          <w:sz w:val="24"/>
          <w:szCs w:val="24"/>
          <w:lang w:val="en-GB"/>
        </w:rPr>
        <w:t xml:space="preserve">neoplastic </w:t>
      </w:r>
      <w:r w:rsidR="00D76B03" w:rsidRPr="00303E62">
        <w:rPr>
          <w:rFonts w:ascii="Book Antiqua" w:eastAsia="Calibri" w:hAnsi="Book Antiqua" w:cs="Arial"/>
          <w:sz w:val="24"/>
          <w:szCs w:val="24"/>
          <w:lang w:val="en-GB"/>
        </w:rPr>
        <w:t>groups.</w:t>
      </w:r>
    </w:p>
    <w:p w14:paraId="75602F3B"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6A89F427" w14:textId="77777777" w:rsidR="00CF64C3" w:rsidRDefault="00663156" w:rsidP="00D305D7">
      <w:pPr>
        <w:snapToGrid w:val="0"/>
        <w:spacing w:after="0" w:line="360" w:lineRule="auto"/>
        <w:jc w:val="both"/>
        <w:rPr>
          <w:rFonts w:ascii="Book Antiqua" w:hAnsi="Book Antiqua" w:cs="Arial"/>
          <w:sz w:val="24"/>
          <w:szCs w:val="24"/>
          <w:lang w:val="en-GB" w:eastAsia="zh-CN"/>
        </w:rPr>
      </w:pPr>
      <w:r w:rsidRPr="00303E62">
        <w:rPr>
          <w:rFonts w:ascii="Book Antiqua" w:eastAsia="Calibri" w:hAnsi="Book Antiqua" w:cs="Arial"/>
          <w:b/>
          <w:i/>
          <w:sz w:val="24"/>
          <w:szCs w:val="24"/>
          <w:lang w:val="en-GB"/>
        </w:rPr>
        <w:t>Ploidy analyses</w:t>
      </w:r>
    </w:p>
    <w:p w14:paraId="0612A075" w14:textId="49687C25"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Ploidy analysis of a brush sample was available for all patients </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1-7/patient, median 3 DNA flow cytometry analyses</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Aneuploidy was </w:t>
      </w:r>
      <w:r w:rsidR="00D3651B"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18/45 patients (40%), and there were no significant differences between groups. DNA</w:t>
      </w:r>
      <w:r w:rsidR="00D3651B"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indices were between 1 and 2.41 and did not significantly</w:t>
      </w:r>
      <w:r w:rsidR="000B0BA2" w:rsidRPr="00303E62">
        <w:rPr>
          <w:rFonts w:ascii="Book Antiqua" w:eastAsia="Calibri" w:hAnsi="Book Antiqua" w:cs="Arial"/>
          <w:sz w:val="24"/>
          <w:szCs w:val="24"/>
          <w:lang w:val="en-GB"/>
        </w:rPr>
        <w:t xml:space="preserve"> vary</w:t>
      </w:r>
      <w:r w:rsidRPr="00303E62">
        <w:rPr>
          <w:rFonts w:ascii="Book Antiqua" w:eastAsia="Calibri" w:hAnsi="Book Antiqua" w:cs="Arial"/>
          <w:sz w:val="24"/>
          <w:szCs w:val="24"/>
          <w:lang w:val="en-GB"/>
        </w:rPr>
        <w:t xml:space="preserve"> between the three groups. </w:t>
      </w:r>
      <w:r w:rsidR="00D3651B"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he median DNA index </w:t>
      </w:r>
      <w:r w:rsidR="00D3651B" w:rsidRPr="00303E62">
        <w:rPr>
          <w:rFonts w:ascii="Book Antiqua" w:eastAsia="Calibri" w:hAnsi="Book Antiqua" w:cs="Arial"/>
          <w:sz w:val="24"/>
          <w:szCs w:val="24"/>
          <w:lang w:val="en-GB"/>
        </w:rPr>
        <w:t xml:space="preserve">in HGD </w:t>
      </w:r>
      <w:r w:rsidRPr="00303E62">
        <w:rPr>
          <w:rFonts w:ascii="Book Antiqua" w:eastAsia="Calibri" w:hAnsi="Book Antiqua" w:cs="Arial"/>
          <w:sz w:val="24"/>
          <w:szCs w:val="24"/>
          <w:lang w:val="en-GB"/>
        </w:rPr>
        <w:t xml:space="preserve">was 1.2. </w:t>
      </w:r>
    </w:p>
    <w:p w14:paraId="486F7A92"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52C9F0D9" w14:textId="77777777" w:rsidR="00CF64C3" w:rsidRDefault="00663156" w:rsidP="00D305D7">
      <w:pPr>
        <w:snapToGrid w:val="0"/>
        <w:spacing w:after="0" w:line="360" w:lineRule="auto"/>
        <w:jc w:val="both"/>
        <w:rPr>
          <w:rFonts w:ascii="Book Antiqua" w:hAnsi="Book Antiqua" w:cs="Arial"/>
          <w:sz w:val="24"/>
          <w:szCs w:val="24"/>
          <w:lang w:val="en-GB" w:eastAsia="zh-CN"/>
        </w:rPr>
      </w:pPr>
      <w:r w:rsidRPr="00303E62">
        <w:rPr>
          <w:rFonts w:ascii="Book Antiqua" w:eastAsia="Calibri" w:hAnsi="Book Antiqua" w:cs="Arial"/>
          <w:b/>
          <w:i/>
          <w:sz w:val="24"/>
          <w:szCs w:val="24"/>
          <w:lang w:val="en-GB"/>
        </w:rPr>
        <w:t>Symptoms</w:t>
      </w:r>
    </w:p>
    <w:p w14:paraId="13A26580" w14:textId="4DA953E5"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Eighty percent of patients were symptomatic, with no difference between groups (Table 2). However, CCA patients </w:t>
      </w:r>
      <w:r w:rsidR="00EB0A78" w:rsidRPr="00303E62">
        <w:rPr>
          <w:rFonts w:ascii="Book Antiqua" w:eastAsia="Calibri" w:hAnsi="Book Antiqua" w:cs="Arial"/>
          <w:sz w:val="24"/>
          <w:szCs w:val="24"/>
          <w:lang w:val="en-GB"/>
        </w:rPr>
        <w:t>were more often icteri</w:t>
      </w:r>
      <w:r w:rsidR="00D76B03" w:rsidRPr="00303E62">
        <w:rPr>
          <w:rFonts w:ascii="Book Antiqua" w:eastAsia="Calibri" w:hAnsi="Book Antiqua" w:cs="Arial"/>
          <w:sz w:val="24"/>
          <w:szCs w:val="24"/>
          <w:lang w:val="en-GB"/>
        </w:rPr>
        <w:t>c than patients with LGD (</w:t>
      </w:r>
      <w:r w:rsidR="00CF64C3" w:rsidRPr="00CF64C3">
        <w:rPr>
          <w:rFonts w:ascii="Book Antiqua" w:eastAsia="Calibri" w:hAnsi="Book Antiqua" w:cs="Arial"/>
          <w:i/>
          <w:caps/>
          <w:sz w:val="24"/>
          <w:szCs w:val="24"/>
          <w:lang w:val="en-GB"/>
        </w:rPr>
        <w:t>p</w:t>
      </w:r>
      <w:r w:rsidR="00CF64C3" w:rsidRPr="00303E62">
        <w:rPr>
          <w:rFonts w:ascii="Book Antiqua" w:eastAsia="Calibri" w:hAnsi="Book Antiqua" w:cs="Arial"/>
          <w:sz w:val="24"/>
          <w:szCs w:val="24"/>
          <w:lang w:val="en-GB"/>
        </w:rPr>
        <w:t xml:space="preserve"> </w:t>
      </w:r>
      <w:r w:rsidR="00D76B03" w:rsidRPr="00303E62">
        <w:rPr>
          <w:rFonts w:ascii="Book Antiqua" w:eastAsia="Calibri" w:hAnsi="Book Antiqua" w:cs="Arial"/>
          <w:sz w:val="24"/>
          <w:szCs w:val="24"/>
          <w:lang w:val="en-GB"/>
        </w:rPr>
        <w:t>=</w:t>
      </w:r>
      <w:r w:rsidR="00CF64C3">
        <w:rPr>
          <w:rFonts w:ascii="Book Antiqua" w:eastAsia="Calibri" w:hAnsi="Book Antiqua" w:cs="Arial" w:hint="eastAsia"/>
          <w:sz w:val="24"/>
          <w:szCs w:val="24"/>
          <w:lang w:val="en-GB" w:eastAsia="zh-CN"/>
        </w:rPr>
        <w:t xml:space="preserve"> </w:t>
      </w:r>
      <w:r w:rsidR="00D76B03" w:rsidRPr="00303E62">
        <w:rPr>
          <w:rFonts w:ascii="Book Antiqua" w:eastAsia="Calibri" w:hAnsi="Book Antiqua" w:cs="Arial"/>
          <w:sz w:val="24"/>
          <w:szCs w:val="24"/>
          <w:lang w:val="en-GB"/>
        </w:rPr>
        <w:t>0.01</w:t>
      </w:r>
      <w:r w:rsidR="00EB0A78" w:rsidRPr="00303E62">
        <w:rPr>
          <w:rFonts w:ascii="Book Antiqua" w:eastAsia="Calibri" w:hAnsi="Book Antiqua" w:cs="Arial"/>
          <w:sz w:val="24"/>
          <w:szCs w:val="24"/>
          <w:lang w:val="en-GB"/>
        </w:rPr>
        <w:t>4</w:t>
      </w:r>
      <w:r w:rsidRPr="00303E62">
        <w:rPr>
          <w:rFonts w:ascii="Book Antiqua" w:eastAsia="Calibri" w:hAnsi="Book Antiqua" w:cs="Arial"/>
          <w:sz w:val="24"/>
          <w:szCs w:val="24"/>
          <w:lang w:val="en-GB"/>
        </w:rPr>
        <w:t xml:space="preserve">). </w:t>
      </w:r>
    </w:p>
    <w:p w14:paraId="740460CA"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55F059B1" w14:textId="77777777" w:rsidR="00CF64C3" w:rsidRDefault="00663156" w:rsidP="00D305D7">
      <w:pPr>
        <w:snapToGrid w:val="0"/>
        <w:spacing w:after="0" w:line="360" w:lineRule="auto"/>
        <w:jc w:val="both"/>
        <w:rPr>
          <w:rFonts w:ascii="Book Antiqua" w:hAnsi="Book Antiqua" w:cs="Arial"/>
          <w:i/>
          <w:sz w:val="24"/>
          <w:szCs w:val="24"/>
          <w:lang w:val="en-GB" w:eastAsia="zh-CN"/>
        </w:rPr>
      </w:pPr>
      <w:r w:rsidRPr="00303E62">
        <w:rPr>
          <w:rFonts w:ascii="Book Antiqua" w:eastAsia="Calibri" w:hAnsi="Book Antiqua" w:cs="Arial"/>
          <w:b/>
          <w:i/>
          <w:sz w:val="24"/>
          <w:szCs w:val="24"/>
          <w:lang w:val="en-GB"/>
        </w:rPr>
        <w:t>Explanted livers</w:t>
      </w:r>
    </w:p>
    <w:p w14:paraId="581C8D6E" w14:textId="00ADAD94" w:rsidR="00663156" w:rsidRPr="00303E62" w:rsidRDefault="00663156" w:rsidP="00D305D7">
      <w:pPr>
        <w:snapToGrid w:val="0"/>
        <w:spacing w:after="0" w:line="360" w:lineRule="auto"/>
        <w:jc w:val="both"/>
        <w:rPr>
          <w:rFonts w:ascii="Book Antiqua" w:eastAsia="Calibri" w:hAnsi="Book Antiqua" w:cs="Arial"/>
          <w:i/>
          <w:sz w:val="24"/>
          <w:szCs w:val="24"/>
          <w:lang w:val="en-GB"/>
        </w:rPr>
      </w:pPr>
      <w:r w:rsidRPr="00303E62">
        <w:rPr>
          <w:rFonts w:ascii="Book Antiqua" w:eastAsia="Calibri" w:hAnsi="Book Antiqua" w:cs="Arial"/>
          <w:sz w:val="24"/>
          <w:szCs w:val="24"/>
          <w:lang w:val="en-GB"/>
        </w:rPr>
        <w:t xml:space="preserve">The median weight of </w:t>
      </w:r>
      <w:r w:rsidR="00D3651B" w:rsidRPr="00303E62">
        <w:rPr>
          <w:rFonts w:ascii="Book Antiqua" w:eastAsia="Calibri" w:hAnsi="Book Antiqua" w:cs="Arial"/>
          <w:sz w:val="24"/>
          <w:szCs w:val="24"/>
          <w:lang w:val="en-GB"/>
        </w:rPr>
        <w:t>explanted</w:t>
      </w:r>
      <w:r w:rsidRPr="00303E62">
        <w:rPr>
          <w:rFonts w:ascii="Book Antiqua" w:eastAsia="Calibri" w:hAnsi="Book Antiqua" w:cs="Arial"/>
          <w:sz w:val="24"/>
          <w:szCs w:val="24"/>
          <w:lang w:val="en-GB"/>
        </w:rPr>
        <w:t xml:space="preserve"> livers was 1399 g (range, 768-2195 g, IQR 1244-1526</w:t>
      </w:r>
      <w:r w:rsidR="00D3651B"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g). The median fi</w:t>
      </w:r>
      <w:r w:rsidR="00525B28" w:rsidRPr="00303E62">
        <w:rPr>
          <w:rFonts w:ascii="Book Antiqua" w:eastAsia="Calibri" w:hAnsi="Book Antiqua" w:cs="Arial"/>
          <w:sz w:val="24"/>
          <w:szCs w:val="24"/>
          <w:lang w:val="en-GB"/>
        </w:rPr>
        <w:t>brosis stage was 3 (range 1-4</w:t>
      </w:r>
      <w:r w:rsidR="00AA70C9" w:rsidRPr="00303E62">
        <w:rPr>
          <w:rFonts w:ascii="Book Antiqua" w:eastAsia="Calibri" w:hAnsi="Book Antiqua" w:cs="Arial"/>
          <w:sz w:val="24"/>
          <w:szCs w:val="24"/>
          <w:vertAlign w:val="superscript"/>
          <w:lang w:val="en-GB"/>
        </w:rPr>
        <w:t>[8</w:t>
      </w:r>
      <w:r w:rsidR="00525B28"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with no difference between the groups. Only mild fibrosis (stage 1-2) was </w:t>
      </w:r>
      <w:r w:rsidR="00D3651B"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3/16 of the patients with LGD, and 4/14 </w:t>
      </w:r>
      <w:r w:rsidR="00D3651B" w:rsidRPr="00303E62">
        <w:rPr>
          <w:rFonts w:ascii="Book Antiqua" w:eastAsia="Calibri" w:hAnsi="Book Antiqua" w:cs="Arial"/>
          <w:sz w:val="24"/>
          <w:szCs w:val="24"/>
          <w:lang w:val="en-GB"/>
        </w:rPr>
        <w:t xml:space="preserve">patients </w:t>
      </w:r>
      <w:r w:rsidRPr="00303E62">
        <w:rPr>
          <w:rFonts w:ascii="Book Antiqua" w:eastAsia="Calibri" w:hAnsi="Book Antiqua" w:cs="Arial"/>
          <w:sz w:val="24"/>
          <w:szCs w:val="24"/>
          <w:lang w:val="en-GB"/>
        </w:rPr>
        <w:t>with HGD or CCA</w:t>
      </w:r>
      <w:r w:rsidR="00D3651B"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t>
      </w:r>
      <w:r w:rsidR="00D3651B"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he re</w:t>
      </w:r>
      <w:r w:rsidR="00D3651B" w:rsidRPr="00303E62">
        <w:rPr>
          <w:rFonts w:ascii="Book Antiqua" w:eastAsia="Calibri" w:hAnsi="Book Antiqua" w:cs="Arial"/>
          <w:sz w:val="24"/>
          <w:szCs w:val="24"/>
          <w:lang w:val="en-GB"/>
        </w:rPr>
        <w:t>maining patients exhibited</w:t>
      </w:r>
      <w:r w:rsidRPr="00303E62">
        <w:rPr>
          <w:rFonts w:ascii="Book Antiqua" w:eastAsia="Calibri" w:hAnsi="Book Antiqua" w:cs="Arial"/>
          <w:sz w:val="24"/>
          <w:szCs w:val="24"/>
          <w:lang w:val="en-GB"/>
        </w:rPr>
        <w:t xml:space="preserve"> a fibrosis stage of 3-4. Histologically typical PSC morphology was </w:t>
      </w:r>
      <w:r w:rsidR="00D3651B"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all liver samples, including onion-skin fibrosis around the bile ducts and cholangitis. No dysplasia in peripheric bile ducts was </w:t>
      </w:r>
      <w:r w:rsidR="00D3651B"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All patients with HGD also </w:t>
      </w:r>
      <w:r w:rsidR="00D3651B" w:rsidRPr="00303E62">
        <w:rPr>
          <w:rFonts w:ascii="Book Antiqua" w:eastAsia="Calibri" w:hAnsi="Book Antiqua" w:cs="Arial"/>
          <w:sz w:val="24"/>
          <w:szCs w:val="24"/>
          <w:lang w:val="en-GB"/>
        </w:rPr>
        <w:t>exhibite</w:t>
      </w:r>
      <w:r w:rsidRPr="00303E62">
        <w:rPr>
          <w:rFonts w:ascii="Book Antiqua" w:eastAsia="Calibri" w:hAnsi="Book Antiqua" w:cs="Arial"/>
          <w:sz w:val="24"/>
          <w:szCs w:val="24"/>
          <w:lang w:val="en-GB"/>
        </w:rPr>
        <w:t xml:space="preserve">d LGD of the bile ducts. All CCA patients also </w:t>
      </w:r>
      <w:r w:rsidR="00563494" w:rsidRPr="00303E62">
        <w:rPr>
          <w:rFonts w:ascii="Book Antiqua" w:eastAsia="Calibri" w:hAnsi="Book Antiqua" w:cs="Arial"/>
          <w:sz w:val="24"/>
          <w:szCs w:val="24"/>
          <w:lang w:val="en-GB"/>
        </w:rPr>
        <w:t>exhibite</w:t>
      </w:r>
      <w:r w:rsidRPr="00303E62">
        <w:rPr>
          <w:rFonts w:ascii="Book Antiqua" w:eastAsia="Calibri" w:hAnsi="Book Antiqua" w:cs="Arial"/>
          <w:sz w:val="24"/>
          <w:szCs w:val="24"/>
          <w:lang w:val="en-GB"/>
        </w:rPr>
        <w:t xml:space="preserve">d HGD of the bile ducts. Hepatocellular carcinoma was </w:t>
      </w:r>
      <w:r w:rsidR="00563494"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two patients, who also </w:t>
      </w:r>
      <w:r w:rsidR="00563494" w:rsidRPr="00303E62">
        <w:rPr>
          <w:rFonts w:ascii="Book Antiqua" w:eastAsia="Calibri" w:hAnsi="Book Antiqua" w:cs="Arial"/>
          <w:sz w:val="24"/>
          <w:szCs w:val="24"/>
          <w:lang w:val="en-GB"/>
        </w:rPr>
        <w:t>exhibite</w:t>
      </w:r>
      <w:r w:rsidRPr="00303E62">
        <w:rPr>
          <w:rFonts w:ascii="Book Antiqua" w:eastAsia="Calibri" w:hAnsi="Book Antiqua" w:cs="Arial"/>
          <w:sz w:val="24"/>
          <w:szCs w:val="24"/>
          <w:lang w:val="en-GB"/>
        </w:rPr>
        <w:t>d LGD.</w:t>
      </w:r>
    </w:p>
    <w:p w14:paraId="21E8A4D0" w14:textId="77777777" w:rsidR="00CF64C3" w:rsidRDefault="00CF64C3" w:rsidP="00D305D7">
      <w:pPr>
        <w:snapToGrid w:val="0"/>
        <w:spacing w:after="0" w:line="360" w:lineRule="auto"/>
        <w:jc w:val="both"/>
        <w:rPr>
          <w:rFonts w:ascii="Book Antiqua" w:hAnsi="Book Antiqua" w:cs="Arial"/>
          <w:b/>
          <w:i/>
          <w:sz w:val="24"/>
          <w:szCs w:val="24"/>
          <w:lang w:val="en-GB" w:eastAsia="zh-CN"/>
        </w:rPr>
      </w:pPr>
    </w:p>
    <w:p w14:paraId="3EA64C53" w14:textId="73B1E72A" w:rsidR="00CF64C3" w:rsidRDefault="00CF64C3" w:rsidP="00D305D7">
      <w:pPr>
        <w:snapToGrid w:val="0"/>
        <w:spacing w:after="0" w:line="360" w:lineRule="auto"/>
        <w:jc w:val="both"/>
        <w:rPr>
          <w:rFonts w:ascii="Book Antiqua" w:hAnsi="Book Antiqua" w:cs="Arial"/>
          <w:sz w:val="24"/>
          <w:szCs w:val="24"/>
          <w:lang w:val="en-GB" w:eastAsia="zh-CN"/>
        </w:rPr>
      </w:pPr>
      <w:r>
        <w:rPr>
          <w:rFonts w:ascii="Book Antiqua" w:eastAsia="Calibri" w:hAnsi="Book Antiqua" w:cs="Arial" w:hint="eastAsia"/>
          <w:b/>
          <w:i/>
          <w:sz w:val="24"/>
          <w:szCs w:val="24"/>
          <w:lang w:val="en-GB" w:eastAsia="zh-CN"/>
        </w:rPr>
        <w:t>CCA</w:t>
      </w:r>
    </w:p>
    <w:p w14:paraId="5A6A9C10" w14:textId="607D06BC" w:rsidR="00663156" w:rsidRPr="00303E62" w:rsidRDefault="00563494"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N</w:t>
      </w:r>
      <w:r w:rsidR="00663156" w:rsidRPr="00303E62">
        <w:rPr>
          <w:rFonts w:ascii="Book Antiqua" w:eastAsia="Calibri" w:hAnsi="Book Antiqua" w:cs="Arial"/>
          <w:sz w:val="24"/>
          <w:szCs w:val="24"/>
          <w:lang w:val="en-GB"/>
        </w:rPr>
        <w:t xml:space="preserve">ineteen patients </w:t>
      </w:r>
      <w:r w:rsidRPr="00303E62">
        <w:rPr>
          <w:rFonts w:ascii="Book Antiqua" w:eastAsia="Calibri" w:hAnsi="Book Antiqua" w:cs="Arial"/>
          <w:sz w:val="24"/>
          <w:szCs w:val="24"/>
          <w:lang w:val="en-GB"/>
        </w:rPr>
        <w:t>exhibited</w:t>
      </w:r>
      <w:r w:rsidR="00663156" w:rsidRPr="00303E62">
        <w:rPr>
          <w:rFonts w:ascii="Book Antiqua" w:eastAsia="Calibri" w:hAnsi="Book Antiqua" w:cs="Arial"/>
          <w:sz w:val="24"/>
          <w:szCs w:val="24"/>
          <w:lang w:val="en-GB"/>
        </w:rPr>
        <w:t xml:space="preserve"> CCA.</w:t>
      </w:r>
      <w:r w:rsidR="00663156" w:rsidRPr="00303E62">
        <w:rPr>
          <w:rFonts w:ascii="Book Antiqua" w:eastAsia="Calibri" w:hAnsi="Book Antiqua" w:cs="Arial"/>
          <w:b/>
          <w:sz w:val="24"/>
          <w:szCs w:val="24"/>
          <w:lang w:val="en-GB"/>
        </w:rPr>
        <w:t xml:space="preserve"> </w:t>
      </w:r>
      <w:r w:rsidR="00663156" w:rsidRPr="00303E62">
        <w:rPr>
          <w:rFonts w:ascii="Book Antiqua" w:eastAsia="Calibri" w:hAnsi="Book Antiqua" w:cs="Arial"/>
          <w:sz w:val="24"/>
          <w:szCs w:val="24"/>
          <w:lang w:val="en-GB"/>
        </w:rPr>
        <w:t xml:space="preserve">Four CCAs were diagnosed in </w:t>
      </w:r>
      <w:r w:rsidR="003553FA" w:rsidRPr="00303E62">
        <w:rPr>
          <w:rFonts w:ascii="Book Antiqua" w:eastAsia="Calibri" w:hAnsi="Book Antiqua" w:cs="Arial"/>
          <w:sz w:val="24"/>
          <w:szCs w:val="24"/>
          <w:lang w:val="en-GB"/>
        </w:rPr>
        <w:t>explanted liver</w:t>
      </w:r>
      <w:r w:rsidRPr="00303E62">
        <w:rPr>
          <w:rFonts w:ascii="Book Antiqua" w:eastAsia="Calibri" w:hAnsi="Book Antiqua" w:cs="Arial"/>
          <w:sz w:val="24"/>
          <w:szCs w:val="24"/>
          <w:lang w:val="en-GB"/>
        </w:rPr>
        <w:t>s</w:t>
      </w:r>
      <w:r w:rsidR="003553FA" w:rsidRPr="00303E62">
        <w:rPr>
          <w:rFonts w:ascii="Book Antiqua" w:eastAsia="Calibri" w:hAnsi="Book Antiqua" w:cs="Arial"/>
          <w:sz w:val="24"/>
          <w:szCs w:val="24"/>
          <w:lang w:val="en-GB"/>
        </w:rPr>
        <w:t xml:space="preserve"> after LT. T</w:t>
      </w:r>
      <w:r w:rsidR="00663156" w:rsidRPr="00303E62">
        <w:rPr>
          <w:rFonts w:ascii="Book Antiqua" w:eastAsia="Calibri" w:hAnsi="Book Antiqua" w:cs="Arial"/>
          <w:sz w:val="24"/>
          <w:szCs w:val="24"/>
          <w:lang w:val="en-GB"/>
        </w:rPr>
        <w:t>wo CCAs were diagnosed at laparotomy during a planned LT. Tw</w:t>
      </w:r>
      <w:r w:rsidR="003553FA" w:rsidRPr="00303E62">
        <w:rPr>
          <w:rFonts w:ascii="Book Antiqua" w:eastAsia="Calibri" w:hAnsi="Book Antiqua" w:cs="Arial"/>
          <w:sz w:val="24"/>
          <w:szCs w:val="24"/>
          <w:lang w:val="en-GB"/>
        </w:rPr>
        <w:t xml:space="preserve">o CCAs were detected at autopsy. </w:t>
      </w:r>
      <w:r w:rsidRPr="00303E62">
        <w:rPr>
          <w:rFonts w:ascii="Book Antiqua" w:eastAsia="Calibri" w:hAnsi="Book Antiqua" w:cs="Arial"/>
          <w:sz w:val="24"/>
          <w:szCs w:val="24"/>
          <w:lang w:val="en-GB"/>
        </w:rPr>
        <w:t>A</w:t>
      </w:r>
      <w:r w:rsidR="003553FA" w:rsidRPr="00303E62">
        <w:rPr>
          <w:rFonts w:ascii="Book Antiqua" w:eastAsia="Calibri" w:hAnsi="Book Antiqua" w:cs="Arial"/>
          <w:sz w:val="24"/>
          <w:szCs w:val="24"/>
          <w:lang w:val="en-GB"/>
        </w:rPr>
        <w:t xml:space="preserve"> histological </w:t>
      </w:r>
      <w:r w:rsidR="00D46A66" w:rsidRPr="00303E62">
        <w:rPr>
          <w:rFonts w:ascii="Book Antiqua" w:eastAsia="Calibri" w:hAnsi="Book Antiqua" w:cs="Arial"/>
          <w:sz w:val="24"/>
          <w:szCs w:val="24"/>
          <w:lang w:val="en-GB"/>
        </w:rPr>
        <w:t>sample</w:t>
      </w:r>
      <w:r w:rsidR="00753904" w:rsidRPr="00303E62">
        <w:rPr>
          <w:rFonts w:ascii="Book Antiqua" w:eastAsia="Calibri" w:hAnsi="Book Antiqua" w:cs="Arial"/>
          <w:sz w:val="24"/>
          <w:szCs w:val="24"/>
          <w:lang w:val="en-GB"/>
        </w:rPr>
        <w:t xml:space="preserve"> from the main tumo</w:t>
      </w:r>
      <w:r w:rsidRPr="00303E62">
        <w:rPr>
          <w:rFonts w:ascii="Book Antiqua" w:eastAsia="Calibri" w:hAnsi="Book Antiqua" w:cs="Arial"/>
          <w:sz w:val="24"/>
          <w:szCs w:val="24"/>
          <w:lang w:val="en-GB"/>
        </w:rPr>
        <w:t>u</w:t>
      </w:r>
      <w:r w:rsidR="00753904" w:rsidRPr="00303E62">
        <w:rPr>
          <w:rFonts w:ascii="Book Antiqua" w:eastAsia="Calibri" w:hAnsi="Book Antiqua" w:cs="Arial"/>
          <w:sz w:val="24"/>
          <w:szCs w:val="24"/>
          <w:lang w:val="en-GB"/>
        </w:rPr>
        <w:t>r or metastasis</w:t>
      </w:r>
      <w:r w:rsidR="003553FA" w:rsidRPr="00303E62">
        <w:rPr>
          <w:rFonts w:ascii="Book Antiqua" w:eastAsia="Calibri" w:hAnsi="Book Antiqua" w:cs="Arial"/>
          <w:sz w:val="24"/>
          <w:szCs w:val="24"/>
          <w:lang w:val="en-GB"/>
        </w:rPr>
        <w:t xml:space="preserve"> was obtained </w:t>
      </w:r>
      <w:r w:rsidRPr="00303E62">
        <w:rPr>
          <w:rFonts w:ascii="Book Antiqua" w:eastAsia="Calibri" w:hAnsi="Book Antiqua" w:cs="Arial"/>
          <w:sz w:val="24"/>
          <w:szCs w:val="24"/>
          <w:lang w:val="en-GB"/>
        </w:rPr>
        <w:t>dur</w:t>
      </w:r>
      <w:r w:rsidR="00663156"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g</w:t>
      </w:r>
      <w:r w:rsidR="00663156" w:rsidRPr="00303E62">
        <w:rPr>
          <w:rFonts w:ascii="Book Antiqua" w:eastAsia="Calibri" w:hAnsi="Book Antiqua" w:cs="Arial"/>
          <w:sz w:val="24"/>
          <w:szCs w:val="24"/>
          <w:lang w:val="en-GB"/>
        </w:rPr>
        <w:t xml:space="preserve"> surgery or </w:t>
      </w:r>
      <w:r w:rsidR="003553FA" w:rsidRPr="00303E62">
        <w:rPr>
          <w:rFonts w:ascii="Book Antiqua" w:eastAsia="Calibri" w:hAnsi="Book Antiqua" w:cs="Arial"/>
          <w:sz w:val="24"/>
          <w:szCs w:val="24"/>
          <w:lang w:val="en-GB"/>
        </w:rPr>
        <w:t>core-needle</w:t>
      </w:r>
      <w:r w:rsidR="00663156" w:rsidRPr="00303E62">
        <w:rPr>
          <w:rFonts w:ascii="Book Antiqua" w:eastAsia="Calibri" w:hAnsi="Book Antiqua" w:cs="Arial"/>
          <w:sz w:val="24"/>
          <w:szCs w:val="24"/>
          <w:lang w:val="en-GB"/>
        </w:rPr>
        <w:t xml:space="preserve"> biopsy</w:t>
      </w:r>
      <w:r w:rsidRPr="00303E62">
        <w:rPr>
          <w:rFonts w:ascii="Book Antiqua" w:eastAsia="Calibri" w:hAnsi="Book Antiqua" w:cs="Arial"/>
          <w:sz w:val="24"/>
          <w:szCs w:val="24"/>
          <w:lang w:val="en-GB"/>
        </w:rPr>
        <w:t xml:space="preserve"> in eight patients</w:t>
      </w:r>
      <w:r w:rsidR="003553FA" w:rsidRPr="00303E62">
        <w:rPr>
          <w:rFonts w:ascii="Book Antiqua" w:eastAsia="Calibri" w:hAnsi="Book Antiqua" w:cs="Arial"/>
          <w:sz w:val="24"/>
          <w:szCs w:val="24"/>
          <w:lang w:val="en-GB"/>
        </w:rPr>
        <w:t>. T</w:t>
      </w:r>
      <w:r w:rsidR="00663156" w:rsidRPr="00303E62">
        <w:rPr>
          <w:rFonts w:ascii="Book Antiqua" w:eastAsia="Calibri" w:hAnsi="Book Antiqua" w:cs="Arial"/>
          <w:sz w:val="24"/>
          <w:szCs w:val="24"/>
          <w:lang w:val="en-GB"/>
        </w:rPr>
        <w:t xml:space="preserve">wo </w:t>
      </w:r>
      <w:r w:rsidR="003553FA" w:rsidRPr="00303E62">
        <w:rPr>
          <w:rFonts w:ascii="Book Antiqua" w:eastAsia="Calibri" w:hAnsi="Book Antiqua" w:cs="Arial"/>
          <w:sz w:val="24"/>
          <w:szCs w:val="24"/>
          <w:lang w:val="en-GB"/>
        </w:rPr>
        <w:t>CCAs were verified with</w:t>
      </w:r>
      <w:r w:rsidR="00663156" w:rsidRPr="00303E62">
        <w:rPr>
          <w:rFonts w:ascii="Book Antiqua" w:eastAsia="Calibri" w:hAnsi="Book Antiqua" w:cs="Arial"/>
          <w:sz w:val="24"/>
          <w:szCs w:val="24"/>
          <w:lang w:val="en-GB"/>
        </w:rPr>
        <w:t xml:space="preserve"> imaging and (malignant) BC</w:t>
      </w:r>
      <w:r w:rsidRPr="00303E62">
        <w:rPr>
          <w:rFonts w:ascii="Book Antiqua" w:eastAsia="Calibri" w:hAnsi="Book Antiqua" w:cs="Arial"/>
          <w:sz w:val="24"/>
          <w:szCs w:val="24"/>
          <w:lang w:val="en-GB"/>
        </w:rPr>
        <w:t>,</w:t>
      </w:r>
      <w:r w:rsidR="00663156" w:rsidRPr="00303E62">
        <w:rPr>
          <w:rFonts w:ascii="Book Antiqua" w:eastAsia="Calibri" w:hAnsi="Book Antiqua" w:cs="Arial"/>
          <w:sz w:val="24"/>
          <w:szCs w:val="24"/>
          <w:lang w:val="en-GB"/>
        </w:rPr>
        <w:t xml:space="preserve"> and one </w:t>
      </w:r>
      <w:r w:rsidRPr="00303E62">
        <w:rPr>
          <w:rFonts w:ascii="Book Antiqua" w:eastAsia="Calibri" w:hAnsi="Book Antiqua" w:cs="Arial"/>
          <w:sz w:val="24"/>
          <w:szCs w:val="24"/>
          <w:lang w:val="en-GB"/>
        </w:rPr>
        <w:t>CCA was verified us</w:t>
      </w:r>
      <w:r w:rsidR="00663156"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g</w:t>
      </w:r>
      <w:r w:rsidR="00663156" w:rsidRPr="00303E62">
        <w:rPr>
          <w:rFonts w:ascii="Book Antiqua" w:eastAsia="Calibri" w:hAnsi="Book Antiqua" w:cs="Arial"/>
          <w:sz w:val="24"/>
          <w:szCs w:val="24"/>
          <w:lang w:val="en-GB"/>
        </w:rPr>
        <w:t xml:space="preserve"> imaging only. CCAs were diagnosed a median of 4.0 years after PSC diagnosis (range, 0-19 years). Six CCAs were detected less than </w:t>
      </w:r>
      <w:r w:rsidRPr="00303E62">
        <w:rPr>
          <w:rFonts w:ascii="Book Antiqua" w:eastAsia="Calibri" w:hAnsi="Book Antiqua" w:cs="Arial"/>
          <w:sz w:val="24"/>
          <w:szCs w:val="24"/>
          <w:lang w:val="en-GB"/>
        </w:rPr>
        <w:t>one</w:t>
      </w:r>
      <w:r w:rsidR="00663156" w:rsidRPr="00303E62">
        <w:rPr>
          <w:rFonts w:ascii="Book Antiqua" w:eastAsia="Calibri" w:hAnsi="Book Antiqua" w:cs="Arial"/>
          <w:sz w:val="24"/>
          <w:szCs w:val="24"/>
          <w:lang w:val="en-GB"/>
        </w:rPr>
        <w:t xml:space="preserve"> year after PSC diagnosis, two of the</w:t>
      </w:r>
      <w:r w:rsidRPr="00303E62">
        <w:rPr>
          <w:rFonts w:ascii="Book Antiqua" w:eastAsia="Calibri" w:hAnsi="Book Antiqua" w:cs="Arial"/>
          <w:sz w:val="24"/>
          <w:szCs w:val="24"/>
          <w:lang w:val="en-GB"/>
        </w:rPr>
        <w:t>se CCAs were detected</w:t>
      </w:r>
      <w:r w:rsidR="00663156" w:rsidRPr="00303E62">
        <w:rPr>
          <w:rFonts w:ascii="Book Antiqua" w:eastAsia="Calibri" w:hAnsi="Book Antiqua" w:cs="Arial"/>
          <w:sz w:val="24"/>
          <w:szCs w:val="24"/>
          <w:lang w:val="en-GB"/>
        </w:rPr>
        <w:t xml:space="preserve"> at a diagnostic ERC. The locali</w:t>
      </w:r>
      <w:r w:rsidRPr="00303E62">
        <w:rPr>
          <w:rFonts w:ascii="Book Antiqua" w:eastAsia="Calibri" w:hAnsi="Book Antiqua" w:cs="Arial"/>
          <w:sz w:val="24"/>
          <w:szCs w:val="24"/>
          <w:lang w:val="en-GB"/>
        </w:rPr>
        <w:t>s</w:t>
      </w:r>
      <w:r w:rsidR="00663156" w:rsidRPr="00303E62">
        <w:rPr>
          <w:rFonts w:ascii="Book Antiqua" w:eastAsia="Calibri" w:hAnsi="Book Antiqua" w:cs="Arial"/>
          <w:sz w:val="24"/>
          <w:szCs w:val="24"/>
          <w:lang w:val="en-GB"/>
        </w:rPr>
        <w:t>ation of CCA was perihilar or extrahepatic in</w:t>
      </w:r>
      <w:r w:rsidRPr="00303E62">
        <w:rPr>
          <w:rFonts w:ascii="Book Antiqua" w:eastAsia="Calibri" w:hAnsi="Book Antiqua" w:cs="Arial"/>
          <w:sz w:val="24"/>
          <w:szCs w:val="24"/>
          <w:lang w:val="en-GB"/>
        </w:rPr>
        <w:t xml:space="preserve"> 14 </w:t>
      </w:r>
      <w:r w:rsidR="00663156" w:rsidRPr="00303E62">
        <w:rPr>
          <w:rFonts w:ascii="Book Antiqua" w:eastAsia="Calibri" w:hAnsi="Book Antiqua" w:cs="Arial"/>
          <w:sz w:val="24"/>
          <w:szCs w:val="24"/>
          <w:lang w:val="en-GB"/>
        </w:rPr>
        <w:t>cases</w:t>
      </w:r>
      <w:r w:rsidR="0068303D" w:rsidRPr="00303E62">
        <w:rPr>
          <w:rFonts w:ascii="Book Antiqua" w:eastAsia="Calibri" w:hAnsi="Book Antiqua" w:cs="Arial"/>
          <w:sz w:val="24"/>
          <w:szCs w:val="24"/>
          <w:lang w:val="en-GB"/>
        </w:rPr>
        <w:t xml:space="preserve"> and</w:t>
      </w:r>
      <w:r w:rsidR="00663156" w:rsidRPr="00303E62">
        <w:rPr>
          <w:rFonts w:ascii="Book Antiqua" w:eastAsia="Calibri" w:hAnsi="Book Antiqua" w:cs="Arial"/>
          <w:sz w:val="24"/>
          <w:szCs w:val="24"/>
          <w:lang w:val="en-GB"/>
        </w:rPr>
        <w:t xml:space="preserve"> intrahepatic in four cases</w:t>
      </w:r>
      <w:r w:rsidRPr="00303E62">
        <w:rPr>
          <w:rFonts w:ascii="Book Antiqua" w:eastAsia="Calibri" w:hAnsi="Book Antiqua" w:cs="Arial"/>
          <w:sz w:val="24"/>
          <w:szCs w:val="24"/>
          <w:lang w:val="en-GB"/>
        </w:rPr>
        <w:t>.</w:t>
      </w:r>
      <w:r w:rsidR="00663156" w:rsidRPr="00303E62">
        <w:rPr>
          <w:rFonts w:ascii="Book Antiqua" w:eastAsia="Calibri" w:hAnsi="Book Antiqua" w:cs="Arial"/>
          <w:sz w:val="24"/>
          <w:szCs w:val="24"/>
          <w:lang w:val="en-GB"/>
        </w:rPr>
        <w:t xml:space="preserve"> </w:t>
      </w:r>
      <w:r w:rsidRPr="00303E62">
        <w:rPr>
          <w:rFonts w:ascii="Book Antiqua" w:eastAsia="Calibri" w:hAnsi="Book Antiqua" w:cs="Arial"/>
          <w:sz w:val="24"/>
          <w:szCs w:val="24"/>
          <w:lang w:val="en-GB"/>
        </w:rPr>
        <w:t>T</w:t>
      </w:r>
      <w:r w:rsidR="00663156" w:rsidRPr="00303E62">
        <w:rPr>
          <w:rFonts w:ascii="Book Antiqua" w:eastAsia="Calibri" w:hAnsi="Book Antiqua" w:cs="Arial"/>
          <w:sz w:val="24"/>
          <w:szCs w:val="24"/>
          <w:lang w:val="en-GB"/>
        </w:rPr>
        <w:t>he origin of the tumo</w:t>
      </w:r>
      <w:r w:rsidRPr="00303E62">
        <w:rPr>
          <w:rFonts w:ascii="Book Antiqua" w:eastAsia="Calibri" w:hAnsi="Book Antiqua" w:cs="Arial"/>
          <w:sz w:val="24"/>
          <w:szCs w:val="24"/>
          <w:lang w:val="en-GB"/>
        </w:rPr>
        <w:t>u</w:t>
      </w:r>
      <w:r w:rsidR="00663156" w:rsidRPr="00303E62">
        <w:rPr>
          <w:rFonts w:ascii="Book Antiqua" w:eastAsia="Calibri" w:hAnsi="Book Antiqua" w:cs="Arial"/>
          <w:sz w:val="24"/>
          <w:szCs w:val="24"/>
          <w:lang w:val="en-GB"/>
        </w:rPr>
        <w:t>r could not be determined</w:t>
      </w:r>
      <w:r w:rsidRPr="00303E62">
        <w:rPr>
          <w:rFonts w:ascii="Book Antiqua" w:eastAsia="Calibri" w:hAnsi="Book Antiqua" w:cs="Arial"/>
          <w:sz w:val="24"/>
          <w:szCs w:val="24"/>
          <w:lang w:val="en-GB"/>
        </w:rPr>
        <w:t xml:space="preserve"> in one patient with peritoneal carcinosis</w:t>
      </w:r>
      <w:r w:rsidR="00663156" w:rsidRPr="00303E62">
        <w:rPr>
          <w:rFonts w:ascii="Book Antiqua" w:eastAsia="Calibri" w:hAnsi="Book Antiqua" w:cs="Arial"/>
          <w:sz w:val="24"/>
          <w:szCs w:val="24"/>
          <w:lang w:val="en-GB"/>
        </w:rPr>
        <w:t>. The median time from the latest BC until CCA diagnosis was 53 d. BC was malignant</w:t>
      </w:r>
      <w:r w:rsidRPr="00303E62">
        <w:rPr>
          <w:rFonts w:ascii="Book Antiqua" w:eastAsia="Calibri" w:hAnsi="Book Antiqua" w:cs="Arial"/>
          <w:sz w:val="24"/>
          <w:szCs w:val="24"/>
          <w:lang w:val="en-GB"/>
        </w:rPr>
        <w:t xml:space="preserve"> in three CCA patients</w:t>
      </w:r>
      <w:r w:rsidR="00663156" w:rsidRPr="00303E62">
        <w:rPr>
          <w:rFonts w:ascii="Book Antiqua" w:eastAsia="Calibri" w:hAnsi="Book Antiqua" w:cs="Arial"/>
          <w:sz w:val="24"/>
          <w:szCs w:val="24"/>
          <w:lang w:val="en-GB"/>
        </w:rPr>
        <w:t xml:space="preserve">, and </w:t>
      </w:r>
      <w:r w:rsidRPr="00303E62">
        <w:rPr>
          <w:rFonts w:ascii="Book Antiqua" w:eastAsia="Calibri" w:hAnsi="Book Antiqua" w:cs="Arial"/>
          <w:sz w:val="24"/>
          <w:szCs w:val="24"/>
          <w:lang w:val="en-GB"/>
        </w:rPr>
        <w:t xml:space="preserve">it </w:t>
      </w:r>
      <w:r w:rsidR="00663156" w:rsidRPr="00303E62">
        <w:rPr>
          <w:rFonts w:ascii="Book Antiqua" w:eastAsia="Calibri" w:hAnsi="Book Antiqua" w:cs="Arial"/>
          <w:sz w:val="24"/>
          <w:szCs w:val="24"/>
          <w:lang w:val="en-GB"/>
        </w:rPr>
        <w:t>remained suspicious</w:t>
      </w:r>
      <w:r w:rsidRPr="00303E62">
        <w:rPr>
          <w:rFonts w:ascii="Book Antiqua" w:eastAsia="Calibri" w:hAnsi="Book Antiqua" w:cs="Arial"/>
          <w:sz w:val="24"/>
          <w:szCs w:val="24"/>
          <w:lang w:val="en-GB"/>
        </w:rPr>
        <w:t xml:space="preserve"> in 11 patients</w:t>
      </w:r>
      <w:r w:rsidR="00663156" w:rsidRPr="00303E62">
        <w:rPr>
          <w:rFonts w:ascii="Book Antiqua" w:eastAsia="Calibri" w:hAnsi="Book Antiqua" w:cs="Arial"/>
          <w:sz w:val="24"/>
          <w:szCs w:val="24"/>
          <w:lang w:val="en-GB"/>
        </w:rPr>
        <w:t>. BCs were benign</w:t>
      </w:r>
      <w:r w:rsidRPr="00303E62">
        <w:rPr>
          <w:rFonts w:ascii="Book Antiqua" w:eastAsia="Calibri" w:hAnsi="Book Antiqua" w:cs="Arial"/>
          <w:sz w:val="24"/>
          <w:szCs w:val="24"/>
          <w:lang w:val="en-GB"/>
        </w:rPr>
        <w:t xml:space="preserve"> in four CCA patients</w:t>
      </w:r>
      <w:r w:rsidR="00663156" w:rsidRPr="00303E62">
        <w:rPr>
          <w:rFonts w:ascii="Book Antiqua" w:eastAsia="Calibri" w:hAnsi="Book Antiqua" w:cs="Arial"/>
          <w:sz w:val="24"/>
          <w:szCs w:val="24"/>
          <w:lang w:val="en-GB"/>
        </w:rPr>
        <w:t>. BC was suspicious in two</w:t>
      </w:r>
      <w:r w:rsidRPr="00303E62">
        <w:rPr>
          <w:rFonts w:ascii="Book Antiqua" w:eastAsia="Calibri" w:hAnsi="Book Antiqua" w:cs="Arial"/>
          <w:sz w:val="24"/>
          <w:szCs w:val="24"/>
          <w:lang w:val="en-GB"/>
        </w:rPr>
        <w:t xml:space="preserve"> of the patients with intrahepatic CCA</w:t>
      </w:r>
      <w:r w:rsidR="00663156" w:rsidRPr="00303E62">
        <w:rPr>
          <w:rFonts w:ascii="Book Antiqua" w:eastAsia="Calibri" w:hAnsi="Book Antiqua" w:cs="Arial"/>
          <w:sz w:val="24"/>
          <w:szCs w:val="24"/>
          <w:lang w:val="en-GB"/>
        </w:rPr>
        <w:t xml:space="preserve"> and benign in two</w:t>
      </w:r>
      <w:r w:rsidRPr="00303E62">
        <w:rPr>
          <w:rFonts w:ascii="Book Antiqua" w:eastAsia="Calibri" w:hAnsi="Book Antiqua" w:cs="Arial"/>
          <w:sz w:val="24"/>
          <w:szCs w:val="24"/>
          <w:lang w:val="en-GB"/>
        </w:rPr>
        <w:t xml:space="preserve"> of these patients</w:t>
      </w:r>
      <w:r w:rsidR="00663156" w:rsidRPr="00303E62">
        <w:rPr>
          <w:rFonts w:ascii="Book Antiqua" w:eastAsia="Calibri" w:hAnsi="Book Antiqua" w:cs="Arial"/>
          <w:sz w:val="24"/>
          <w:szCs w:val="24"/>
          <w:lang w:val="en-GB"/>
        </w:rPr>
        <w:t xml:space="preserve">. </w:t>
      </w:r>
    </w:p>
    <w:p w14:paraId="46F1E941" w14:textId="77777777" w:rsidR="00EB25BB" w:rsidRPr="00303E62" w:rsidRDefault="00EB25BB" w:rsidP="00D305D7">
      <w:pPr>
        <w:snapToGrid w:val="0"/>
        <w:spacing w:after="0" w:line="360" w:lineRule="auto"/>
        <w:jc w:val="both"/>
        <w:rPr>
          <w:rFonts w:ascii="Book Antiqua" w:eastAsia="Calibri" w:hAnsi="Book Antiqua" w:cs="Arial"/>
          <w:b/>
          <w:sz w:val="24"/>
          <w:szCs w:val="24"/>
          <w:lang w:val="en-GB"/>
        </w:rPr>
      </w:pPr>
    </w:p>
    <w:p w14:paraId="498E3B7A" w14:textId="77777777" w:rsidR="00663156" w:rsidRPr="00303E62" w:rsidRDefault="00AA1103"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t>DISCUSSION</w:t>
      </w:r>
    </w:p>
    <w:p w14:paraId="708CA17E" w14:textId="3B8C7DB1" w:rsidR="00663156" w:rsidRPr="00303E62" w:rsidRDefault="00663156"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Forty-two patients with histologically confirmed biliary neoplasia were found </w:t>
      </w:r>
      <w:r w:rsidR="00563494" w:rsidRPr="00303E62">
        <w:rPr>
          <w:rFonts w:ascii="Book Antiqua" w:eastAsia="Calibri" w:hAnsi="Book Antiqua" w:cs="Arial"/>
          <w:sz w:val="24"/>
          <w:szCs w:val="24"/>
          <w:lang w:val="en-GB"/>
        </w:rPr>
        <w:t>dur</w:t>
      </w:r>
      <w:r w:rsidRPr="00303E62">
        <w:rPr>
          <w:rFonts w:ascii="Book Antiqua" w:eastAsia="Calibri" w:hAnsi="Book Antiqua" w:cs="Arial"/>
          <w:sz w:val="24"/>
          <w:szCs w:val="24"/>
          <w:lang w:val="en-GB"/>
        </w:rPr>
        <w:t>in</w:t>
      </w:r>
      <w:r w:rsidR="00563494" w:rsidRPr="00303E62">
        <w:rPr>
          <w:rFonts w:ascii="Book Antiqua" w:eastAsia="Calibri" w:hAnsi="Book Antiqua" w:cs="Arial"/>
          <w:sz w:val="24"/>
          <w:szCs w:val="24"/>
          <w:lang w:val="en-GB"/>
        </w:rPr>
        <w:t>g</w:t>
      </w:r>
      <w:r w:rsidRPr="00303E62">
        <w:rPr>
          <w:rFonts w:ascii="Book Antiqua" w:eastAsia="Calibri" w:hAnsi="Book Antiqua" w:cs="Arial"/>
          <w:sz w:val="24"/>
          <w:szCs w:val="24"/>
          <w:lang w:val="en-GB"/>
        </w:rPr>
        <w:t xml:space="preserve"> ERC surveillance: 16 </w:t>
      </w:r>
      <w:r w:rsidR="00563494" w:rsidRPr="00303E62">
        <w:rPr>
          <w:rFonts w:ascii="Book Antiqua" w:eastAsia="Calibri" w:hAnsi="Book Antiqua" w:cs="Arial"/>
          <w:sz w:val="24"/>
          <w:szCs w:val="24"/>
          <w:lang w:val="en-GB"/>
        </w:rPr>
        <w:t xml:space="preserve">patients </w:t>
      </w:r>
      <w:r w:rsidRPr="00303E62">
        <w:rPr>
          <w:rFonts w:ascii="Book Antiqua" w:eastAsia="Calibri" w:hAnsi="Book Antiqua" w:cs="Arial"/>
          <w:sz w:val="24"/>
          <w:szCs w:val="24"/>
          <w:lang w:val="en-GB"/>
        </w:rPr>
        <w:t xml:space="preserve">with LGD, 10 </w:t>
      </w:r>
      <w:r w:rsidR="00563494" w:rsidRPr="00303E62">
        <w:rPr>
          <w:rFonts w:ascii="Book Antiqua" w:eastAsia="Calibri" w:hAnsi="Book Antiqua" w:cs="Arial"/>
          <w:sz w:val="24"/>
          <w:szCs w:val="24"/>
          <w:lang w:val="en-GB"/>
        </w:rPr>
        <w:t xml:space="preserve">patients </w:t>
      </w:r>
      <w:r w:rsidRPr="00303E62">
        <w:rPr>
          <w:rFonts w:ascii="Book Antiqua" w:eastAsia="Calibri" w:hAnsi="Book Antiqua" w:cs="Arial"/>
          <w:sz w:val="24"/>
          <w:szCs w:val="24"/>
          <w:lang w:val="en-GB"/>
        </w:rPr>
        <w:t xml:space="preserve">with HGD and 16 </w:t>
      </w:r>
      <w:r w:rsidR="00563494" w:rsidRPr="00303E62">
        <w:rPr>
          <w:rFonts w:ascii="Book Antiqua" w:eastAsia="Calibri" w:hAnsi="Book Antiqua" w:cs="Arial"/>
          <w:sz w:val="24"/>
          <w:szCs w:val="24"/>
          <w:lang w:val="en-GB"/>
        </w:rPr>
        <w:t xml:space="preserve">patients </w:t>
      </w:r>
      <w:r w:rsidRPr="00303E62">
        <w:rPr>
          <w:rFonts w:ascii="Book Antiqua" w:eastAsia="Calibri" w:hAnsi="Book Antiqua" w:cs="Arial"/>
          <w:sz w:val="24"/>
          <w:szCs w:val="24"/>
          <w:lang w:val="en-GB"/>
        </w:rPr>
        <w:t>with CCA</w:t>
      </w:r>
      <w:r w:rsidR="00753904" w:rsidRPr="00303E62">
        <w:rPr>
          <w:rFonts w:ascii="Book Antiqua" w:eastAsia="Calibri" w:hAnsi="Book Antiqua" w:cs="Arial"/>
          <w:sz w:val="24"/>
          <w:szCs w:val="24"/>
          <w:lang w:val="en-GB"/>
        </w:rPr>
        <w:t>. A</w:t>
      </w:r>
      <w:r w:rsidR="00563494" w:rsidRPr="00303E62">
        <w:rPr>
          <w:rFonts w:ascii="Book Antiqua" w:eastAsia="Calibri" w:hAnsi="Book Antiqua" w:cs="Arial"/>
          <w:sz w:val="24"/>
          <w:szCs w:val="24"/>
          <w:lang w:val="en-GB"/>
        </w:rPr>
        <w:t>n a</w:t>
      </w:r>
      <w:r w:rsidR="00753904" w:rsidRPr="00303E62">
        <w:rPr>
          <w:rFonts w:ascii="Book Antiqua" w:eastAsia="Calibri" w:hAnsi="Book Antiqua" w:cs="Arial"/>
          <w:sz w:val="24"/>
          <w:szCs w:val="24"/>
          <w:lang w:val="en-GB"/>
        </w:rPr>
        <w:t>dditional 3 CCAs were detected without histological confirmation</w:t>
      </w:r>
      <w:r w:rsidRPr="00303E62">
        <w:rPr>
          <w:rFonts w:ascii="Book Antiqua" w:eastAsia="Calibri" w:hAnsi="Book Antiqua" w:cs="Arial"/>
          <w:sz w:val="24"/>
          <w:szCs w:val="24"/>
          <w:lang w:val="en-GB"/>
        </w:rPr>
        <w:t xml:space="preserve">. Patients with LGD </w:t>
      </w:r>
      <w:r w:rsidRPr="00303E62">
        <w:rPr>
          <w:rFonts w:ascii="Book Antiqua" w:eastAsia="Calibri" w:hAnsi="Book Antiqua" w:cs="Arial"/>
          <w:sz w:val="24"/>
          <w:szCs w:val="24"/>
          <w:lang w:val="en-GB"/>
        </w:rPr>
        <w:lastRenderedPageBreak/>
        <w:t xml:space="preserve">were younger. AST, ALT or CEA values did not differ between the groups. CA19-9 was significantly elevated only in patients with CCA. No difference in PSC duration, ERC changes, suspicious BC, ploidy analysis, presence of IBD or histological fibrosis was found between the three groups. </w:t>
      </w:r>
      <w:r w:rsidR="00563494" w:rsidRPr="00303E62">
        <w:rPr>
          <w:rFonts w:ascii="Book Antiqua" w:eastAsia="Calibri" w:hAnsi="Book Antiqua" w:cs="Arial"/>
          <w:sz w:val="24"/>
          <w:szCs w:val="24"/>
          <w:lang w:val="en-GB"/>
        </w:rPr>
        <w:t>I</w:t>
      </w:r>
      <w:r w:rsidRPr="00303E62">
        <w:rPr>
          <w:rFonts w:ascii="Book Antiqua" w:eastAsia="Calibri" w:hAnsi="Book Antiqua" w:cs="Arial"/>
          <w:sz w:val="24"/>
          <w:szCs w:val="24"/>
          <w:lang w:val="en-GB"/>
        </w:rPr>
        <w:t xml:space="preserve">t </w:t>
      </w:r>
      <w:r w:rsidR="00563494" w:rsidRPr="00303E62">
        <w:rPr>
          <w:rFonts w:ascii="Book Antiqua" w:eastAsia="Calibri" w:hAnsi="Book Antiqua" w:cs="Arial"/>
          <w:sz w:val="24"/>
          <w:szCs w:val="24"/>
          <w:lang w:val="en-GB"/>
        </w:rPr>
        <w:t>wa</w:t>
      </w:r>
      <w:r w:rsidRPr="00303E62">
        <w:rPr>
          <w:rFonts w:ascii="Book Antiqua" w:eastAsia="Calibri" w:hAnsi="Book Antiqua" w:cs="Arial"/>
          <w:sz w:val="24"/>
          <w:szCs w:val="24"/>
          <w:lang w:val="en-GB"/>
        </w:rPr>
        <w:t>s impossible to differentiate LGD from HGD</w:t>
      </w:r>
      <w:r w:rsidR="00563494" w:rsidRPr="00303E62">
        <w:rPr>
          <w:rFonts w:ascii="Book Antiqua" w:eastAsia="Calibri" w:hAnsi="Book Antiqua" w:cs="Arial"/>
          <w:sz w:val="24"/>
          <w:szCs w:val="24"/>
          <w:lang w:val="en-GB"/>
        </w:rPr>
        <w:t xml:space="preserve"> based on liver enzymes, tumour markers, or BC</w:t>
      </w:r>
      <w:r w:rsidRPr="00303E62">
        <w:rPr>
          <w:rFonts w:ascii="Book Antiqua" w:eastAsia="Calibri" w:hAnsi="Book Antiqua" w:cs="Arial"/>
          <w:sz w:val="24"/>
          <w:szCs w:val="24"/>
          <w:lang w:val="en-GB"/>
        </w:rPr>
        <w:t>. Evaluation</w:t>
      </w:r>
      <w:r w:rsidR="00563494"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for LT should </w:t>
      </w:r>
      <w:r w:rsidR="00563494" w:rsidRPr="00303E62">
        <w:rPr>
          <w:rFonts w:ascii="Book Antiqua" w:eastAsia="Calibri" w:hAnsi="Book Antiqua" w:cs="Arial"/>
          <w:sz w:val="24"/>
          <w:szCs w:val="24"/>
          <w:lang w:val="en-GB"/>
        </w:rPr>
        <w:t xml:space="preserve">already </w:t>
      </w:r>
      <w:r w:rsidRPr="00303E62">
        <w:rPr>
          <w:rFonts w:ascii="Book Antiqua" w:eastAsia="Calibri" w:hAnsi="Book Antiqua" w:cs="Arial"/>
          <w:sz w:val="24"/>
          <w:szCs w:val="24"/>
          <w:lang w:val="en-GB"/>
        </w:rPr>
        <w:t xml:space="preserve">be </w:t>
      </w:r>
      <w:r w:rsidR="00563494" w:rsidRPr="00303E62">
        <w:rPr>
          <w:rFonts w:ascii="Book Antiqua" w:eastAsia="Calibri" w:hAnsi="Book Antiqua" w:cs="Arial"/>
          <w:sz w:val="24"/>
          <w:szCs w:val="24"/>
          <w:lang w:val="en-GB"/>
        </w:rPr>
        <w:t>performed</w:t>
      </w:r>
      <w:r w:rsidRPr="00303E62">
        <w:rPr>
          <w:rFonts w:ascii="Book Antiqua" w:eastAsia="Calibri" w:hAnsi="Book Antiqua" w:cs="Arial"/>
          <w:sz w:val="24"/>
          <w:szCs w:val="24"/>
          <w:lang w:val="en-GB"/>
        </w:rPr>
        <w:t xml:space="preserve"> when BC is repeatedly suspicious. </w:t>
      </w:r>
    </w:p>
    <w:p w14:paraId="5E1C475F" w14:textId="46A6AA88"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The number of cytological samples suspicious for neoplasia was equal in all three neoplastic groups. </w:t>
      </w:r>
      <w:r w:rsidR="00563494"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he sensitivity of BC to detect biliary neoplasia </w:t>
      </w:r>
      <w:r w:rsidR="00563494" w:rsidRPr="00303E62">
        <w:rPr>
          <w:rFonts w:ascii="Book Antiqua" w:eastAsia="Calibri" w:hAnsi="Book Antiqua" w:cs="Arial"/>
          <w:sz w:val="24"/>
          <w:szCs w:val="24"/>
          <w:lang w:val="en-GB"/>
        </w:rPr>
        <w:t>w</w:t>
      </w:r>
      <w:r w:rsidRPr="00303E62">
        <w:rPr>
          <w:rFonts w:ascii="Book Antiqua" w:eastAsia="Calibri" w:hAnsi="Book Antiqua" w:cs="Arial"/>
          <w:sz w:val="24"/>
          <w:szCs w:val="24"/>
          <w:lang w:val="en-GB"/>
        </w:rPr>
        <w:t xml:space="preserve">as quite low </w:t>
      </w:r>
      <w:r w:rsidR="00563494"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43%</w:t>
      </w:r>
      <w:r w:rsidR="00563494" w:rsidRPr="00303E62">
        <w:rPr>
          <w:rFonts w:ascii="Book Antiqua" w:eastAsia="Calibri" w:hAnsi="Book Antiqua" w:cs="Arial"/>
          <w:sz w:val="24"/>
          <w:szCs w:val="24"/>
          <w:lang w:val="en-GB"/>
        </w:rPr>
        <w:t>) in earlier studies</w:t>
      </w:r>
      <w:r w:rsidR="00AA70C9" w:rsidRPr="00303E62">
        <w:rPr>
          <w:rFonts w:ascii="Book Antiqua" w:eastAsia="Calibri" w:hAnsi="Book Antiqua" w:cs="Arial"/>
          <w:sz w:val="24"/>
          <w:szCs w:val="24"/>
          <w:vertAlign w:val="superscript"/>
          <w:lang w:val="en-GB"/>
        </w:rPr>
        <w:t>[9</w:t>
      </w:r>
      <w:r w:rsidR="00525B28"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The sensitivity to detect CCA with BC (neoplasia suspicion or malignant BC) in our </w:t>
      </w:r>
      <w:r w:rsidR="00563494" w:rsidRPr="00303E62">
        <w:rPr>
          <w:rFonts w:ascii="Book Antiqua" w:eastAsia="Calibri" w:hAnsi="Book Antiqua" w:cs="Arial"/>
          <w:sz w:val="24"/>
          <w:szCs w:val="24"/>
          <w:lang w:val="en-GB"/>
        </w:rPr>
        <w:t>previous study</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wa</w:t>
      </w:r>
      <w:r w:rsidRPr="00303E62">
        <w:rPr>
          <w:rFonts w:ascii="Book Antiqua" w:eastAsia="Calibri" w:hAnsi="Book Antiqua" w:cs="Arial"/>
          <w:sz w:val="24"/>
          <w:szCs w:val="24"/>
          <w:lang w:val="en-GB"/>
        </w:rPr>
        <w:t>s up to 71% in</w:t>
      </w:r>
      <w:r w:rsidR="00563494" w:rsidRPr="00303E62">
        <w:rPr>
          <w:rFonts w:ascii="Book Antiqua" w:eastAsia="Calibri" w:hAnsi="Book Antiqua" w:cs="Arial"/>
          <w:sz w:val="24"/>
          <w:szCs w:val="24"/>
          <w:lang w:val="en-GB"/>
        </w:rPr>
        <w:t xml:space="preserve"> a</w:t>
      </w:r>
      <w:r w:rsidRPr="00303E62">
        <w:rPr>
          <w:rFonts w:ascii="Book Antiqua" w:eastAsia="Calibri" w:hAnsi="Book Antiqua" w:cs="Arial"/>
          <w:sz w:val="24"/>
          <w:szCs w:val="24"/>
          <w:lang w:val="en-GB"/>
        </w:rPr>
        <w:t xml:space="preserve"> large, unselected patient population</w:t>
      </w:r>
      <w:r w:rsidR="00525B28" w:rsidRPr="00303E62">
        <w:rPr>
          <w:rFonts w:ascii="Book Antiqua" w:eastAsia="Calibri" w:hAnsi="Book Antiqua" w:cs="Arial"/>
          <w:sz w:val="24"/>
          <w:szCs w:val="24"/>
          <w:vertAlign w:val="superscript"/>
          <w:lang w:val="en-GB"/>
        </w:rPr>
        <w:t>[</w:t>
      </w:r>
      <w:r w:rsidR="00AA70C9" w:rsidRPr="00303E62">
        <w:rPr>
          <w:rFonts w:ascii="Book Antiqua" w:eastAsia="Calibri" w:hAnsi="Book Antiqua" w:cs="Arial"/>
          <w:sz w:val="24"/>
          <w:szCs w:val="24"/>
          <w:vertAlign w:val="superscript"/>
          <w:lang w:val="en-GB"/>
        </w:rPr>
        <w:t>5</w:t>
      </w:r>
      <w:r w:rsidR="00525B28"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This h</w:t>
      </w:r>
      <w:r w:rsidRPr="00303E62">
        <w:rPr>
          <w:rFonts w:ascii="Book Antiqua" w:eastAsia="Calibri" w:hAnsi="Book Antiqua" w:cs="Arial"/>
          <w:sz w:val="24"/>
          <w:szCs w:val="24"/>
          <w:lang w:val="en-GB"/>
        </w:rPr>
        <w:t xml:space="preserve">igh accuracy </w:t>
      </w:r>
      <w:r w:rsidR="00563494" w:rsidRPr="00303E62">
        <w:rPr>
          <w:rFonts w:ascii="Book Antiqua" w:eastAsia="Calibri" w:hAnsi="Book Antiqua" w:cs="Arial"/>
          <w:sz w:val="24"/>
          <w:szCs w:val="24"/>
          <w:lang w:val="en-GB"/>
        </w:rPr>
        <w:t>wa</w:t>
      </w:r>
      <w:r w:rsidRPr="00303E62">
        <w:rPr>
          <w:rFonts w:ascii="Book Antiqua" w:eastAsia="Calibri" w:hAnsi="Book Antiqua" w:cs="Arial"/>
          <w:sz w:val="24"/>
          <w:szCs w:val="24"/>
          <w:lang w:val="en-GB"/>
        </w:rPr>
        <w:t>s thought to be a result of the sampling method</w:t>
      </w:r>
      <w:r w:rsidR="00525B28" w:rsidRPr="00303E62">
        <w:rPr>
          <w:rFonts w:ascii="Book Antiqua" w:eastAsia="Calibri" w:hAnsi="Book Antiqua" w:cs="Arial"/>
          <w:sz w:val="24"/>
          <w:szCs w:val="24"/>
          <w:vertAlign w:val="superscript"/>
          <w:lang w:val="en-GB"/>
        </w:rPr>
        <w:t>[4]</w:t>
      </w:r>
      <w:r w:rsidRPr="00303E62">
        <w:rPr>
          <w:rFonts w:ascii="Book Antiqua" w:eastAsia="Calibri" w:hAnsi="Book Antiqua" w:cs="Arial"/>
          <w:sz w:val="24"/>
          <w:szCs w:val="24"/>
          <w:lang w:val="en-GB"/>
        </w:rPr>
        <w:t xml:space="preserve"> and the protocol used in our hospital</w:t>
      </w:r>
      <w:r w:rsidR="00563494"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wo experienced gastroenterologists</w:t>
      </w:r>
      <w:r w:rsidR="00563494" w:rsidRPr="00303E62">
        <w:rPr>
          <w:rFonts w:ascii="Book Antiqua" w:eastAsia="Calibri" w:hAnsi="Book Antiqua" w:cs="Arial"/>
          <w:sz w:val="24"/>
          <w:szCs w:val="24"/>
          <w:lang w:val="en-GB"/>
        </w:rPr>
        <w:t xml:space="preserve"> perform the ERCs</w:t>
      </w:r>
      <w:r w:rsidRPr="00303E62">
        <w:rPr>
          <w:rFonts w:ascii="Book Antiqua" w:eastAsia="Calibri" w:hAnsi="Book Antiqua" w:cs="Arial"/>
          <w:sz w:val="24"/>
          <w:szCs w:val="24"/>
          <w:lang w:val="en-GB"/>
        </w:rPr>
        <w:t xml:space="preserve">, and the cellular yield is generally very high. </w:t>
      </w:r>
      <w:r w:rsidR="00563494" w:rsidRPr="00303E62">
        <w:rPr>
          <w:rFonts w:ascii="Book Antiqua" w:eastAsia="Calibri" w:hAnsi="Book Antiqua" w:cs="Arial"/>
          <w:sz w:val="24"/>
          <w:szCs w:val="24"/>
          <w:lang w:val="en-GB"/>
        </w:rPr>
        <w:t>A</w:t>
      </w:r>
      <w:r w:rsidRPr="00303E62">
        <w:rPr>
          <w:rFonts w:ascii="Book Antiqua" w:eastAsia="Calibri" w:hAnsi="Book Antiqua" w:cs="Arial"/>
          <w:sz w:val="24"/>
          <w:szCs w:val="24"/>
          <w:lang w:val="en-GB"/>
        </w:rPr>
        <w:t xml:space="preserve"> dedicated team of cytopathologists</w:t>
      </w:r>
      <w:r w:rsidR="00563494" w:rsidRPr="00303E62">
        <w:rPr>
          <w:rFonts w:ascii="Book Antiqua" w:eastAsia="Calibri" w:hAnsi="Book Antiqua" w:cs="Arial"/>
          <w:sz w:val="24"/>
          <w:szCs w:val="24"/>
          <w:lang w:val="en-GB"/>
        </w:rPr>
        <w:t xml:space="preserve"> also perform the cytological interpretation</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However</w:t>
      </w:r>
      <w:r w:rsidRPr="00303E62">
        <w:rPr>
          <w:rFonts w:ascii="Book Antiqua" w:eastAsia="Calibri" w:hAnsi="Book Antiqua" w:cs="Arial"/>
          <w:sz w:val="24"/>
          <w:szCs w:val="24"/>
          <w:lang w:val="en-GB"/>
        </w:rPr>
        <w:t>, biliary neoplasia is not always found in the explanted liver</w:t>
      </w:r>
      <w:r w:rsidR="0068303D" w:rsidRPr="00303E62">
        <w:rPr>
          <w:rFonts w:ascii="Book Antiqua" w:eastAsia="Calibri" w:hAnsi="Book Antiqua" w:cs="Arial"/>
          <w:sz w:val="24"/>
          <w:szCs w:val="24"/>
          <w:lang w:val="en-GB"/>
        </w:rPr>
        <w:t>,</w:t>
      </w:r>
      <w:r w:rsidR="00563494" w:rsidRPr="00303E62">
        <w:rPr>
          <w:rFonts w:ascii="Book Antiqua" w:eastAsia="Calibri" w:hAnsi="Book Antiqua" w:cs="Arial"/>
          <w:sz w:val="24"/>
          <w:szCs w:val="24"/>
          <w:lang w:val="en-GB"/>
        </w:rPr>
        <w:t xml:space="preserve"> even with suspicious BC</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wenty-one patients </w:t>
      </w:r>
      <w:r w:rsidR="00563494" w:rsidRPr="00303E62">
        <w:rPr>
          <w:rFonts w:ascii="Book Antiqua" w:eastAsia="Calibri" w:hAnsi="Book Antiqua" w:cs="Arial"/>
          <w:sz w:val="24"/>
          <w:szCs w:val="24"/>
          <w:lang w:val="en-GB"/>
        </w:rPr>
        <w:t>exhibite</w:t>
      </w:r>
      <w:r w:rsidRPr="00303E62">
        <w:rPr>
          <w:rFonts w:ascii="Book Antiqua" w:eastAsia="Calibri" w:hAnsi="Book Antiqua" w:cs="Arial"/>
          <w:sz w:val="24"/>
          <w:szCs w:val="24"/>
          <w:lang w:val="en-GB"/>
        </w:rPr>
        <w:t>d benign biliary histology in the explanted liver</w:t>
      </w:r>
      <w:r w:rsidR="00563494" w:rsidRPr="00303E62">
        <w:rPr>
          <w:rFonts w:ascii="Book Antiqua" w:eastAsia="Calibri" w:hAnsi="Book Antiqua" w:cs="Arial"/>
          <w:sz w:val="24"/>
          <w:szCs w:val="24"/>
          <w:lang w:val="en-GB"/>
        </w:rPr>
        <w:t xml:space="preserve"> in our earlier study</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and</w:t>
      </w:r>
      <w:r w:rsidRPr="00303E62">
        <w:rPr>
          <w:rFonts w:ascii="Book Antiqua" w:eastAsia="Calibri" w:hAnsi="Book Antiqua" w:cs="Arial"/>
          <w:sz w:val="24"/>
          <w:szCs w:val="24"/>
          <w:lang w:val="en-GB"/>
        </w:rPr>
        <w:t xml:space="preserve"> four of the</w:t>
      </w:r>
      <w:r w:rsidR="00563494" w:rsidRPr="00303E62">
        <w:rPr>
          <w:rFonts w:ascii="Book Antiqua" w:eastAsia="Calibri" w:hAnsi="Book Antiqua" w:cs="Arial"/>
          <w:sz w:val="24"/>
          <w:szCs w:val="24"/>
          <w:lang w:val="en-GB"/>
        </w:rPr>
        <w:t>se patients</w:t>
      </w:r>
      <w:r w:rsidRPr="00303E62">
        <w:rPr>
          <w:rFonts w:ascii="Book Antiqua" w:eastAsia="Calibri" w:hAnsi="Book Antiqua" w:cs="Arial"/>
          <w:sz w:val="24"/>
          <w:szCs w:val="24"/>
          <w:lang w:val="en-GB"/>
        </w:rPr>
        <w:t xml:space="preserve"> had suspicious BC</w:t>
      </w:r>
      <w:r w:rsidR="00907FA2" w:rsidRPr="00303E62">
        <w:rPr>
          <w:rFonts w:ascii="Book Antiqua" w:eastAsia="Calibri" w:hAnsi="Book Antiqua" w:cs="Arial"/>
          <w:sz w:val="24"/>
          <w:szCs w:val="24"/>
          <w:vertAlign w:val="superscript"/>
          <w:lang w:val="en-GB"/>
        </w:rPr>
        <w:t>[</w:t>
      </w:r>
      <w:r w:rsidR="00AA70C9" w:rsidRPr="00303E62">
        <w:rPr>
          <w:rFonts w:ascii="Book Antiqua" w:eastAsia="Calibri" w:hAnsi="Book Antiqua" w:cs="Arial"/>
          <w:sz w:val="24"/>
          <w:szCs w:val="24"/>
          <w:vertAlign w:val="superscript"/>
          <w:lang w:val="en-GB"/>
        </w:rPr>
        <w:t>5</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It would be clinically relevant to differentiate the </w:t>
      </w:r>
      <w:r w:rsidR="00563494" w:rsidRPr="00303E62">
        <w:rPr>
          <w:rFonts w:ascii="Book Antiqua" w:eastAsia="Calibri" w:hAnsi="Book Antiqua" w:cs="Arial"/>
          <w:sz w:val="24"/>
          <w:szCs w:val="24"/>
          <w:lang w:val="en-GB"/>
        </w:rPr>
        <w:t xml:space="preserve">HGD </w:t>
      </w:r>
      <w:r w:rsidRPr="00303E62">
        <w:rPr>
          <w:rFonts w:ascii="Book Antiqua" w:eastAsia="Calibri" w:hAnsi="Book Antiqua" w:cs="Arial"/>
          <w:sz w:val="24"/>
          <w:szCs w:val="24"/>
          <w:lang w:val="en-GB"/>
        </w:rPr>
        <w:t>group from the other two neoplastic groups before LT</w:t>
      </w:r>
      <w:r w:rsidR="00563494" w:rsidRPr="00303E62">
        <w:rPr>
          <w:rFonts w:ascii="Book Antiqua" w:eastAsia="Calibri" w:hAnsi="Book Antiqua" w:cs="Arial"/>
          <w:sz w:val="24"/>
          <w:szCs w:val="24"/>
          <w:lang w:val="en-GB"/>
        </w:rPr>
        <w:t xml:space="preserve"> because</w:t>
      </w:r>
      <w:r w:rsidRPr="00303E62">
        <w:rPr>
          <w:rFonts w:ascii="Book Antiqua" w:eastAsia="Calibri" w:hAnsi="Book Antiqua" w:cs="Arial"/>
          <w:sz w:val="24"/>
          <w:szCs w:val="24"/>
          <w:lang w:val="en-GB"/>
        </w:rPr>
        <w:t xml:space="preserve"> the timing of an early LT would </w:t>
      </w:r>
      <w:r w:rsidR="00563494" w:rsidRPr="00303E62">
        <w:rPr>
          <w:rFonts w:ascii="Book Antiqua" w:eastAsia="Calibri" w:hAnsi="Book Antiqua" w:cs="Arial"/>
          <w:sz w:val="24"/>
          <w:szCs w:val="24"/>
          <w:lang w:val="en-GB"/>
        </w:rPr>
        <w:t>likely exhibit</w:t>
      </w:r>
      <w:r w:rsidRPr="00303E62">
        <w:rPr>
          <w:rFonts w:ascii="Book Antiqua" w:eastAsia="Calibri" w:hAnsi="Book Antiqua" w:cs="Arial"/>
          <w:sz w:val="24"/>
          <w:szCs w:val="24"/>
          <w:lang w:val="en-GB"/>
        </w:rPr>
        <w:t xml:space="preserve"> </w:t>
      </w:r>
      <w:r w:rsidR="00563494"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most benefi</w:t>
      </w:r>
      <w:r w:rsidR="00563494" w:rsidRPr="00303E62">
        <w:rPr>
          <w:rFonts w:ascii="Book Antiqua" w:eastAsia="Calibri" w:hAnsi="Book Antiqua" w:cs="Arial"/>
          <w:sz w:val="24"/>
          <w:szCs w:val="24"/>
          <w:lang w:val="en-GB"/>
        </w:rPr>
        <w:t>t</w:t>
      </w:r>
      <w:r w:rsidRPr="00303E62">
        <w:rPr>
          <w:rFonts w:ascii="Book Antiqua" w:eastAsia="Calibri" w:hAnsi="Book Antiqua" w:cs="Arial"/>
          <w:sz w:val="24"/>
          <w:szCs w:val="24"/>
          <w:lang w:val="en-GB"/>
        </w:rPr>
        <w:t xml:space="preserve">. However, we report that </w:t>
      </w:r>
      <w:r w:rsidR="00077543" w:rsidRPr="00303E62">
        <w:rPr>
          <w:rFonts w:ascii="Book Antiqua" w:eastAsia="Calibri" w:hAnsi="Book Antiqua" w:cs="Arial"/>
          <w:sz w:val="24"/>
          <w:szCs w:val="24"/>
          <w:lang w:val="en-GB"/>
        </w:rPr>
        <w:t xml:space="preserve">cytology alone did not separate </w:t>
      </w:r>
      <w:r w:rsidRPr="00303E62">
        <w:rPr>
          <w:rFonts w:ascii="Book Antiqua" w:eastAsia="Calibri" w:hAnsi="Book Antiqua" w:cs="Arial"/>
          <w:sz w:val="24"/>
          <w:szCs w:val="24"/>
          <w:lang w:val="en-GB"/>
        </w:rPr>
        <w:t xml:space="preserve">three groups </w:t>
      </w:r>
      <w:r w:rsidR="00077543" w:rsidRPr="00303E62">
        <w:rPr>
          <w:rFonts w:ascii="Book Antiqua" w:eastAsia="Calibri" w:hAnsi="Book Antiqua" w:cs="Arial"/>
          <w:sz w:val="24"/>
          <w:szCs w:val="24"/>
          <w:lang w:val="en-GB"/>
        </w:rPr>
        <w:t>with</w:t>
      </w:r>
      <w:r w:rsidRPr="00303E62">
        <w:rPr>
          <w:rFonts w:ascii="Book Antiqua" w:eastAsia="Calibri" w:hAnsi="Book Antiqua" w:cs="Arial"/>
          <w:sz w:val="24"/>
          <w:szCs w:val="24"/>
          <w:lang w:val="en-GB"/>
        </w:rPr>
        <w:t xml:space="preserve"> neoplastic biliary changes. N</w:t>
      </w:r>
      <w:r w:rsidR="00077543" w:rsidRPr="00303E62">
        <w:rPr>
          <w:rFonts w:ascii="Book Antiqua" w:eastAsia="Calibri" w:hAnsi="Book Antiqua" w:cs="Arial"/>
          <w:sz w:val="24"/>
          <w:szCs w:val="24"/>
          <w:lang w:val="en-GB"/>
        </w:rPr>
        <w:t>eoplastic biliary changes</w:t>
      </w:r>
      <w:r w:rsidRPr="00303E62">
        <w:rPr>
          <w:rFonts w:ascii="Book Antiqua" w:eastAsia="Calibri" w:hAnsi="Book Antiqua" w:cs="Arial"/>
          <w:sz w:val="24"/>
          <w:szCs w:val="24"/>
          <w:lang w:val="en-GB"/>
        </w:rPr>
        <w:t xml:space="preserve"> </w:t>
      </w:r>
      <w:r w:rsidR="00077543" w:rsidRPr="00303E62">
        <w:rPr>
          <w:rFonts w:ascii="Book Antiqua" w:eastAsia="Calibri" w:hAnsi="Book Antiqua" w:cs="Arial"/>
          <w:sz w:val="24"/>
          <w:szCs w:val="24"/>
          <w:lang w:val="en-GB"/>
        </w:rPr>
        <w:t>were also not</w:t>
      </w:r>
      <w:r w:rsidRPr="00303E62">
        <w:rPr>
          <w:rFonts w:ascii="Book Antiqua" w:eastAsia="Calibri" w:hAnsi="Book Antiqua" w:cs="Arial"/>
          <w:sz w:val="24"/>
          <w:szCs w:val="24"/>
          <w:lang w:val="en-GB"/>
        </w:rPr>
        <w:t xml:space="preserve"> detected in liver biopsy because biliary dysplasia was not </w:t>
      </w:r>
      <w:r w:rsidR="0007754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the peripheral bile ducts. </w:t>
      </w:r>
      <w:r w:rsidR="00077543" w:rsidRPr="00303E62">
        <w:rPr>
          <w:rFonts w:ascii="Book Antiqua" w:eastAsia="Calibri" w:hAnsi="Book Antiqua" w:cs="Arial"/>
          <w:sz w:val="24"/>
          <w:szCs w:val="24"/>
          <w:lang w:val="en-GB"/>
        </w:rPr>
        <w:t>H</w:t>
      </w:r>
      <w:r w:rsidRPr="00303E62">
        <w:rPr>
          <w:rFonts w:ascii="Book Antiqua" w:eastAsia="Calibri" w:hAnsi="Book Antiqua" w:cs="Arial"/>
          <w:sz w:val="24"/>
          <w:szCs w:val="24"/>
          <w:lang w:val="en-GB"/>
        </w:rPr>
        <w:t>owever, HGD may be diagnosed with BC</w:t>
      </w:r>
      <w:r w:rsidR="00077543" w:rsidRPr="00303E62">
        <w:rPr>
          <w:rFonts w:ascii="Book Antiqua" w:eastAsia="Calibri" w:hAnsi="Book Antiqua" w:cs="Arial"/>
          <w:sz w:val="24"/>
          <w:szCs w:val="24"/>
          <w:lang w:val="en-GB"/>
        </w:rPr>
        <w:t xml:space="preserve"> in select cases</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10</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w:t>
      </w:r>
    </w:p>
    <w:p w14:paraId="7DEAF73A" w14:textId="441F385B" w:rsidR="00663156" w:rsidRPr="00303E62" w:rsidRDefault="00077543"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W</w:t>
      </w:r>
      <w:r w:rsidR="00663156" w:rsidRPr="00303E62">
        <w:rPr>
          <w:rFonts w:ascii="Book Antiqua" w:eastAsia="Calibri" w:hAnsi="Book Antiqua" w:cs="Arial"/>
          <w:sz w:val="24"/>
          <w:szCs w:val="24"/>
          <w:lang w:val="en-GB"/>
        </w:rPr>
        <w:t>e also used DNA flow cytometry in addition to BC in selected cases (</w:t>
      </w:r>
      <w:r w:rsidRPr="00CF64C3">
        <w:rPr>
          <w:rFonts w:ascii="Book Antiqua" w:eastAsia="Calibri" w:hAnsi="Book Antiqua" w:cs="Arial"/>
          <w:i/>
          <w:sz w:val="24"/>
          <w:szCs w:val="24"/>
          <w:lang w:val="en-GB"/>
        </w:rPr>
        <w:t>e.g</w:t>
      </w:r>
      <w:r w:rsidRPr="00303E62">
        <w:rPr>
          <w:rFonts w:ascii="Book Antiqua" w:eastAsia="Calibri" w:hAnsi="Book Antiqua" w:cs="Arial"/>
          <w:sz w:val="24"/>
          <w:szCs w:val="24"/>
          <w:lang w:val="en-GB"/>
        </w:rPr>
        <w:t xml:space="preserve">., </w:t>
      </w:r>
      <w:r w:rsidR="00663156" w:rsidRPr="00303E62">
        <w:rPr>
          <w:rFonts w:ascii="Book Antiqua" w:eastAsia="Calibri" w:hAnsi="Book Antiqua" w:cs="Arial"/>
          <w:sz w:val="24"/>
          <w:szCs w:val="24"/>
          <w:lang w:val="en-GB"/>
        </w:rPr>
        <w:t>advanced ERC changes or previously suspicious BC)</w:t>
      </w:r>
      <w:r w:rsidR="001C046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Based on earlier studies</w:t>
      </w:r>
      <w:r w:rsidRPr="00303E62">
        <w:rPr>
          <w:rFonts w:ascii="Book Antiqua" w:eastAsia="Calibri" w:hAnsi="Book Antiqua" w:cs="Arial"/>
          <w:sz w:val="24"/>
          <w:szCs w:val="24"/>
          <w:vertAlign w:val="superscript"/>
          <w:lang w:val="en-GB"/>
        </w:rPr>
        <w:t>[7,11]</w:t>
      </w:r>
      <w:r w:rsidR="0068303D" w:rsidRPr="00303E62">
        <w:rPr>
          <w:rFonts w:ascii="Book Antiqua" w:eastAsia="Calibri" w:hAnsi="Book Antiqua" w:cs="Arial"/>
          <w:sz w:val="24"/>
          <w:szCs w:val="24"/>
          <w:lang w:val="en-GB"/>
        </w:rPr>
        <w:t>, a</w:t>
      </w:r>
      <w:r w:rsidR="00663156" w:rsidRPr="00303E62">
        <w:rPr>
          <w:rFonts w:ascii="Book Antiqua" w:eastAsia="Calibri" w:hAnsi="Book Antiqua" w:cs="Arial"/>
          <w:sz w:val="24"/>
          <w:szCs w:val="24"/>
          <w:lang w:val="en-GB"/>
        </w:rPr>
        <w:t xml:space="preserve">neuploidy was not more commonly </w:t>
      </w:r>
      <w:r w:rsidRPr="00303E62">
        <w:rPr>
          <w:rFonts w:ascii="Book Antiqua" w:eastAsia="Calibri" w:hAnsi="Book Antiqua" w:cs="Arial"/>
          <w:sz w:val="24"/>
          <w:szCs w:val="24"/>
          <w:lang w:val="en-GB"/>
        </w:rPr>
        <w:t>observed in</w:t>
      </w:r>
      <w:r w:rsidR="00663156" w:rsidRPr="00303E62">
        <w:rPr>
          <w:rFonts w:ascii="Book Antiqua" w:eastAsia="Calibri" w:hAnsi="Book Antiqua" w:cs="Arial"/>
          <w:sz w:val="24"/>
          <w:szCs w:val="24"/>
          <w:lang w:val="en-GB"/>
        </w:rPr>
        <w:t xml:space="preserve"> CCAs. This </w:t>
      </w:r>
      <w:r w:rsidRPr="00303E62">
        <w:rPr>
          <w:rFonts w:ascii="Book Antiqua" w:eastAsia="Calibri" w:hAnsi="Book Antiqua" w:cs="Arial"/>
          <w:sz w:val="24"/>
          <w:szCs w:val="24"/>
          <w:lang w:val="en-GB"/>
        </w:rPr>
        <w:t xml:space="preserve">result </w:t>
      </w:r>
      <w:r w:rsidR="00663156" w:rsidRPr="00303E62">
        <w:rPr>
          <w:rFonts w:ascii="Book Antiqua" w:eastAsia="Calibri" w:hAnsi="Book Antiqua" w:cs="Arial"/>
          <w:sz w:val="24"/>
          <w:szCs w:val="24"/>
          <w:lang w:val="en-GB"/>
        </w:rPr>
        <w:t>m</w:t>
      </w:r>
      <w:r w:rsidRPr="00303E62">
        <w:rPr>
          <w:rFonts w:ascii="Book Antiqua" w:eastAsia="Calibri" w:hAnsi="Book Antiqua" w:cs="Arial"/>
          <w:sz w:val="24"/>
          <w:szCs w:val="24"/>
          <w:lang w:val="en-GB"/>
        </w:rPr>
        <w:t>ay</w:t>
      </w:r>
      <w:r w:rsidR="00663156" w:rsidRPr="00303E62">
        <w:rPr>
          <w:rFonts w:ascii="Book Antiqua" w:eastAsia="Calibri" w:hAnsi="Book Antiqua" w:cs="Arial"/>
          <w:sz w:val="24"/>
          <w:szCs w:val="24"/>
          <w:lang w:val="en-GB"/>
        </w:rPr>
        <w:t xml:space="preserve"> reflect the fact that cancer cells </w:t>
      </w:r>
      <w:r w:rsidRPr="00303E62">
        <w:rPr>
          <w:rFonts w:ascii="Book Antiqua" w:eastAsia="Calibri" w:hAnsi="Book Antiqua" w:cs="Arial"/>
          <w:sz w:val="24"/>
          <w:szCs w:val="24"/>
          <w:lang w:val="en-GB"/>
        </w:rPr>
        <w:t xml:space="preserve">in CCA </w:t>
      </w:r>
      <w:r w:rsidR="00663156" w:rsidRPr="00303E62">
        <w:rPr>
          <w:rFonts w:ascii="Book Antiqua" w:eastAsia="Calibri" w:hAnsi="Book Antiqua" w:cs="Arial"/>
          <w:sz w:val="24"/>
          <w:szCs w:val="24"/>
          <w:lang w:val="en-GB"/>
        </w:rPr>
        <w:t xml:space="preserve">may not be reachable for brushing </w:t>
      </w:r>
      <w:r w:rsidRPr="00303E62">
        <w:rPr>
          <w:rFonts w:ascii="Book Antiqua" w:eastAsia="Calibri" w:hAnsi="Book Antiqua" w:cs="Arial"/>
          <w:sz w:val="24"/>
          <w:szCs w:val="24"/>
          <w:lang w:val="en-GB"/>
        </w:rPr>
        <w:t>because of</w:t>
      </w:r>
      <w:r w:rsidR="00663156" w:rsidRPr="00303E62">
        <w:rPr>
          <w:rFonts w:ascii="Book Antiqua" w:eastAsia="Calibri" w:hAnsi="Book Antiqua" w:cs="Arial"/>
          <w:sz w:val="24"/>
          <w:szCs w:val="24"/>
          <w:lang w:val="en-GB"/>
        </w:rPr>
        <w:t xml:space="preserve"> their growth pattern or desmoplasia. The median DNA</w:t>
      </w:r>
      <w:r w:rsidRPr="00303E62">
        <w:rPr>
          <w:rFonts w:ascii="Book Antiqua" w:eastAsia="Calibri" w:hAnsi="Book Antiqua" w:cs="Arial"/>
          <w:sz w:val="24"/>
          <w:szCs w:val="24"/>
          <w:lang w:val="en-GB"/>
        </w:rPr>
        <w:t xml:space="preserve"> </w:t>
      </w:r>
      <w:r w:rsidR="00663156" w:rsidRPr="00303E62">
        <w:rPr>
          <w:rFonts w:ascii="Book Antiqua" w:eastAsia="Calibri" w:hAnsi="Book Antiqua" w:cs="Arial"/>
          <w:sz w:val="24"/>
          <w:szCs w:val="24"/>
          <w:lang w:val="en-GB"/>
        </w:rPr>
        <w:t>index was higher in patients with HGD, but</w:t>
      </w:r>
      <w:r w:rsidRPr="00303E62">
        <w:rPr>
          <w:rFonts w:ascii="Book Antiqua" w:eastAsia="Calibri" w:hAnsi="Book Antiqua" w:cs="Arial"/>
          <w:sz w:val="24"/>
          <w:szCs w:val="24"/>
          <w:lang w:val="en-GB"/>
        </w:rPr>
        <w:t xml:space="preserve"> this difference was likely the result of</w:t>
      </w:r>
      <w:r w:rsidR="00663156" w:rsidRPr="00303E62">
        <w:rPr>
          <w:rFonts w:ascii="Book Antiqua" w:eastAsia="Calibri" w:hAnsi="Book Antiqua" w:cs="Arial"/>
          <w:sz w:val="24"/>
          <w:szCs w:val="24"/>
          <w:lang w:val="en-GB"/>
        </w:rPr>
        <w:t xml:space="preserve"> the low number of cases, </w:t>
      </w:r>
      <w:r w:rsidRPr="00303E62">
        <w:rPr>
          <w:rFonts w:ascii="Book Antiqua" w:eastAsia="Calibri" w:hAnsi="Book Antiqua" w:cs="Arial"/>
          <w:sz w:val="24"/>
          <w:szCs w:val="24"/>
          <w:lang w:val="en-GB"/>
        </w:rPr>
        <w:t xml:space="preserve">and </w:t>
      </w:r>
      <w:r w:rsidR="00663156" w:rsidRPr="00303E62">
        <w:rPr>
          <w:rFonts w:ascii="Book Antiqua" w:eastAsia="Calibri" w:hAnsi="Book Antiqua" w:cs="Arial"/>
          <w:sz w:val="24"/>
          <w:szCs w:val="24"/>
          <w:lang w:val="en-GB"/>
        </w:rPr>
        <w:t xml:space="preserve">statistical significance was not </w:t>
      </w:r>
      <w:r w:rsidRPr="00303E62">
        <w:rPr>
          <w:rFonts w:ascii="Book Antiqua" w:eastAsia="Calibri" w:hAnsi="Book Antiqua" w:cs="Arial"/>
          <w:sz w:val="24"/>
          <w:szCs w:val="24"/>
          <w:lang w:val="en-GB"/>
        </w:rPr>
        <w:t>observed</w:t>
      </w:r>
      <w:r w:rsidR="00663156" w:rsidRPr="00303E62">
        <w:rPr>
          <w:rFonts w:ascii="Book Antiqua" w:eastAsia="Calibri" w:hAnsi="Book Antiqua" w:cs="Arial"/>
          <w:sz w:val="24"/>
          <w:szCs w:val="24"/>
          <w:lang w:val="en-GB"/>
        </w:rPr>
        <w:t xml:space="preserve">. The demand </w:t>
      </w:r>
      <w:r w:rsidRPr="00303E62">
        <w:rPr>
          <w:rFonts w:ascii="Book Antiqua" w:eastAsia="Calibri" w:hAnsi="Book Antiqua" w:cs="Arial"/>
          <w:sz w:val="24"/>
          <w:szCs w:val="24"/>
          <w:lang w:val="en-GB"/>
        </w:rPr>
        <w:t>for</w:t>
      </w:r>
      <w:r w:rsidR="00663156" w:rsidRPr="00303E62">
        <w:rPr>
          <w:rFonts w:ascii="Book Antiqua" w:eastAsia="Calibri" w:hAnsi="Book Antiqua" w:cs="Arial"/>
          <w:sz w:val="24"/>
          <w:szCs w:val="24"/>
          <w:lang w:val="en-GB"/>
        </w:rPr>
        <w:t xml:space="preserve"> more cases to reach significance is also based on the fact that only </w:t>
      </w:r>
      <w:r w:rsidRPr="00303E62">
        <w:rPr>
          <w:rFonts w:ascii="Book Antiqua" w:eastAsia="Calibri" w:hAnsi="Book Antiqua" w:cs="Arial"/>
          <w:sz w:val="24"/>
          <w:szCs w:val="24"/>
          <w:lang w:val="en-GB"/>
        </w:rPr>
        <w:t xml:space="preserve">a </w:t>
      </w:r>
      <w:r w:rsidR="00663156" w:rsidRPr="00303E62">
        <w:rPr>
          <w:rFonts w:ascii="Book Antiqua" w:eastAsia="Calibri" w:hAnsi="Book Antiqua" w:cs="Arial"/>
          <w:sz w:val="24"/>
          <w:szCs w:val="24"/>
          <w:lang w:val="en-GB"/>
        </w:rPr>
        <w:t>p</w:t>
      </w:r>
      <w:r w:rsidRPr="00303E62">
        <w:rPr>
          <w:rFonts w:ascii="Book Antiqua" w:eastAsia="Calibri" w:hAnsi="Book Antiqua" w:cs="Arial"/>
          <w:sz w:val="24"/>
          <w:szCs w:val="24"/>
          <w:lang w:val="en-GB"/>
        </w:rPr>
        <w:t>o</w:t>
      </w:r>
      <w:r w:rsidR="00663156" w:rsidRPr="00303E62">
        <w:rPr>
          <w:rFonts w:ascii="Book Antiqua" w:eastAsia="Calibri" w:hAnsi="Book Antiqua" w:cs="Arial"/>
          <w:sz w:val="24"/>
          <w:szCs w:val="24"/>
          <w:lang w:val="en-GB"/>
        </w:rPr>
        <w:t>rt</w:t>
      </w:r>
      <w:r w:rsidRPr="00303E62">
        <w:rPr>
          <w:rFonts w:ascii="Book Antiqua" w:eastAsia="Calibri" w:hAnsi="Book Antiqua" w:cs="Arial"/>
          <w:sz w:val="24"/>
          <w:szCs w:val="24"/>
          <w:lang w:val="en-GB"/>
        </w:rPr>
        <w:t>ion</w:t>
      </w:r>
      <w:r w:rsidR="00663156" w:rsidRPr="00303E62">
        <w:rPr>
          <w:rFonts w:ascii="Book Antiqua" w:eastAsia="Calibri" w:hAnsi="Book Antiqua" w:cs="Arial"/>
          <w:sz w:val="24"/>
          <w:szCs w:val="24"/>
          <w:lang w:val="en-GB"/>
        </w:rPr>
        <w:t xml:space="preserve"> of the dysplasias</w:t>
      </w:r>
      <w:r w:rsidRPr="00303E62">
        <w:rPr>
          <w:rFonts w:ascii="Book Antiqua" w:eastAsia="Calibri" w:hAnsi="Book Antiqua" w:cs="Arial"/>
          <w:sz w:val="24"/>
          <w:szCs w:val="24"/>
          <w:lang w:val="en-GB"/>
        </w:rPr>
        <w:t>,</w:t>
      </w:r>
      <w:r w:rsidR="00663156" w:rsidRPr="00303E62">
        <w:rPr>
          <w:rFonts w:ascii="Book Antiqua" w:eastAsia="Calibri" w:hAnsi="Book Antiqua" w:cs="Arial"/>
          <w:sz w:val="24"/>
          <w:szCs w:val="24"/>
          <w:lang w:val="en-GB"/>
        </w:rPr>
        <w:t xml:space="preserve"> or even CCAs</w:t>
      </w:r>
      <w:r w:rsidRPr="00303E62">
        <w:rPr>
          <w:rFonts w:ascii="Book Antiqua" w:eastAsia="Calibri" w:hAnsi="Book Antiqua" w:cs="Arial"/>
          <w:sz w:val="24"/>
          <w:szCs w:val="24"/>
          <w:lang w:val="en-GB"/>
        </w:rPr>
        <w:t>,</w:t>
      </w:r>
      <w:r w:rsidR="00663156" w:rsidRPr="00303E62">
        <w:rPr>
          <w:rFonts w:ascii="Book Antiqua" w:eastAsia="Calibri" w:hAnsi="Book Antiqua" w:cs="Arial"/>
          <w:sz w:val="24"/>
          <w:szCs w:val="24"/>
          <w:lang w:val="en-GB"/>
        </w:rPr>
        <w:t xml:space="preserve"> presented with aneuploid DNA. Better markers for HGD than aneuploidy are needed. </w:t>
      </w:r>
      <w:r w:rsidRPr="00303E62">
        <w:rPr>
          <w:rFonts w:ascii="Book Antiqua" w:eastAsia="Calibri" w:hAnsi="Book Antiqua" w:cs="Arial"/>
          <w:sz w:val="24"/>
          <w:szCs w:val="24"/>
          <w:lang w:val="en-GB"/>
        </w:rPr>
        <w:t>The c</w:t>
      </w:r>
      <w:r w:rsidR="00663156" w:rsidRPr="00303E62">
        <w:rPr>
          <w:rFonts w:ascii="Book Antiqua" w:eastAsia="Calibri" w:hAnsi="Book Antiqua" w:cs="Arial"/>
          <w:sz w:val="24"/>
          <w:szCs w:val="24"/>
          <w:lang w:val="en-GB"/>
        </w:rPr>
        <w:t>ombin</w:t>
      </w:r>
      <w:r w:rsidRPr="00303E62">
        <w:rPr>
          <w:rFonts w:ascii="Book Antiqua" w:eastAsia="Calibri" w:hAnsi="Book Antiqua" w:cs="Arial"/>
          <w:sz w:val="24"/>
          <w:szCs w:val="24"/>
          <w:lang w:val="en-GB"/>
        </w:rPr>
        <w:t>at</w:t>
      </w:r>
      <w:r w:rsidR="00663156" w:rsidRPr="00303E62">
        <w:rPr>
          <w:rFonts w:ascii="Book Antiqua" w:eastAsia="Calibri" w:hAnsi="Book Antiqua" w:cs="Arial"/>
          <w:sz w:val="24"/>
          <w:szCs w:val="24"/>
          <w:lang w:val="en-GB"/>
        </w:rPr>
        <w:t>i</w:t>
      </w:r>
      <w:r w:rsidRPr="00303E62">
        <w:rPr>
          <w:rFonts w:ascii="Book Antiqua" w:eastAsia="Calibri" w:hAnsi="Book Antiqua" w:cs="Arial"/>
          <w:sz w:val="24"/>
          <w:szCs w:val="24"/>
          <w:lang w:val="en-GB"/>
        </w:rPr>
        <w:t>o</w:t>
      </w:r>
      <w:r w:rsidR="00663156" w:rsidRPr="00303E62">
        <w:rPr>
          <w:rFonts w:ascii="Book Antiqua" w:eastAsia="Calibri" w:hAnsi="Book Antiqua" w:cs="Arial"/>
          <w:sz w:val="24"/>
          <w:szCs w:val="24"/>
          <w:lang w:val="en-GB"/>
        </w:rPr>
        <w:t>n</w:t>
      </w:r>
      <w:r w:rsidRPr="00303E62">
        <w:rPr>
          <w:rFonts w:ascii="Book Antiqua" w:eastAsia="Calibri" w:hAnsi="Book Antiqua" w:cs="Arial"/>
          <w:sz w:val="24"/>
          <w:szCs w:val="24"/>
          <w:lang w:val="en-GB"/>
        </w:rPr>
        <w:t xml:space="preserve"> of</w:t>
      </w:r>
      <w:r w:rsidR="00663156" w:rsidRPr="00303E62">
        <w:rPr>
          <w:rFonts w:ascii="Book Antiqua" w:eastAsia="Calibri" w:hAnsi="Book Antiqua" w:cs="Arial"/>
          <w:sz w:val="24"/>
          <w:szCs w:val="24"/>
          <w:lang w:val="en-GB"/>
        </w:rPr>
        <w:t xml:space="preserve"> genetic abnormalities with BC may help </w:t>
      </w:r>
      <w:r w:rsidR="00663156" w:rsidRPr="00303E62">
        <w:rPr>
          <w:rFonts w:ascii="Book Antiqua" w:eastAsia="Calibri" w:hAnsi="Book Antiqua" w:cs="Arial"/>
          <w:sz w:val="24"/>
          <w:szCs w:val="24"/>
          <w:lang w:val="en-GB"/>
        </w:rPr>
        <w:lastRenderedPageBreak/>
        <w:t>distinguish benign and malignant bile duct strictures</w:t>
      </w:r>
      <w:r w:rsidR="00907FA2" w:rsidRPr="00303E62">
        <w:rPr>
          <w:rFonts w:ascii="Book Antiqua" w:eastAsia="Calibri" w:hAnsi="Book Antiqua" w:cs="Arial"/>
          <w:sz w:val="24"/>
          <w:szCs w:val="24"/>
          <w:vertAlign w:val="superscript"/>
          <w:lang w:val="en-GB"/>
        </w:rPr>
        <w:t>[</w:t>
      </w:r>
      <w:r w:rsidR="00663156" w:rsidRPr="00303E62">
        <w:rPr>
          <w:rFonts w:ascii="Book Antiqua" w:eastAsia="Calibri" w:hAnsi="Book Antiqua" w:cs="Arial"/>
          <w:sz w:val="24"/>
          <w:szCs w:val="24"/>
          <w:vertAlign w:val="superscript"/>
          <w:lang w:val="en-GB"/>
        </w:rPr>
        <w:t>12,13</w:t>
      </w:r>
      <w:r w:rsidR="00907FA2" w:rsidRPr="00303E62">
        <w:rPr>
          <w:rFonts w:ascii="Book Antiqua" w:eastAsia="Calibri" w:hAnsi="Book Antiqua" w:cs="Arial"/>
          <w:sz w:val="24"/>
          <w:szCs w:val="24"/>
          <w:vertAlign w:val="superscript"/>
          <w:lang w:val="en-GB"/>
        </w:rPr>
        <w:t>]</w:t>
      </w:r>
      <w:r w:rsidR="00663156" w:rsidRPr="00303E62">
        <w:rPr>
          <w:rFonts w:ascii="Book Antiqua" w:eastAsia="Calibri" w:hAnsi="Book Antiqua" w:cs="Arial"/>
          <w:sz w:val="24"/>
          <w:szCs w:val="24"/>
          <w:lang w:val="en-GB"/>
        </w:rPr>
        <w:t xml:space="preserve">. However, there are no specific markers to detect HGD without histology. </w:t>
      </w:r>
    </w:p>
    <w:p w14:paraId="3A1B659B" w14:textId="37783410"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CA19-9 level</w:t>
      </w:r>
      <w:r w:rsidR="00077543"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often rise with CCA, but </w:t>
      </w:r>
      <w:r w:rsidR="00077543" w:rsidRPr="00303E62">
        <w:rPr>
          <w:rFonts w:ascii="Book Antiqua" w:eastAsia="Calibri" w:hAnsi="Book Antiqua" w:cs="Arial"/>
          <w:sz w:val="24"/>
          <w:szCs w:val="24"/>
          <w:lang w:val="en-GB"/>
        </w:rPr>
        <w:t xml:space="preserve">it </w:t>
      </w:r>
      <w:r w:rsidRPr="00303E62">
        <w:rPr>
          <w:rFonts w:ascii="Book Antiqua" w:eastAsia="Calibri" w:hAnsi="Book Antiqua" w:cs="Arial"/>
          <w:sz w:val="24"/>
          <w:szCs w:val="24"/>
          <w:lang w:val="en-GB"/>
        </w:rPr>
        <w:t>is not specific for CCA</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14,15</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CA19-9 may be markedly elevated in up to 32% of PS</w:t>
      </w:r>
      <w:r w:rsidR="00907FA2" w:rsidRPr="00303E62">
        <w:rPr>
          <w:rFonts w:ascii="Book Antiqua" w:eastAsia="Calibri" w:hAnsi="Book Antiqua" w:cs="Arial"/>
          <w:sz w:val="24"/>
          <w:szCs w:val="24"/>
          <w:lang w:val="en-GB"/>
        </w:rPr>
        <w:t>C patients in the absence of CC</w:t>
      </w:r>
      <w:r w:rsidR="002150A9" w:rsidRPr="00303E62">
        <w:rPr>
          <w:rFonts w:ascii="Book Antiqua" w:eastAsia="Calibri" w:hAnsi="Book Antiqua" w:cs="Arial"/>
          <w:sz w:val="24"/>
          <w:szCs w:val="24"/>
          <w:lang w:val="en-GB"/>
        </w:rPr>
        <w:t>A</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15</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CA19-9 was elevated mostly </w:t>
      </w:r>
      <w:r w:rsidR="00077543"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CCA patients</w:t>
      </w:r>
      <w:r w:rsidR="00077543" w:rsidRPr="00303E62">
        <w:rPr>
          <w:rFonts w:ascii="Book Antiqua" w:eastAsia="Calibri" w:hAnsi="Book Antiqua" w:cs="Arial"/>
          <w:sz w:val="24"/>
          <w:szCs w:val="24"/>
          <w:lang w:val="en-GB"/>
        </w:rPr>
        <w:t xml:space="preserve"> in the present study</w:t>
      </w:r>
      <w:r w:rsidRPr="00303E62">
        <w:rPr>
          <w:rFonts w:ascii="Book Antiqua" w:eastAsia="Calibri" w:hAnsi="Book Antiqua" w:cs="Arial"/>
          <w:sz w:val="24"/>
          <w:szCs w:val="24"/>
          <w:lang w:val="en-GB"/>
        </w:rPr>
        <w:t xml:space="preserve">, </w:t>
      </w:r>
      <w:r w:rsidR="00077543" w:rsidRPr="00303E62">
        <w:rPr>
          <w:rFonts w:ascii="Book Antiqua" w:eastAsia="Calibri" w:hAnsi="Book Antiqua" w:cs="Arial"/>
          <w:sz w:val="24"/>
          <w:szCs w:val="24"/>
          <w:lang w:val="en-GB"/>
        </w:rPr>
        <w:t xml:space="preserve">which </w:t>
      </w:r>
      <w:r w:rsidRPr="00303E62">
        <w:rPr>
          <w:rFonts w:ascii="Book Antiqua" w:eastAsia="Calibri" w:hAnsi="Book Antiqua" w:cs="Arial"/>
          <w:sz w:val="24"/>
          <w:szCs w:val="24"/>
          <w:lang w:val="en-GB"/>
        </w:rPr>
        <w:t>support</w:t>
      </w:r>
      <w:r w:rsidR="00077543"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the use of CA19-9 as a tumo</w:t>
      </w:r>
      <w:r w:rsidR="00077543" w:rsidRPr="00303E62">
        <w:rPr>
          <w:rFonts w:ascii="Book Antiqua" w:eastAsia="Calibri" w:hAnsi="Book Antiqua" w:cs="Arial"/>
          <w:sz w:val="24"/>
          <w:szCs w:val="24"/>
          <w:lang w:val="en-GB"/>
        </w:rPr>
        <w:t>u</w:t>
      </w:r>
      <w:r w:rsidRPr="00303E62">
        <w:rPr>
          <w:rFonts w:ascii="Book Antiqua" w:eastAsia="Calibri" w:hAnsi="Book Antiqua" w:cs="Arial"/>
          <w:sz w:val="24"/>
          <w:szCs w:val="24"/>
          <w:lang w:val="en-GB"/>
        </w:rPr>
        <w:t>r marker for CCA</w:t>
      </w:r>
      <w:r w:rsidR="00077543" w:rsidRPr="00303E62">
        <w:rPr>
          <w:rFonts w:ascii="Book Antiqua" w:eastAsia="Calibri" w:hAnsi="Book Antiqua" w:cs="Arial"/>
          <w:sz w:val="24"/>
          <w:szCs w:val="24"/>
          <w:lang w:val="en-GB"/>
        </w:rPr>
        <w:t>. However</w:t>
      </w:r>
      <w:r w:rsidRPr="00303E62">
        <w:rPr>
          <w:rFonts w:ascii="Book Antiqua" w:eastAsia="Calibri" w:hAnsi="Book Antiqua" w:cs="Arial"/>
          <w:sz w:val="24"/>
          <w:szCs w:val="24"/>
          <w:lang w:val="en-GB"/>
        </w:rPr>
        <w:t xml:space="preserve">, </w:t>
      </w:r>
      <w:r w:rsidR="00077543" w:rsidRPr="00303E62">
        <w:rPr>
          <w:rFonts w:ascii="Book Antiqua" w:eastAsia="Calibri" w:hAnsi="Book Antiqua" w:cs="Arial"/>
          <w:sz w:val="24"/>
          <w:szCs w:val="24"/>
          <w:lang w:val="en-GB"/>
        </w:rPr>
        <w:t>it is</w:t>
      </w:r>
      <w:r w:rsidRPr="00303E62">
        <w:rPr>
          <w:rFonts w:ascii="Book Antiqua" w:eastAsia="Calibri" w:hAnsi="Book Antiqua" w:cs="Arial"/>
          <w:sz w:val="24"/>
          <w:szCs w:val="24"/>
          <w:lang w:val="en-GB"/>
        </w:rPr>
        <w:t xml:space="preserve"> not suitable for biliary dysplasia screening. Several surveillance algorithms of PSC recommend </w:t>
      </w:r>
      <w:r w:rsidR="00077543"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us</w:t>
      </w:r>
      <w:r w:rsidR="00077543" w:rsidRPr="00303E62">
        <w:rPr>
          <w:rFonts w:ascii="Book Antiqua" w:eastAsia="Calibri" w:hAnsi="Book Antiqua" w:cs="Arial"/>
          <w:sz w:val="24"/>
          <w:szCs w:val="24"/>
          <w:lang w:val="en-GB"/>
        </w:rPr>
        <w:t>e of</w:t>
      </w:r>
      <w:r w:rsidRPr="00303E62">
        <w:rPr>
          <w:rFonts w:ascii="Book Antiqua" w:eastAsia="Calibri" w:hAnsi="Book Antiqua" w:cs="Arial"/>
          <w:sz w:val="24"/>
          <w:szCs w:val="24"/>
          <w:lang w:val="en-GB"/>
        </w:rPr>
        <w:t xml:space="preserve"> CA19-9</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2,16,17</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Elevated CEA values were also commonly </w:t>
      </w:r>
      <w:r w:rsidR="0007754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w:t>
      </w:r>
      <w:r w:rsidR="00077543"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CCA patients but only </w:t>
      </w:r>
      <w:r w:rsidR="00077543" w:rsidRPr="00303E62">
        <w:rPr>
          <w:rFonts w:ascii="Book Antiqua" w:eastAsia="Calibri" w:hAnsi="Book Antiqua" w:cs="Arial"/>
          <w:sz w:val="24"/>
          <w:szCs w:val="24"/>
          <w:lang w:val="en-GB"/>
        </w:rPr>
        <w:t>immediately prior to</w:t>
      </w:r>
      <w:r w:rsidRPr="00303E62">
        <w:rPr>
          <w:rFonts w:ascii="Book Antiqua" w:eastAsia="Calibri" w:hAnsi="Book Antiqua" w:cs="Arial"/>
          <w:sz w:val="24"/>
          <w:szCs w:val="24"/>
          <w:lang w:val="en-GB"/>
        </w:rPr>
        <w:t xml:space="preserve"> the CCA diagnosis (data not shown). These findings suggest that CA19-9 and CEA are late markers, and they cannot be used for</w:t>
      </w:r>
      <w:r w:rsidR="00077543" w:rsidRPr="00303E62">
        <w:rPr>
          <w:rFonts w:ascii="Book Antiqua" w:eastAsia="Calibri" w:hAnsi="Book Antiqua" w:cs="Arial"/>
          <w:sz w:val="24"/>
          <w:szCs w:val="24"/>
          <w:lang w:val="en-GB"/>
        </w:rPr>
        <w:t xml:space="preserve"> the</w:t>
      </w:r>
      <w:r w:rsidRPr="00303E62">
        <w:rPr>
          <w:rFonts w:ascii="Book Antiqua" w:eastAsia="Calibri" w:hAnsi="Book Antiqua" w:cs="Arial"/>
          <w:sz w:val="24"/>
          <w:szCs w:val="24"/>
          <w:lang w:val="en-GB"/>
        </w:rPr>
        <w:t xml:space="preserve"> detecti</w:t>
      </w:r>
      <w:r w:rsidR="00077543" w:rsidRPr="00303E62">
        <w:rPr>
          <w:rFonts w:ascii="Book Antiqua" w:eastAsia="Calibri" w:hAnsi="Book Antiqua" w:cs="Arial"/>
          <w:sz w:val="24"/>
          <w:szCs w:val="24"/>
          <w:lang w:val="en-GB"/>
        </w:rPr>
        <w:t>o</w:t>
      </w:r>
      <w:r w:rsidRPr="00303E62">
        <w:rPr>
          <w:rFonts w:ascii="Book Antiqua" w:eastAsia="Calibri" w:hAnsi="Book Antiqua" w:cs="Arial"/>
          <w:sz w:val="24"/>
          <w:szCs w:val="24"/>
          <w:lang w:val="en-GB"/>
        </w:rPr>
        <w:t>n</w:t>
      </w:r>
      <w:r w:rsidR="00077543" w:rsidRPr="00303E62">
        <w:rPr>
          <w:rFonts w:ascii="Book Antiqua" w:eastAsia="Calibri" w:hAnsi="Book Antiqua" w:cs="Arial"/>
          <w:sz w:val="24"/>
          <w:szCs w:val="24"/>
          <w:lang w:val="en-GB"/>
        </w:rPr>
        <w:t xml:space="preserve"> of</w:t>
      </w:r>
      <w:r w:rsidRPr="00303E62">
        <w:rPr>
          <w:rFonts w:ascii="Book Antiqua" w:eastAsia="Calibri" w:hAnsi="Book Antiqua" w:cs="Arial"/>
          <w:sz w:val="24"/>
          <w:szCs w:val="24"/>
          <w:lang w:val="en-GB"/>
        </w:rPr>
        <w:t xml:space="preserve"> premalignant lesions. </w:t>
      </w:r>
      <w:r w:rsidR="00077543" w:rsidRPr="00303E62">
        <w:rPr>
          <w:rFonts w:ascii="Book Antiqua" w:eastAsia="Calibri" w:hAnsi="Book Antiqua" w:cs="Arial"/>
          <w:sz w:val="24"/>
          <w:szCs w:val="24"/>
          <w:lang w:val="en-GB"/>
        </w:rPr>
        <w:t>The</w:t>
      </w:r>
      <w:r w:rsidRPr="00303E62">
        <w:rPr>
          <w:rFonts w:ascii="Book Antiqua" w:eastAsia="Calibri" w:hAnsi="Book Antiqua" w:cs="Arial"/>
          <w:sz w:val="24"/>
          <w:szCs w:val="24"/>
          <w:lang w:val="en-GB"/>
        </w:rPr>
        <w:t xml:space="preserve"> elevation of CA19-9 </w:t>
      </w:r>
      <w:r w:rsidR="00077543" w:rsidRPr="00303E62">
        <w:rPr>
          <w:rFonts w:ascii="Book Antiqua" w:eastAsia="Calibri" w:hAnsi="Book Antiqua" w:cs="Arial"/>
          <w:sz w:val="24"/>
          <w:szCs w:val="24"/>
          <w:lang w:val="en-GB"/>
        </w:rPr>
        <w:t>gener</w:t>
      </w:r>
      <w:r w:rsidRPr="00303E62">
        <w:rPr>
          <w:rFonts w:ascii="Book Antiqua" w:eastAsia="Calibri" w:hAnsi="Book Antiqua" w:cs="Arial"/>
          <w:sz w:val="24"/>
          <w:szCs w:val="24"/>
          <w:lang w:val="en-GB"/>
        </w:rPr>
        <w:t xml:space="preserve">ally </w:t>
      </w:r>
      <w:r w:rsidR="00077543" w:rsidRPr="00303E62">
        <w:rPr>
          <w:rFonts w:ascii="Book Antiqua" w:eastAsia="Calibri" w:hAnsi="Book Antiqua" w:cs="Arial"/>
          <w:sz w:val="24"/>
          <w:szCs w:val="24"/>
          <w:lang w:val="en-GB"/>
        </w:rPr>
        <w:t>indicate</w:t>
      </w:r>
      <w:r w:rsidRPr="00303E62">
        <w:rPr>
          <w:rFonts w:ascii="Book Antiqua" w:eastAsia="Calibri" w:hAnsi="Book Antiqua" w:cs="Arial"/>
          <w:sz w:val="24"/>
          <w:szCs w:val="24"/>
          <w:lang w:val="en-GB"/>
        </w:rPr>
        <w:t xml:space="preserve">s that the dysplasia surveillance </w:t>
      </w:r>
      <w:r w:rsidR="00A1119C" w:rsidRPr="00303E62">
        <w:rPr>
          <w:rFonts w:ascii="Book Antiqua" w:eastAsia="Calibri" w:hAnsi="Book Antiqua" w:cs="Arial"/>
          <w:sz w:val="24"/>
          <w:szCs w:val="24"/>
          <w:lang w:val="en-GB"/>
        </w:rPr>
        <w:t xml:space="preserve">programme </w:t>
      </w:r>
      <w:r w:rsidRPr="00303E62">
        <w:rPr>
          <w:rFonts w:ascii="Book Antiqua" w:eastAsia="Calibri" w:hAnsi="Book Antiqua" w:cs="Arial"/>
          <w:sz w:val="24"/>
          <w:szCs w:val="24"/>
          <w:lang w:val="en-GB"/>
        </w:rPr>
        <w:t>has actually failed to find cases with dysplasia. CA19-9 is not expressed in 5</w:t>
      </w:r>
      <w:r w:rsidR="00CF64C3">
        <w:rPr>
          <w:rFonts w:ascii="Book Antiqua" w:eastAsia="Calibri" w:hAnsi="Book Antiqua" w:cs="Arial" w:hint="eastAsia"/>
          <w:sz w:val="24"/>
          <w:szCs w:val="24"/>
          <w:lang w:val="en-GB" w:eastAsia="zh-CN"/>
        </w:rPr>
        <w:t>%</w:t>
      </w:r>
      <w:r w:rsidRPr="00303E62">
        <w:rPr>
          <w:rFonts w:ascii="Book Antiqua" w:eastAsia="Calibri" w:hAnsi="Book Antiqua" w:cs="Arial"/>
          <w:sz w:val="24"/>
          <w:szCs w:val="24"/>
          <w:lang w:val="en-GB"/>
        </w:rPr>
        <w:t>-10% of the population who have the Lewis a- b- genotype</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18</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and the fucosyltransferase genotype</w:t>
      </w:r>
      <w:r w:rsidR="00077543" w:rsidRPr="00303E62">
        <w:rPr>
          <w:rFonts w:ascii="Book Antiqua" w:eastAsia="Calibri" w:hAnsi="Book Antiqua" w:cs="Arial"/>
          <w:sz w:val="24"/>
          <w:szCs w:val="24"/>
          <w:lang w:val="en-GB"/>
        </w:rPr>
        <w:t xml:space="preserve"> influences CEA levels</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19</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w:t>
      </w:r>
    </w:p>
    <w:p w14:paraId="4815B6C3" w14:textId="6F696376"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ALP is </w:t>
      </w:r>
      <w:r w:rsidR="00077543" w:rsidRPr="00303E62">
        <w:rPr>
          <w:rFonts w:ascii="Book Antiqua" w:eastAsia="Calibri" w:hAnsi="Book Antiqua" w:cs="Arial"/>
          <w:sz w:val="24"/>
          <w:szCs w:val="24"/>
          <w:lang w:val="en-GB"/>
        </w:rPr>
        <w:t>gener</w:t>
      </w:r>
      <w:r w:rsidRPr="00303E62">
        <w:rPr>
          <w:rFonts w:ascii="Book Antiqua" w:eastAsia="Calibri" w:hAnsi="Book Antiqua" w:cs="Arial"/>
          <w:sz w:val="24"/>
          <w:szCs w:val="24"/>
          <w:lang w:val="en-GB"/>
        </w:rPr>
        <w:t>ally elevated at PSC diagnosis, and normali</w:t>
      </w:r>
      <w:r w:rsidR="00077543"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ation of ALP is associated with a better prognosis</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20-24</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ALP levels are not helpful in differentiating HGD from LGD, </w:t>
      </w:r>
      <w:r w:rsidR="00077543" w:rsidRPr="00303E62">
        <w:rPr>
          <w:rFonts w:ascii="Book Antiqua" w:eastAsia="Calibri" w:hAnsi="Book Antiqua" w:cs="Arial"/>
          <w:sz w:val="24"/>
          <w:szCs w:val="24"/>
          <w:lang w:val="en-GB"/>
        </w:rPr>
        <w:t>which w</w:t>
      </w:r>
      <w:r w:rsidRPr="00303E62">
        <w:rPr>
          <w:rFonts w:ascii="Book Antiqua" w:eastAsia="Calibri" w:hAnsi="Book Antiqua" w:cs="Arial"/>
          <w:sz w:val="24"/>
          <w:szCs w:val="24"/>
          <w:lang w:val="en-GB"/>
        </w:rPr>
        <w:t xml:space="preserve">as </w:t>
      </w:r>
      <w:r w:rsidR="0007754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this study. CCA patients were not younger than other patients, and there was up to 19 years of time between PSC and CCA diagnosis. </w:t>
      </w:r>
      <w:r w:rsidR="007F0B33" w:rsidRPr="00303E62">
        <w:rPr>
          <w:rFonts w:ascii="Book Antiqua" w:eastAsia="Calibri" w:hAnsi="Book Antiqua" w:cs="Arial"/>
          <w:sz w:val="24"/>
          <w:szCs w:val="24"/>
          <w:lang w:val="en-GB"/>
        </w:rPr>
        <w:t>O</w:t>
      </w:r>
      <w:r w:rsidRPr="00303E62">
        <w:rPr>
          <w:rFonts w:ascii="Book Antiqua" w:eastAsia="Calibri" w:hAnsi="Book Antiqua" w:cs="Arial"/>
          <w:sz w:val="24"/>
          <w:szCs w:val="24"/>
          <w:lang w:val="en-GB"/>
        </w:rPr>
        <w:t>ne</w:t>
      </w:r>
      <w:r w:rsidR="0007754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third (6/19) of CCAs were detected within </w:t>
      </w:r>
      <w:r w:rsidR="00077543" w:rsidRPr="00303E62">
        <w:rPr>
          <w:rFonts w:ascii="Book Antiqua" w:eastAsia="Calibri" w:hAnsi="Book Antiqua" w:cs="Arial"/>
          <w:sz w:val="24"/>
          <w:szCs w:val="24"/>
          <w:lang w:val="en-GB"/>
        </w:rPr>
        <w:t>one</w:t>
      </w:r>
      <w:r w:rsidRPr="00303E62">
        <w:rPr>
          <w:rFonts w:ascii="Book Antiqua" w:eastAsia="Calibri" w:hAnsi="Book Antiqua" w:cs="Arial"/>
          <w:sz w:val="24"/>
          <w:szCs w:val="24"/>
          <w:lang w:val="en-GB"/>
        </w:rPr>
        <w:t xml:space="preserve"> year of PSC diagnosis</w:t>
      </w:r>
      <w:r w:rsidR="00077543" w:rsidRPr="00303E62">
        <w:rPr>
          <w:rFonts w:ascii="Book Antiqua" w:eastAsia="Calibri" w:hAnsi="Book Antiqua" w:cs="Arial"/>
          <w:sz w:val="24"/>
          <w:szCs w:val="24"/>
          <w:lang w:val="en-GB"/>
        </w:rPr>
        <w:t xml:space="preserve"> in the present study</w:t>
      </w:r>
      <w:r w:rsidRPr="00303E62">
        <w:rPr>
          <w:rFonts w:ascii="Book Antiqua" w:eastAsia="Calibri" w:hAnsi="Book Antiqua" w:cs="Arial"/>
          <w:sz w:val="24"/>
          <w:szCs w:val="24"/>
          <w:lang w:val="en-GB"/>
        </w:rPr>
        <w:t>. Ten of the</w:t>
      </w:r>
      <w:r w:rsidR="00077543" w:rsidRPr="00303E62">
        <w:rPr>
          <w:rFonts w:ascii="Book Antiqua" w:eastAsia="Calibri" w:hAnsi="Book Antiqua" w:cs="Arial"/>
          <w:sz w:val="24"/>
          <w:szCs w:val="24"/>
          <w:lang w:val="en-GB"/>
        </w:rPr>
        <w:t xml:space="preserve"> 19 </w:t>
      </w:r>
      <w:r w:rsidRPr="00303E62">
        <w:rPr>
          <w:rFonts w:ascii="Book Antiqua" w:eastAsia="Calibri" w:hAnsi="Book Antiqua" w:cs="Arial"/>
          <w:sz w:val="24"/>
          <w:szCs w:val="24"/>
          <w:lang w:val="en-GB"/>
        </w:rPr>
        <w:t xml:space="preserve">CCA patients in this study </w:t>
      </w:r>
      <w:r w:rsidR="00077543" w:rsidRPr="00303E62">
        <w:rPr>
          <w:rFonts w:ascii="Book Antiqua" w:eastAsia="Calibri" w:hAnsi="Book Antiqua" w:cs="Arial"/>
          <w:sz w:val="24"/>
          <w:szCs w:val="24"/>
          <w:lang w:val="en-GB"/>
        </w:rPr>
        <w:t>were</w:t>
      </w:r>
      <w:r w:rsidRPr="00303E62">
        <w:rPr>
          <w:rFonts w:ascii="Book Antiqua" w:eastAsia="Calibri" w:hAnsi="Book Antiqua" w:cs="Arial"/>
          <w:sz w:val="24"/>
          <w:szCs w:val="24"/>
          <w:lang w:val="en-GB"/>
        </w:rPr>
        <w:t xml:space="preserve"> diagnosed with PSC </w:t>
      </w:r>
      <w:r w:rsidR="00077543" w:rsidRPr="00303E62">
        <w:rPr>
          <w:rFonts w:ascii="Book Antiqua" w:eastAsia="Calibri" w:hAnsi="Book Antiqua" w:cs="Arial"/>
          <w:sz w:val="24"/>
          <w:szCs w:val="24"/>
          <w:lang w:val="en-GB"/>
        </w:rPr>
        <w:t>prior to</w:t>
      </w:r>
      <w:r w:rsidRPr="00303E62">
        <w:rPr>
          <w:rFonts w:ascii="Book Antiqua" w:eastAsia="Calibri" w:hAnsi="Book Antiqua" w:cs="Arial"/>
          <w:sz w:val="24"/>
          <w:szCs w:val="24"/>
          <w:lang w:val="en-GB"/>
        </w:rPr>
        <w:t xml:space="preserve"> the beginning of this study period</w:t>
      </w:r>
      <w:r w:rsidR="00077543" w:rsidRPr="00303E62">
        <w:rPr>
          <w:rFonts w:ascii="Book Antiqua" w:eastAsia="Calibri" w:hAnsi="Book Antiqua" w:cs="Arial"/>
          <w:sz w:val="24"/>
          <w:szCs w:val="24"/>
          <w:lang w:val="en-GB"/>
        </w:rPr>
        <w:t xml:space="preserve"> (2008)</w:t>
      </w:r>
      <w:r w:rsidRPr="00303E62">
        <w:rPr>
          <w:rFonts w:ascii="Book Antiqua" w:eastAsia="Calibri" w:hAnsi="Book Antiqua" w:cs="Arial"/>
          <w:sz w:val="24"/>
          <w:szCs w:val="24"/>
          <w:lang w:val="en-GB"/>
        </w:rPr>
        <w:t xml:space="preserve">. </w:t>
      </w:r>
      <w:r w:rsidR="00077543" w:rsidRPr="00303E62">
        <w:rPr>
          <w:rFonts w:ascii="Book Antiqua" w:eastAsia="Calibri" w:hAnsi="Book Antiqua" w:cs="Arial"/>
          <w:sz w:val="24"/>
          <w:szCs w:val="24"/>
          <w:lang w:val="en-GB"/>
        </w:rPr>
        <w:t xml:space="preserve">Therefore, </w:t>
      </w:r>
      <w:r w:rsidRPr="00303E62">
        <w:rPr>
          <w:rFonts w:ascii="Book Antiqua" w:eastAsia="Calibri" w:hAnsi="Book Antiqua" w:cs="Arial"/>
          <w:sz w:val="24"/>
          <w:szCs w:val="24"/>
          <w:lang w:val="en-GB"/>
        </w:rPr>
        <w:t xml:space="preserve">the effect of this surveillance </w:t>
      </w:r>
      <w:r w:rsidR="00A1119C" w:rsidRPr="00303E62">
        <w:rPr>
          <w:rFonts w:ascii="Book Antiqua" w:eastAsia="Calibri" w:hAnsi="Book Antiqua" w:cs="Arial"/>
          <w:sz w:val="24"/>
          <w:szCs w:val="24"/>
          <w:lang w:val="en-GB"/>
        </w:rPr>
        <w:t xml:space="preserve">programme </w:t>
      </w:r>
      <w:r w:rsidR="00077543" w:rsidRPr="00303E62">
        <w:rPr>
          <w:rFonts w:ascii="Book Antiqua" w:eastAsia="Calibri" w:hAnsi="Book Antiqua" w:cs="Arial"/>
          <w:sz w:val="24"/>
          <w:szCs w:val="24"/>
          <w:lang w:val="en-GB"/>
        </w:rPr>
        <w:t xml:space="preserve">could not be evaluated </w:t>
      </w:r>
      <w:r w:rsidRPr="00303E62">
        <w:rPr>
          <w:rFonts w:ascii="Book Antiqua" w:eastAsia="Calibri" w:hAnsi="Book Antiqua" w:cs="Arial"/>
          <w:sz w:val="24"/>
          <w:szCs w:val="24"/>
          <w:lang w:val="en-GB"/>
        </w:rPr>
        <w:t xml:space="preserve">for the </w:t>
      </w:r>
      <w:r w:rsidR="00077543" w:rsidRPr="00303E62">
        <w:rPr>
          <w:rFonts w:ascii="Book Antiqua" w:eastAsia="Calibri" w:hAnsi="Book Antiqua" w:cs="Arial"/>
          <w:sz w:val="24"/>
          <w:szCs w:val="24"/>
          <w:lang w:val="en-GB"/>
        </w:rPr>
        <w:t>entir</w:t>
      </w:r>
      <w:r w:rsidRPr="00303E62">
        <w:rPr>
          <w:rFonts w:ascii="Book Antiqua" w:eastAsia="Calibri" w:hAnsi="Book Antiqua" w:cs="Arial"/>
          <w:sz w:val="24"/>
          <w:szCs w:val="24"/>
          <w:lang w:val="en-GB"/>
        </w:rPr>
        <w:t xml:space="preserve">e PSC population. Patients with LGD were significantly younger than </w:t>
      </w:r>
      <w:r w:rsidR="00077543" w:rsidRPr="00303E62">
        <w:rPr>
          <w:rFonts w:ascii="Book Antiqua" w:eastAsia="Calibri" w:hAnsi="Book Antiqua" w:cs="Arial"/>
          <w:sz w:val="24"/>
          <w:szCs w:val="24"/>
          <w:lang w:val="en-GB"/>
        </w:rPr>
        <w:t>patients</w:t>
      </w:r>
      <w:r w:rsidRPr="00303E62">
        <w:rPr>
          <w:rFonts w:ascii="Book Antiqua" w:eastAsia="Calibri" w:hAnsi="Book Antiqua" w:cs="Arial"/>
          <w:sz w:val="24"/>
          <w:szCs w:val="24"/>
          <w:lang w:val="en-GB"/>
        </w:rPr>
        <w:t xml:space="preserve"> with CCA or HGD. Retrospectively, some of these patients could have waited for the LT if there were no symptoms, but this study</w:t>
      </w:r>
      <w:r w:rsidR="00077543" w:rsidRPr="00303E62">
        <w:rPr>
          <w:rFonts w:ascii="Book Antiqua" w:eastAsia="Calibri" w:hAnsi="Book Antiqua" w:cs="Arial"/>
          <w:sz w:val="24"/>
          <w:szCs w:val="24"/>
          <w:lang w:val="en-GB"/>
        </w:rPr>
        <w:t xml:space="preserve"> demonstrated that</w:t>
      </w:r>
      <w:r w:rsidRPr="00303E62">
        <w:rPr>
          <w:rFonts w:ascii="Book Antiqua" w:eastAsia="Calibri" w:hAnsi="Book Antiqua" w:cs="Arial"/>
          <w:sz w:val="24"/>
          <w:szCs w:val="24"/>
          <w:lang w:val="en-GB"/>
        </w:rPr>
        <w:t xml:space="preserve"> it is </w:t>
      </w:r>
      <w:r w:rsidR="00077543" w:rsidRPr="00303E62">
        <w:rPr>
          <w:rFonts w:ascii="Book Antiqua" w:eastAsia="Calibri" w:hAnsi="Book Antiqua" w:cs="Arial"/>
          <w:sz w:val="24"/>
          <w:szCs w:val="24"/>
          <w:lang w:val="en-GB"/>
        </w:rPr>
        <w:t>gener</w:t>
      </w:r>
      <w:r w:rsidRPr="00303E62">
        <w:rPr>
          <w:rFonts w:ascii="Book Antiqua" w:eastAsia="Calibri" w:hAnsi="Book Antiqua" w:cs="Arial"/>
          <w:sz w:val="24"/>
          <w:szCs w:val="24"/>
          <w:lang w:val="en-GB"/>
        </w:rPr>
        <w:t xml:space="preserve">ally impossible to diagnose HGD </w:t>
      </w:r>
      <w:r w:rsidR="00077543" w:rsidRPr="00303E62">
        <w:rPr>
          <w:rFonts w:ascii="Book Antiqua" w:eastAsia="Calibri" w:hAnsi="Book Antiqua" w:cs="Arial"/>
          <w:sz w:val="24"/>
          <w:szCs w:val="24"/>
          <w:lang w:val="en-GB"/>
        </w:rPr>
        <w:t>prior to</w:t>
      </w:r>
      <w:r w:rsidRPr="00303E62">
        <w:rPr>
          <w:rFonts w:ascii="Book Antiqua" w:eastAsia="Calibri" w:hAnsi="Book Antiqua" w:cs="Arial"/>
          <w:sz w:val="24"/>
          <w:szCs w:val="24"/>
          <w:lang w:val="en-GB"/>
        </w:rPr>
        <w:t xml:space="preserve"> LT.</w:t>
      </w:r>
    </w:p>
    <w:p w14:paraId="04112D50" w14:textId="389E436E"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ERC findings were similar in all patient groups, </w:t>
      </w:r>
      <w:r w:rsidR="00077543" w:rsidRPr="00303E62">
        <w:rPr>
          <w:rFonts w:ascii="Book Antiqua" w:eastAsia="Calibri" w:hAnsi="Book Antiqua" w:cs="Arial"/>
          <w:sz w:val="24"/>
          <w:szCs w:val="24"/>
          <w:lang w:val="en-GB"/>
        </w:rPr>
        <w:t>which is likely</w:t>
      </w:r>
      <w:r w:rsidRPr="00303E62">
        <w:rPr>
          <w:rFonts w:ascii="Book Antiqua" w:eastAsia="Calibri" w:hAnsi="Book Antiqua" w:cs="Arial"/>
          <w:sz w:val="24"/>
          <w:szCs w:val="24"/>
          <w:lang w:val="en-GB"/>
        </w:rPr>
        <w:t xml:space="preserve"> due to several end-stage PSCs with cirrhosis in the LGD group. ERC with BC is routinely performed for </w:t>
      </w:r>
      <w:r w:rsidR="00077543"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screening and detecting</w:t>
      </w:r>
      <w:r w:rsidR="00FF788A" w:rsidRPr="00303E62">
        <w:rPr>
          <w:rFonts w:ascii="Book Antiqua" w:eastAsia="Calibri" w:hAnsi="Book Antiqua" w:cs="Arial"/>
          <w:sz w:val="24"/>
          <w:szCs w:val="24"/>
          <w:lang w:val="en-GB"/>
        </w:rPr>
        <w:t xml:space="preserve"> of</w:t>
      </w:r>
      <w:r w:rsidRPr="00303E62">
        <w:rPr>
          <w:rFonts w:ascii="Book Antiqua" w:eastAsia="Calibri" w:hAnsi="Book Antiqua" w:cs="Arial"/>
          <w:sz w:val="24"/>
          <w:szCs w:val="24"/>
          <w:lang w:val="en-GB"/>
        </w:rPr>
        <w:t xml:space="preserve"> biliary dysplasia before LT in our hospital</w:t>
      </w:r>
      <w:r w:rsidR="00077543" w:rsidRPr="00303E62">
        <w:rPr>
          <w:rFonts w:ascii="Book Antiqua" w:eastAsia="Calibri" w:hAnsi="Book Antiqua" w:cs="Arial"/>
          <w:sz w:val="24"/>
          <w:szCs w:val="24"/>
          <w:lang w:val="en-GB"/>
        </w:rPr>
        <w:t>, even LT due to end-stage cirrhosis or symptoms</w:t>
      </w:r>
      <w:r w:rsidRPr="00303E62">
        <w:rPr>
          <w:rFonts w:ascii="Book Antiqua" w:eastAsia="Calibri" w:hAnsi="Book Antiqua" w:cs="Arial"/>
          <w:sz w:val="24"/>
          <w:szCs w:val="24"/>
          <w:lang w:val="en-GB"/>
        </w:rPr>
        <w:t xml:space="preserve">. Our results demonstrate that the ERC score is not helpful for </w:t>
      </w:r>
      <w:r w:rsidR="00077543"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differentiati</w:t>
      </w:r>
      <w:r w:rsidR="00077543" w:rsidRPr="00303E62">
        <w:rPr>
          <w:rFonts w:ascii="Book Antiqua" w:eastAsia="Calibri" w:hAnsi="Book Antiqua" w:cs="Arial"/>
          <w:sz w:val="24"/>
          <w:szCs w:val="24"/>
          <w:lang w:val="en-GB"/>
        </w:rPr>
        <w:t>o</w:t>
      </w:r>
      <w:r w:rsidRPr="00303E62">
        <w:rPr>
          <w:rFonts w:ascii="Book Antiqua" w:eastAsia="Calibri" w:hAnsi="Book Antiqua" w:cs="Arial"/>
          <w:sz w:val="24"/>
          <w:szCs w:val="24"/>
          <w:lang w:val="en-GB"/>
        </w:rPr>
        <w:t>n</w:t>
      </w:r>
      <w:r w:rsidR="00077543" w:rsidRPr="00303E62">
        <w:rPr>
          <w:rFonts w:ascii="Book Antiqua" w:eastAsia="Calibri" w:hAnsi="Book Antiqua" w:cs="Arial"/>
          <w:sz w:val="24"/>
          <w:szCs w:val="24"/>
          <w:lang w:val="en-GB"/>
        </w:rPr>
        <w:t xml:space="preserve"> of</w:t>
      </w:r>
      <w:r w:rsidRPr="00303E62">
        <w:rPr>
          <w:rFonts w:ascii="Book Antiqua" w:eastAsia="Calibri" w:hAnsi="Book Antiqua" w:cs="Arial"/>
          <w:sz w:val="24"/>
          <w:szCs w:val="24"/>
          <w:lang w:val="en-GB"/>
        </w:rPr>
        <w:t xml:space="preserve"> these three groups. Our strategy significantly</w:t>
      </w:r>
      <w:r w:rsidR="006F77C7" w:rsidRPr="00303E62">
        <w:rPr>
          <w:rFonts w:ascii="Book Antiqua" w:eastAsia="Calibri" w:hAnsi="Book Antiqua" w:cs="Arial"/>
          <w:sz w:val="24"/>
          <w:szCs w:val="24"/>
          <w:lang w:val="en-GB"/>
        </w:rPr>
        <w:t xml:space="preserve"> differs</w:t>
      </w:r>
      <w:r w:rsidRPr="00303E62">
        <w:rPr>
          <w:rFonts w:ascii="Book Antiqua" w:eastAsia="Calibri" w:hAnsi="Book Antiqua" w:cs="Arial"/>
          <w:sz w:val="24"/>
          <w:szCs w:val="24"/>
          <w:lang w:val="en-GB"/>
        </w:rPr>
        <w:t xml:space="preserve"> from the </w:t>
      </w:r>
      <w:r w:rsidRPr="00303E62">
        <w:rPr>
          <w:rFonts w:ascii="Book Antiqua" w:eastAsia="Calibri" w:hAnsi="Book Antiqua" w:cs="Arial"/>
          <w:sz w:val="24"/>
          <w:szCs w:val="24"/>
          <w:lang w:val="en-GB"/>
        </w:rPr>
        <w:lastRenderedPageBreak/>
        <w:t>practice in many US transplantation cent</w:t>
      </w:r>
      <w:r w:rsidR="00077543" w:rsidRPr="00303E62">
        <w:rPr>
          <w:rFonts w:ascii="Book Antiqua" w:eastAsia="Calibri" w:hAnsi="Book Antiqua" w:cs="Arial"/>
          <w:sz w:val="24"/>
          <w:szCs w:val="24"/>
          <w:lang w:val="en-GB"/>
        </w:rPr>
        <w:t>r</w:t>
      </w:r>
      <w:r w:rsidRPr="00303E62">
        <w:rPr>
          <w:rFonts w:ascii="Book Antiqua" w:eastAsia="Calibri" w:hAnsi="Book Antiqua" w:cs="Arial"/>
          <w:sz w:val="24"/>
          <w:szCs w:val="24"/>
          <w:lang w:val="en-GB"/>
        </w:rPr>
        <w:t>es</w:t>
      </w:r>
      <w:r w:rsidR="00077543" w:rsidRPr="00303E62">
        <w:rPr>
          <w:rFonts w:ascii="Book Antiqua" w:eastAsia="Calibri" w:hAnsi="Book Antiqua" w:cs="Arial"/>
          <w:sz w:val="24"/>
          <w:szCs w:val="24"/>
          <w:lang w:val="en-GB"/>
        </w:rPr>
        <w:t>,</w:t>
      </w:r>
      <w:r w:rsidRPr="00303E62">
        <w:rPr>
          <w:rFonts w:ascii="Book Antiqua" w:eastAsia="Calibri" w:hAnsi="Book Antiqua" w:cs="Arial"/>
          <w:sz w:val="24"/>
          <w:szCs w:val="24"/>
          <w:lang w:val="en-GB"/>
        </w:rPr>
        <w:t xml:space="preserve"> where pre-liver transplant screening for CCA </w:t>
      </w:r>
      <w:r w:rsidR="00077543"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patients with PSC is routinely p</w:t>
      </w:r>
      <w:r w:rsidR="00907FA2" w:rsidRPr="00303E62">
        <w:rPr>
          <w:rFonts w:ascii="Book Antiqua" w:eastAsia="Calibri" w:hAnsi="Book Antiqua" w:cs="Arial"/>
          <w:sz w:val="24"/>
          <w:szCs w:val="24"/>
          <w:lang w:val="en-GB"/>
        </w:rPr>
        <w:t xml:space="preserve">erformed in </w:t>
      </w:r>
      <w:r w:rsidR="00077543" w:rsidRPr="00303E62">
        <w:rPr>
          <w:rFonts w:ascii="Book Antiqua" w:eastAsia="Calibri" w:hAnsi="Book Antiqua" w:cs="Arial"/>
          <w:sz w:val="24"/>
          <w:szCs w:val="24"/>
          <w:lang w:val="en-GB"/>
        </w:rPr>
        <w:t xml:space="preserve">only </w:t>
      </w:r>
      <w:r w:rsidR="00907FA2" w:rsidRPr="00303E62">
        <w:rPr>
          <w:rFonts w:ascii="Book Antiqua" w:eastAsia="Calibri" w:hAnsi="Book Antiqua" w:cs="Arial"/>
          <w:sz w:val="24"/>
          <w:szCs w:val="24"/>
          <w:lang w:val="en-GB"/>
        </w:rPr>
        <w:t>30% of centr</w:t>
      </w:r>
      <w:r w:rsidR="00077543" w:rsidRPr="00303E62">
        <w:rPr>
          <w:rFonts w:ascii="Book Antiqua" w:eastAsia="Calibri" w:hAnsi="Book Antiqua" w:cs="Arial"/>
          <w:sz w:val="24"/>
          <w:szCs w:val="24"/>
          <w:lang w:val="en-GB"/>
        </w:rPr>
        <w:t>e</w:t>
      </w:r>
      <w:r w:rsidR="00907FA2" w:rsidRPr="00303E62">
        <w:rPr>
          <w:rFonts w:ascii="Book Antiqua" w:eastAsia="Calibri" w:hAnsi="Book Antiqua" w:cs="Arial"/>
          <w:sz w:val="24"/>
          <w:szCs w:val="24"/>
          <w:lang w:val="en-GB"/>
        </w:rPr>
        <w:t>s</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25</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w:t>
      </w:r>
    </w:p>
    <w:p w14:paraId="2203FAB4" w14:textId="529BB243"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LGD was </w:t>
      </w:r>
      <w:r w:rsidR="0007754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conjunction with HGD in all cases, and HGD of the bile ducts was </w:t>
      </w:r>
      <w:r w:rsidR="00077543" w:rsidRPr="00303E62">
        <w:rPr>
          <w:rFonts w:ascii="Book Antiqua" w:eastAsia="Calibri" w:hAnsi="Book Antiqua" w:cs="Arial"/>
          <w:sz w:val="24"/>
          <w:szCs w:val="24"/>
          <w:lang w:val="en-GB"/>
        </w:rPr>
        <w:t>observed</w:t>
      </w:r>
      <w:r w:rsidRPr="00303E62">
        <w:rPr>
          <w:rFonts w:ascii="Book Antiqua" w:eastAsia="Calibri" w:hAnsi="Book Antiqua" w:cs="Arial"/>
          <w:sz w:val="24"/>
          <w:szCs w:val="24"/>
          <w:lang w:val="en-GB"/>
        </w:rPr>
        <w:t xml:space="preserve"> in all four CCA patients who </w:t>
      </w:r>
      <w:r w:rsidR="001926F9" w:rsidRPr="00303E62">
        <w:rPr>
          <w:rFonts w:ascii="Book Antiqua" w:eastAsia="Calibri" w:hAnsi="Book Antiqua" w:cs="Arial"/>
          <w:sz w:val="24"/>
          <w:szCs w:val="24"/>
          <w:lang w:val="en-GB"/>
        </w:rPr>
        <w:t>received LT</w:t>
      </w:r>
      <w:r w:rsidRPr="00303E62">
        <w:rPr>
          <w:rFonts w:ascii="Book Antiqua" w:eastAsia="Calibri" w:hAnsi="Book Antiqua" w:cs="Arial"/>
          <w:sz w:val="24"/>
          <w:szCs w:val="24"/>
          <w:lang w:val="en-GB"/>
        </w:rPr>
        <w:t>. These CCAs were discovered after LT in the explanted liver. These findings support the dysplasia-CCA sequence as described by Lewis et al</w:t>
      </w:r>
      <w:r w:rsidR="001926F9" w:rsidRPr="00303E62">
        <w:rPr>
          <w:rFonts w:ascii="Book Antiqua" w:eastAsia="Calibri" w:hAnsi="Book Antiqua" w:cs="Arial"/>
          <w:sz w:val="24"/>
          <w:szCs w:val="24"/>
          <w:lang w:val="en-GB"/>
        </w:rPr>
        <w:t>.</w:t>
      </w:r>
      <w:r w:rsidR="00AA70C9"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3</w:t>
      </w:r>
      <w:r w:rsidR="00AA70C9"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This theory of </w:t>
      </w:r>
      <w:r w:rsidR="001926F9" w:rsidRPr="00303E62">
        <w:rPr>
          <w:rFonts w:ascii="Book Antiqua" w:eastAsia="Calibri" w:hAnsi="Book Antiqua" w:cs="Arial"/>
          <w:sz w:val="24"/>
          <w:szCs w:val="24"/>
          <w:lang w:val="en-GB"/>
        </w:rPr>
        <w:t xml:space="preserve">a </w:t>
      </w:r>
      <w:r w:rsidRPr="00303E62">
        <w:rPr>
          <w:rFonts w:ascii="Book Antiqua" w:eastAsia="Calibri" w:hAnsi="Book Antiqua" w:cs="Arial"/>
          <w:sz w:val="24"/>
          <w:szCs w:val="24"/>
          <w:lang w:val="en-GB"/>
        </w:rPr>
        <w:t xml:space="preserve">dysplasia–cancer sequence, </w:t>
      </w:r>
      <w:r w:rsidR="001926F9" w:rsidRPr="00303E62">
        <w:rPr>
          <w:rFonts w:ascii="Book Antiqua" w:eastAsia="Calibri" w:hAnsi="Book Antiqua" w:cs="Arial"/>
          <w:sz w:val="24"/>
          <w:szCs w:val="24"/>
          <w:lang w:val="en-GB"/>
        </w:rPr>
        <w:t xml:space="preserve">which was </w:t>
      </w:r>
      <w:r w:rsidRPr="00303E62">
        <w:rPr>
          <w:rFonts w:ascii="Book Antiqua" w:eastAsia="Calibri" w:hAnsi="Book Antiqua" w:cs="Arial"/>
          <w:sz w:val="24"/>
          <w:szCs w:val="24"/>
          <w:lang w:val="en-GB"/>
        </w:rPr>
        <w:t xml:space="preserve">indirectly demonstrated in this study, justifies the dysplasia surveillance </w:t>
      </w:r>
      <w:r w:rsidR="00A1119C" w:rsidRPr="00303E62">
        <w:rPr>
          <w:rFonts w:ascii="Book Antiqua" w:eastAsia="Calibri" w:hAnsi="Book Antiqua" w:cs="Arial"/>
          <w:sz w:val="24"/>
          <w:szCs w:val="24"/>
          <w:lang w:val="en-GB"/>
        </w:rPr>
        <w:t xml:space="preserve">programme </w:t>
      </w:r>
      <w:r w:rsidRPr="00303E62">
        <w:rPr>
          <w:rFonts w:ascii="Book Antiqua" w:eastAsia="Calibri" w:hAnsi="Book Antiqua" w:cs="Arial"/>
          <w:sz w:val="24"/>
          <w:szCs w:val="24"/>
          <w:lang w:val="en-GB"/>
        </w:rPr>
        <w:t>of PSC</w:t>
      </w:r>
      <w:r w:rsidR="001926F9" w:rsidRPr="00303E62">
        <w:rPr>
          <w:rFonts w:ascii="Book Antiqua" w:eastAsia="Calibri" w:hAnsi="Book Antiqua" w:cs="Arial"/>
          <w:sz w:val="24"/>
          <w:szCs w:val="24"/>
          <w:lang w:val="en-GB"/>
        </w:rPr>
        <w:t>. How</w:t>
      </w:r>
      <w:r w:rsidR="00B165B8" w:rsidRPr="00303E62">
        <w:rPr>
          <w:rFonts w:ascii="Book Antiqua" w:eastAsia="Calibri" w:hAnsi="Book Antiqua" w:cs="Arial"/>
          <w:sz w:val="24"/>
          <w:szCs w:val="24"/>
          <w:lang w:val="en-GB"/>
        </w:rPr>
        <w:t>ev</w:t>
      </w:r>
      <w:r w:rsidR="001926F9" w:rsidRPr="00303E62">
        <w:rPr>
          <w:rFonts w:ascii="Book Antiqua" w:eastAsia="Calibri" w:hAnsi="Book Antiqua" w:cs="Arial"/>
          <w:sz w:val="24"/>
          <w:szCs w:val="24"/>
          <w:lang w:val="en-GB"/>
        </w:rPr>
        <w:t>er</w:t>
      </w:r>
      <w:r w:rsidRPr="00303E62">
        <w:rPr>
          <w:rFonts w:ascii="Book Antiqua" w:eastAsia="Calibri" w:hAnsi="Book Antiqua" w:cs="Arial"/>
          <w:sz w:val="24"/>
          <w:szCs w:val="24"/>
          <w:lang w:val="en-GB"/>
        </w:rPr>
        <w:t xml:space="preserve">, further tools are needed to differentiate premalignant cases. </w:t>
      </w:r>
    </w:p>
    <w:p w14:paraId="0DB59E6A" w14:textId="7368B64F"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All HGDs and 14/19 CCAs were located in perihilar or extrahepatic bile ducts, </w:t>
      </w:r>
      <w:r w:rsidR="001926F9" w:rsidRPr="00303E62">
        <w:rPr>
          <w:rFonts w:ascii="Book Antiqua" w:eastAsia="Calibri" w:hAnsi="Book Antiqua" w:cs="Arial"/>
          <w:sz w:val="24"/>
          <w:szCs w:val="24"/>
          <w:lang w:val="en-GB"/>
        </w:rPr>
        <w:t xml:space="preserve">which </w:t>
      </w:r>
      <w:r w:rsidRPr="00303E62">
        <w:rPr>
          <w:rFonts w:ascii="Book Antiqua" w:eastAsia="Calibri" w:hAnsi="Book Antiqua" w:cs="Arial"/>
          <w:sz w:val="24"/>
          <w:szCs w:val="24"/>
          <w:lang w:val="en-GB"/>
        </w:rPr>
        <w:t>support</w:t>
      </w:r>
      <w:r w:rsidR="001926F9"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earlier studies </w:t>
      </w:r>
      <w:r w:rsidR="001926F9" w:rsidRPr="00303E62">
        <w:rPr>
          <w:rFonts w:ascii="Book Antiqua" w:eastAsia="Calibri" w:hAnsi="Book Antiqua" w:cs="Arial"/>
          <w:sz w:val="24"/>
          <w:szCs w:val="24"/>
          <w:lang w:val="en-GB"/>
        </w:rPr>
        <w:t>that demonstrated</w:t>
      </w:r>
      <w:r w:rsidRPr="00303E62">
        <w:rPr>
          <w:rFonts w:ascii="Book Antiqua" w:eastAsia="Calibri" w:hAnsi="Book Antiqua" w:cs="Arial"/>
          <w:sz w:val="24"/>
          <w:szCs w:val="24"/>
          <w:lang w:val="en-GB"/>
        </w:rPr>
        <w:t xml:space="preserve"> that most CCAs </w:t>
      </w:r>
      <w:r w:rsidR="001926F9" w:rsidRPr="00303E62">
        <w:rPr>
          <w:rFonts w:ascii="Book Antiqua" w:eastAsia="Calibri" w:hAnsi="Book Antiqua" w:cs="Arial"/>
          <w:sz w:val="24"/>
          <w:szCs w:val="24"/>
          <w:lang w:val="en-GB"/>
        </w:rPr>
        <w:t>we</w:t>
      </w:r>
      <w:r w:rsidRPr="00303E62">
        <w:rPr>
          <w:rFonts w:ascii="Book Antiqua" w:eastAsia="Calibri" w:hAnsi="Book Antiqua" w:cs="Arial"/>
          <w:sz w:val="24"/>
          <w:szCs w:val="24"/>
          <w:lang w:val="en-GB"/>
        </w:rPr>
        <w:t>re located in perihilar or distal bile ducts</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vertAlign w:val="superscript"/>
          <w:lang w:val="en-GB"/>
        </w:rPr>
        <w:t>26</w:t>
      </w:r>
      <w:r w:rsidR="00907FA2" w:rsidRPr="00303E62">
        <w:rPr>
          <w:rFonts w:ascii="Book Antiqua" w:eastAsia="Calibri" w:hAnsi="Book Antiqua" w:cs="Arial"/>
          <w:sz w:val="24"/>
          <w:szCs w:val="24"/>
          <w:vertAlign w:val="superscript"/>
          <w:lang w:val="en-GB"/>
        </w:rPr>
        <w:t>]</w:t>
      </w:r>
      <w:r w:rsidRPr="00303E62">
        <w:rPr>
          <w:rFonts w:ascii="Book Antiqua" w:eastAsia="Calibri" w:hAnsi="Book Antiqua" w:cs="Arial"/>
          <w:sz w:val="24"/>
          <w:szCs w:val="24"/>
          <w:lang w:val="en-GB"/>
        </w:rPr>
        <w:t xml:space="preserve">. CCA or dysplasia </w:t>
      </w:r>
      <w:r w:rsidR="001926F9" w:rsidRPr="00303E62">
        <w:rPr>
          <w:rFonts w:ascii="Book Antiqua" w:eastAsia="Calibri" w:hAnsi="Book Antiqua" w:cs="Arial"/>
          <w:sz w:val="24"/>
          <w:szCs w:val="24"/>
          <w:lang w:val="en-GB"/>
        </w:rPr>
        <w:t xml:space="preserve">in these locations </w:t>
      </w:r>
      <w:r w:rsidRPr="00303E62">
        <w:rPr>
          <w:rFonts w:ascii="Book Antiqua" w:eastAsia="Calibri" w:hAnsi="Book Antiqua" w:cs="Arial"/>
          <w:sz w:val="24"/>
          <w:szCs w:val="24"/>
          <w:lang w:val="en-GB"/>
        </w:rPr>
        <w:t>is</w:t>
      </w:r>
      <w:r w:rsidR="001926F9" w:rsidRPr="00303E62">
        <w:rPr>
          <w:rFonts w:ascii="Book Antiqua" w:eastAsia="Calibri" w:hAnsi="Book Antiqua" w:cs="Arial"/>
          <w:sz w:val="24"/>
          <w:szCs w:val="24"/>
          <w:lang w:val="en-GB"/>
        </w:rPr>
        <w:t xml:space="preserve"> gener</w:t>
      </w:r>
      <w:r w:rsidRPr="00303E62">
        <w:rPr>
          <w:rFonts w:ascii="Book Antiqua" w:eastAsia="Calibri" w:hAnsi="Book Antiqua" w:cs="Arial"/>
          <w:sz w:val="24"/>
          <w:szCs w:val="24"/>
          <w:lang w:val="en-GB"/>
        </w:rPr>
        <w:t xml:space="preserve">ally reachable </w:t>
      </w:r>
      <w:r w:rsidR="001926F9" w:rsidRPr="00303E62">
        <w:rPr>
          <w:rFonts w:ascii="Book Antiqua" w:eastAsia="Calibri" w:hAnsi="Book Antiqua" w:cs="Arial"/>
          <w:sz w:val="24"/>
          <w:szCs w:val="24"/>
          <w:lang w:val="en-GB"/>
        </w:rPr>
        <w:t>using</w:t>
      </w:r>
      <w:r w:rsidRPr="00303E62">
        <w:rPr>
          <w:rFonts w:ascii="Book Antiqua" w:eastAsia="Calibri" w:hAnsi="Book Antiqua" w:cs="Arial"/>
          <w:sz w:val="24"/>
          <w:szCs w:val="24"/>
          <w:lang w:val="en-GB"/>
        </w:rPr>
        <w:t xml:space="preserve"> BC, and surveillance with BC may be justified. </w:t>
      </w:r>
      <w:r w:rsidR="001926F9" w:rsidRPr="00303E62">
        <w:rPr>
          <w:rFonts w:ascii="Book Antiqua" w:eastAsia="Calibri" w:hAnsi="Book Antiqua" w:cs="Arial"/>
          <w:sz w:val="24"/>
          <w:szCs w:val="24"/>
          <w:lang w:val="en-GB"/>
        </w:rPr>
        <w:t>However</w:t>
      </w:r>
      <w:r w:rsidRPr="00303E62">
        <w:rPr>
          <w:rFonts w:ascii="Book Antiqua" w:eastAsia="Calibri" w:hAnsi="Book Antiqua" w:cs="Arial"/>
          <w:sz w:val="24"/>
          <w:szCs w:val="24"/>
          <w:lang w:val="en-GB"/>
        </w:rPr>
        <w:t xml:space="preserve">, </w:t>
      </w:r>
      <w:r w:rsidR="001926F9" w:rsidRPr="00303E62">
        <w:rPr>
          <w:rFonts w:ascii="Book Antiqua" w:eastAsia="Calibri" w:hAnsi="Book Antiqua" w:cs="Arial"/>
          <w:sz w:val="24"/>
          <w:szCs w:val="24"/>
          <w:lang w:val="en-GB"/>
        </w:rPr>
        <w:t>we observed</w:t>
      </w:r>
      <w:r w:rsidRPr="00303E62">
        <w:rPr>
          <w:rFonts w:ascii="Book Antiqua" w:eastAsia="Calibri" w:hAnsi="Book Antiqua" w:cs="Arial"/>
          <w:sz w:val="24"/>
          <w:szCs w:val="24"/>
          <w:lang w:val="en-GB"/>
        </w:rPr>
        <w:t xml:space="preserve"> 19 CCAs </w:t>
      </w:r>
      <w:r w:rsidR="001926F9" w:rsidRPr="00303E62">
        <w:rPr>
          <w:rFonts w:ascii="Book Antiqua" w:eastAsia="Calibri" w:hAnsi="Book Antiqua" w:cs="Arial"/>
          <w:sz w:val="24"/>
          <w:szCs w:val="24"/>
          <w:lang w:val="en-GB"/>
        </w:rPr>
        <w:t>in</w:t>
      </w:r>
      <w:r w:rsidRPr="00303E62">
        <w:rPr>
          <w:rFonts w:ascii="Book Antiqua" w:eastAsia="Calibri" w:hAnsi="Book Antiqua" w:cs="Arial"/>
          <w:sz w:val="24"/>
          <w:szCs w:val="24"/>
          <w:lang w:val="en-GB"/>
        </w:rPr>
        <w:t xml:space="preserve"> these patients compared </w:t>
      </w:r>
      <w:r w:rsidR="001926F9" w:rsidRPr="00303E62">
        <w:rPr>
          <w:rFonts w:ascii="Book Antiqua" w:eastAsia="Calibri" w:hAnsi="Book Antiqua" w:cs="Arial"/>
          <w:sz w:val="24"/>
          <w:szCs w:val="24"/>
          <w:lang w:val="en-GB"/>
        </w:rPr>
        <w:t>to</w:t>
      </w:r>
      <w:r w:rsidRPr="00303E62">
        <w:rPr>
          <w:rFonts w:ascii="Book Antiqua" w:eastAsia="Calibri" w:hAnsi="Book Antiqua" w:cs="Arial"/>
          <w:sz w:val="24"/>
          <w:szCs w:val="24"/>
          <w:lang w:val="en-GB"/>
        </w:rPr>
        <w:t xml:space="preserve"> 26 with premalignant lesions. One CCA was diagnosed in a patient who was dropped from the surveillance due to advanced age. Two CCAs were detected during the planned LT, and the LT was cancelled. Four CCAs were detected after LT, CCA was diagnosed in the explanted liver, and two of these patients had clean perioperative pathology samples. Two CCA patients </w:t>
      </w:r>
      <w:r w:rsidR="001926F9" w:rsidRPr="00303E62">
        <w:rPr>
          <w:rFonts w:ascii="Book Antiqua" w:eastAsia="Calibri" w:hAnsi="Book Antiqua" w:cs="Arial"/>
          <w:sz w:val="24"/>
          <w:szCs w:val="24"/>
          <w:lang w:val="en-GB"/>
        </w:rPr>
        <w:t>were</w:t>
      </w:r>
      <w:r w:rsidRPr="00303E62">
        <w:rPr>
          <w:rFonts w:ascii="Book Antiqua" w:eastAsia="Calibri" w:hAnsi="Book Antiqua" w:cs="Arial"/>
          <w:sz w:val="24"/>
          <w:szCs w:val="24"/>
          <w:lang w:val="en-GB"/>
        </w:rPr>
        <w:t xml:space="preserve"> </w:t>
      </w:r>
      <w:r w:rsidR="001926F9" w:rsidRPr="00303E62">
        <w:rPr>
          <w:rFonts w:ascii="Book Antiqua" w:eastAsia="Calibri" w:hAnsi="Book Antiqua" w:cs="Arial"/>
          <w:sz w:val="24"/>
          <w:szCs w:val="24"/>
          <w:lang w:val="en-GB"/>
        </w:rPr>
        <w:t>not under</w:t>
      </w:r>
      <w:r w:rsidRPr="00303E62">
        <w:rPr>
          <w:rFonts w:ascii="Book Antiqua" w:eastAsia="Calibri" w:hAnsi="Book Antiqua" w:cs="Arial"/>
          <w:sz w:val="24"/>
          <w:szCs w:val="24"/>
          <w:lang w:val="en-GB"/>
        </w:rPr>
        <w:t xml:space="preserve"> surveillance for years, but the</w:t>
      </w:r>
      <w:r w:rsidR="001926F9" w:rsidRPr="00303E62">
        <w:rPr>
          <w:rFonts w:ascii="Book Antiqua" w:eastAsia="Calibri" w:hAnsi="Book Antiqua" w:cs="Arial"/>
          <w:sz w:val="24"/>
          <w:szCs w:val="24"/>
          <w:lang w:val="en-GB"/>
        </w:rPr>
        <w:t>y</w:t>
      </w:r>
      <w:r w:rsidRPr="00303E62">
        <w:rPr>
          <w:rFonts w:ascii="Book Antiqua" w:eastAsia="Calibri" w:hAnsi="Book Antiqua" w:cs="Arial"/>
          <w:sz w:val="24"/>
          <w:szCs w:val="24"/>
          <w:lang w:val="en-GB"/>
        </w:rPr>
        <w:t xml:space="preserve"> returned with symptoms. The surveillance protocol was not optimal for all patients, and they entered the surveillance </w:t>
      </w:r>
      <w:r w:rsidR="00A1119C" w:rsidRPr="00303E62">
        <w:rPr>
          <w:rFonts w:ascii="Book Antiqua" w:eastAsia="Calibri" w:hAnsi="Book Antiqua" w:cs="Arial"/>
          <w:sz w:val="24"/>
          <w:szCs w:val="24"/>
          <w:lang w:val="en-GB"/>
        </w:rPr>
        <w:t xml:space="preserve">programme </w:t>
      </w:r>
      <w:r w:rsidRPr="00303E62">
        <w:rPr>
          <w:rFonts w:ascii="Book Antiqua" w:eastAsia="Calibri" w:hAnsi="Book Antiqua" w:cs="Arial"/>
          <w:sz w:val="24"/>
          <w:szCs w:val="24"/>
          <w:lang w:val="en-GB"/>
        </w:rPr>
        <w:t xml:space="preserve">gradually. If HGD is considered the highest risk for CCA and patients diagnosed with CCA during the first year after PSC diagnosis are excluded, </w:t>
      </w:r>
      <w:r w:rsidR="001926F9" w:rsidRPr="00303E62">
        <w:rPr>
          <w:rFonts w:ascii="Book Antiqua" w:eastAsia="Calibri" w:hAnsi="Book Antiqua" w:cs="Arial"/>
          <w:sz w:val="24"/>
          <w:szCs w:val="24"/>
          <w:lang w:val="en-GB"/>
        </w:rPr>
        <w:t xml:space="preserve">then </w:t>
      </w:r>
      <w:r w:rsidRPr="00303E62">
        <w:rPr>
          <w:rFonts w:ascii="Book Antiqua" w:eastAsia="Calibri" w:hAnsi="Book Antiqua" w:cs="Arial"/>
          <w:sz w:val="24"/>
          <w:szCs w:val="24"/>
          <w:lang w:val="en-GB"/>
        </w:rPr>
        <w:t xml:space="preserve">at least 43% of CCAs were possibly prevented </w:t>
      </w:r>
      <w:r w:rsidR="001926F9" w:rsidRPr="00303E62">
        <w:rPr>
          <w:rFonts w:ascii="Book Antiqua" w:eastAsia="Calibri" w:hAnsi="Book Antiqua" w:cs="Arial"/>
          <w:sz w:val="24"/>
          <w:szCs w:val="24"/>
          <w:lang w:val="en-GB"/>
        </w:rPr>
        <w:t>using</w:t>
      </w:r>
      <w:r w:rsidRPr="00303E62">
        <w:rPr>
          <w:rFonts w:ascii="Book Antiqua" w:eastAsia="Calibri" w:hAnsi="Book Antiqua" w:cs="Arial"/>
          <w:sz w:val="24"/>
          <w:szCs w:val="24"/>
          <w:lang w:val="en-GB"/>
        </w:rPr>
        <w:t xml:space="preserve"> early LT. </w:t>
      </w:r>
    </w:p>
    <w:p w14:paraId="0B8B05E1" w14:textId="56F511AA" w:rsidR="00663156" w:rsidRPr="00303E62" w:rsidRDefault="001926F9"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E</w:t>
      </w:r>
      <w:r w:rsidR="00663156" w:rsidRPr="00303E62">
        <w:rPr>
          <w:rFonts w:ascii="Book Antiqua" w:eastAsia="Calibri" w:hAnsi="Book Antiqua" w:cs="Arial"/>
          <w:sz w:val="24"/>
          <w:szCs w:val="24"/>
          <w:lang w:val="en-GB"/>
        </w:rPr>
        <w:t>arly CCA is an indication for LT combined with chemo- and radiotherapy</w:t>
      </w:r>
      <w:r w:rsidRPr="00303E62">
        <w:rPr>
          <w:rFonts w:ascii="Book Antiqua" w:eastAsia="Calibri" w:hAnsi="Book Antiqua" w:cs="Arial"/>
          <w:sz w:val="24"/>
          <w:szCs w:val="24"/>
          <w:lang w:val="en-GB"/>
        </w:rPr>
        <w:t xml:space="preserve"> in select centres</w:t>
      </w:r>
      <w:r w:rsidR="00907FA2" w:rsidRPr="00303E62">
        <w:rPr>
          <w:rFonts w:ascii="Book Antiqua" w:eastAsia="Calibri" w:hAnsi="Book Antiqua" w:cs="Arial"/>
          <w:sz w:val="24"/>
          <w:szCs w:val="24"/>
          <w:vertAlign w:val="superscript"/>
          <w:lang w:val="en-GB"/>
        </w:rPr>
        <w:t>[</w:t>
      </w:r>
      <w:r w:rsidR="00AA70C9" w:rsidRPr="00303E62">
        <w:rPr>
          <w:rFonts w:ascii="Book Antiqua" w:eastAsia="Calibri" w:hAnsi="Book Antiqua" w:cs="Arial"/>
          <w:sz w:val="24"/>
          <w:szCs w:val="24"/>
          <w:vertAlign w:val="superscript"/>
          <w:lang w:val="en-GB"/>
        </w:rPr>
        <w:t>6</w:t>
      </w:r>
      <w:r w:rsidR="00907FA2" w:rsidRPr="00303E62">
        <w:rPr>
          <w:rFonts w:ascii="Book Antiqua" w:eastAsia="Calibri" w:hAnsi="Book Antiqua" w:cs="Arial"/>
          <w:sz w:val="24"/>
          <w:szCs w:val="24"/>
          <w:vertAlign w:val="superscript"/>
          <w:lang w:val="en-GB"/>
        </w:rPr>
        <w:t>]</w:t>
      </w:r>
      <w:r w:rsidR="00663156" w:rsidRPr="00303E62">
        <w:rPr>
          <w:rFonts w:ascii="Book Antiqua" w:eastAsia="Calibri" w:hAnsi="Book Antiqua" w:cs="Arial"/>
          <w:sz w:val="24"/>
          <w:szCs w:val="24"/>
          <w:lang w:val="en-GB"/>
        </w:rPr>
        <w:t xml:space="preserve">. Surveillance of biliary dysplasia </w:t>
      </w:r>
      <w:r w:rsidRPr="00303E62">
        <w:rPr>
          <w:rFonts w:ascii="Book Antiqua" w:eastAsia="Calibri" w:hAnsi="Book Antiqua" w:cs="Arial"/>
          <w:sz w:val="24"/>
          <w:szCs w:val="24"/>
          <w:lang w:val="en-GB"/>
        </w:rPr>
        <w:t>using</w:t>
      </w:r>
      <w:r w:rsidR="00663156" w:rsidRPr="00303E62">
        <w:rPr>
          <w:rFonts w:ascii="Book Antiqua" w:eastAsia="Calibri" w:hAnsi="Book Antiqua" w:cs="Arial"/>
          <w:sz w:val="24"/>
          <w:szCs w:val="24"/>
          <w:lang w:val="en-GB"/>
        </w:rPr>
        <w:t xml:space="preserve"> BC provides another option, </w:t>
      </w:r>
      <w:r w:rsidRPr="00303E62">
        <w:rPr>
          <w:rFonts w:ascii="Book Antiqua" w:eastAsia="Calibri" w:hAnsi="Book Antiqua" w:cs="Arial"/>
          <w:sz w:val="24"/>
          <w:szCs w:val="24"/>
          <w:lang w:val="en-GB"/>
        </w:rPr>
        <w:t xml:space="preserve">with LT being </w:t>
      </w:r>
      <w:r w:rsidR="00663156" w:rsidRPr="00303E62">
        <w:rPr>
          <w:rFonts w:ascii="Book Antiqua" w:eastAsia="Calibri" w:hAnsi="Book Antiqua" w:cs="Arial"/>
          <w:sz w:val="24"/>
          <w:szCs w:val="24"/>
          <w:lang w:val="en-GB"/>
        </w:rPr>
        <w:t>perform</w:t>
      </w:r>
      <w:r w:rsidRPr="00303E62">
        <w:rPr>
          <w:rFonts w:ascii="Book Antiqua" w:eastAsia="Calibri" w:hAnsi="Book Antiqua" w:cs="Arial"/>
          <w:sz w:val="24"/>
          <w:szCs w:val="24"/>
          <w:lang w:val="en-GB"/>
        </w:rPr>
        <w:t>ed</w:t>
      </w:r>
      <w:r w:rsidR="00663156" w:rsidRPr="00303E62">
        <w:rPr>
          <w:rFonts w:ascii="Book Antiqua" w:eastAsia="Calibri" w:hAnsi="Book Antiqua" w:cs="Arial"/>
          <w:sz w:val="24"/>
          <w:szCs w:val="24"/>
          <w:lang w:val="en-GB"/>
        </w:rPr>
        <w:t xml:space="preserve"> at an earlier phase to avoid oncologic</w:t>
      </w:r>
      <w:r w:rsidRPr="00303E62">
        <w:rPr>
          <w:rFonts w:ascii="Book Antiqua" w:eastAsia="Calibri" w:hAnsi="Book Antiqua" w:cs="Arial"/>
          <w:sz w:val="24"/>
          <w:szCs w:val="24"/>
          <w:lang w:val="en-GB"/>
        </w:rPr>
        <w:t>al</w:t>
      </w:r>
      <w:r w:rsidR="00663156" w:rsidRPr="00303E62">
        <w:rPr>
          <w:rFonts w:ascii="Book Antiqua" w:eastAsia="Calibri" w:hAnsi="Book Antiqua" w:cs="Arial"/>
          <w:sz w:val="24"/>
          <w:szCs w:val="24"/>
          <w:lang w:val="en-GB"/>
        </w:rPr>
        <w:t xml:space="preserve"> treatment. The indications of LT in PSC patients in most cent</w:t>
      </w:r>
      <w:r w:rsidRPr="00303E62">
        <w:rPr>
          <w:rFonts w:ascii="Book Antiqua" w:eastAsia="Calibri" w:hAnsi="Book Antiqua" w:cs="Arial"/>
          <w:sz w:val="24"/>
          <w:szCs w:val="24"/>
          <w:lang w:val="en-GB"/>
        </w:rPr>
        <w:t>r</w:t>
      </w:r>
      <w:r w:rsidR="00663156" w:rsidRPr="00303E62">
        <w:rPr>
          <w:rFonts w:ascii="Book Antiqua" w:eastAsia="Calibri" w:hAnsi="Book Antiqua" w:cs="Arial"/>
          <w:sz w:val="24"/>
          <w:szCs w:val="24"/>
          <w:lang w:val="en-GB"/>
        </w:rPr>
        <w:t>es include end-stage liver disease or symptomatic disease (e.g.</w:t>
      </w:r>
      <w:r w:rsidRPr="00303E62">
        <w:rPr>
          <w:rFonts w:ascii="Book Antiqua" w:eastAsia="Calibri" w:hAnsi="Book Antiqua" w:cs="Arial"/>
          <w:sz w:val="24"/>
          <w:szCs w:val="24"/>
          <w:lang w:val="en-GB"/>
        </w:rPr>
        <w:t>,</w:t>
      </w:r>
      <w:r w:rsidR="00663156" w:rsidRPr="00303E62">
        <w:rPr>
          <w:rFonts w:ascii="Book Antiqua" w:eastAsia="Calibri" w:hAnsi="Book Antiqua" w:cs="Arial"/>
          <w:sz w:val="24"/>
          <w:szCs w:val="24"/>
          <w:lang w:val="en-GB"/>
        </w:rPr>
        <w:t xml:space="preserve"> recurrent cholangitis). CCA is generally a contraindication for LT</w:t>
      </w:r>
      <w:r w:rsidRPr="00303E62">
        <w:rPr>
          <w:rFonts w:ascii="Book Antiqua" w:eastAsia="Calibri" w:hAnsi="Book Antiqua" w:cs="Arial"/>
          <w:sz w:val="24"/>
          <w:szCs w:val="24"/>
          <w:lang w:val="en-GB"/>
        </w:rPr>
        <w:t xml:space="preserve"> in our centre</w:t>
      </w:r>
      <w:r w:rsidR="00663156" w:rsidRPr="00303E62">
        <w:rPr>
          <w:rFonts w:ascii="Book Antiqua" w:eastAsia="Calibri" w:hAnsi="Book Antiqua" w:cs="Arial"/>
          <w:sz w:val="24"/>
          <w:szCs w:val="24"/>
          <w:lang w:val="en-GB"/>
        </w:rPr>
        <w:t>. LTs due to PSC have been performed since 1984 in our unit,</w:t>
      </w:r>
      <w:r w:rsidR="00663156" w:rsidRPr="00303E62">
        <w:rPr>
          <w:rFonts w:ascii="Book Antiqua" w:eastAsia="Calibri" w:hAnsi="Book Antiqua" w:cs="Times New Roman"/>
          <w:sz w:val="24"/>
          <w:szCs w:val="24"/>
          <w:lang w:val="en-GB"/>
        </w:rPr>
        <w:t xml:space="preserve"> </w:t>
      </w:r>
      <w:r w:rsidR="00663156" w:rsidRPr="00303E62">
        <w:rPr>
          <w:rFonts w:ascii="Book Antiqua" w:eastAsia="Calibri" w:hAnsi="Book Antiqua" w:cs="Arial"/>
          <w:sz w:val="24"/>
          <w:szCs w:val="24"/>
          <w:lang w:val="en-GB"/>
        </w:rPr>
        <w:t>and dysplasia in ERC has been considered</w:t>
      </w:r>
      <w:r w:rsidRPr="00303E62">
        <w:rPr>
          <w:rFonts w:ascii="Book Antiqua" w:eastAsia="Calibri" w:hAnsi="Book Antiqua" w:cs="Arial"/>
          <w:sz w:val="24"/>
          <w:szCs w:val="24"/>
          <w:lang w:val="en-GB"/>
        </w:rPr>
        <w:t xml:space="preserve"> a</w:t>
      </w:r>
      <w:r w:rsidR="00663156" w:rsidRPr="00303E62">
        <w:rPr>
          <w:rFonts w:ascii="Book Antiqua" w:eastAsia="Calibri" w:hAnsi="Book Antiqua" w:cs="Arial"/>
          <w:sz w:val="24"/>
          <w:szCs w:val="24"/>
          <w:lang w:val="en-GB"/>
        </w:rPr>
        <w:t xml:space="preserve"> partial indication for </w:t>
      </w:r>
      <w:r w:rsidRPr="00303E62">
        <w:rPr>
          <w:rFonts w:ascii="Book Antiqua" w:eastAsia="Calibri" w:hAnsi="Book Antiqua" w:cs="Arial"/>
          <w:sz w:val="24"/>
          <w:szCs w:val="24"/>
          <w:lang w:val="en-GB"/>
        </w:rPr>
        <w:t xml:space="preserve">LT </w:t>
      </w:r>
      <w:r w:rsidR="00663156" w:rsidRPr="00303E62">
        <w:rPr>
          <w:rFonts w:ascii="Book Antiqua" w:eastAsia="Calibri" w:hAnsi="Book Antiqua" w:cs="Arial"/>
          <w:sz w:val="24"/>
          <w:szCs w:val="24"/>
          <w:lang w:val="en-GB"/>
        </w:rPr>
        <w:t>in PSC patients since 2001</w:t>
      </w:r>
      <w:r w:rsidR="00907FA2" w:rsidRPr="00303E62">
        <w:rPr>
          <w:rFonts w:ascii="Book Antiqua" w:eastAsia="Calibri" w:hAnsi="Book Antiqua" w:cs="Arial"/>
          <w:sz w:val="24"/>
          <w:szCs w:val="24"/>
          <w:vertAlign w:val="superscript"/>
          <w:lang w:val="en-GB"/>
        </w:rPr>
        <w:t>[</w:t>
      </w:r>
      <w:r w:rsidR="00663156" w:rsidRPr="00303E62">
        <w:rPr>
          <w:rFonts w:ascii="Book Antiqua" w:eastAsia="Calibri" w:hAnsi="Book Antiqua" w:cs="Arial"/>
          <w:sz w:val="24"/>
          <w:szCs w:val="24"/>
          <w:vertAlign w:val="superscript"/>
          <w:lang w:val="en-GB"/>
        </w:rPr>
        <w:t>27</w:t>
      </w:r>
      <w:r w:rsidR="00907FA2" w:rsidRPr="00303E62">
        <w:rPr>
          <w:rFonts w:ascii="Book Antiqua" w:eastAsia="Calibri" w:hAnsi="Book Antiqua" w:cs="Arial"/>
          <w:sz w:val="24"/>
          <w:szCs w:val="24"/>
          <w:vertAlign w:val="superscript"/>
          <w:lang w:val="en-GB"/>
        </w:rPr>
        <w:t>]</w:t>
      </w:r>
      <w:r w:rsidR="00663156" w:rsidRPr="00303E62">
        <w:rPr>
          <w:rFonts w:ascii="Book Antiqua" w:eastAsia="Calibri" w:hAnsi="Book Antiqua" w:cs="Arial"/>
          <w:sz w:val="24"/>
          <w:szCs w:val="24"/>
          <w:lang w:val="en-GB"/>
        </w:rPr>
        <w:t xml:space="preserve">.  </w:t>
      </w:r>
    </w:p>
    <w:p w14:paraId="6F6D3325" w14:textId="75D8BA51" w:rsidR="00663156"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The limitation of this study is the </w:t>
      </w:r>
      <w:r w:rsidR="001926F9" w:rsidRPr="00303E62">
        <w:rPr>
          <w:rFonts w:ascii="Book Antiqua" w:eastAsia="Calibri" w:hAnsi="Book Antiqua" w:cs="Arial"/>
          <w:sz w:val="24"/>
          <w:szCs w:val="24"/>
          <w:lang w:val="en-GB"/>
        </w:rPr>
        <w:t>small</w:t>
      </w:r>
      <w:r w:rsidRPr="00303E62">
        <w:rPr>
          <w:rFonts w:ascii="Book Antiqua" w:eastAsia="Calibri" w:hAnsi="Book Antiqua" w:cs="Arial"/>
          <w:sz w:val="24"/>
          <w:szCs w:val="24"/>
          <w:lang w:val="en-GB"/>
        </w:rPr>
        <w:t xml:space="preserve"> number of patients, which restrains the findings of this study, and some significant differences m</w:t>
      </w:r>
      <w:r w:rsidR="001926F9" w:rsidRPr="00303E62">
        <w:rPr>
          <w:rFonts w:ascii="Book Antiqua" w:eastAsia="Calibri" w:hAnsi="Book Antiqua" w:cs="Arial"/>
          <w:sz w:val="24"/>
          <w:szCs w:val="24"/>
          <w:lang w:val="en-GB"/>
        </w:rPr>
        <w:t>ay</w:t>
      </w:r>
      <w:r w:rsidRPr="00303E62">
        <w:rPr>
          <w:rFonts w:ascii="Book Antiqua" w:eastAsia="Calibri" w:hAnsi="Book Antiqua" w:cs="Arial"/>
          <w:sz w:val="24"/>
          <w:szCs w:val="24"/>
          <w:lang w:val="en-GB"/>
        </w:rPr>
        <w:t xml:space="preserve"> be </w:t>
      </w:r>
      <w:r w:rsidR="001926F9" w:rsidRPr="00303E62">
        <w:rPr>
          <w:rFonts w:ascii="Book Antiqua" w:eastAsia="Calibri" w:hAnsi="Book Antiqua" w:cs="Arial"/>
          <w:sz w:val="24"/>
          <w:szCs w:val="24"/>
          <w:lang w:val="en-GB"/>
        </w:rPr>
        <w:t>miss</w:t>
      </w:r>
      <w:r w:rsidRPr="00303E62">
        <w:rPr>
          <w:rFonts w:ascii="Book Antiqua" w:eastAsia="Calibri" w:hAnsi="Book Antiqua" w:cs="Arial"/>
          <w:sz w:val="24"/>
          <w:szCs w:val="24"/>
          <w:lang w:val="en-GB"/>
        </w:rPr>
        <w:t xml:space="preserve">ed. Some patients </w:t>
      </w:r>
      <w:r w:rsidR="001926F9" w:rsidRPr="00303E62">
        <w:rPr>
          <w:rFonts w:ascii="Book Antiqua" w:eastAsia="Calibri" w:hAnsi="Book Antiqua" w:cs="Arial"/>
          <w:sz w:val="24"/>
          <w:szCs w:val="24"/>
          <w:lang w:val="en-GB"/>
        </w:rPr>
        <w:t>who subsequently developed</w:t>
      </w:r>
      <w:r w:rsidRPr="00303E62">
        <w:rPr>
          <w:rFonts w:ascii="Book Antiqua" w:eastAsia="Calibri" w:hAnsi="Book Antiqua" w:cs="Arial"/>
          <w:sz w:val="24"/>
          <w:szCs w:val="24"/>
          <w:lang w:val="en-GB"/>
        </w:rPr>
        <w:t xml:space="preserve"> CCA did not follow the surveillance protocol until they became </w:t>
      </w:r>
      <w:r w:rsidRPr="00303E62">
        <w:rPr>
          <w:rFonts w:ascii="Book Antiqua" w:eastAsia="Calibri" w:hAnsi="Book Antiqua" w:cs="Arial"/>
          <w:sz w:val="24"/>
          <w:szCs w:val="24"/>
          <w:lang w:val="en-GB"/>
        </w:rPr>
        <w:lastRenderedPageBreak/>
        <w:t xml:space="preserve">symptomatic. Our </w:t>
      </w:r>
      <w:r w:rsidR="00FB4350" w:rsidRPr="00303E62">
        <w:rPr>
          <w:rFonts w:ascii="Book Antiqua" w:eastAsia="Calibri" w:hAnsi="Book Antiqua" w:cs="Arial"/>
          <w:sz w:val="24"/>
          <w:szCs w:val="24"/>
          <w:lang w:val="en-GB"/>
        </w:rPr>
        <w:t xml:space="preserve">hospital </w:t>
      </w:r>
      <w:r w:rsidRPr="00303E62">
        <w:rPr>
          <w:rFonts w:ascii="Book Antiqua" w:eastAsia="Calibri" w:hAnsi="Book Antiqua" w:cs="Arial"/>
          <w:sz w:val="24"/>
          <w:szCs w:val="24"/>
          <w:lang w:val="en-GB"/>
        </w:rPr>
        <w:t>is the only hospital in our country that performs organ transplantations</w:t>
      </w:r>
      <w:r w:rsidR="001926F9" w:rsidRPr="00303E62">
        <w:rPr>
          <w:rFonts w:ascii="Book Antiqua" w:eastAsia="Calibri" w:hAnsi="Book Antiqua" w:cs="Arial"/>
          <w:sz w:val="24"/>
          <w:szCs w:val="24"/>
          <w:lang w:val="en-GB"/>
        </w:rPr>
        <w:t>. Therefore</w:t>
      </w:r>
      <w:r w:rsidRPr="00303E62">
        <w:rPr>
          <w:rFonts w:ascii="Book Antiqua" w:eastAsia="Calibri" w:hAnsi="Book Antiqua" w:cs="Arial"/>
          <w:sz w:val="24"/>
          <w:szCs w:val="24"/>
          <w:lang w:val="en-GB"/>
        </w:rPr>
        <w:t>, no liver transplantations were missed during surveillance.</w:t>
      </w:r>
    </w:p>
    <w:p w14:paraId="4B500B4D" w14:textId="21A9C54B" w:rsidR="00AA1103" w:rsidRPr="00303E62" w:rsidRDefault="00663156" w:rsidP="00D305D7">
      <w:pPr>
        <w:snapToGrid w:val="0"/>
        <w:spacing w:after="0" w:line="360" w:lineRule="auto"/>
        <w:ind w:firstLineChars="200" w:firstLine="480"/>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In conclusion, there is currently no reliable </w:t>
      </w:r>
      <w:r w:rsidR="001926F9" w:rsidRPr="00303E62">
        <w:rPr>
          <w:rFonts w:ascii="Book Antiqua" w:eastAsia="Calibri" w:hAnsi="Book Antiqua" w:cs="Arial"/>
          <w:sz w:val="24"/>
          <w:szCs w:val="24"/>
          <w:lang w:val="en-GB"/>
        </w:rPr>
        <w:t>method</w:t>
      </w:r>
      <w:r w:rsidRPr="00303E62">
        <w:rPr>
          <w:rFonts w:ascii="Book Antiqua" w:eastAsia="Calibri" w:hAnsi="Book Antiqua" w:cs="Arial"/>
          <w:sz w:val="24"/>
          <w:szCs w:val="24"/>
          <w:lang w:val="en-GB"/>
        </w:rPr>
        <w:t xml:space="preserve"> to differentiate LGD from HGD prior to LT. CA19-9 rises with CCA but not in biliary dysplasia. </w:t>
      </w:r>
      <w:r w:rsidR="001926F9" w:rsidRPr="00303E62">
        <w:rPr>
          <w:rFonts w:ascii="Book Antiqua" w:eastAsia="Calibri" w:hAnsi="Book Antiqua" w:cs="Arial"/>
          <w:sz w:val="24"/>
          <w:szCs w:val="24"/>
          <w:lang w:val="en-GB"/>
        </w:rPr>
        <w:t>R</w:t>
      </w:r>
      <w:r w:rsidRPr="00303E62">
        <w:rPr>
          <w:rFonts w:ascii="Book Antiqua" w:eastAsia="Calibri" w:hAnsi="Book Antiqua" w:cs="Arial"/>
          <w:sz w:val="24"/>
          <w:szCs w:val="24"/>
          <w:lang w:val="en-GB"/>
        </w:rPr>
        <w:t>epeated suspicious BC,</w:t>
      </w:r>
      <w:r w:rsidR="001926F9" w:rsidRPr="00303E62">
        <w:rPr>
          <w:rFonts w:ascii="Book Antiqua" w:eastAsia="Calibri" w:hAnsi="Book Antiqua" w:cs="Arial"/>
          <w:sz w:val="24"/>
          <w:szCs w:val="24"/>
          <w:lang w:val="en-GB"/>
        </w:rPr>
        <w:t xml:space="preserve"> which</w:t>
      </w:r>
      <w:r w:rsidRPr="00303E62">
        <w:rPr>
          <w:rFonts w:ascii="Book Antiqua" w:eastAsia="Calibri" w:hAnsi="Book Antiqua" w:cs="Arial"/>
          <w:sz w:val="24"/>
          <w:szCs w:val="24"/>
          <w:lang w:val="en-GB"/>
        </w:rPr>
        <w:t xml:space="preserve"> suggest</w:t>
      </w:r>
      <w:r w:rsidR="001926F9"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 dysplasia and a high risk for future CCA,</w:t>
      </w:r>
      <w:r w:rsidR="00CF64C3">
        <w:rPr>
          <w:rFonts w:ascii="Book Antiqua" w:eastAsia="Calibri" w:hAnsi="Book Antiqua" w:cs="Arial" w:hint="eastAsia"/>
          <w:sz w:val="24"/>
          <w:szCs w:val="24"/>
          <w:lang w:val="en-GB" w:eastAsia="zh-CN"/>
        </w:rPr>
        <w:t xml:space="preserve"> </w:t>
      </w:r>
      <w:r w:rsidRPr="00303E62">
        <w:rPr>
          <w:rFonts w:ascii="Book Antiqua" w:eastAsia="Calibri" w:hAnsi="Book Antiqua" w:cs="Arial"/>
          <w:sz w:val="24"/>
          <w:szCs w:val="24"/>
          <w:lang w:val="en-GB"/>
        </w:rPr>
        <w:t>m</w:t>
      </w:r>
      <w:r w:rsidR="001926F9" w:rsidRPr="00303E62">
        <w:rPr>
          <w:rFonts w:ascii="Book Antiqua" w:eastAsia="Calibri" w:hAnsi="Book Antiqua" w:cs="Arial"/>
          <w:sz w:val="24"/>
          <w:szCs w:val="24"/>
          <w:lang w:val="en-GB"/>
        </w:rPr>
        <w:t>ay</w:t>
      </w:r>
      <w:r w:rsidRPr="00303E62">
        <w:rPr>
          <w:rFonts w:ascii="Book Antiqua" w:eastAsia="Calibri" w:hAnsi="Book Antiqua" w:cs="Arial"/>
          <w:sz w:val="24"/>
          <w:szCs w:val="24"/>
          <w:lang w:val="en-GB"/>
        </w:rPr>
        <w:t xml:space="preserve"> be an indication for LT.</w:t>
      </w:r>
    </w:p>
    <w:p w14:paraId="58CE625C" w14:textId="77777777" w:rsidR="00EB25BB" w:rsidRPr="00CF64C3" w:rsidRDefault="00EB25BB" w:rsidP="00D305D7">
      <w:pPr>
        <w:snapToGrid w:val="0"/>
        <w:spacing w:after="0" w:line="360" w:lineRule="auto"/>
        <w:jc w:val="both"/>
        <w:rPr>
          <w:rFonts w:ascii="Book Antiqua" w:eastAsia="Calibri" w:hAnsi="Book Antiqua" w:cs="Arial"/>
          <w:sz w:val="24"/>
          <w:szCs w:val="24"/>
          <w:lang w:val="en-GB"/>
        </w:rPr>
      </w:pPr>
    </w:p>
    <w:p w14:paraId="00A05804" w14:textId="77777777" w:rsidR="00EB25BB" w:rsidRPr="00303E62" w:rsidRDefault="00EB25BB"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t>COMMENTS</w:t>
      </w:r>
    </w:p>
    <w:p w14:paraId="225D36D8"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t>Background</w:t>
      </w:r>
    </w:p>
    <w:p w14:paraId="6D0DC872" w14:textId="41EF3F98" w:rsidR="00EB25BB" w:rsidRPr="00303E62" w:rsidRDefault="00EB25BB"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Primary sclerosing</w:t>
      </w:r>
      <w:r w:rsidR="00CF64C3">
        <w:rPr>
          <w:rFonts w:ascii="Book Antiqua" w:eastAsia="Calibri" w:hAnsi="Book Antiqua" w:cs="Arial" w:hint="eastAsia"/>
          <w:sz w:val="24"/>
          <w:szCs w:val="24"/>
          <w:lang w:val="en-GB" w:eastAsia="zh-CN"/>
        </w:rPr>
        <w:t xml:space="preserve"> </w:t>
      </w:r>
      <w:r w:rsidRPr="00303E62">
        <w:rPr>
          <w:rFonts w:ascii="Book Antiqua" w:eastAsia="Calibri" w:hAnsi="Book Antiqua" w:cs="Arial"/>
          <w:sz w:val="24"/>
          <w:szCs w:val="24"/>
          <w:lang w:val="en-GB"/>
        </w:rPr>
        <w:t xml:space="preserve">cholangitis (PSC) patients </w:t>
      </w:r>
      <w:r w:rsidR="001926F9" w:rsidRPr="00303E62">
        <w:rPr>
          <w:rFonts w:ascii="Book Antiqua" w:eastAsia="Calibri" w:hAnsi="Book Antiqua" w:cs="Arial"/>
          <w:sz w:val="24"/>
          <w:szCs w:val="24"/>
          <w:lang w:val="en-GB"/>
        </w:rPr>
        <w:t>exhibit</w:t>
      </w:r>
      <w:r w:rsidRPr="00303E62">
        <w:rPr>
          <w:rFonts w:ascii="Book Antiqua" w:eastAsia="Calibri" w:hAnsi="Book Antiqua" w:cs="Arial"/>
          <w:sz w:val="24"/>
          <w:szCs w:val="24"/>
          <w:lang w:val="en-GB"/>
        </w:rPr>
        <w:t xml:space="preserve"> an elevated risk for cholangiocarcinoma (CCA)</w:t>
      </w:r>
      <w:r w:rsidR="00A552D3" w:rsidRPr="00303E62">
        <w:rPr>
          <w:rFonts w:ascii="Book Antiqua" w:eastAsia="Calibri" w:hAnsi="Book Antiqua" w:cs="Arial"/>
          <w:sz w:val="24"/>
          <w:szCs w:val="24"/>
          <w:lang w:val="en-GB"/>
        </w:rPr>
        <w:t>, with a lifetime risk of 5-10%. Biliary dysplasia is a precursor of CCA, and liver transplantation (LT) may be considered to prevent progression to CCA</w:t>
      </w:r>
      <w:r w:rsidR="001926F9" w:rsidRPr="00303E62">
        <w:rPr>
          <w:rFonts w:ascii="Book Antiqua" w:eastAsia="Calibri" w:hAnsi="Book Antiqua" w:cs="Arial"/>
          <w:sz w:val="24"/>
          <w:szCs w:val="24"/>
          <w:lang w:val="en-GB"/>
        </w:rPr>
        <w:t xml:space="preserve"> in cases with biliary dysplasia</w:t>
      </w:r>
      <w:r w:rsidR="00A552D3" w:rsidRPr="00303E62">
        <w:rPr>
          <w:rFonts w:ascii="Book Antiqua" w:eastAsia="Calibri" w:hAnsi="Book Antiqua" w:cs="Arial"/>
          <w:sz w:val="24"/>
          <w:szCs w:val="24"/>
          <w:lang w:val="en-GB"/>
        </w:rPr>
        <w:t xml:space="preserve">. </w:t>
      </w:r>
      <w:r w:rsidR="00B11716" w:rsidRPr="00303E62">
        <w:rPr>
          <w:rFonts w:ascii="Book Antiqua" w:eastAsia="Calibri" w:hAnsi="Book Antiqua" w:cs="Arial"/>
          <w:sz w:val="24"/>
          <w:szCs w:val="24"/>
          <w:lang w:val="en-GB"/>
        </w:rPr>
        <w:t xml:space="preserve">A more common indication for LT is end-stage liver disease or </w:t>
      </w:r>
      <w:r w:rsidR="001926F9" w:rsidRPr="00303E62">
        <w:rPr>
          <w:rFonts w:ascii="Book Antiqua" w:eastAsia="Calibri" w:hAnsi="Book Antiqua" w:cs="Arial"/>
          <w:sz w:val="24"/>
          <w:szCs w:val="24"/>
          <w:lang w:val="en-GB"/>
        </w:rPr>
        <w:t xml:space="preserve">disease </w:t>
      </w:r>
      <w:r w:rsidR="00B11716" w:rsidRPr="00303E62">
        <w:rPr>
          <w:rFonts w:ascii="Book Antiqua" w:eastAsia="Calibri" w:hAnsi="Book Antiqua" w:cs="Arial"/>
          <w:sz w:val="24"/>
          <w:szCs w:val="24"/>
          <w:lang w:val="en-GB"/>
        </w:rPr>
        <w:t xml:space="preserve">symptoms. </w:t>
      </w:r>
      <w:r w:rsidR="00A552D3" w:rsidRPr="00303E62">
        <w:rPr>
          <w:rFonts w:ascii="Book Antiqua" w:eastAsia="Calibri" w:hAnsi="Book Antiqua" w:cs="Arial"/>
          <w:sz w:val="24"/>
          <w:szCs w:val="24"/>
          <w:lang w:val="en-GB"/>
        </w:rPr>
        <w:t xml:space="preserve">CCA develops </w:t>
      </w:r>
      <w:r w:rsidR="001926F9" w:rsidRPr="00303E62">
        <w:rPr>
          <w:rFonts w:ascii="Book Antiqua" w:eastAsia="Calibri" w:hAnsi="Book Antiqua" w:cs="Arial"/>
          <w:sz w:val="24"/>
          <w:szCs w:val="24"/>
          <w:lang w:val="en-GB"/>
        </w:rPr>
        <w:t>via a</w:t>
      </w:r>
      <w:r w:rsidR="00A552D3" w:rsidRPr="00303E62">
        <w:rPr>
          <w:rFonts w:ascii="Book Antiqua" w:eastAsia="Calibri" w:hAnsi="Book Antiqua" w:cs="Arial"/>
          <w:sz w:val="24"/>
          <w:szCs w:val="24"/>
          <w:lang w:val="en-GB"/>
        </w:rPr>
        <w:t xml:space="preserve"> low</w:t>
      </w:r>
      <w:r w:rsidR="001926F9" w:rsidRPr="00303E62">
        <w:rPr>
          <w:rFonts w:ascii="Book Antiqua" w:eastAsia="Calibri" w:hAnsi="Book Antiqua" w:cs="Arial"/>
          <w:sz w:val="24"/>
          <w:szCs w:val="24"/>
          <w:lang w:val="en-GB"/>
        </w:rPr>
        <w:t>-</w:t>
      </w:r>
      <w:r w:rsidR="00A552D3" w:rsidRPr="00303E62">
        <w:rPr>
          <w:rFonts w:ascii="Book Antiqua" w:eastAsia="Calibri" w:hAnsi="Book Antiqua" w:cs="Arial"/>
          <w:sz w:val="24"/>
          <w:szCs w:val="24"/>
          <w:lang w:val="en-GB"/>
        </w:rPr>
        <w:t>grade dysplasia</w:t>
      </w:r>
      <w:r w:rsidR="00B11716" w:rsidRPr="00303E62">
        <w:rPr>
          <w:rFonts w:ascii="Book Antiqua" w:eastAsia="Calibri" w:hAnsi="Book Antiqua" w:cs="Arial"/>
          <w:sz w:val="24"/>
          <w:szCs w:val="24"/>
          <w:lang w:val="en-GB"/>
        </w:rPr>
        <w:t xml:space="preserve"> (LGD) </w:t>
      </w:r>
      <w:r w:rsidR="001926F9" w:rsidRPr="00303E62">
        <w:rPr>
          <w:rFonts w:ascii="Book Antiqua" w:eastAsia="Calibri" w:hAnsi="Book Antiqua" w:cs="Arial"/>
          <w:sz w:val="24"/>
          <w:szCs w:val="24"/>
          <w:lang w:val="en-GB"/>
        </w:rPr>
        <w:t xml:space="preserve">to </w:t>
      </w:r>
      <w:r w:rsidR="00A552D3" w:rsidRPr="00303E62">
        <w:rPr>
          <w:rFonts w:ascii="Book Antiqua" w:eastAsia="Calibri" w:hAnsi="Book Antiqua" w:cs="Arial"/>
          <w:sz w:val="24"/>
          <w:szCs w:val="24"/>
          <w:lang w:val="en-GB"/>
        </w:rPr>
        <w:t>high</w:t>
      </w:r>
      <w:r w:rsidR="001926F9" w:rsidRPr="00303E62">
        <w:rPr>
          <w:rFonts w:ascii="Book Antiqua" w:eastAsia="Calibri" w:hAnsi="Book Antiqua" w:cs="Arial"/>
          <w:sz w:val="24"/>
          <w:szCs w:val="24"/>
          <w:lang w:val="en-GB"/>
        </w:rPr>
        <w:t>-</w:t>
      </w:r>
      <w:r w:rsidR="00A552D3" w:rsidRPr="00303E62">
        <w:rPr>
          <w:rFonts w:ascii="Book Antiqua" w:eastAsia="Calibri" w:hAnsi="Book Antiqua" w:cs="Arial"/>
          <w:sz w:val="24"/>
          <w:szCs w:val="24"/>
          <w:lang w:val="en-GB"/>
        </w:rPr>
        <w:t>grade dysplasia</w:t>
      </w:r>
      <w:r w:rsidR="00B11716" w:rsidRPr="00303E62">
        <w:rPr>
          <w:rFonts w:ascii="Book Antiqua" w:eastAsia="Calibri" w:hAnsi="Book Antiqua" w:cs="Arial"/>
          <w:sz w:val="24"/>
          <w:szCs w:val="24"/>
          <w:lang w:val="en-GB"/>
        </w:rPr>
        <w:t xml:space="preserve"> (HGD)</w:t>
      </w:r>
      <w:r w:rsidR="001926F9" w:rsidRPr="00303E62">
        <w:rPr>
          <w:rFonts w:ascii="Book Antiqua" w:eastAsia="Calibri" w:hAnsi="Book Antiqua" w:cs="Arial"/>
          <w:sz w:val="24"/>
          <w:szCs w:val="24"/>
          <w:lang w:val="en-GB"/>
        </w:rPr>
        <w:t xml:space="preserve"> to </w:t>
      </w:r>
      <w:r w:rsidR="00A552D3" w:rsidRPr="00303E62">
        <w:rPr>
          <w:rFonts w:ascii="Book Antiqua" w:eastAsia="Calibri" w:hAnsi="Book Antiqua" w:cs="Arial"/>
          <w:sz w:val="24"/>
          <w:szCs w:val="24"/>
          <w:lang w:val="en-GB"/>
        </w:rPr>
        <w:t xml:space="preserve">CCA sequence. PSC patients </w:t>
      </w:r>
      <w:r w:rsidR="001926F9" w:rsidRPr="00303E62">
        <w:rPr>
          <w:rFonts w:ascii="Book Antiqua" w:eastAsia="Calibri" w:hAnsi="Book Antiqua" w:cs="Arial"/>
          <w:sz w:val="24"/>
          <w:szCs w:val="24"/>
          <w:lang w:val="en-GB"/>
        </w:rPr>
        <w:t xml:space="preserve">in our centre </w:t>
      </w:r>
      <w:r w:rsidR="00A552D3" w:rsidRPr="00303E62">
        <w:rPr>
          <w:rFonts w:ascii="Book Antiqua" w:eastAsia="Calibri" w:hAnsi="Book Antiqua" w:cs="Arial"/>
          <w:sz w:val="24"/>
          <w:szCs w:val="24"/>
          <w:lang w:val="en-GB"/>
        </w:rPr>
        <w:t>undergo regular surveillance with ERC and BC to detect biliary dysplasia</w:t>
      </w:r>
      <w:r w:rsidR="001926F9" w:rsidRPr="00303E62">
        <w:rPr>
          <w:rFonts w:ascii="Book Antiqua" w:eastAsia="Calibri" w:hAnsi="Book Antiqua" w:cs="Arial"/>
          <w:sz w:val="24"/>
          <w:szCs w:val="24"/>
          <w:lang w:val="en-GB"/>
        </w:rPr>
        <w:t>,</w:t>
      </w:r>
      <w:r w:rsidR="00A552D3" w:rsidRPr="00303E62">
        <w:rPr>
          <w:rFonts w:ascii="Book Antiqua" w:eastAsia="Calibri" w:hAnsi="Book Antiqua" w:cs="Arial"/>
          <w:sz w:val="24"/>
          <w:szCs w:val="24"/>
          <w:lang w:val="en-GB"/>
        </w:rPr>
        <w:t xml:space="preserve"> and patient</w:t>
      </w:r>
      <w:r w:rsidR="001926F9" w:rsidRPr="00303E62">
        <w:rPr>
          <w:rFonts w:ascii="Book Antiqua" w:eastAsia="Calibri" w:hAnsi="Book Antiqua" w:cs="Arial"/>
          <w:sz w:val="24"/>
          <w:szCs w:val="24"/>
          <w:lang w:val="en-GB"/>
        </w:rPr>
        <w:t>s with repeated suspicious findings</w:t>
      </w:r>
      <w:r w:rsidR="00A552D3" w:rsidRPr="00303E62">
        <w:rPr>
          <w:rFonts w:ascii="Book Antiqua" w:eastAsia="Calibri" w:hAnsi="Book Antiqua" w:cs="Arial"/>
          <w:sz w:val="24"/>
          <w:szCs w:val="24"/>
          <w:lang w:val="en-GB"/>
        </w:rPr>
        <w:t xml:space="preserve"> </w:t>
      </w:r>
      <w:r w:rsidR="001926F9" w:rsidRPr="00303E62">
        <w:rPr>
          <w:rFonts w:ascii="Book Antiqua" w:eastAsia="Calibri" w:hAnsi="Book Antiqua" w:cs="Arial"/>
          <w:sz w:val="24"/>
          <w:szCs w:val="24"/>
          <w:lang w:val="en-GB"/>
        </w:rPr>
        <w:t>are</w:t>
      </w:r>
      <w:r w:rsidR="00A552D3" w:rsidRPr="00303E62">
        <w:rPr>
          <w:rFonts w:ascii="Book Antiqua" w:eastAsia="Calibri" w:hAnsi="Book Antiqua" w:cs="Arial"/>
          <w:sz w:val="24"/>
          <w:szCs w:val="24"/>
          <w:lang w:val="en-GB"/>
        </w:rPr>
        <w:t xml:space="preserve"> referred for evaluation of LT. </w:t>
      </w:r>
      <w:r w:rsidR="001926F9" w:rsidRPr="00303E62">
        <w:rPr>
          <w:rFonts w:ascii="Book Antiqua" w:eastAsia="Calibri" w:hAnsi="Book Antiqua" w:cs="Arial"/>
          <w:sz w:val="24"/>
          <w:szCs w:val="24"/>
          <w:lang w:val="en-GB"/>
        </w:rPr>
        <w:t xml:space="preserve">The </w:t>
      </w:r>
      <w:r w:rsidR="0011121E" w:rsidRPr="00303E62">
        <w:rPr>
          <w:rFonts w:ascii="Book Antiqua" w:eastAsia="Calibri" w:hAnsi="Book Antiqua" w:cs="Arial"/>
          <w:sz w:val="24"/>
          <w:szCs w:val="24"/>
          <w:lang w:val="en-GB"/>
        </w:rPr>
        <w:t>diagnos</w:t>
      </w:r>
      <w:r w:rsidR="001926F9" w:rsidRPr="00303E62">
        <w:rPr>
          <w:rFonts w:ascii="Book Antiqua" w:eastAsia="Calibri" w:hAnsi="Book Antiqua" w:cs="Arial"/>
          <w:sz w:val="24"/>
          <w:szCs w:val="24"/>
          <w:lang w:val="en-GB"/>
        </w:rPr>
        <w:t>is</w:t>
      </w:r>
      <w:r w:rsidR="00CC671F" w:rsidRPr="00303E62">
        <w:rPr>
          <w:rFonts w:ascii="Book Antiqua" w:eastAsia="Calibri" w:hAnsi="Book Antiqua" w:cs="Arial"/>
          <w:sz w:val="24"/>
          <w:szCs w:val="24"/>
          <w:lang w:val="en-GB"/>
        </w:rPr>
        <w:t xml:space="preserve"> of</w:t>
      </w:r>
      <w:r w:rsidR="0011121E" w:rsidRPr="00303E62">
        <w:rPr>
          <w:rFonts w:ascii="Book Antiqua" w:eastAsia="Calibri" w:hAnsi="Book Antiqua" w:cs="Arial"/>
          <w:sz w:val="24"/>
          <w:szCs w:val="24"/>
          <w:lang w:val="en-GB"/>
        </w:rPr>
        <w:t xml:space="preserve"> </w:t>
      </w:r>
      <w:r w:rsidR="00B11716" w:rsidRPr="00303E62">
        <w:rPr>
          <w:rFonts w:ascii="Book Antiqua" w:eastAsia="Calibri" w:hAnsi="Book Antiqua" w:cs="Arial"/>
          <w:sz w:val="24"/>
          <w:szCs w:val="24"/>
          <w:lang w:val="en-GB"/>
        </w:rPr>
        <w:t xml:space="preserve">HGD </w:t>
      </w:r>
      <w:r w:rsidR="001926F9" w:rsidRPr="00303E62">
        <w:rPr>
          <w:rFonts w:ascii="Book Antiqua" w:eastAsia="Calibri" w:hAnsi="Book Antiqua" w:cs="Arial"/>
          <w:sz w:val="24"/>
          <w:szCs w:val="24"/>
          <w:lang w:val="en-GB"/>
        </w:rPr>
        <w:t>prior to</w:t>
      </w:r>
      <w:r w:rsidR="00A552D3" w:rsidRPr="00303E62">
        <w:rPr>
          <w:rFonts w:ascii="Book Antiqua" w:eastAsia="Calibri" w:hAnsi="Book Antiqua" w:cs="Arial"/>
          <w:sz w:val="24"/>
          <w:szCs w:val="24"/>
          <w:lang w:val="en-GB"/>
        </w:rPr>
        <w:t xml:space="preserve"> </w:t>
      </w:r>
      <w:r w:rsidR="00511CA9" w:rsidRPr="00303E62">
        <w:rPr>
          <w:rFonts w:ascii="Book Antiqua" w:eastAsia="Calibri" w:hAnsi="Book Antiqua" w:cs="Arial"/>
          <w:sz w:val="24"/>
          <w:szCs w:val="24"/>
          <w:lang w:val="en-GB"/>
        </w:rPr>
        <w:t xml:space="preserve">consideration for LT </w:t>
      </w:r>
      <w:r w:rsidR="001926F9" w:rsidRPr="00303E62">
        <w:rPr>
          <w:rFonts w:ascii="Book Antiqua" w:eastAsia="Calibri" w:hAnsi="Book Antiqua" w:cs="Arial"/>
          <w:sz w:val="24"/>
          <w:szCs w:val="24"/>
          <w:lang w:val="en-GB"/>
        </w:rPr>
        <w:t xml:space="preserve">would be beneficial </w:t>
      </w:r>
      <w:r w:rsidR="00511CA9" w:rsidRPr="00303E62">
        <w:rPr>
          <w:rFonts w:ascii="Book Antiqua" w:eastAsia="Calibri" w:hAnsi="Book Antiqua" w:cs="Arial"/>
          <w:sz w:val="24"/>
          <w:szCs w:val="24"/>
          <w:lang w:val="en-GB"/>
        </w:rPr>
        <w:t xml:space="preserve">because of the high risk of progression to CCA. </w:t>
      </w:r>
      <w:r w:rsidR="001926F9" w:rsidRPr="00303E62">
        <w:rPr>
          <w:rFonts w:ascii="Book Antiqua" w:eastAsia="Calibri" w:hAnsi="Book Antiqua" w:cs="Arial"/>
          <w:sz w:val="24"/>
          <w:szCs w:val="24"/>
          <w:lang w:val="en-GB"/>
        </w:rPr>
        <w:t>T</w:t>
      </w:r>
      <w:r w:rsidR="00511CA9" w:rsidRPr="00303E62">
        <w:rPr>
          <w:rFonts w:ascii="Book Antiqua" w:eastAsia="Calibri" w:hAnsi="Book Antiqua" w:cs="Arial"/>
          <w:sz w:val="24"/>
          <w:szCs w:val="24"/>
          <w:lang w:val="en-GB"/>
        </w:rPr>
        <w:t>his study</w:t>
      </w:r>
      <w:r w:rsidR="00981961" w:rsidRPr="00303E62">
        <w:rPr>
          <w:rFonts w:ascii="Book Antiqua" w:eastAsia="Calibri" w:hAnsi="Book Antiqua" w:cs="Arial"/>
          <w:sz w:val="24"/>
          <w:szCs w:val="24"/>
          <w:lang w:val="en-GB"/>
        </w:rPr>
        <w:t xml:space="preserve"> compared </w:t>
      </w:r>
      <w:r w:rsidR="00B11716" w:rsidRPr="00303E62">
        <w:rPr>
          <w:rFonts w:ascii="Book Antiqua" w:eastAsia="Calibri" w:hAnsi="Book Antiqua" w:cs="Arial"/>
          <w:sz w:val="24"/>
          <w:szCs w:val="24"/>
          <w:lang w:val="en-GB"/>
        </w:rPr>
        <w:t xml:space="preserve">ERC, BC, ploidy analysis, and laboratory values between </w:t>
      </w:r>
      <w:r w:rsidR="00981961" w:rsidRPr="00303E62">
        <w:rPr>
          <w:rFonts w:ascii="Book Antiqua" w:eastAsia="Calibri" w:hAnsi="Book Antiqua" w:cs="Arial"/>
          <w:sz w:val="24"/>
          <w:szCs w:val="24"/>
          <w:lang w:val="en-GB"/>
        </w:rPr>
        <w:t>patients diagnosed with CCA</w:t>
      </w:r>
      <w:r w:rsidR="00B11716" w:rsidRPr="00303E62">
        <w:rPr>
          <w:rFonts w:ascii="Book Antiqua" w:eastAsia="Calibri" w:hAnsi="Book Antiqua" w:cs="Arial"/>
          <w:sz w:val="24"/>
          <w:szCs w:val="24"/>
          <w:lang w:val="en-GB"/>
        </w:rPr>
        <w:t xml:space="preserve">, HGD or LGD. </w:t>
      </w:r>
    </w:p>
    <w:p w14:paraId="44CFA9CC" w14:textId="77777777" w:rsidR="00A552D3" w:rsidRPr="00303E62" w:rsidRDefault="00A552D3" w:rsidP="00D305D7">
      <w:pPr>
        <w:snapToGrid w:val="0"/>
        <w:spacing w:after="0" w:line="360" w:lineRule="auto"/>
        <w:jc w:val="both"/>
        <w:rPr>
          <w:rFonts w:ascii="Book Antiqua" w:eastAsia="Calibri" w:hAnsi="Book Antiqua" w:cs="Arial"/>
          <w:sz w:val="24"/>
          <w:szCs w:val="24"/>
          <w:lang w:val="en-GB"/>
        </w:rPr>
      </w:pPr>
    </w:p>
    <w:p w14:paraId="6DB1DA63"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t>Research frontiers</w:t>
      </w:r>
    </w:p>
    <w:p w14:paraId="5B13FBA7" w14:textId="7A375BC4" w:rsidR="00EB25BB" w:rsidRPr="00303E62" w:rsidRDefault="001926F9"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B</w:t>
      </w:r>
      <w:r w:rsidR="00B11716" w:rsidRPr="00303E62">
        <w:rPr>
          <w:rFonts w:ascii="Book Antiqua" w:eastAsia="Calibri" w:hAnsi="Book Antiqua" w:cs="Arial"/>
          <w:sz w:val="24"/>
          <w:szCs w:val="24"/>
          <w:lang w:val="en-GB"/>
        </w:rPr>
        <w:t>iliary dysplasia is an established indication for LT</w:t>
      </w:r>
      <w:r w:rsidRPr="00303E62">
        <w:rPr>
          <w:rFonts w:ascii="Book Antiqua" w:eastAsia="Calibri" w:hAnsi="Book Antiqua" w:cs="Arial"/>
          <w:sz w:val="24"/>
          <w:szCs w:val="24"/>
          <w:lang w:val="en-GB"/>
        </w:rPr>
        <w:t xml:space="preserve"> in few transplantation centres</w:t>
      </w:r>
      <w:r w:rsidR="00B11716" w:rsidRPr="00303E62">
        <w:rPr>
          <w:rFonts w:ascii="Book Antiqua" w:eastAsia="Calibri" w:hAnsi="Book Antiqua" w:cs="Arial"/>
          <w:sz w:val="24"/>
          <w:szCs w:val="24"/>
          <w:lang w:val="en-GB"/>
        </w:rPr>
        <w:t>. BC is used to detect biliary neoplasia</w:t>
      </w:r>
      <w:r w:rsidRPr="00303E62">
        <w:rPr>
          <w:rFonts w:ascii="Book Antiqua" w:eastAsia="Calibri" w:hAnsi="Book Antiqua" w:cs="Arial"/>
          <w:sz w:val="24"/>
          <w:szCs w:val="24"/>
          <w:lang w:val="en-GB"/>
        </w:rPr>
        <w:t>,</w:t>
      </w:r>
      <w:r w:rsidR="00B11716" w:rsidRPr="00303E62">
        <w:rPr>
          <w:rFonts w:ascii="Book Antiqua" w:eastAsia="Calibri" w:hAnsi="Book Antiqua" w:cs="Arial"/>
          <w:sz w:val="24"/>
          <w:szCs w:val="24"/>
          <w:lang w:val="en-GB"/>
        </w:rPr>
        <w:t xml:space="preserve"> but HGD </w:t>
      </w:r>
      <w:r w:rsidRPr="00303E62">
        <w:rPr>
          <w:rFonts w:ascii="Book Antiqua" w:eastAsia="Calibri" w:hAnsi="Book Antiqua" w:cs="Arial"/>
          <w:sz w:val="24"/>
          <w:szCs w:val="24"/>
          <w:lang w:val="en-GB"/>
        </w:rPr>
        <w:t>may</w:t>
      </w:r>
      <w:r w:rsidR="00B11716" w:rsidRPr="00303E62">
        <w:rPr>
          <w:rFonts w:ascii="Book Antiqua" w:eastAsia="Calibri" w:hAnsi="Book Antiqua" w:cs="Arial"/>
          <w:sz w:val="24"/>
          <w:szCs w:val="24"/>
          <w:lang w:val="en-GB"/>
        </w:rPr>
        <w:t xml:space="preserve"> be verified from brushing</w:t>
      </w:r>
      <w:r w:rsidRPr="00303E62">
        <w:rPr>
          <w:rFonts w:ascii="Book Antiqua" w:eastAsia="Calibri" w:hAnsi="Book Antiqua" w:cs="Arial"/>
          <w:sz w:val="24"/>
          <w:szCs w:val="24"/>
          <w:lang w:val="en-GB"/>
        </w:rPr>
        <w:t xml:space="preserve"> only in selected cases</w:t>
      </w:r>
      <w:r w:rsidR="00B11716" w:rsidRPr="00303E62">
        <w:rPr>
          <w:rFonts w:ascii="Book Antiqua" w:eastAsia="Calibri" w:hAnsi="Book Antiqua" w:cs="Arial"/>
          <w:sz w:val="24"/>
          <w:szCs w:val="24"/>
          <w:lang w:val="en-GB"/>
        </w:rPr>
        <w:t xml:space="preserve">. </w:t>
      </w:r>
    </w:p>
    <w:p w14:paraId="28AA20E4" w14:textId="77777777" w:rsidR="00B11716" w:rsidRPr="00303E62" w:rsidRDefault="00B11716" w:rsidP="00D305D7">
      <w:pPr>
        <w:snapToGrid w:val="0"/>
        <w:spacing w:after="0" w:line="360" w:lineRule="auto"/>
        <w:jc w:val="both"/>
        <w:rPr>
          <w:rFonts w:ascii="Book Antiqua" w:eastAsia="Calibri" w:hAnsi="Book Antiqua" w:cs="Arial"/>
          <w:sz w:val="24"/>
          <w:szCs w:val="24"/>
          <w:lang w:val="en-GB"/>
        </w:rPr>
      </w:pPr>
    </w:p>
    <w:p w14:paraId="21BCA1E6"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t>Innovations and breakthroughs</w:t>
      </w:r>
    </w:p>
    <w:p w14:paraId="5C9BAA94" w14:textId="71C49199" w:rsidR="00EB25BB" w:rsidRPr="00303E62" w:rsidRDefault="00516873"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T</w:t>
      </w:r>
      <w:r w:rsidR="00B11716" w:rsidRPr="00303E62">
        <w:rPr>
          <w:rFonts w:ascii="Book Antiqua" w:eastAsia="Calibri" w:hAnsi="Book Antiqua" w:cs="Arial"/>
          <w:sz w:val="24"/>
          <w:szCs w:val="24"/>
          <w:lang w:val="en-GB"/>
        </w:rPr>
        <w:t xml:space="preserve">his study found that differentiating HGD and LGD </w:t>
      </w:r>
      <w:r w:rsidRPr="00303E62">
        <w:rPr>
          <w:rFonts w:ascii="Book Antiqua" w:eastAsia="Calibri" w:hAnsi="Book Antiqua" w:cs="Arial"/>
          <w:sz w:val="24"/>
          <w:szCs w:val="24"/>
          <w:lang w:val="en-GB"/>
        </w:rPr>
        <w:t>prior to</w:t>
      </w:r>
      <w:r w:rsidR="00B11716" w:rsidRPr="00303E62">
        <w:rPr>
          <w:rFonts w:ascii="Book Antiqua" w:eastAsia="Calibri" w:hAnsi="Book Antiqua" w:cs="Arial"/>
          <w:sz w:val="24"/>
          <w:szCs w:val="24"/>
          <w:lang w:val="en-GB"/>
        </w:rPr>
        <w:t xml:space="preserve"> histological verification in the explanted liver is not practically possible. BC, laboratory values </w:t>
      </w:r>
      <w:r w:rsidRPr="00303E62">
        <w:rPr>
          <w:rFonts w:ascii="Book Antiqua" w:eastAsia="Calibri" w:hAnsi="Book Antiqua" w:cs="Arial"/>
          <w:sz w:val="24"/>
          <w:szCs w:val="24"/>
          <w:lang w:val="en-GB"/>
        </w:rPr>
        <w:t>and</w:t>
      </w:r>
      <w:r w:rsidR="00B11716" w:rsidRPr="00303E62">
        <w:rPr>
          <w:rFonts w:ascii="Book Antiqua" w:eastAsia="Calibri" w:hAnsi="Book Antiqua" w:cs="Arial"/>
          <w:sz w:val="24"/>
          <w:szCs w:val="24"/>
          <w:lang w:val="en-GB"/>
        </w:rPr>
        <w:t xml:space="preserve"> ERC scores did not differ </w:t>
      </w:r>
      <w:r w:rsidR="008318A5" w:rsidRPr="00303E62">
        <w:rPr>
          <w:rFonts w:ascii="Book Antiqua" w:eastAsia="Calibri" w:hAnsi="Book Antiqua" w:cs="Arial"/>
          <w:sz w:val="24"/>
          <w:szCs w:val="24"/>
          <w:lang w:val="en-GB"/>
        </w:rPr>
        <w:t>between patients with LGD, HGD and CCA</w:t>
      </w:r>
      <w:r w:rsidRPr="00303E62">
        <w:rPr>
          <w:rFonts w:ascii="Book Antiqua" w:eastAsia="Calibri" w:hAnsi="Book Antiqua" w:cs="Arial"/>
          <w:sz w:val="24"/>
          <w:szCs w:val="24"/>
          <w:lang w:val="en-GB"/>
        </w:rPr>
        <w:t>,</w:t>
      </w:r>
      <w:r w:rsidR="008318A5" w:rsidRPr="00303E62">
        <w:rPr>
          <w:rFonts w:ascii="Book Antiqua" w:eastAsia="Calibri" w:hAnsi="Book Antiqua" w:cs="Arial"/>
          <w:sz w:val="24"/>
          <w:szCs w:val="24"/>
          <w:lang w:val="en-GB"/>
        </w:rPr>
        <w:t xml:space="preserve"> with the exception of CA19-9</w:t>
      </w:r>
      <w:r w:rsidRPr="00303E62">
        <w:rPr>
          <w:rFonts w:ascii="Book Antiqua" w:eastAsia="Calibri" w:hAnsi="Book Antiqua" w:cs="Arial"/>
          <w:sz w:val="24"/>
          <w:szCs w:val="24"/>
          <w:lang w:val="en-GB"/>
        </w:rPr>
        <w:t>, which</w:t>
      </w:r>
      <w:r w:rsidR="008318A5" w:rsidRPr="00303E62">
        <w:rPr>
          <w:rFonts w:ascii="Book Antiqua" w:eastAsia="Calibri" w:hAnsi="Book Antiqua" w:cs="Arial"/>
          <w:sz w:val="24"/>
          <w:szCs w:val="24"/>
          <w:lang w:val="en-GB"/>
        </w:rPr>
        <w:t xml:space="preserve"> was elevated </w:t>
      </w:r>
      <w:r w:rsidRPr="00303E62">
        <w:rPr>
          <w:rFonts w:ascii="Book Antiqua" w:eastAsia="Calibri" w:hAnsi="Book Antiqua" w:cs="Arial"/>
          <w:sz w:val="24"/>
          <w:szCs w:val="24"/>
          <w:lang w:val="en-GB"/>
        </w:rPr>
        <w:t>in</w:t>
      </w:r>
      <w:r w:rsidR="008318A5" w:rsidRPr="00303E62">
        <w:rPr>
          <w:rFonts w:ascii="Book Antiqua" w:eastAsia="Calibri" w:hAnsi="Book Antiqua" w:cs="Arial"/>
          <w:sz w:val="24"/>
          <w:szCs w:val="24"/>
          <w:lang w:val="en-GB"/>
        </w:rPr>
        <w:t xml:space="preserve"> CCA patients.</w:t>
      </w:r>
    </w:p>
    <w:p w14:paraId="5AEBC82E" w14:textId="77777777" w:rsidR="008318A5" w:rsidRPr="00303E62" w:rsidRDefault="008318A5" w:rsidP="00D305D7">
      <w:pPr>
        <w:snapToGrid w:val="0"/>
        <w:spacing w:after="0" w:line="360" w:lineRule="auto"/>
        <w:jc w:val="both"/>
        <w:rPr>
          <w:rFonts w:ascii="Book Antiqua" w:eastAsia="Calibri" w:hAnsi="Book Antiqua" w:cs="Arial"/>
          <w:sz w:val="24"/>
          <w:szCs w:val="24"/>
          <w:lang w:val="en-GB"/>
        </w:rPr>
      </w:pPr>
    </w:p>
    <w:p w14:paraId="226B7371"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lastRenderedPageBreak/>
        <w:t>Applications</w:t>
      </w:r>
    </w:p>
    <w:p w14:paraId="0F386AA7" w14:textId="6A452B51" w:rsidR="00EB25BB" w:rsidRPr="00303E62" w:rsidRDefault="008318A5"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 xml:space="preserve">This study suggests that the patient should be referred for evaluation of LT </w:t>
      </w:r>
      <w:r w:rsidR="00516873" w:rsidRPr="00303E62">
        <w:rPr>
          <w:rFonts w:ascii="Book Antiqua" w:eastAsia="Calibri" w:hAnsi="Book Antiqua" w:cs="Arial"/>
          <w:sz w:val="24"/>
          <w:szCs w:val="24"/>
          <w:lang w:val="en-GB"/>
        </w:rPr>
        <w:t xml:space="preserve">when biliary neoplasia is repeatedly suspected in BC of a PSC patient </w:t>
      </w:r>
      <w:r w:rsidRPr="00303E62">
        <w:rPr>
          <w:rFonts w:ascii="Book Antiqua" w:eastAsia="Calibri" w:hAnsi="Book Antiqua" w:cs="Arial"/>
          <w:sz w:val="24"/>
          <w:szCs w:val="24"/>
          <w:lang w:val="en-GB"/>
        </w:rPr>
        <w:t xml:space="preserve">to prevent progression to CCA. </w:t>
      </w:r>
    </w:p>
    <w:p w14:paraId="02604FC7" w14:textId="77777777" w:rsidR="008318A5" w:rsidRPr="00303E62" w:rsidRDefault="008318A5" w:rsidP="00D305D7">
      <w:pPr>
        <w:snapToGrid w:val="0"/>
        <w:spacing w:after="0" w:line="360" w:lineRule="auto"/>
        <w:jc w:val="both"/>
        <w:rPr>
          <w:rFonts w:ascii="Book Antiqua" w:eastAsia="Calibri" w:hAnsi="Book Antiqua" w:cs="Arial"/>
          <w:sz w:val="24"/>
          <w:szCs w:val="24"/>
          <w:lang w:val="en-GB"/>
        </w:rPr>
      </w:pPr>
    </w:p>
    <w:p w14:paraId="43E1473B"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t>Terminology</w:t>
      </w:r>
    </w:p>
    <w:p w14:paraId="34767648" w14:textId="1995E441" w:rsidR="00EB25BB" w:rsidRPr="00303E62" w:rsidRDefault="008318A5"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t>ERC</w:t>
      </w:r>
      <w:r w:rsidR="00CF64C3">
        <w:rPr>
          <w:rFonts w:ascii="Book Antiqua" w:eastAsia="Calibri" w:hAnsi="Book Antiqua" w:cs="Arial" w:hint="eastAsia"/>
          <w:sz w:val="24"/>
          <w:szCs w:val="24"/>
          <w:lang w:val="en-GB" w:eastAsia="zh-CN"/>
        </w:rPr>
        <w:t xml:space="preserve"> - </w:t>
      </w:r>
      <w:r w:rsidRPr="00303E62">
        <w:rPr>
          <w:rFonts w:ascii="Book Antiqua" w:eastAsia="Calibri" w:hAnsi="Book Antiqua" w:cs="Arial"/>
          <w:sz w:val="24"/>
          <w:szCs w:val="24"/>
          <w:lang w:val="en-GB"/>
        </w:rPr>
        <w:t xml:space="preserve">an endoscopic procedure that enables </w:t>
      </w:r>
      <w:r w:rsidR="00516873" w:rsidRPr="00303E62">
        <w:rPr>
          <w:rFonts w:ascii="Book Antiqua" w:eastAsia="Calibri" w:hAnsi="Book Antiqua" w:cs="Arial"/>
          <w:sz w:val="24"/>
          <w:szCs w:val="24"/>
          <w:lang w:val="en-GB"/>
        </w:rPr>
        <w:t>an</w:t>
      </w:r>
      <w:r w:rsidRPr="00303E62">
        <w:rPr>
          <w:rFonts w:ascii="Book Antiqua" w:eastAsia="Calibri" w:hAnsi="Book Antiqua" w:cs="Arial"/>
          <w:sz w:val="24"/>
          <w:szCs w:val="24"/>
          <w:lang w:val="en-GB"/>
        </w:rPr>
        <w:t xml:space="preserve"> evaluat</w:t>
      </w:r>
      <w:r w:rsidR="00516873" w:rsidRPr="00303E62">
        <w:rPr>
          <w:rFonts w:ascii="Book Antiqua" w:eastAsia="Calibri" w:hAnsi="Book Antiqua" w:cs="Arial"/>
          <w:sz w:val="24"/>
          <w:szCs w:val="24"/>
          <w:lang w:val="en-GB"/>
        </w:rPr>
        <w:t>ion of</w:t>
      </w:r>
      <w:r w:rsidRPr="00303E62">
        <w:rPr>
          <w:rFonts w:ascii="Book Antiqua" w:eastAsia="Calibri" w:hAnsi="Book Antiqua" w:cs="Arial"/>
          <w:sz w:val="24"/>
          <w:szCs w:val="24"/>
          <w:lang w:val="en-GB"/>
        </w:rPr>
        <w:t xml:space="preserve"> bile ducts by injecting contrast medium to </w:t>
      </w:r>
      <w:r w:rsidR="00516873" w:rsidRPr="00303E62">
        <w:rPr>
          <w:rFonts w:ascii="Book Antiqua" w:eastAsia="Calibri" w:hAnsi="Book Antiqua" w:cs="Arial"/>
          <w:sz w:val="24"/>
          <w:szCs w:val="24"/>
          <w:lang w:val="en-GB"/>
        </w:rPr>
        <w:t xml:space="preserve">the </w:t>
      </w:r>
      <w:r w:rsidRPr="00303E62">
        <w:rPr>
          <w:rFonts w:ascii="Book Antiqua" w:eastAsia="Calibri" w:hAnsi="Book Antiqua" w:cs="Arial"/>
          <w:sz w:val="24"/>
          <w:szCs w:val="24"/>
          <w:lang w:val="en-GB"/>
        </w:rPr>
        <w:t xml:space="preserve">bile ducts </w:t>
      </w:r>
      <w:r w:rsidR="00516873" w:rsidRPr="00303E62">
        <w:rPr>
          <w:rFonts w:ascii="Book Antiqua" w:eastAsia="Calibri" w:hAnsi="Book Antiqua" w:cs="Arial"/>
          <w:sz w:val="24"/>
          <w:szCs w:val="24"/>
          <w:lang w:val="en-GB"/>
        </w:rPr>
        <w:t xml:space="preserve">for </w:t>
      </w:r>
      <w:r w:rsidRPr="00303E62">
        <w:rPr>
          <w:rFonts w:ascii="Book Antiqua" w:eastAsia="Calibri" w:hAnsi="Book Antiqua" w:cs="Arial"/>
          <w:sz w:val="24"/>
          <w:szCs w:val="24"/>
          <w:lang w:val="en-GB"/>
        </w:rPr>
        <w:t>radiograph</w:t>
      </w:r>
      <w:r w:rsidR="00516873" w:rsidRPr="00303E62">
        <w:rPr>
          <w:rFonts w:ascii="Book Antiqua" w:eastAsia="Calibri" w:hAnsi="Book Antiqua" w:cs="Arial"/>
          <w:sz w:val="24"/>
          <w:szCs w:val="24"/>
          <w:lang w:val="en-GB"/>
        </w:rPr>
        <w:t>ic visualisation</w:t>
      </w:r>
      <w:r w:rsidRPr="00303E62">
        <w:rPr>
          <w:rFonts w:ascii="Book Antiqua" w:eastAsia="Calibri" w:hAnsi="Book Antiqua" w:cs="Arial"/>
          <w:sz w:val="24"/>
          <w:szCs w:val="24"/>
          <w:lang w:val="en-GB"/>
        </w:rPr>
        <w:t xml:space="preserve">. </w:t>
      </w:r>
    </w:p>
    <w:p w14:paraId="3FA47C73" w14:textId="77777777" w:rsidR="008318A5" w:rsidRPr="00CF64C3" w:rsidRDefault="008318A5" w:rsidP="00D305D7">
      <w:pPr>
        <w:snapToGrid w:val="0"/>
        <w:spacing w:after="0" w:line="360" w:lineRule="auto"/>
        <w:jc w:val="both"/>
        <w:rPr>
          <w:rFonts w:ascii="Book Antiqua" w:eastAsia="Calibri" w:hAnsi="Book Antiqua" w:cs="Arial"/>
          <w:sz w:val="24"/>
          <w:szCs w:val="24"/>
          <w:lang w:val="en-GB"/>
        </w:rPr>
      </w:pPr>
    </w:p>
    <w:p w14:paraId="24472EE1" w14:textId="77777777" w:rsidR="00EB25BB" w:rsidRPr="00303E62" w:rsidRDefault="00EB25BB" w:rsidP="00D305D7">
      <w:pPr>
        <w:snapToGrid w:val="0"/>
        <w:spacing w:after="0" w:line="360" w:lineRule="auto"/>
        <w:jc w:val="both"/>
        <w:rPr>
          <w:rFonts w:ascii="Book Antiqua" w:eastAsia="Calibri" w:hAnsi="Book Antiqua" w:cs="Arial"/>
          <w:b/>
          <w:i/>
          <w:sz w:val="24"/>
          <w:szCs w:val="24"/>
          <w:lang w:val="en-GB"/>
        </w:rPr>
      </w:pPr>
      <w:r w:rsidRPr="00303E62">
        <w:rPr>
          <w:rFonts w:ascii="Book Antiqua" w:eastAsia="Calibri" w:hAnsi="Book Antiqua" w:cs="Arial"/>
          <w:b/>
          <w:i/>
          <w:sz w:val="24"/>
          <w:szCs w:val="24"/>
          <w:lang w:val="en-GB"/>
        </w:rPr>
        <w:t>Peer-review</w:t>
      </w:r>
    </w:p>
    <w:p w14:paraId="3F10CE94" w14:textId="5B022F97" w:rsidR="00773FF1" w:rsidRPr="00F72825" w:rsidRDefault="00F72825" w:rsidP="00D305D7">
      <w:pPr>
        <w:snapToGrid w:val="0"/>
        <w:spacing w:after="0" w:line="360" w:lineRule="auto"/>
        <w:jc w:val="both"/>
        <w:rPr>
          <w:rFonts w:ascii="Book Antiqua" w:eastAsia="Calibri" w:hAnsi="Book Antiqua" w:cs="Arial"/>
          <w:sz w:val="24"/>
          <w:szCs w:val="24"/>
          <w:lang w:val="en-GB"/>
        </w:rPr>
      </w:pPr>
      <w:r w:rsidRPr="00F72825">
        <w:rPr>
          <w:rFonts w:ascii="Book Antiqua" w:eastAsia="Calibri" w:hAnsi="Book Antiqua" w:cs="Arial"/>
          <w:sz w:val="24"/>
          <w:szCs w:val="24"/>
          <w:lang w:val="en-GB"/>
        </w:rPr>
        <w:t>The paper is novel</w:t>
      </w:r>
      <w:r w:rsidRPr="00F72825">
        <w:rPr>
          <w:rFonts w:ascii="Book Antiqua" w:eastAsia="Calibri" w:hAnsi="Book Antiqua" w:cs="Arial" w:hint="eastAsia"/>
          <w:sz w:val="24"/>
          <w:szCs w:val="24"/>
          <w:lang w:val="en-GB" w:eastAsia="zh-CN"/>
        </w:rPr>
        <w:t>,</w:t>
      </w:r>
      <w:r w:rsidRPr="00F72825">
        <w:rPr>
          <w:rFonts w:ascii="Book Antiqua" w:eastAsia="Calibri" w:hAnsi="Book Antiqua" w:cs="Arial"/>
          <w:sz w:val="24"/>
          <w:szCs w:val="24"/>
          <w:lang w:val="en-GB"/>
        </w:rPr>
        <w:t xml:space="preserve"> and an interesting study evaluating clinical and laboratory characteristics of PSC patients in order to identify subjects with biliary dysplasia that could benefit from early liver transplantation. The figures are good and eye-catching.</w:t>
      </w:r>
    </w:p>
    <w:p w14:paraId="21F32130" w14:textId="77777777" w:rsidR="00CF64C3" w:rsidRDefault="00CF64C3" w:rsidP="00D305D7">
      <w:pPr>
        <w:snapToGrid w:val="0"/>
        <w:spacing w:after="0" w:line="360" w:lineRule="auto"/>
        <w:rPr>
          <w:rFonts w:ascii="Book Antiqua" w:eastAsia="Calibri" w:hAnsi="Book Antiqua" w:cs="Arial"/>
          <w:b/>
          <w:sz w:val="24"/>
          <w:szCs w:val="24"/>
          <w:lang w:val="en-GB"/>
        </w:rPr>
      </w:pPr>
      <w:r>
        <w:rPr>
          <w:rFonts w:ascii="Book Antiqua" w:eastAsia="Calibri" w:hAnsi="Book Antiqua" w:cs="Arial"/>
          <w:b/>
          <w:sz w:val="24"/>
          <w:szCs w:val="24"/>
          <w:lang w:val="en-GB"/>
        </w:rPr>
        <w:br w:type="page"/>
      </w:r>
    </w:p>
    <w:p w14:paraId="02D1C794" w14:textId="26623E0C" w:rsidR="00663156" w:rsidRPr="00303E62" w:rsidRDefault="00AA1103"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lastRenderedPageBreak/>
        <w:t>REFERENCES</w:t>
      </w:r>
    </w:p>
    <w:p w14:paraId="13F0D988"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1 </w:t>
      </w:r>
      <w:r w:rsidRPr="00B102F1">
        <w:rPr>
          <w:rFonts w:ascii="Book Antiqua" w:eastAsia="SimSun" w:hAnsi="Book Antiqua" w:cs="SimSun"/>
          <w:b/>
          <w:bCs/>
          <w:sz w:val="24"/>
          <w:szCs w:val="24"/>
          <w:lang w:val="en-US" w:eastAsia="zh-CN"/>
        </w:rPr>
        <w:t>Claessen MM</w:t>
      </w:r>
      <w:r w:rsidRPr="00B102F1">
        <w:rPr>
          <w:rFonts w:ascii="Book Antiqua" w:eastAsia="SimSun" w:hAnsi="Book Antiqua" w:cs="SimSun"/>
          <w:sz w:val="24"/>
          <w:szCs w:val="24"/>
          <w:lang w:val="en-US" w:eastAsia="zh-CN"/>
        </w:rPr>
        <w:t>, Vleggaar FP, Tytgat KM, Siersema PD, van Buuren HR. High lifetime risk of cancer in primary sclerosing cholangitis. </w:t>
      </w:r>
      <w:r w:rsidRPr="00B102F1">
        <w:rPr>
          <w:rFonts w:ascii="Book Antiqua" w:eastAsia="SimSun" w:hAnsi="Book Antiqua" w:cs="SimSun"/>
          <w:i/>
          <w:iCs/>
          <w:sz w:val="24"/>
          <w:szCs w:val="24"/>
          <w:lang w:val="en-US" w:eastAsia="zh-CN"/>
        </w:rPr>
        <w:t>J Hepatol</w:t>
      </w:r>
      <w:r w:rsidRPr="00B102F1">
        <w:rPr>
          <w:rFonts w:ascii="Book Antiqua" w:eastAsia="SimSun" w:hAnsi="Book Antiqua" w:cs="SimSun"/>
          <w:sz w:val="24"/>
          <w:szCs w:val="24"/>
          <w:lang w:val="en-US" w:eastAsia="zh-CN"/>
        </w:rPr>
        <w:t> 2009; </w:t>
      </w:r>
      <w:r w:rsidRPr="00B102F1">
        <w:rPr>
          <w:rFonts w:ascii="Book Antiqua" w:eastAsia="SimSun" w:hAnsi="Book Antiqua" w:cs="SimSun"/>
          <w:b/>
          <w:bCs/>
          <w:sz w:val="24"/>
          <w:szCs w:val="24"/>
          <w:lang w:val="en-US" w:eastAsia="zh-CN"/>
        </w:rPr>
        <w:t>50</w:t>
      </w:r>
      <w:r w:rsidRPr="00B102F1">
        <w:rPr>
          <w:rFonts w:ascii="Book Antiqua" w:eastAsia="SimSun" w:hAnsi="Book Antiqua" w:cs="SimSun"/>
          <w:sz w:val="24"/>
          <w:szCs w:val="24"/>
          <w:lang w:val="en-US" w:eastAsia="zh-CN"/>
        </w:rPr>
        <w:t>: 158-164 [PMID: 19012991 DOI: 10.1016/j.jhep.2008.08.013]</w:t>
      </w:r>
    </w:p>
    <w:p w14:paraId="19D5FA4B"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2 </w:t>
      </w:r>
      <w:r w:rsidRPr="00B102F1">
        <w:rPr>
          <w:rFonts w:ascii="Book Antiqua" w:eastAsia="SimSun" w:hAnsi="Book Antiqua" w:cs="SimSun"/>
          <w:b/>
          <w:bCs/>
          <w:sz w:val="24"/>
          <w:szCs w:val="24"/>
          <w:lang w:val="en-US" w:eastAsia="zh-CN"/>
        </w:rPr>
        <w:t>Razumilava N</w:t>
      </w:r>
      <w:r w:rsidRPr="00B102F1">
        <w:rPr>
          <w:rFonts w:ascii="Book Antiqua" w:eastAsia="SimSun" w:hAnsi="Book Antiqua" w:cs="SimSun"/>
          <w:sz w:val="24"/>
          <w:szCs w:val="24"/>
          <w:lang w:val="en-US" w:eastAsia="zh-CN"/>
        </w:rPr>
        <w:t>, Gores GJ, Lindor KD. Cancer surveillance in patients with primary sclerosing cholangitis. </w:t>
      </w:r>
      <w:r w:rsidRPr="00B102F1">
        <w:rPr>
          <w:rFonts w:ascii="Book Antiqua" w:eastAsia="SimSun" w:hAnsi="Book Antiqua" w:cs="SimSun"/>
          <w:i/>
          <w:iCs/>
          <w:sz w:val="24"/>
          <w:szCs w:val="24"/>
          <w:lang w:val="en-US" w:eastAsia="zh-CN"/>
        </w:rPr>
        <w:t>Hepatology</w:t>
      </w:r>
      <w:r w:rsidRPr="00B102F1">
        <w:rPr>
          <w:rFonts w:ascii="Book Antiqua" w:eastAsia="SimSun" w:hAnsi="Book Antiqua" w:cs="SimSun"/>
          <w:sz w:val="24"/>
          <w:szCs w:val="24"/>
          <w:lang w:val="en-US" w:eastAsia="zh-CN"/>
        </w:rPr>
        <w:t> 2011; </w:t>
      </w:r>
      <w:r w:rsidRPr="00B102F1">
        <w:rPr>
          <w:rFonts w:ascii="Book Antiqua" w:eastAsia="SimSun" w:hAnsi="Book Antiqua" w:cs="SimSun"/>
          <w:b/>
          <w:bCs/>
          <w:sz w:val="24"/>
          <w:szCs w:val="24"/>
          <w:lang w:val="en-US" w:eastAsia="zh-CN"/>
        </w:rPr>
        <w:t>54</w:t>
      </w:r>
      <w:r w:rsidRPr="00B102F1">
        <w:rPr>
          <w:rFonts w:ascii="Book Antiqua" w:eastAsia="SimSun" w:hAnsi="Book Antiqua" w:cs="SimSun"/>
          <w:sz w:val="24"/>
          <w:szCs w:val="24"/>
          <w:lang w:val="en-US" w:eastAsia="zh-CN"/>
        </w:rPr>
        <w:t>: 1842-1852 [PMID: 21793028 DOI: 10.1002/hep.24570]</w:t>
      </w:r>
    </w:p>
    <w:p w14:paraId="40EFD874"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3 </w:t>
      </w:r>
      <w:r w:rsidRPr="00B102F1">
        <w:rPr>
          <w:rFonts w:ascii="Book Antiqua" w:eastAsia="SimSun" w:hAnsi="Book Antiqua" w:cs="SimSun"/>
          <w:b/>
          <w:bCs/>
          <w:sz w:val="24"/>
          <w:szCs w:val="24"/>
          <w:lang w:val="en-US" w:eastAsia="zh-CN"/>
        </w:rPr>
        <w:t>Lewis JT</w:t>
      </w:r>
      <w:r w:rsidRPr="00B102F1">
        <w:rPr>
          <w:rFonts w:ascii="Book Antiqua" w:eastAsia="SimSun" w:hAnsi="Book Antiqua" w:cs="SimSun"/>
          <w:sz w:val="24"/>
          <w:szCs w:val="24"/>
          <w:lang w:val="en-US" w:eastAsia="zh-CN"/>
        </w:rPr>
        <w:t>, Talwalkar JA, Rosen CB, Smyrk TC, Abraham SC. Precancerous bile duct pathology in end-stage primary sclerosing cholangitis, with and without cholangiocarcinoma. </w:t>
      </w:r>
      <w:r w:rsidRPr="00B102F1">
        <w:rPr>
          <w:rFonts w:ascii="Book Antiqua" w:eastAsia="SimSun" w:hAnsi="Book Antiqua" w:cs="SimSun"/>
          <w:i/>
          <w:iCs/>
          <w:sz w:val="24"/>
          <w:szCs w:val="24"/>
          <w:lang w:val="en-US" w:eastAsia="zh-CN"/>
        </w:rPr>
        <w:t>Am J Surg Pathol</w:t>
      </w:r>
      <w:r w:rsidRPr="00B102F1">
        <w:rPr>
          <w:rFonts w:ascii="Book Antiqua" w:eastAsia="SimSun" w:hAnsi="Book Antiqua" w:cs="SimSun"/>
          <w:sz w:val="24"/>
          <w:szCs w:val="24"/>
          <w:lang w:val="en-US" w:eastAsia="zh-CN"/>
        </w:rPr>
        <w:t> 2010; </w:t>
      </w:r>
      <w:r w:rsidRPr="00B102F1">
        <w:rPr>
          <w:rFonts w:ascii="Book Antiqua" w:eastAsia="SimSun" w:hAnsi="Book Antiqua" w:cs="SimSun"/>
          <w:b/>
          <w:bCs/>
          <w:sz w:val="24"/>
          <w:szCs w:val="24"/>
          <w:lang w:val="en-US" w:eastAsia="zh-CN"/>
        </w:rPr>
        <w:t>34</w:t>
      </w:r>
      <w:r w:rsidRPr="00B102F1">
        <w:rPr>
          <w:rFonts w:ascii="Book Antiqua" w:eastAsia="SimSun" w:hAnsi="Book Antiqua" w:cs="SimSun"/>
          <w:sz w:val="24"/>
          <w:szCs w:val="24"/>
          <w:lang w:val="en-US" w:eastAsia="zh-CN"/>
        </w:rPr>
        <w:t>: 27-34 [PMID: 19898228 DOI: 10.1097/PAS.0b013e3181bc96f9]</w:t>
      </w:r>
    </w:p>
    <w:p w14:paraId="4C4F9F60"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4 </w:t>
      </w:r>
      <w:r w:rsidRPr="00B102F1">
        <w:rPr>
          <w:rFonts w:ascii="Book Antiqua" w:eastAsia="SimSun" w:hAnsi="Book Antiqua" w:cs="SimSun"/>
          <w:b/>
          <w:bCs/>
          <w:sz w:val="24"/>
          <w:szCs w:val="24"/>
          <w:lang w:val="en-US" w:eastAsia="zh-CN"/>
        </w:rPr>
        <w:t>Boyd S</w:t>
      </w:r>
      <w:r w:rsidRPr="00B102F1">
        <w:rPr>
          <w:rFonts w:ascii="Book Antiqua" w:eastAsia="SimSun" w:hAnsi="Book Antiqua" w:cs="SimSun"/>
          <w:sz w:val="24"/>
          <w:szCs w:val="24"/>
          <w:lang w:val="en-US" w:eastAsia="zh-CN"/>
        </w:rPr>
        <w:t>, Tenca A, Jokelainen K, Mustonen H, Krogerus L, Arola J, Färkkilä MA. Screening primary sclerosing cholangitis and biliary dysplasia with endoscopic retrograde cholangiography and brush cytology: risk factors for biliary neoplasia.</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Endoscopy</w:t>
      </w:r>
      <w:r w:rsidRPr="00B102F1">
        <w:rPr>
          <w:rFonts w:ascii="Book Antiqua" w:eastAsia="SimSun" w:hAnsi="Book Antiqua" w:cs="SimSun"/>
          <w:sz w:val="24"/>
          <w:szCs w:val="24"/>
          <w:lang w:val="en-US" w:eastAsia="zh-CN"/>
        </w:rPr>
        <w:t> 2016; </w:t>
      </w:r>
      <w:r w:rsidRPr="00B102F1">
        <w:rPr>
          <w:rFonts w:ascii="Book Antiqua" w:eastAsia="SimSun" w:hAnsi="Book Antiqua" w:cs="SimSun"/>
          <w:b/>
          <w:bCs/>
          <w:sz w:val="24"/>
          <w:szCs w:val="24"/>
          <w:lang w:val="en-US" w:eastAsia="zh-CN"/>
        </w:rPr>
        <w:t>48</w:t>
      </w:r>
      <w:r w:rsidRPr="00B102F1">
        <w:rPr>
          <w:rFonts w:ascii="Book Antiqua" w:eastAsia="SimSun" w:hAnsi="Book Antiqua" w:cs="SimSun"/>
          <w:sz w:val="24"/>
          <w:szCs w:val="24"/>
          <w:lang w:val="en-US" w:eastAsia="zh-CN"/>
        </w:rPr>
        <w:t>: 432-439 [PMID: 26808393 DOI: 10.1055/s-0041-110792]</w:t>
      </w:r>
    </w:p>
    <w:p w14:paraId="25A1F96C"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5 </w:t>
      </w:r>
      <w:r w:rsidRPr="00B102F1">
        <w:rPr>
          <w:rFonts w:ascii="Book Antiqua" w:eastAsia="SimSun" w:hAnsi="Book Antiqua" w:cs="SimSun"/>
          <w:b/>
          <w:bCs/>
          <w:sz w:val="24"/>
          <w:szCs w:val="24"/>
          <w:lang w:val="en-US" w:eastAsia="zh-CN"/>
        </w:rPr>
        <w:t>Boyd S</w:t>
      </w:r>
      <w:r w:rsidRPr="00B102F1">
        <w:rPr>
          <w:rFonts w:ascii="Book Antiqua" w:eastAsia="SimSun" w:hAnsi="Book Antiqua" w:cs="SimSun"/>
          <w:sz w:val="24"/>
          <w:szCs w:val="24"/>
          <w:lang w:val="en-US" w:eastAsia="zh-CN"/>
        </w:rPr>
        <w:t>, Mustonen H, Tenca A, Jokelainen K, Arola J, Färkkilä MA. Surveillance of primary sclerosing cholangitis with ERC and brush cytology: risk factors for cholangiocarcinoma. </w:t>
      </w:r>
      <w:r w:rsidRPr="00B102F1">
        <w:rPr>
          <w:rFonts w:ascii="Book Antiqua" w:eastAsia="SimSun" w:hAnsi="Book Antiqua" w:cs="SimSun"/>
          <w:i/>
          <w:iCs/>
          <w:sz w:val="24"/>
          <w:szCs w:val="24"/>
          <w:lang w:val="en-US" w:eastAsia="zh-CN"/>
        </w:rPr>
        <w:t>Scand J Gastroenterol</w:t>
      </w:r>
      <w:r w:rsidRPr="00B102F1">
        <w:rPr>
          <w:rFonts w:ascii="Book Antiqua" w:eastAsia="SimSun" w:hAnsi="Book Antiqua" w:cs="SimSun"/>
          <w:sz w:val="24"/>
          <w:szCs w:val="24"/>
          <w:lang w:val="en-US" w:eastAsia="zh-CN"/>
        </w:rPr>
        <w:t> 2017; </w:t>
      </w:r>
      <w:r w:rsidRPr="00B102F1">
        <w:rPr>
          <w:rFonts w:ascii="Book Antiqua" w:eastAsia="SimSun" w:hAnsi="Book Antiqua" w:cs="SimSun"/>
          <w:b/>
          <w:bCs/>
          <w:sz w:val="24"/>
          <w:szCs w:val="24"/>
          <w:lang w:val="en-US" w:eastAsia="zh-CN"/>
        </w:rPr>
        <w:t>52</w:t>
      </w:r>
      <w:r w:rsidRPr="00B102F1">
        <w:rPr>
          <w:rFonts w:ascii="Book Antiqua" w:eastAsia="SimSun" w:hAnsi="Book Antiqua" w:cs="SimSun"/>
          <w:sz w:val="24"/>
          <w:szCs w:val="24"/>
          <w:lang w:val="en-US" w:eastAsia="zh-CN"/>
        </w:rPr>
        <w:t>: 242-249 [PMID: 27806633 DOI: 10.1080/00365521.2016.1250281]</w:t>
      </w:r>
    </w:p>
    <w:p w14:paraId="51EA6C04"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6 </w:t>
      </w:r>
      <w:r w:rsidRPr="00B102F1">
        <w:rPr>
          <w:rFonts w:ascii="Book Antiqua" w:eastAsia="SimSun" w:hAnsi="Book Antiqua" w:cs="SimSun"/>
          <w:b/>
          <w:bCs/>
          <w:sz w:val="24"/>
          <w:szCs w:val="24"/>
          <w:lang w:val="en-US" w:eastAsia="zh-CN"/>
        </w:rPr>
        <w:t>Rosen CB</w:t>
      </w:r>
      <w:r w:rsidRPr="00B102F1">
        <w:rPr>
          <w:rFonts w:ascii="Book Antiqua" w:eastAsia="SimSun" w:hAnsi="Book Antiqua" w:cs="SimSun"/>
          <w:sz w:val="24"/>
          <w:szCs w:val="24"/>
          <w:lang w:val="en-US" w:eastAsia="zh-CN"/>
        </w:rPr>
        <w:t>, Darwish Murad S, Heimbach JK, Nyberg SL, Nagorney DM, Gores GJ. Neoadjuvant therapy and liver transplantation for hilar cholangiocarcinoma: is pretreatment pathological confirmation of diagnosis necessary? </w:t>
      </w:r>
      <w:r w:rsidRPr="00B102F1">
        <w:rPr>
          <w:rFonts w:ascii="Book Antiqua" w:eastAsia="SimSun" w:hAnsi="Book Antiqua" w:cs="SimSun"/>
          <w:i/>
          <w:iCs/>
          <w:sz w:val="24"/>
          <w:szCs w:val="24"/>
          <w:lang w:val="en-US" w:eastAsia="zh-CN"/>
        </w:rPr>
        <w:t>J Am Coll Surg</w:t>
      </w:r>
      <w:r w:rsidRPr="00B102F1">
        <w:rPr>
          <w:rFonts w:ascii="Book Antiqua" w:eastAsia="SimSun" w:hAnsi="Book Antiqua" w:cs="SimSun"/>
          <w:sz w:val="24"/>
          <w:szCs w:val="24"/>
          <w:lang w:val="en-US" w:eastAsia="zh-CN"/>
        </w:rPr>
        <w:t>2012; </w:t>
      </w:r>
      <w:r w:rsidRPr="00B102F1">
        <w:rPr>
          <w:rFonts w:ascii="Book Antiqua" w:eastAsia="SimSun" w:hAnsi="Book Antiqua" w:cs="SimSun"/>
          <w:b/>
          <w:bCs/>
          <w:sz w:val="24"/>
          <w:szCs w:val="24"/>
          <w:lang w:val="en-US" w:eastAsia="zh-CN"/>
        </w:rPr>
        <w:t>215</w:t>
      </w:r>
      <w:r w:rsidRPr="00B102F1">
        <w:rPr>
          <w:rFonts w:ascii="Book Antiqua" w:eastAsia="SimSun" w:hAnsi="Book Antiqua" w:cs="SimSun"/>
          <w:sz w:val="24"/>
          <w:szCs w:val="24"/>
          <w:lang w:val="en-US" w:eastAsia="zh-CN"/>
        </w:rPr>
        <w:t>: 31-</w:t>
      </w:r>
      <w:r w:rsidRPr="00B102F1">
        <w:rPr>
          <w:rFonts w:ascii="Book Antiqua" w:eastAsia="SimSun" w:hAnsi="Book Antiqua" w:cs="SimSun" w:hint="eastAsia"/>
          <w:sz w:val="24"/>
          <w:szCs w:val="24"/>
          <w:lang w:val="en-US" w:eastAsia="zh-CN"/>
        </w:rPr>
        <w:t>3</w:t>
      </w:r>
      <w:r w:rsidRPr="00B102F1">
        <w:rPr>
          <w:rFonts w:ascii="Book Antiqua" w:eastAsia="SimSun" w:hAnsi="Book Antiqua" w:cs="SimSun"/>
          <w:sz w:val="24"/>
          <w:szCs w:val="24"/>
          <w:lang w:val="en-US" w:eastAsia="zh-CN"/>
        </w:rPr>
        <w:t>8; discussion 38-40 [PMID: 22621893 DOI: 10.1016/j.jamcollsurg.2012.03.014]</w:t>
      </w:r>
    </w:p>
    <w:p w14:paraId="293EAFBE"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7 </w:t>
      </w:r>
      <w:r w:rsidRPr="00B102F1">
        <w:rPr>
          <w:rFonts w:ascii="Book Antiqua" w:eastAsia="SimSun" w:hAnsi="Book Antiqua" w:cs="SimSun"/>
          <w:b/>
          <w:bCs/>
          <w:sz w:val="24"/>
          <w:szCs w:val="24"/>
          <w:lang w:val="en-US" w:eastAsia="zh-CN"/>
        </w:rPr>
        <w:t>Halme L</w:t>
      </w:r>
      <w:r w:rsidRPr="00B102F1">
        <w:rPr>
          <w:rFonts w:ascii="Book Antiqua" w:eastAsia="SimSun" w:hAnsi="Book Antiqua" w:cs="SimSun"/>
          <w:sz w:val="24"/>
          <w:szCs w:val="24"/>
          <w:lang w:val="en-US" w:eastAsia="zh-CN"/>
        </w:rPr>
        <w:t>, Arola J, Numminen K, Krogerus L, Mäkisalo H, Färkkilä M. Biliary dysplasia in patients with primary sclerosing cholangitis: additional value of DNA ploidity. </w:t>
      </w:r>
      <w:r w:rsidRPr="00B102F1">
        <w:rPr>
          <w:rFonts w:ascii="Book Antiqua" w:eastAsia="SimSun" w:hAnsi="Book Antiqua" w:cs="SimSun"/>
          <w:i/>
          <w:iCs/>
          <w:sz w:val="24"/>
          <w:szCs w:val="24"/>
          <w:lang w:val="en-US" w:eastAsia="zh-CN"/>
        </w:rPr>
        <w:t>Liver Int</w:t>
      </w:r>
      <w:r w:rsidRPr="00B102F1">
        <w:rPr>
          <w:rFonts w:ascii="Book Antiqua" w:eastAsia="SimSun" w:hAnsi="Book Antiqua" w:cs="SimSun"/>
          <w:sz w:val="24"/>
          <w:szCs w:val="24"/>
          <w:lang w:val="en-US" w:eastAsia="zh-CN"/>
        </w:rPr>
        <w:t> 2012; </w:t>
      </w:r>
      <w:r w:rsidRPr="00B102F1">
        <w:rPr>
          <w:rFonts w:ascii="Book Antiqua" w:eastAsia="SimSun" w:hAnsi="Book Antiqua" w:cs="SimSun"/>
          <w:b/>
          <w:bCs/>
          <w:sz w:val="24"/>
          <w:szCs w:val="24"/>
          <w:lang w:val="en-US" w:eastAsia="zh-CN"/>
        </w:rPr>
        <w:t>32</w:t>
      </w:r>
      <w:r w:rsidRPr="00B102F1">
        <w:rPr>
          <w:rFonts w:ascii="Book Antiqua" w:eastAsia="SimSun" w:hAnsi="Book Antiqua" w:cs="SimSun"/>
          <w:sz w:val="24"/>
          <w:szCs w:val="24"/>
          <w:lang w:val="en-US" w:eastAsia="zh-CN"/>
        </w:rPr>
        <w:t>: 783-789 [PMID: 22098817 DOI: 10.1111/j.1478-3231.2011.02672.x]</w:t>
      </w:r>
    </w:p>
    <w:p w14:paraId="64E8E124"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8 </w:t>
      </w:r>
      <w:r w:rsidRPr="00B102F1">
        <w:rPr>
          <w:rFonts w:ascii="Book Antiqua" w:eastAsia="SimSun" w:hAnsi="Book Antiqua" w:cs="SimSun"/>
          <w:b/>
          <w:bCs/>
          <w:sz w:val="24"/>
          <w:szCs w:val="24"/>
          <w:lang w:val="en-US" w:eastAsia="zh-CN"/>
        </w:rPr>
        <w:t>Bedossa P</w:t>
      </w:r>
      <w:r w:rsidRPr="00B102F1">
        <w:rPr>
          <w:rFonts w:ascii="Book Antiqua" w:eastAsia="SimSun" w:hAnsi="Book Antiqua" w:cs="SimSun"/>
          <w:sz w:val="24"/>
          <w:szCs w:val="24"/>
          <w:lang w:val="en-US" w:eastAsia="zh-CN"/>
        </w:rPr>
        <w:t>, Poynard T. An algorithm for the grading of activity in chronic hepatitis C. The METAVIR Cooperative Study Group. </w:t>
      </w:r>
      <w:r w:rsidRPr="00B102F1">
        <w:rPr>
          <w:rFonts w:ascii="Book Antiqua" w:eastAsia="SimSun" w:hAnsi="Book Antiqua" w:cs="SimSun"/>
          <w:i/>
          <w:iCs/>
          <w:sz w:val="24"/>
          <w:szCs w:val="24"/>
          <w:lang w:val="en-US" w:eastAsia="zh-CN"/>
        </w:rPr>
        <w:t>Hepatology</w:t>
      </w:r>
      <w:r w:rsidRPr="00B102F1">
        <w:rPr>
          <w:rFonts w:ascii="Book Antiqua" w:eastAsia="SimSun" w:hAnsi="Book Antiqua" w:cs="SimSun"/>
          <w:sz w:val="24"/>
          <w:szCs w:val="24"/>
          <w:lang w:val="en-US" w:eastAsia="zh-CN"/>
        </w:rPr>
        <w:t> 1996; </w:t>
      </w:r>
      <w:r w:rsidRPr="00B102F1">
        <w:rPr>
          <w:rFonts w:ascii="Book Antiqua" w:eastAsia="SimSun" w:hAnsi="Book Antiqua" w:cs="SimSun"/>
          <w:b/>
          <w:bCs/>
          <w:sz w:val="24"/>
          <w:szCs w:val="24"/>
          <w:lang w:val="en-US" w:eastAsia="zh-CN"/>
        </w:rPr>
        <w:t>24</w:t>
      </w:r>
      <w:r w:rsidRPr="00B102F1">
        <w:rPr>
          <w:rFonts w:ascii="Book Antiqua" w:eastAsia="SimSun" w:hAnsi="Book Antiqua" w:cs="SimSun"/>
          <w:sz w:val="24"/>
          <w:szCs w:val="24"/>
          <w:lang w:val="en-US" w:eastAsia="zh-CN"/>
        </w:rPr>
        <w:t>: 289-293 [PMID: 8690394 DOI: 10.1002/hep.510240201]</w:t>
      </w:r>
    </w:p>
    <w:p w14:paraId="5512091B"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9 </w:t>
      </w:r>
      <w:r w:rsidRPr="00B102F1">
        <w:rPr>
          <w:rFonts w:ascii="Book Antiqua" w:eastAsia="SimSun" w:hAnsi="Book Antiqua" w:cs="SimSun"/>
          <w:b/>
          <w:bCs/>
          <w:sz w:val="24"/>
          <w:szCs w:val="24"/>
          <w:lang w:val="en-US" w:eastAsia="zh-CN"/>
        </w:rPr>
        <w:t>Trikudanathan G</w:t>
      </w:r>
      <w:r w:rsidRPr="00B102F1">
        <w:rPr>
          <w:rFonts w:ascii="Book Antiqua" w:eastAsia="SimSun" w:hAnsi="Book Antiqua" w:cs="SimSun"/>
          <w:sz w:val="24"/>
          <w:szCs w:val="24"/>
          <w:lang w:val="en-US" w:eastAsia="zh-CN"/>
        </w:rPr>
        <w:t xml:space="preserve">, Navaneethan U, Njei B, Vargo JJ, Parsi MA. Diagnostic yield of bile duct brushings for cholangiocarcinoma in primary sclerosing cholangitis: a systematic </w:t>
      </w:r>
      <w:r w:rsidRPr="00B102F1">
        <w:rPr>
          <w:rFonts w:ascii="Book Antiqua" w:eastAsia="SimSun" w:hAnsi="Book Antiqua" w:cs="SimSun"/>
          <w:sz w:val="24"/>
          <w:szCs w:val="24"/>
          <w:lang w:val="en-US" w:eastAsia="zh-CN"/>
        </w:rPr>
        <w:lastRenderedPageBreak/>
        <w:t>review and meta-analysis. </w:t>
      </w:r>
      <w:r w:rsidRPr="00B102F1">
        <w:rPr>
          <w:rFonts w:ascii="Book Antiqua" w:eastAsia="SimSun" w:hAnsi="Book Antiqua" w:cs="SimSun"/>
          <w:i/>
          <w:iCs/>
          <w:sz w:val="24"/>
          <w:szCs w:val="24"/>
          <w:lang w:val="en-US" w:eastAsia="zh-CN"/>
        </w:rPr>
        <w:t>Gastrointest Endosc</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2014; </w:t>
      </w:r>
      <w:r w:rsidRPr="00B102F1">
        <w:rPr>
          <w:rFonts w:ascii="Book Antiqua" w:eastAsia="SimSun" w:hAnsi="Book Antiqua" w:cs="SimSun"/>
          <w:b/>
          <w:bCs/>
          <w:sz w:val="24"/>
          <w:szCs w:val="24"/>
          <w:lang w:val="en-US" w:eastAsia="zh-CN"/>
        </w:rPr>
        <w:t>79</w:t>
      </w:r>
      <w:r w:rsidRPr="00B102F1">
        <w:rPr>
          <w:rFonts w:ascii="Book Antiqua" w:eastAsia="SimSun" w:hAnsi="Book Antiqua" w:cs="SimSun"/>
          <w:sz w:val="24"/>
          <w:szCs w:val="24"/>
          <w:lang w:val="en-US" w:eastAsia="zh-CN"/>
        </w:rPr>
        <w:t>: 783-789 [PMID: 24140129 DOI: 10.1016/j.gie.2013.09.015]</w:t>
      </w:r>
    </w:p>
    <w:p w14:paraId="2FF42148"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10 </w:t>
      </w:r>
      <w:r w:rsidRPr="00B102F1">
        <w:rPr>
          <w:rFonts w:ascii="Book Antiqua" w:eastAsia="SimSun" w:hAnsi="Book Antiqua" w:cs="SimSun"/>
          <w:b/>
          <w:bCs/>
          <w:sz w:val="24"/>
          <w:szCs w:val="24"/>
          <w:lang w:val="en-US" w:eastAsia="zh-CN"/>
        </w:rPr>
        <w:t>Boberg KM</w:t>
      </w:r>
      <w:r w:rsidRPr="00B102F1">
        <w:rPr>
          <w:rFonts w:ascii="Book Antiqua" w:eastAsia="SimSun" w:hAnsi="Book Antiqua" w:cs="SimSun"/>
          <w:sz w:val="24"/>
          <w:szCs w:val="24"/>
          <w:lang w:val="en-US" w:eastAsia="zh-CN"/>
        </w:rPr>
        <w:t>, Jebsen P, Clausen OP, Foss A, Aabakken L, Schrumpf E. Diagnostic benefit of biliary brush cytology in cholangiocarcinoma in primary sclerosing cholangitis. </w:t>
      </w:r>
      <w:r w:rsidRPr="00B102F1">
        <w:rPr>
          <w:rFonts w:ascii="Book Antiqua" w:eastAsia="SimSun" w:hAnsi="Book Antiqua" w:cs="SimSun"/>
          <w:i/>
          <w:iCs/>
          <w:sz w:val="24"/>
          <w:szCs w:val="24"/>
          <w:lang w:val="en-US" w:eastAsia="zh-CN"/>
        </w:rPr>
        <w:t>J Hepatol</w:t>
      </w:r>
      <w:r w:rsidRPr="00B102F1">
        <w:rPr>
          <w:rFonts w:ascii="Book Antiqua" w:eastAsia="SimSun" w:hAnsi="Book Antiqua" w:cs="SimSun"/>
          <w:sz w:val="24"/>
          <w:szCs w:val="24"/>
          <w:lang w:val="en-US" w:eastAsia="zh-CN"/>
        </w:rPr>
        <w:t> 2006; </w:t>
      </w:r>
      <w:r w:rsidRPr="00B102F1">
        <w:rPr>
          <w:rFonts w:ascii="Book Antiqua" w:eastAsia="SimSun" w:hAnsi="Book Antiqua" w:cs="SimSun"/>
          <w:b/>
          <w:bCs/>
          <w:sz w:val="24"/>
          <w:szCs w:val="24"/>
          <w:lang w:val="en-US" w:eastAsia="zh-CN"/>
        </w:rPr>
        <w:t>45</w:t>
      </w:r>
      <w:r w:rsidRPr="00B102F1">
        <w:rPr>
          <w:rFonts w:ascii="Book Antiqua" w:eastAsia="SimSun" w:hAnsi="Book Antiqua" w:cs="SimSun"/>
          <w:sz w:val="24"/>
          <w:szCs w:val="24"/>
          <w:lang w:val="en-US" w:eastAsia="zh-CN"/>
        </w:rPr>
        <w:t>: 568-574 [PMID: 16879890 DOI: 10.1016/j.jhep.2006.05.010]</w:t>
      </w:r>
    </w:p>
    <w:p w14:paraId="43ADA424"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11 </w:t>
      </w:r>
      <w:r w:rsidRPr="00B102F1">
        <w:rPr>
          <w:rFonts w:ascii="Book Antiqua" w:eastAsia="SimSun" w:hAnsi="Book Antiqua" w:cs="SimSun"/>
          <w:b/>
          <w:bCs/>
          <w:sz w:val="24"/>
          <w:szCs w:val="24"/>
          <w:lang w:val="en-US" w:eastAsia="zh-CN"/>
        </w:rPr>
        <w:t>Lindberg B</w:t>
      </w:r>
      <w:r w:rsidRPr="00B102F1">
        <w:rPr>
          <w:rFonts w:ascii="Book Antiqua" w:eastAsia="SimSun" w:hAnsi="Book Antiqua" w:cs="SimSun"/>
          <w:sz w:val="24"/>
          <w:szCs w:val="24"/>
          <w:lang w:val="en-US" w:eastAsia="zh-CN"/>
        </w:rPr>
        <w:t>, Arnelo U, Bergquist A, Thörne A, Hjerpe A, Granqvist S, Hansson LO, Tribukait B, Persson B, Broomé U. Diagnosis of biliary strictures in conjunction with endoscopic retrograde cholangiopancreaticography, with special reference to patients with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Endoscopy</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2002; </w:t>
      </w:r>
      <w:r w:rsidRPr="00B102F1">
        <w:rPr>
          <w:rFonts w:ascii="Book Antiqua" w:eastAsia="SimSun" w:hAnsi="Book Antiqua" w:cs="SimSun"/>
          <w:b/>
          <w:bCs/>
          <w:sz w:val="24"/>
          <w:szCs w:val="24"/>
          <w:lang w:val="en-US" w:eastAsia="zh-CN"/>
        </w:rPr>
        <w:t>34</w:t>
      </w:r>
      <w:r w:rsidRPr="00B102F1">
        <w:rPr>
          <w:rFonts w:ascii="Book Antiqua" w:eastAsia="SimSun" w:hAnsi="Book Antiqua" w:cs="SimSun"/>
          <w:sz w:val="24"/>
          <w:szCs w:val="24"/>
          <w:lang w:val="en-US" w:eastAsia="zh-CN"/>
        </w:rPr>
        <w:t>: 909-916 [PMID: 12430077 DOI: 10.1055/s-2002-35298]</w:t>
      </w:r>
    </w:p>
    <w:p w14:paraId="777EE2E0"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12 </w:t>
      </w:r>
      <w:r w:rsidRPr="00B102F1">
        <w:rPr>
          <w:rFonts w:ascii="Book Antiqua" w:eastAsia="SimSun" w:hAnsi="Book Antiqua" w:cs="SimSun"/>
          <w:b/>
          <w:bCs/>
          <w:sz w:val="24"/>
          <w:szCs w:val="24"/>
          <w:lang w:val="en-US" w:eastAsia="zh-CN"/>
        </w:rPr>
        <w:t>Timmer MR</w:t>
      </w:r>
      <w:r w:rsidRPr="00B102F1">
        <w:rPr>
          <w:rFonts w:ascii="Book Antiqua" w:eastAsia="SimSun" w:hAnsi="Book Antiqua" w:cs="SimSun"/>
          <w:sz w:val="24"/>
          <w:szCs w:val="24"/>
          <w:lang w:val="en-US" w:eastAsia="zh-CN"/>
        </w:rPr>
        <w:t>, Lau CT, Meijer SL, Fockens P, Rauws EA, Ponsioen CY, Calpe S, Krishnadath KK. Genetic Abnormalities in Biliary Brush Samples for Distinguishing Cholangiocarcinoma from Benign Strictures in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Gastroenterol Res Pract</w:t>
      </w:r>
      <w:r w:rsidRPr="00B102F1">
        <w:rPr>
          <w:rFonts w:ascii="Book Antiqua" w:eastAsia="SimSun" w:hAnsi="Book Antiqua" w:cs="SimSun"/>
          <w:sz w:val="24"/>
          <w:szCs w:val="24"/>
          <w:lang w:val="en-US" w:eastAsia="zh-CN"/>
        </w:rPr>
        <w:t> 2016; </w:t>
      </w:r>
      <w:r w:rsidRPr="00B102F1">
        <w:rPr>
          <w:rFonts w:ascii="Book Antiqua" w:eastAsia="SimSun" w:hAnsi="Book Antiqua" w:cs="SimSun"/>
          <w:b/>
          <w:bCs/>
          <w:sz w:val="24"/>
          <w:szCs w:val="24"/>
          <w:lang w:val="en-US" w:eastAsia="zh-CN"/>
        </w:rPr>
        <w:t>2016</w:t>
      </w:r>
      <w:r w:rsidRPr="00B102F1">
        <w:rPr>
          <w:rFonts w:ascii="Book Antiqua" w:eastAsia="SimSun" w:hAnsi="Book Antiqua" w:cs="SimSun"/>
          <w:sz w:val="24"/>
          <w:szCs w:val="24"/>
          <w:lang w:val="en-US" w:eastAsia="zh-CN"/>
        </w:rPr>
        <w:t>: 4381513 [PMID: 27127503 DOI: 10.1155/2016/4381513]</w:t>
      </w:r>
    </w:p>
    <w:p w14:paraId="59D2977F"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13 </w:t>
      </w:r>
      <w:r w:rsidRPr="00B102F1">
        <w:rPr>
          <w:rFonts w:ascii="Book Antiqua" w:eastAsia="SimSun" w:hAnsi="Book Antiqua" w:cs="SimSun"/>
          <w:b/>
          <w:bCs/>
          <w:sz w:val="24"/>
          <w:szCs w:val="24"/>
          <w:lang w:val="en-US" w:eastAsia="zh-CN"/>
        </w:rPr>
        <w:t>Kerr SE</w:t>
      </w:r>
      <w:r w:rsidRPr="00B102F1">
        <w:rPr>
          <w:rFonts w:ascii="Book Antiqua" w:eastAsia="SimSun" w:hAnsi="Book Antiqua" w:cs="SimSun"/>
          <w:sz w:val="24"/>
          <w:szCs w:val="24"/>
          <w:lang w:val="en-US" w:eastAsia="zh-CN"/>
        </w:rPr>
        <w:t>, Barr Fritcher EG, Campion MB, Voss JS, Kipp BR, Halling KC, Lewis JT. Biliary dysplasia in primary sclerosing cholangitis harbors cytogenetic abnormalities similar to cholangiocarcinoma. </w:t>
      </w:r>
      <w:r w:rsidRPr="00B102F1">
        <w:rPr>
          <w:rFonts w:ascii="Book Antiqua" w:eastAsia="SimSun" w:hAnsi="Book Antiqua" w:cs="SimSun"/>
          <w:i/>
          <w:iCs/>
          <w:sz w:val="24"/>
          <w:szCs w:val="24"/>
          <w:lang w:val="en-US" w:eastAsia="zh-CN"/>
        </w:rPr>
        <w:t>Hum Pathol</w:t>
      </w:r>
      <w:r w:rsidRPr="00B102F1">
        <w:rPr>
          <w:rFonts w:ascii="Book Antiqua" w:eastAsia="SimSun" w:hAnsi="Book Antiqua" w:cs="SimSun"/>
          <w:sz w:val="24"/>
          <w:szCs w:val="24"/>
          <w:lang w:val="en-US" w:eastAsia="zh-CN"/>
        </w:rPr>
        <w:t> 2014; </w:t>
      </w:r>
      <w:r w:rsidRPr="00B102F1">
        <w:rPr>
          <w:rFonts w:ascii="Book Antiqua" w:eastAsia="SimSun" w:hAnsi="Book Antiqua" w:cs="SimSun"/>
          <w:b/>
          <w:bCs/>
          <w:sz w:val="24"/>
          <w:szCs w:val="24"/>
          <w:lang w:val="en-US" w:eastAsia="zh-CN"/>
        </w:rPr>
        <w:t>45</w:t>
      </w:r>
      <w:r w:rsidRPr="00B102F1">
        <w:rPr>
          <w:rFonts w:ascii="Book Antiqua" w:eastAsia="SimSun" w:hAnsi="Book Antiqua" w:cs="SimSun"/>
          <w:sz w:val="24"/>
          <w:szCs w:val="24"/>
          <w:lang w:val="en-US" w:eastAsia="zh-CN"/>
        </w:rPr>
        <w:t>: 1797-1804 [PMID: 25027853 DOI: 10.1016/j.humpath.2014.05.008]</w:t>
      </w:r>
    </w:p>
    <w:p w14:paraId="7F0AC12B"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14 </w:t>
      </w:r>
      <w:r w:rsidRPr="00B102F1">
        <w:rPr>
          <w:rFonts w:ascii="Book Antiqua" w:eastAsia="SimSun" w:hAnsi="Book Antiqua" w:cs="SimSun"/>
          <w:b/>
          <w:bCs/>
          <w:sz w:val="24"/>
          <w:szCs w:val="24"/>
          <w:lang w:val="en-US" w:eastAsia="zh-CN"/>
        </w:rPr>
        <w:t>Sinakos E</w:t>
      </w:r>
      <w:r w:rsidRPr="00B102F1">
        <w:rPr>
          <w:rFonts w:ascii="Book Antiqua" w:eastAsia="SimSun" w:hAnsi="Book Antiqua" w:cs="SimSun"/>
          <w:sz w:val="24"/>
          <w:szCs w:val="24"/>
          <w:lang w:val="en-US" w:eastAsia="zh-CN"/>
        </w:rPr>
        <w:t>, Saenger AK, Keach J, Kim WR, Lindor KD. Many patients with primary sclerosing cholangitis and increased serum levels of carbohydrate antigen 19-9 do not have cholangiocarcinoma. </w:t>
      </w:r>
      <w:r w:rsidRPr="00B102F1">
        <w:rPr>
          <w:rFonts w:ascii="Book Antiqua" w:eastAsia="SimSun" w:hAnsi="Book Antiqua" w:cs="SimSun"/>
          <w:i/>
          <w:iCs/>
          <w:sz w:val="24"/>
          <w:szCs w:val="24"/>
          <w:lang w:val="en-US" w:eastAsia="zh-CN"/>
        </w:rPr>
        <w:t>Clin Gastroenterol Hepatol</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2011;</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b/>
          <w:bCs/>
          <w:sz w:val="24"/>
          <w:szCs w:val="24"/>
          <w:lang w:val="en-US" w:eastAsia="zh-CN"/>
        </w:rPr>
        <w:t>9</w:t>
      </w:r>
      <w:r w:rsidRPr="00B102F1">
        <w:rPr>
          <w:rFonts w:ascii="Book Antiqua" w:eastAsia="SimSun" w:hAnsi="Book Antiqua" w:cs="SimSun"/>
          <w:sz w:val="24"/>
          <w:szCs w:val="24"/>
          <w:lang w:val="en-US" w:eastAsia="zh-CN"/>
        </w:rPr>
        <w:t>: 434-</w:t>
      </w:r>
      <w:r w:rsidRPr="00B102F1">
        <w:rPr>
          <w:rFonts w:ascii="Book Antiqua" w:eastAsia="SimSun" w:hAnsi="Book Antiqua" w:cs="SimSun" w:hint="eastAsia"/>
          <w:sz w:val="24"/>
          <w:szCs w:val="24"/>
          <w:lang w:val="en-US" w:eastAsia="zh-CN"/>
        </w:rPr>
        <w:t>43</w:t>
      </w:r>
      <w:r w:rsidRPr="00B102F1">
        <w:rPr>
          <w:rFonts w:ascii="Book Antiqua" w:eastAsia="SimSun" w:hAnsi="Book Antiqua" w:cs="SimSun"/>
          <w:sz w:val="24"/>
          <w:szCs w:val="24"/>
          <w:lang w:val="en-US" w:eastAsia="zh-CN"/>
        </w:rPr>
        <w:t>9.e1 [PMID: 21334457 DOI: 10.1016/j.cgh.2011.02.007]</w:t>
      </w:r>
    </w:p>
    <w:p w14:paraId="5AA18D40"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15 </w:t>
      </w:r>
      <w:r w:rsidRPr="00B102F1">
        <w:rPr>
          <w:rFonts w:ascii="Book Antiqua" w:eastAsia="SimSun" w:hAnsi="Book Antiqua" w:cs="SimSun"/>
          <w:b/>
          <w:bCs/>
          <w:sz w:val="24"/>
          <w:szCs w:val="24"/>
          <w:lang w:val="en-US" w:eastAsia="zh-CN"/>
        </w:rPr>
        <w:t>Venkatesh PG</w:t>
      </w:r>
      <w:r w:rsidRPr="00B102F1">
        <w:rPr>
          <w:rFonts w:ascii="Book Antiqua" w:eastAsia="SimSun" w:hAnsi="Book Antiqua" w:cs="SimSun"/>
          <w:sz w:val="24"/>
          <w:szCs w:val="24"/>
          <w:lang w:val="en-US" w:eastAsia="zh-CN"/>
        </w:rPr>
        <w:t>, Navaneethan U, Shen B, McCullough AJ. Increased serum levels of carbohydrate antigen 19-9 and outcomes in primary sclerosing cholangitis patients without cholangiocarcinoma. </w:t>
      </w:r>
      <w:r w:rsidRPr="00B102F1">
        <w:rPr>
          <w:rFonts w:ascii="Book Antiqua" w:eastAsia="SimSun" w:hAnsi="Book Antiqua" w:cs="SimSun"/>
          <w:i/>
          <w:iCs/>
          <w:sz w:val="24"/>
          <w:szCs w:val="24"/>
          <w:lang w:val="en-US" w:eastAsia="zh-CN"/>
        </w:rPr>
        <w:t>Dig Dis Sci</w:t>
      </w:r>
      <w:r w:rsidRPr="00B102F1">
        <w:rPr>
          <w:rFonts w:ascii="Book Antiqua" w:eastAsia="SimSun" w:hAnsi="Book Antiqua" w:cs="SimSun"/>
          <w:sz w:val="24"/>
          <w:szCs w:val="24"/>
          <w:lang w:val="en-US" w:eastAsia="zh-CN"/>
        </w:rPr>
        <w:t> 2013; </w:t>
      </w:r>
      <w:r w:rsidRPr="00B102F1">
        <w:rPr>
          <w:rFonts w:ascii="Book Antiqua" w:eastAsia="SimSun" w:hAnsi="Book Antiqua" w:cs="SimSun"/>
          <w:b/>
          <w:bCs/>
          <w:sz w:val="24"/>
          <w:szCs w:val="24"/>
          <w:lang w:val="en-US" w:eastAsia="zh-CN"/>
        </w:rPr>
        <w:t>58</w:t>
      </w:r>
      <w:r w:rsidRPr="00B102F1">
        <w:rPr>
          <w:rFonts w:ascii="Book Antiqua" w:eastAsia="SimSun" w:hAnsi="Book Antiqua" w:cs="SimSun"/>
          <w:sz w:val="24"/>
          <w:szCs w:val="24"/>
          <w:lang w:val="en-US" w:eastAsia="zh-CN"/>
        </w:rPr>
        <w:t>: 850-857 [PMID: 23007734 DOI: 10.1007/s10620-012-2401-3]</w:t>
      </w:r>
    </w:p>
    <w:p w14:paraId="02B4A90B"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16 </w:t>
      </w:r>
      <w:r w:rsidRPr="00B102F1">
        <w:rPr>
          <w:rFonts w:ascii="Book Antiqua" w:eastAsia="SimSun" w:hAnsi="Book Antiqua" w:cs="SimSun"/>
          <w:b/>
          <w:bCs/>
          <w:sz w:val="24"/>
          <w:szCs w:val="24"/>
          <w:lang w:val="en-US" w:eastAsia="zh-CN"/>
        </w:rPr>
        <w:t>Chapman R</w:t>
      </w:r>
      <w:r w:rsidRPr="00B102F1">
        <w:rPr>
          <w:rFonts w:ascii="Book Antiqua" w:eastAsia="SimSun" w:hAnsi="Book Antiqua" w:cs="SimSun"/>
          <w:sz w:val="24"/>
          <w:szCs w:val="24"/>
          <w:lang w:val="en-US" w:eastAsia="zh-CN"/>
        </w:rPr>
        <w:t>, Fevery J, Kalloo A, Nagorney DM, Boberg KM, Shneider B, Gores GJ; American Association for the Study of Liver Diseases. Diagnosis and management of primary sclerosing cholangitis. </w:t>
      </w:r>
      <w:r w:rsidRPr="00B102F1">
        <w:rPr>
          <w:rFonts w:ascii="Book Antiqua" w:eastAsia="SimSun" w:hAnsi="Book Antiqua" w:cs="SimSun"/>
          <w:i/>
          <w:iCs/>
          <w:sz w:val="24"/>
          <w:szCs w:val="24"/>
          <w:lang w:val="en-US" w:eastAsia="zh-CN"/>
        </w:rPr>
        <w:t>Hepatology</w:t>
      </w:r>
      <w:r w:rsidRPr="00B102F1">
        <w:rPr>
          <w:rFonts w:ascii="Book Antiqua" w:eastAsia="SimSun" w:hAnsi="Book Antiqua" w:cs="SimSun"/>
          <w:sz w:val="24"/>
          <w:szCs w:val="24"/>
          <w:lang w:val="en-US" w:eastAsia="zh-CN"/>
        </w:rPr>
        <w:t> 2010; </w:t>
      </w:r>
      <w:r w:rsidRPr="00B102F1">
        <w:rPr>
          <w:rFonts w:ascii="Book Antiqua" w:eastAsia="SimSun" w:hAnsi="Book Antiqua" w:cs="SimSun"/>
          <w:b/>
          <w:bCs/>
          <w:sz w:val="24"/>
          <w:szCs w:val="24"/>
          <w:lang w:val="en-US" w:eastAsia="zh-CN"/>
        </w:rPr>
        <w:t>51</w:t>
      </w:r>
      <w:r w:rsidRPr="00B102F1">
        <w:rPr>
          <w:rFonts w:ascii="Book Antiqua" w:eastAsia="SimSun" w:hAnsi="Book Antiqua" w:cs="SimSun"/>
          <w:sz w:val="24"/>
          <w:szCs w:val="24"/>
          <w:lang w:val="en-US" w:eastAsia="zh-CN"/>
        </w:rPr>
        <w:t>: 660-678 [PMID: 20101749 DOI: 10.1002/hep.23294]</w:t>
      </w:r>
    </w:p>
    <w:p w14:paraId="67C5C7D6"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lastRenderedPageBreak/>
        <w:t>17 </w:t>
      </w:r>
      <w:r w:rsidRPr="00B102F1">
        <w:rPr>
          <w:rFonts w:ascii="Book Antiqua" w:eastAsia="SimSun" w:hAnsi="Book Antiqua" w:cs="SimSun"/>
          <w:b/>
          <w:bCs/>
          <w:sz w:val="24"/>
          <w:szCs w:val="24"/>
          <w:lang w:val="en-US" w:eastAsia="zh-CN"/>
        </w:rPr>
        <w:t>Lindor KD</w:t>
      </w:r>
      <w:r w:rsidRPr="00B102F1">
        <w:rPr>
          <w:rFonts w:ascii="Book Antiqua" w:eastAsia="SimSun" w:hAnsi="Book Antiqua" w:cs="SimSun"/>
          <w:sz w:val="24"/>
          <w:szCs w:val="24"/>
          <w:lang w:val="en-US" w:eastAsia="zh-CN"/>
        </w:rPr>
        <w:t>, Kowdley KV, Harrison ME; American College of Gastroenterology. ACG Clinical Guideline: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Am J Gastroenterol</w:t>
      </w:r>
      <w:r w:rsidRPr="00B102F1">
        <w:rPr>
          <w:rFonts w:ascii="Book Antiqua" w:eastAsia="SimSun" w:hAnsi="Book Antiqua" w:cs="SimSun"/>
          <w:sz w:val="24"/>
          <w:szCs w:val="24"/>
          <w:lang w:val="en-US" w:eastAsia="zh-CN"/>
        </w:rPr>
        <w:t> 2015; </w:t>
      </w:r>
      <w:r w:rsidRPr="00B102F1">
        <w:rPr>
          <w:rFonts w:ascii="Book Antiqua" w:eastAsia="SimSun" w:hAnsi="Book Antiqua" w:cs="SimSun"/>
          <w:b/>
          <w:bCs/>
          <w:sz w:val="24"/>
          <w:szCs w:val="24"/>
          <w:lang w:val="en-US" w:eastAsia="zh-CN"/>
        </w:rPr>
        <w:t>110</w:t>
      </w:r>
      <w:r w:rsidRPr="00B102F1">
        <w:rPr>
          <w:rFonts w:ascii="Book Antiqua" w:eastAsia="SimSun" w:hAnsi="Book Antiqua" w:cs="SimSun"/>
          <w:sz w:val="24"/>
          <w:szCs w:val="24"/>
          <w:lang w:val="en-US" w:eastAsia="zh-CN"/>
        </w:rPr>
        <w:t>: 646-59; quiz 660 [PMID: 25869391 DOI: 10.1038/ajg.2015.112]</w:t>
      </w:r>
    </w:p>
    <w:p w14:paraId="29904978"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18 </w:t>
      </w:r>
      <w:r w:rsidRPr="00B102F1">
        <w:rPr>
          <w:rFonts w:ascii="Book Antiqua" w:eastAsia="SimSun" w:hAnsi="Book Antiqua" w:cs="SimSun"/>
          <w:b/>
          <w:bCs/>
          <w:sz w:val="24"/>
          <w:szCs w:val="24"/>
          <w:lang w:val="en-US" w:eastAsia="zh-CN"/>
        </w:rPr>
        <w:t>Duffy MJ</w:t>
      </w:r>
      <w:r w:rsidRPr="00B102F1">
        <w:rPr>
          <w:rFonts w:ascii="Book Antiqua" w:eastAsia="SimSun" w:hAnsi="Book Antiqua" w:cs="SimSun"/>
          <w:sz w:val="24"/>
          <w:szCs w:val="24"/>
          <w:lang w:val="en-US" w:eastAsia="zh-CN"/>
        </w:rPr>
        <w:t>, Sturgeon C, Lamerz R, Haglund C, Holubec VL, Klapdor R, Nicolini A, Topolcan O, Heinemann V. Tumor markers in pancreatic cancer: a European Group on Tumor Markers (EGTM) status report. </w:t>
      </w:r>
      <w:r w:rsidRPr="00B102F1">
        <w:rPr>
          <w:rFonts w:ascii="Book Antiqua" w:eastAsia="SimSun" w:hAnsi="Book Antiqua" w:cs="SimSun"/>
          <w:i/>
          <w:iCs/>
          <w:sz w:val="24"/>
          <w:szCs w:val="24"/>
          <w:lang w:val="en-US" w:eastAsia="zh-CN"/>
        </w:rPr>
        <w:t>Ann Oncol</w:t>
      </w:r>
      <w:r w:rsidRPr="00B102F1">
        <w:rPr>
          <w:rFonts w:ascii="Book Antiqua" w:eastAsia="SimSun" w:hAnsi="Book Antiqua" w:cs="SimSun"/>
          <w:sz w:val="24"/>
          <w:szCs w:val="24"/>
          <w:lang w:val="en-US" w:eastAsia="zh-CN"/>
        </w:rPr>
        <w:t> 2010; </w:t>
      </w:r>
      <w:r w:rsidRPr="00B102F1">
        <w:rPr>
          <w:rFonts w:ascii="Book Antiqua" w:eastAsia="SimSun" w:hAnsi="Book Antiqua" w:cs="SimSun"/>
          <w:b/>
          <w:bCs/>
          <w:sz w:val="24"/>
          <w:szCs w:val="24"/>
          <w:lang w:val="en-US" w:eastAsia="zh-CN"/>
        </w:rPr>
        <w:t>21</w:t>
      </w:r>
      <w:r w:rsidRPr="00B102F1">
        <w:rPr>
          <w:rFonts w:ascii="Book Antiqua" w:eastAsia="SimSun" w:hAnsi="Book Antiqua" w:cs="SimSun"/>
          <w:sz w:val="24"/>
          <w:szCs w:val="24"/>
          <w:lang w:val="en-US" w:eastAsia="zh-CN"/>
        </w:rPr>
        <w:t>: 441-447 [PMID: 19690057 DOI: 10.1093/annonc/mdp332]</w:t>
      </w:r>
    </w:p>
    <w:p w14:paraId="1F5F3A37"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19 </w:t>
      </w:r>
      <w:r w:rsidRPr="00B102F1">
        <w:rPr>
          <w:rFonts w:ascii="Book Antiqua" w:eastAsia="SimSun" w:hAnsi="Book Antiqua" w:cs="SimSun"/>
          <w:b/>
          <w:bCs/>
          <w:sz w:val="24"/>
          <w:szCs w:val="24"/>
          <w:lang w:val="en-US" w:eastAsia="zh-CN"/>
        </w:rPr>
        <w:t>Wannhoff A</w:t>
      </w:r>
      <w:r w:rsidRPr="00B102F1">
        <w:rPr>
          <w:rFonts w:ascii="Book Antiqua" w:eastAsia="SimSun" w:hAnsi="Book Antiqua" w:cs="SimSun"/>
          <w:sz w:val="24"/>
          <w:szCs w:val="24"/>
          <w:lang w:val="en-US" w:eastAsia="zh-CN"/>
        </w:rPr>
        <w:t>, Folseraas T, Brune M, Rupp C, Friedrich K, Knierim J, Weiss KH, Sauer P, Flechtenmacher C, Schirmacher P, Stremmel W, Hov JR, Gotthardt DN. A common genetic variant of fucosyltransferase 2 correlates with serum carcinoembryonic antigen levels and affects cancer screening in patients with primary sclerosing cholangitis. </w:t>
      </w:r>
      <w:r w:rsidRPr="00B102F1">
        <w:rPr>
          <w:rFonts w:ascii="Book Antiqua" w:eastAsia="SimSun" w:hAnsi="Book Antiqua" w:cs="SimSun"/>
          <w:i/>
          <w:iCs/>
          <w:sz w:val="24"/>
          <w:szCs w:val="24"/>
          <w:lang w:val="en-US" w:eastAsia="zh-CN"/>
        </w:rPr>
        <w:t>United European Gastroenterol J</w:t>
      </w:r>
      <w:r w:rsidRPr="00B102F1">
        <w:rPr>
          <w:rFonts w:ascii="Book Antiqua" w:eastAsia="SimSun" w:hAnsi="Book Antiqua" w:cs="SimSun"/>
          <w:sz w:val="24"/>
          <w:szCs w:val="24"/>
          <w:lang w:val="en-US" w:eastAsia="zh-CN"/>
        </w:rPr>
        <w:t> 2016; </w:t>
      </w:r>
      <w:r w:rsidRPr="00B102F1">
        <w:rPr>
          <w:rFonts w:ascii="Book Antiqua" w:eastAsia="SimSun" w:hAnsi="Book Antiqua" w:cs="SimSun"/>
          <w:b/>
          <w:bCs/>
          <w:sz w:val="24"/>
          <w:szCs w:val="24"/>
          <w:lang w:val="en-US" w:eastAsia="zh-CN"/>
        </w:rPr>
        <w:t>4</w:t>
      </w:r>
      <w:r w:rsidRPr="00B102F1">
        <w:rPr>
          <w:rFonts w:ascii="Book Antiqua" w:eastAsia="SimSun" w:hAnsi="Book Antiqua" w:cs="SimSun"/>
          <w:sz w:val="24"/>
          <w:szCs w:val="24"/>
          <w:lang w:val="en-US" w:eastAsia="zh-CN"/>
        </w:rPr>
        <w:t>: 84-91 [PMID: 26966527 DOI: 10.1177/2050640615581577]</w:t>
      </w:r>
    </w:p>
    <w:p w14:paraId="23491D9C"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20 </w:t>
      </w:r>
      <w:r w:rsidRPr="00B102F1">
        <w:rPr>
          <w:rFonts w:ascii="Book Antiqua" w:eastAsia="SimSun" w:hAnsi="Book Antiqua" w:cs="SimSun"/>
          <w:b/>
          <w:bCs/>
          <w:sz w:val="24"/>
          <w:szCs w:val="24"/>
          <w:lang w:val="en-US" w:eastAsia="zh-CN"/>
        </w:rPr>
        <w:t>Stanich PP</w:t>
      </w:r>
      <w:r w:rsidRPr="00B102F1">
        <w:rPr>
          <w:rFonts w:ascii="Book Antiqua" w:eastAsia="SimSun" w:hAnsi="Book Antiqua" w:cs="SimSun"/>
          <w:sz w:val="24"/>
          <w:szCs w:val="24"/>
          <w:lang w:val="en-US" w:eastAsia="zh-CN"/>
        </w:rPr>
        <w:t>, Björnsson E, Gossard AA, Enders F, Jorgensen R, Lindor KD. Alkaline phosphatase normalization is associated with better prognosis in primary sclerosing cholangitis. </w:t>
      </w:r>
      <w:r w:rsidRPr="00B102F1">
        <w:rPr>
          <w:rFonts w:ascii="Book Antiqua" w:eastAsia="SimSun" w:hAnsi="Book Antiqua" w:cs="SimSun"/>
          <w:i/>
          <w:iCs/>
          <w:sz w:val="24"/>
          <w:szCs w:val="24"/>
          <w:lang w:val="en-US" w:eastAsia="zh-CN"/>
        </w:rPr>
        <w:t>Dig Liver Dis</w:t>
      </w:r>
      <w:r w:rsidRPr="00B102F1">
        <w:rPr>
          <w:rFonts w:ascii="Book Antiqua" w:eastAsia="SimSun" w:hAnsi="Book Antiqua" w:cs="SimSun"/>
          <w:sz w:val="24"/>
          <w:szCs w:val="24"/>
          <w:lang w:val="en-US" w:eastAsia="zh-CN"/>
        </w:rPr>
        <w:t> 2011; </w:t>
      </w:r>
      <w:r w:rsidRPr="00B102F1">
        <w:rPr>
          <w:rFonts w:ascii="Book Antiqua" w:eastAsia="SimSun" w:hAnsi="Book Antiqua" w:cs="SimSun"/>
          <w:b/>
          <w:bCs/>
          <w:sz w:val="24"/>
          <w:szCs w:val="24"/>
          <w:lang w:val="en-US" w:eastAsia="zh-CN"/>
        </w:rPr>
        <w:t>43</w:t>
      </w:r>
      <w:r w:rsidRPr="00B102F1">
        <w:rPr>
          <w:rFonts w:ascii="Book Antiqua" w:eastAsia="SimSun" w:hAnsi="Book Antiqua" w:cs="SimSun"/>
          <w:sz w:val="24"/>
          <w:szCs w:val="24"/>
          <w:lang w:val="en-US" w:eastAsia="zh-CN"/>
        </w:rPr>
        <w:t>: 309-313 [PMID: 21251891 DOI: 10.1016/j.dld.2010.12.008]</w:t>
      </w:r>
    </w:p>
    <w:p w14:paraId="4701A40A"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21 </w:t>
      </w:r>
      <w:r w:rsidRPr="00B102F1">
        <w:rPr>
          <w:rFonts w:ascii="Book Antiqua" w:eastAsia="SimSun" w:hAnsi="Book Antiqua" w:cs="SimSun"/>
          <w:b/>
          <w:bCs/>
          <w:sz w:val="24"/>
          <w:szCs w:val="24"/>
          <w:lang w:val="en-US" w:eastAsia="zh-CN"/>
        </w:rPr>
        <w:t>Al Mamari S</w:t>
      </w:r>
      <w:r w:rsidRPr="00B102F1">
        <w:rPr>
          <w:rFonts w:ascii="Book Antiqua" w:eastAsia="SimSun" w:hAnsi="Book Antiqua" w:cs="SimSun"/>
          <w:sz w:val="24"/>
          <w:szCs w:val="24"/>
          <w:lang w:val="en-US" w:eastAsia="zh-CN"/>
        </w:rPr>
        <w:t>, Djordjevic J, Halliday JS, Chapman RW. Improvement of serum alkaline phosphatase to &amp;lt;1.5 upper limit of normal predicts better outcome and reduced risk of cholangiocarcinoma in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J Hepatol</w:t>
      </w:r>
      <w:r w:rsidRPr="00B102F1">
        <w:rPr>
          <w:rFonts w:ascii="Book Antiqua" w:eastAsia="SimSun" w:hAnsi="Book Antiqua" w:cs="SimSun" w:hint="eastAsia"/>
          <w:i/>
          <w:iCs/>
          <w:sz w:val="24"/>
          <w:szCs w:val="24"/>
          <w:lang w:val="en-US" w:eastAsia="zh-CN"/>
        </w:rPr>
        <w:t xml:space="preserve"> </w:t>
      </w:r>
      <w:r w:rsidRPr="00B102F1">
        <w:rPr>
          <w:rFonts w:ascii="Book Antiqua" w:eastAsia="SimSun" w:hAnsi="Book Antiqua" w:cs="SimSun"/>
          <w:sz w:val="24"/>
          <w:szCs w:val="24"/>
          <w:lang w:val="en-US" w:eastAsia="zh-CN"/>
        </w:rPr>
        <w:t>2013; </w:t>
      </w:r>
      <w:r w:rsidRPr="00B102F1">
        <w:rPr>
          <w:rFonts w:ascii="Book Antiqua" w:eastAsia="SimSun" w:hAnsi="Book Antiqua" w:cs="SimSun"/>
          <w:b/>
          <w:bCs/>
          <w:sz w:val="24"/>
          <w:szCs w:val="24"/>
          <w:lang w:val="en-US" w:eastAsia="zh-CN"/>
        </w:rPr>
        <w:t>58</w:t>
      </w:r>
      <w:r w:rsidRPr="00B102F1">
        <w:rPr>
          <w:rFonts w:ascii="Book Antiqua" w:eastAsia="SimSun" w:hAnsi="Book Antiqua" w:cs="SimSun"/>
          <w:sz w:val="24"/>
          <w:szCs w:val="24"/>
          <w:lang w:val="en-US" w:eastAsia="zh-CN"/>
        </w:rPr>
        <w:t>: 329-334 [PMID: 23085647 DOI: 10.1016/j.jhep.2012.10.013]</w:t>
      </w:r>
    </w:p>
    <w:p w14:paraId="24FF0095"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22 </w:t>
      </w:r>
      <w:r w:rsidRPr="00B102F1">
        <w:rPr>
          <w:rFonts w:ascii="Book Antiqua" w:eastAsia="SimSun" w:hAnsi="Book Antiqua" w:cs="SimSun"/>
          <w:b/>
          <w:bCs/>
          <w:sz w:val="24"/>
          <w:szCs w:val="24"/>
          <w:lang w:val="en-US" w:eastAsia="zh-CN"/>
        </w:rPr>
        <w:t>Lindström L</w:t>
      </w:r>
      <w:r w:rsidRPr="00B102F1">
        <w:rPr>
          <w:rFonts w:ascii="Book Antiqua" w:eastAsia="SimSun" w:hAnsi="Book Antiqua" w:cs="SimSun"/>
          <w:sz w:val="24"/>
          <w:szCs w:val="24"/>
          <w:lang w:val="en-US" w:eastAsia="zh-CN"/>
        </w:rPr>
        <w:t>, Hultcrantz R, Boberg KM, Friis-Liby I, Bergquist A. Association between reduced levels of alkaline phosphatase and survival times of patients with primary sclerosing cholangitis. </w:t>
      </w:r>
      <w:r w:rsidRPr="00B102F1">
        <w:rPr>
          <w:rFonts w:ascii="Book Antiqua" w:eastAsia="SimSun" w:hAnsi="Book Antiqua" w:cs="SimSun"/>
          <w:i/>
          <w:iCs/>
          <w:sz w:val="24"/>
          <w:szCs w:val="24"/>
          <w:lang w:val="en-US" w:eastAsia="zh-CN"/>
        </w:rPr>
        <w:t>Clin Gastroenterol Hepatol</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2013; </w:t>
      </w:r>
      <w:r w:rsidRPr="00B102F1">
        <w:rPr>
          <w:rFonts w:ascii="Book Antiqua" w:eastAsia="SimSun" w:hAnsi="Book Antiqua" w:cs="SimSun"/>
          <w:b/>
          <w:bCs/>
          <w:sz w:val="24"/>
          <w:szCs w:val="24"/>
          <w:lang w:val="en-US" w:eastAsia="zh-CN"/>
        </w:rPr>
        <w:t>11</w:t>
      </w:r>
      <w:r w:rsidRPr="00B102F1">
        <w:rPr>
          <w:rFonts w:ascii="Book Antiqua" w:eastAsia="SimSun" w:hAnsi="Book Antiqua" w:cs="SimSun"/>
          <w:sz w:val="24"/>
          <w:szCs w:val="24"/>
          <w:lang w:val="en-US" w:eastAsia="zh-CN"/>
        </w:rPr>
        <w:t>: 841-846 [PMID: 23353641 DOI: 10.1016/j.cgh.2012.12.032]</w:t>
      </w:r>
    </w:p>
    <w:p w14:paraId="65C60BA6"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23 </w:t>
      </w:r>
      <w:r w:rsidRPr="00B102F1">
        <w:rPr>
          <w:rFonts w:ascii="Book Antiqua" w:eastAsia="SimSun" w:hAnsi="Book Antiqua" w:cs="SimSun"/>
          <w:b/>
          <w:bCs/>
          <w:sz w:val="24"/>
          <w:szCs w:val="24"/>
          <w:lang w:val="en-US" w:eastAsia="zh-CN"/>
        </w:rPr>
        <w:t>Rupp C</w:t>
      </w:r>
      <w:r w:rsidRPr="00B102F1">
        <w:rPr>
          <w:rFonts w:ascii="Book Antiqua" w:eastAsia="SimSun" w:hAnsi="Book Antiqua" w:cs="SimSun"/>
          <w:sz w:val="24"/>
          <w:szCs w:val="24"/>
          <w:lang w:val="en-US" w:eastAsia="zh-CN"/>
        </w:rPr>
        <w:t>, Rössler A, Halibasic E, Sauer P, Weiss KH, Friedrich K, Wannhoff A, Stiehl A, Stremmel W, Trauner M, Gotthardt DN. Reduction in alkaline phosphatase is associated with longer survival in primary sclerosing cholangitis, independent of dominant stenosis. </w:t>
      </w:r>
      <w:r w:rsidRPr="00B102F1">
        <w:rPr>
          <w:rFonts w:ascii="Book Antiqua" w:eastAsia="SimSun" w:hAnsi="Book Antiqua" w:cs="SimSun"/>
          <w:i/>
          <w:iCs/>
          <w:sz w:val="24"/>
          <w:szCs w:val="24"/>
          <w:lang w:val="en-US" w:eastAsia="zh-CN"/>
        </w:rPr>
        <w:t>Aliment Pharmacol Ther</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2014;</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b/>
          <w:bCs/>
          <w:sz w:val="24"/>
          <w:szCs w:val="24"/>
          <w:lang w:val="en-US" w:eastAsia="zh-CN"/>
        </w:rPr>
        <w:t>40</w:t>
      </w:r>
      <w:r w:rsidRPr="00B102F1">
        <w:rPr>
          <w:rFonts w:ascii="Book Antiqua" w:eastAsia="SimSun" w:hAnsi="Book Antiqua" w:cs="SimSun"/>
          <w:sz w:val="24"/>
          <w:szCs w:val="24"/>
          <w:lang w:val="en-US" w:eastAsia="zh-CN"/>
        </w:rPr>
        <w:t>:</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1292-1301 [PMID: 25316001 DOI: 10.1111/apt.12979]</w:t>
      </w:r>
    </w:p>
    <w:p w14:paraId="79B9CFFE"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24 </w:t>
      </w:r>
      <w:r w:rsidRPr="00B102F1">
        <w:rPr>
          <w:rFonts w:ascii="Book Antiqua" w:eastAsia="SimSun" w:hAnsi="Book Antiqua" w:cs="SimSun"/>
          <w:b/>
          <w:bCs/>
          <w:sz w:val="24"/>
          <w:szCs w:val="24"/>
          <w:lang w:val="en-US" w:eastAsia="zh-CN"/>
        </w:rPr>
        <w:t>de Vries EM</w:t>
      </w:r>
      <w:r w:rsidRPr="00B102F1">
        <w:rPr>
          <w:rFonts w:ascii="Book Antiqua" w:eastAsia="SimSun" w:hAnsi="Book Antiqua" w:cs="SimSun"/>
          <w:sz w:val="24"/>
          <w:szCs w:val="24"/>
          <w:lang w:val="en-US" w:eastAsia="zh-CN"/>
        </w:rPr>
        <w:t xml:space="preserve">, Wang J, Leeflang MM, Boonstra K, Weersma RK, Beuers UH, Geskus RB, Ponsioen CY. Alkaline phosphatase at diagnosis of primary sclerosing cholangitis and 1 </w:t>
      </w:r>
      <w:r w:rsidRPr="00B102F1">
        <w:rPr>
          <w:rFonts w:ascii="Book Antiqua" w:eastAsia="SimSun" w:hAnsi="Book Antiqua" w:cs="SimSun"/>
          <w:sz w:val="24"/>
          <w:szCs w:val="24"/>
          <w:lang w:val="en-US" w:eastAsia="zh-CN"/>
        </w:rPr>
        <w:lastRenderedPageBreak/>
        <w:t>year later: evaluation of prognostic value. </w:t>
      </w:r>
      <w:r w:rsidRPr="00B102F1">
        <w:rPr>
          <w:rFonts w:ascii="Book Antiqua" w:eastAsia="SimSun" w:hAnsi="Book Antiqua" w:cs="SimSun"/>
          <w:i/>
          <w:iCs/>
          <w:sz w:val="24"/>
          <w:szCs w:val="24"/>
          <w:lang w:val="en-US" w:eastAsia="zh-CN"/>
        </w:rPr>
        <w:t>Liver Int</w:t>
      </w:r>
      <w:r w:rsidRPr="00B102F1">
        <w:rPr>
          <w:rFonts w:ascii="Book Antiqua" w:eastAsia="SimSun" w:hAnsi="Book Antiqua" w:cs="SimSun"/>
          <w:sz w:val="24"/>
          <w:szCs w:val="24"/>
          <w:lang w:val="en-US" w:eastAsia="zh-CN"/>
        </w:rPr>
        <w:t> 2016; </w:t>
      </w:r>
      <w:r w:rsidRPr="00B102F1">
        <w:rPr>
          <w:rFonts w:ascii="Book Antiqua" w:eastAsia="SimSun" w:hAnsi="Book Antiqua" w:cs="SimSun"/>
          <w:b/>
          <w:bCs/>
          <w:sz w:val="24"/>
          <w:szCs w:val="24"/>
          <w:lang w:val="en-US" w:eastAsia="zh-CN"/>
        </w:rPr>
        <w:t>36</w:t>
      </w:r>
      <w:r w:rsidRPr="00B102F1">
        <w:rPr>
          <w:rFonts w:ascii="Book Antiqua" w:eastAsia="SimSun" w:hAnsi="Book Antiqua" w:cs="SimSun"/>
          <w:sz w:val="24"/>
          <w:szCs w:val="24"/>
          <w:lang w:val="en-US" w:eastAsia="zh-CN"/>
        </w:rPr>
        <w:t>: 1867-1875 [PMID: 26945698 DOI: 10.1111/liv.13110]</w:t>
      </w:r>
    </w:p>
    <w:p w14:paraId="686D4AAB"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25 </w:t>
      </w:r>
      <w:r w:rsidRPr="00B102F1">
        <w:rPr>
          <w:rFonts w:ascii="Book Antiqua" w:eastAsia="SimSun" w:hAnsi="Book Antiqua" w:cs="SimSun"/>
          <w:b/>
          <w:bCs/>
          <w:sz w:val="24"/>
          <w:szCs w:val="24"/>
          <w:lang w:val="en-US" w:eastAsia="zh-CN"/>
        </w:rPr>
        <w:t>Trilianos P</w:t>
      </w:r>
      <w:r w:rsidRPr="00B102F1">
        <w:rPr>
          <w:rFonts w:ascii="Book Antiqua" w:eastAsia="SimSun" w:hAnsi="Book Antiqua" w:cs="SimSun"/>
          <w:sz w:val="24"/>
          <w:szCs w:val="24"/>
          <w:lang w:val="en-US" w:eastAsia="zh-CN"/>
        </w:rPr>
        <w:t>, Selaru F, Li Z, Gurakar A. Trends in pre-liver transplant screening for cholangiocarcinoma among patients with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Digestion</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2014; </w:t>
      </w:r>
      <w:r w:rsidRPr="00B102F1">
        <w:rPr>
          <w:rFonts w:ascii="Book Antiqua" w:eastAsia="SimSun" w:hAnsi="Book Antiqua" w:cs="SimSun"/>
          <w:b/>
          <w:bCs/>
          <w:sz w:val="24"/>
          <w:szCs w:val="24"/>
          <w:lang w:val="en-US" w:eastAsia="zh-CN"/>
        </w:rPr>
        <w:t>89</w:t>
      </w:r>
      <w:r w:rsidRPr="00B102F1">
        <w:rPr>
          <w:rFonts w:ascii="Book Antiqua" w:eastAsia="SimSun" w:hAnsi="Book Antiqua" w:cs="SimSun"/>
          <w:sz w:val="24"/>
          <w:szCs w:val="24"/>
          <w:lang w:val="en-US" w:eastAsia="zh-CN"/>
        </w:rPr>
        <w:t>: 165-173 [PMID: 24577150 DOI: 10.1159/000357445]</w:t>
      </w:r>
    </w:p>
    <w:p w14:paraId="43D664A7"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26 </w:t>
      </w:r>
      <w:r w:rsidRPr="00B102F1">
        <w:rPr>
          <w:rFonts w:ascii="Book Antiqua" w:eastAsia="SimSun" w:hAnsi="Book Antiqua" w:cs="SimSun"/>
          <w:b/>
          <w:bCs/>
          <w:sz w:val="24"/>
          <w:szCs w:val="24"/>
          <w:lang w:val="en-US" w:eastAsia="zh-CN"/>
        </w:rPr>
        <w:t>Rizvi S</w:t>
      </w:r>
      <w:r w:rsidRPr="00B102F1">
        <w:rPr>
          <w:rFonts w:ascii="Book Antiqua" w:eastAsia="SimSun" w:hAnsi="Book Antiqua" w:cs="SimSun"/>
          <w:sz w:val="24"/>
          <w:szCs w:val="24"/>
          <w:lang w:val="en-US" w:eastAsia="zh-CN"/>
        </w:rPr>
        <w:t>, Gores GJ. Pathogenesis, diagnosis, and management of cholangiocarcinoma.</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iCs/>
          <w:sz w:val="24"/>
          <w:szCs w:val="24"/>
          <w:lang w:val="en-US" w:eastAsia="zh-CN"/>
        </w:rPr>
        <w:t>Gastroenterology</w:t>
      </w:r>
      <w:r w:rsidRPr="00B102F1">
        <w:rPr>
          <w:rFonts w:ascii="Book Antiqua" w:eastAsia="SimSun" w:hAnsi="Book Antiqua" w:cs="SimSun"/>
          <w:sz w:val="24"/>
          <w:szCs w:val="24"/>
          <w:lang w:val="en-US" w:eastAsia="zh-CN"/>
        </w:rPr>
        <w:t> 2013; </w:t>
      </w:r>
      <w:r w:rsidRPr="00B102F1">
        <w:rPr>
          <w:rFonts w:ascii="Book Antiqua" w:eastAsia="SimSun" w:hAnsi="Book Antiqua" w:cs="SimSun"/>
          <w:b/>
          <w:bCs/>
          <w:sz w:val="24"/>
          <w:szCs w:val="24"/>
          <w:lang w:val="en-US" w:eastAsia="zh-CN"/>
        </w:rPr>
        <w:t>145</w:t>
      </w:r>
      <w:r w:rsidRPr="00B102F1">
        <w:rPr>
          <w:rFonts w:ascii="Book Antiqua" w:eastAsia="SimSun" w:hAnsi="Book Antiqua" w:cs="SimSun"/>
          <w:sz w:val="24"/>
          <w:szCs w:val="24"/>
          <w:lang w:val="en-US" w:eastAsia="zh-CN"/>
        </w:rPr>
        <w:t>: 1215-1229 [PMID: 24140396 DOI: 10.1053/j.gastro.2013.10.013]</w:t>
      </w:r>
    </w:p>
    <w:p w14:paraId="12E02F0A"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r w:rsidRPr="00B102F1">
        <w:rPr>
          <w:rFonts w:ascii="Book Antiqua" w:eastAsia="SimSun" w:hAnsi="Book Antiqua" w:cs="SimSun"/>
          <w:sz w:val="24"/>
          <w:szCs w:val="24"/>
          <w:lang w:val="en-US" w:eastAsia="zh-CN"/>
        </w:rPr>
        <w:t>27 </w:t>
      </w:r>
      <w:r w:rsidRPr="00B102F1">
        <w:rPr>
          <w:rFonts w:ascii="Book Antiqua" w:eastAsia="SimSun" w:hAnsi="Book Antiqua" w:cs="SimSun"/>
          <w:b/>
          <w:bCs/>
          <w:sz w:val="24"/>
          <w:szCs w:val="24"/>
          <w:lang w:val="en-US" w:eastAsia="zh-CN"/>
        </w:rPr>
        <w:t>Vannas M,</w:t>
      </w:r>
      <w:r w:rsidRPr="00B102F1">
        <w:rPr>
          <w:rFonts w:ascii="Book Antiqua" w:eastAsia="SimSun" w:hAnsi="Book Antiqua" w:cs="SimSun"/>
          <w:sz w:val="24"/>
          <w:szCs w:val="24"/>
          <w:lang w:val="en-US" w:eastAsia="zh-CN"/>
        </w:rPr>
        <w:t> Boyd S, Färkkilä M, Arola J, Isoniemi H. Value of brush cytology for optimal timing of liver transplantation in primary sclerosing cholangitis.</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i/>
          <w:sz w:val="24"/>
          <w:szCs w:val="24"/>
          <w:lang w:val="en-US" w:eastAsia="zh-CN"/>
        </w:rPr>
        <w:t>Liver Int</w:t>
      </w:r>
      <w:r w:rsidRPr="00B102F1">
        <w:rPr>
          <w:rFonts w:ascii="Book Antiqua" w:eastAsia="SimSun" w:hAnsi="Book Antiqua" w:cs="SimSun" w:hint="eastAsia"/>
          <w:i/>
          <w:sz w:val="24"/>
          <w:szCs w:val="24"/>
          <w:lang w:val="en-US" w:eastAsia="zh-CN"/>
        </w:rPr>
        <w:t xml:space="preserve"> </w:t>
      </w:r>
      <w:r w:rsidRPr="00B102F1">
        <w:rPr>
          <w:rFonts w:ascii="Book Antiqua" w:eastAsia="SimSun" w:hAnsi="Book Antiqua" w:cs="SimSun"/>
          <w:sz w:val="24"/>
          <w:szCs w:val="24"/>
          <w:lang w:val="en-US" w:eastAsia="zh-CN"/>
        </w:rPr>
        <w:t>2017;</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b/>
          <w:sz w:val="24"/>
          <w:szCs w:val="24"/>
          <w:lang w:val="en-US" w:eastAsia="zh-CN"/>
        </w:rPr>
        <w:t>37</w:t>
      </w:r>
      <w:r w:rsidRPr="00B102F1">
        <w:rPr>
          <w:rFonts w:ascii="Book Antiqua" w:eastAsia="SimSun" w:hAnsi="Book Antiqua" w:cs="SimSun"/>
          <w:sz w:val="24"/>
          <w:szCs w:val="24"/>
          <w:lang w:val="en-US" w:eastAsia="zh-CN"/>
        </w:rPr>
        <w:t>:</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735-742</w:t>
      </w:r>
      <w:r w:rsidRPr="00B102F1">
        <w:rPr>
          <w:rFonts w:ascii="Book Antiqua" w:eastAsia="SimSun" w:hAnsi="Book Antiqua" w:cs="SimSun" w:hint="eastAsia"/>
          <w:sz w:val="24"/>
          <w:szCs w:val="24"/>
          <w:lang w:val="en-US" w:eastAsia="zh-CN"/>
        </w:rPr>
        <w:t xml:space="preserve"> </w:t>
      </w:r>
      <w:r w:rsidRPr="00B102F1">
        <w:rPr>
          <w:rFonts w:ascii="Book Antiqua" w:eastAsia="SimSun" w:hAnsi="Book Antiqua" w:cs="SimSun"/>
          <w:sz w:val="24"/>
          <w:szCs w:val="24"/>
          <w:lang w:val="en-US" w:eastAsia="zh-CN"/>
        </w:rPr>
        <w:t>[PMID: 28453918 DOI: 10.1111/liv.13276]</w:t>
      </w:r>
    </w:p>
    <w:p w14:paraId="3D795A57" w14:textId="77777777" w:rsidR="00B102F1" w:rsidRPr="00B102F1" w:rsidRDefault="00B102F1" w:rsidP="00D305D7">
      <w:pPr>
        <w:snapToGrid w:val="0"/>
        <w:spacing w:after="0" w:line="360" w:lineRule="auto"/>
        <w:jc w:val="right"/>
        <w:rPr>
          <w:rFonts w:ascii="Book Antiqua" w:eastAsia="SimSun" w:hAnsi="Book Antiqua" w:cs="Times New Roman"/>
          <w:sz w:val="24"/>
          <w:szCs w:val="24"/>
          <w:lang w:val="en-US"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B102F1">
        <w:rPr>
          <w:rFonts w:ascii="Book Antiqua" w:eastAsia="SimSun" w:hAnsi="Book Antiqua" w:cs="Times New Roman"/>
          <w:b/>
          <w:bCs/>
          <w:sz w:val="24"/>
          <w:szCs w:val="24"/>
          <w:lang w:val="en-US" w:eastAsia="zh-CN"/>
        </w:rPr>
        <w:t>P-Reviewer:</w:t>
      </w:r>
      <w:r w:rsidRPr="00B102F1">
        <w:rPr>
          <w:rFonts w:ascii="Book Antiqua" w:eastAsia="SimSun" w:hAnsi="Book Antiqua" w:cs="Times New Roman" w:hint="eastAsia"/>
          <w:b/>
          <w:bCs/>
          <w:sz w:val="24"/>
          <w:szCs w:val="24"/>
          <w:lang w:val="en-US" w:eastAsia="zh-CN"/>
        </w:rPr>
        <w:t xml:space="preserve"> </w:t>
      </w:r>
      <w:r w:rsidRPr="00B102F1">
        <w:rPr>
          <w:rFonts w:ascii="Book Antiqua" w:eastAsia="SimSun" w:hAnsi="Book Antiqua" w:cs="Times New Roman"/>
          <w:bCs/>
          <w:sz w:val="24"/>
          <w:szCs w:val="24"/>
          <w:lang w:val="en-US" w:eastAsia="zh-CN"/>
        </w:rPr>
        <w:t>Geramizadeh</w:t>
      </w:r>
      <w:r w:rsidRPr="00B102F1">
        <w:rPr>
          <w:rFonts w:ascii="Book Antiqua" w:eastAsia="SimSun" w:hAnsi="Book Antiqua" w:cs="Times New Roman" w:hint="eastAsia"/>
          <w:bCs/>
          <w:sz w:val="24"/>
          <w:szCs w:val="24"/>
          <w:lang w:val="en-US" w:eastAsia="zh-CN"/>
        </w:rPr>
        <w:t xml:space="preserve"> </w:t>
      </w:r>
      <w:r w:rsidRPr="00B102F1">
        <w:rPr>
          <w:rFonts w:ascii="Book Antiqua" w:eastAsia="SimSun" w:hAnsi="Book Antiqua" w:cs="Times New Roman"/>
          <w:bCs/>
          <w:sz w:val="24"/>
          <w:szCs w:val="24"/>
          <w:lang w:val="en-US" w:eastAsia="zh-CN"/>
        </w:rPr>
        <w:t>B</w:t>
      </w:r>
      <w:r w:rsidRPr="00B102F1">
        <w:rPr>
          <w:rFonts w:ascii="Book Antiqua" w:eastAsia="SimSun" w:hAnsi="Book Antiqua" w:cs="Times New Roman" w:hint="eastAsia"/>
          <w:bCs/>
          <w:sz w:val="24"/>
          <w:szCs w:val="24"/>
          <w:lang w:val="en-US" w:eastAsia="zh-CN"/>
        </w:rPr>
        <w:t xml:space="preserve">, </w:t>
      </w:r>
      <w:r w:rsidRPr="00B102F1">
        <w:rPr>
          <w:rFonts w:ascii="Book Antiqua" w:eastAsia="SimSun" w:hAnsi="Book Antiqua" w:cs="Times New Roman"/>
          <w:bCs/>
          <w:sz w:val="24"/>
          <w:szCs w:val="24"/>
          <w:lang w:val="en-US" w:eastAsia="zh-CN"/>
        </w:rPr>
        <w:t>Maroni L</w:t>
      </w:r>
      <w:r w:rsidRPr="00B102F1">
        <w:rPr>
          <w:rFonts w:ascii="Book Antiqua" w:eastAsia="SimSun" w:hAnsi="Book Antiqua" w:cs="Times New Roman" w:hint="eastAsia"/>
          <w:b/>
          <w:bCs/>
          <w:sz w:val="24"/>
          <w:szCs w:val="24"/>
          <w:lang w:val="en-US" w:eastAsia="zh-CN"/>
        </w:rPr>
        <w:t xml:space="preserve"> </w:t>
      </w:r>
      <w:r w:rsidRPr="00B102F1">
        <w:rPr>
          <w:rFonts w:ascii="Book Antiqua" w:eastAsia="SimSun" w:hAnsi="Book Antiqua" w:cs="Times New Roman"/>
          <w:b/>
          <w:bCs/>
          <w:sz w:val="24"/>
          <w:szCs w:val="24"/>
          <w:lang w:val="en-US" w:eastAsia="zh-CN"/>
        </w:rPr>
        <w:t>S-Editor:</w:t>
      </w:r>
      <w:r w:rsidRPr="00B102F1">
        <w:rPr>
          <w:rFonts w:ascii="Book Antiqua" w:eastAsia="SimSun" w:hAnsi="Book Antiqua" w:cs="Times New Roman" w:hint="eastAsia"/>
          <w:sz w:val="24"/>
          <w:szCs w:val="24"/>
          <w:lang w:val="en-US" w:eastAsia="zh-CN"/>
        </w:rPr>
        <w:t xml:space="preserve"> Gong ZM</w:t>
      </w:r>
    </w:p>
    <w:p w14:paraId="738B8EEC" w14:textId="77777777" w:rsidR="00B102F1" w:rsidRPr="00B102F1" w:rsidRDefault="00B102F1" w:rsidP="00D305D7">
      <w:pPr>
        <w:snapToGrid w:val="0"/>
        <w:spacing w:after="0" w:line="360" w:lineRule="auto"/>
        <w:jc w:val="right"/>
        <w:rPr>
          <w:rFonts w:ascii="Book Antiqua" w:eastAsia="SimSun" w:hAnsi="Book Antiqua" w:cs="Times New Roman"/>
          <w:b/>
          <w:bCs/>
          <w:sz w:val="24"/>
          <w:szCs w:val="24"/>
          <w:lang w:val="en-US" w:eastAsia="zh-CN"/>
        </w:rPr>
      </w:pPr>
      <w:r w:rsidRPr="00B102F1">
        <w:rPr>
          <w:rFonts w:ascii="Book Antiqua" w:eastAsia="SimSun" w:hAnsi="Book Antiqua" w:cs="Times New Roman"/>
          <w:b/>
          <w:bCs/>
          <w:sz w:val="24"/>
          <w:szCs w:val="24"/>
          <w:lang w:val="en-US" w:eastAsia="zh-CN"/>
        </w:rPr>
        <w:t>L-Editor:</w:t>
      </w:r>
      <w:r w:rsidRPr="00B102F1">
        <w:rPr>
          <w:rFonts w:ascii="Book Antiqua" w:eastAsia="SimSun" w:hAnsi="Book Antiqua" w:cs="Times New Roman"/>
          <w:sz w:val="24"/>
          <w:szCs w:val="24"/>
          <w:lang w:val="en-US" w:eastAsia="zh-CN"/>
        </w:rPr>
        <w:t xml:space="preserve"> </w:t>
      </w:r>
      <w:r w:rsidRPr="00B102F1">
        <w:rPr>
          <w:rFonts w:ascii="Book Antiqua" w:eastAsia="SimSun" w:hAnsi="Book Antiqua" w:cs="Times New Roman"/>
          <w:b/>
          <w:bCs/>
          <w:sz w:val="24"/>
          <w:szCs w:val="24"/>
          <w:lang w:val="en-US" w:eastAsia="zh-CN"/>
        </w:rPr>
        <w:t>E-Editor:</w:t>
      </w:r>
    </w:p>
    <w:p w14:paraId="4BF6F356"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102F1">
        <w:rPr>
          <w:rFonts w:ascii="Book Antiqua" w:eastAsia="SimSun" w:hAnsi="Book Antiqua" w:cs="Helvetica"/>
          <w:b/>
          <w:sz w:val="24"/>
          <w:szCs w:val="24"/>
          <w:lang w:val="en-US" w:eastAsia="zh-CN"/>
        </w:rPr>
        <w:t xml:space="preserve">Specialty type: </w:t>
      </w:r>
      <w:r w:rsidRPr="00B102F1">
        <w:rPr>
          <w:rFonts w:ascii="Book Antiqua" w:eastAsia="SimSun" w:hAnsi="Book Antiqua" w:cs="Helvetica"/>
          <w:sz w:val="24"/>
          <w:szCs w:val="24"/>
          <w:lang w:val="en-US" w:eastAsia="zh-CN"/>
        </w:rPr>
        <w:t>Gastroenterology and</w:t>
      </w:r>
      <w:r w:rsidRPr="00B102F1">
        <w:rPr>
          <w:rFonts w:ascii="Book Antiqua" w:eastAsia="SimSun" w:hAnsi="Book Antiqua" w:cs="Helvetica" w:hint="eastAsia"/>
          <w:sz w:val="24"/>
          <w:szCs w:val="24"/>
          <w:lang w:val="en-US" w:eastAsia="zh-CN"/>
        </w:rPr>
        <w:t xml:space="preserve"> </w:t>
      </w:r>
      <w:r w:rsidRPr="00B102F1">
        <w:rPr>
          <w:rFonts w:ascii="Book Antiqua" w:eastAsia="SimSun" w:hAnsi="Book Antiqua" w:cs="Helvetica"/>
          <w:sz w:val="24"/>
          <w:szCs w:val="24"/>
          <w:lang w:val="en-US" w:eastAsia="zh-CN"/>
        </w:rPr>
        <w:t>hepatology</w:t>
      </w:r>
    </w:p>
    <w:p w14:paraId="5BE210F8" w14:textId="5C319360" w:rsidR="00B102F1" w:rsidRPr="00B102F1" w:rsidRDefault="00B102F1" w:rsidP="00D305D7">
      <w:pPr>
        <w:shd w:val="clear" w:color="auto" w:fill="FFFFFF"/>
        <w:snapToGrid w:val="0"/>
        <w:spacing w:after="0" w:line="360" w:lineRule="auto"/>
        <w:jc w:val="both"/>
        <w:rPr>
          <w:rFonts w:ascii="Book Antiqua" w:eastAsia="SimSun" w:hAnsi="Book Antiqua" w:cs="Helvetica"/>
          <w:b/>
          <w:sz w:val="24"/>
          <w:szCs w:val="24"/>
          <w:lang w:val="en-US" w:eastAsia="zh-CN"/>
        </w:rPr>
      </w:pPr>
      <w:r w:rsidRPr="00B102F1">
        <w:rPr>
          <w:rFonts w:ascii="Book Antiqua" w:eastAsia="SimSun" w:hAnsi="Book Antiqua" w:cs="Helvetica"/>
          <w:b/>
          <w:sz w:val="24"/>
          <w:szCs w:val="24"/>
          <w:lang w:val="en-US" w:eastAsia="zh-CN"/>
        </w:rPr>
        <w:t xml:space="preserve">Country of origin: </w:t>
      </w:r>
      <w:r w:rsidRPr="00B102F1">
        <w:rPr>
          <w:rFonts w:ascii="Book Antiqua" w:eastAsia="SimSun" w:hAnsi="Book Antiqua" w:cs="Helvetica"/>
          <w:sz w:val="24"/>
          <w:szCs w:val="24"/>
          <w:lang w:val="en-CA" w:eastAsia="zh-CN"/>
        </w:rPr>
        <w:t>Finland</w:t>
      </w:r>
    </w:p>
    <w:p w14:paraId="0AB1D50F"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b/>
          <w:sz w:val="24"/>
          <w:szCs w:val="24"/>
          <w:lang w:val="en-US" w:eastAsia="zh-CN"/>
        </w:rPr>
      </w:pPr>
      <w:r w:rsidRPr="00B102F1">
        <w:rPr>
          <w:rFonts w:ascii="Book Antiqua" w:eastAsia="SimSun" w:hAnsi="Book Antiqua" w:cs="Helvetica"/>
          <w:b/>
          <w:sz w:val="24"/>
          <w:szCs w:val="24"/>
          <w:lang w:val="en-US" w:eastAsia="zh-CN"/>
        </w:rPr>
        <w:t>Peer-review report classification</w:t>
      </w:r>
    </w:p>
    <w:p w14:paraId="6347678E"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sz w:val="24"/>
          <w:szCs w:val="24"/>
          <w:lang w:val="en-US" w:eastAsia="zh-CN"/>
        </w:rPr>
      </w:pPr>
      <w:r w:rsidRPr="00B102F1">
        <w:rPr>
          <w:rFonts w:ascii="Book Antiqua" w:eastAsia="SimSun" w:hAnsi="Book Antiqua" w:cs="Helvetica"/>
          <w:sz w:val="24"/>
          <w:szCs w:val="24"/>
          <w:lang w:val="en-US" w:eastAsia="zh-CN"/>
        </w:rPr>
        <w:t xml:space="preserve">Grade A (Excellent): </w:t>
      </w:r>
      <w:r w:rsidRPr="00B102F1">
        <w:rPr>
          <w:rFonts w:ascii="Book Antiqua" w:eastAsia="SimSun" w:hAnsi="Book Antiqua" w:cs="Helvetica" w:hint="eastAsia"/>
          <w:sz w:val="24"/>
          <w:szCs w:val="24"/>
          <w:lang w:val="en-US" w:eastAsia="zh-CN"/>
        </w:rPr>
        <w:t>0</w:t>
      </w:r>
    </w:p>
    <w:p w14:paraId="455C9AE3"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sz w:val="24"/>
          <w:szCs w:val="24"/>
          <w:lang w:val="en-US" w:eastAsia="zh-CN"/>
        </w:rPr>
      </w:pPr>
      <w:r w:rsidRPr="00B102F1">
        <w:rPr>
          <w:rFonts w:ascii="Book Antiqua" w:eastAsia="SimSun" w:hAnsi="Book Antiqua" w:cs="Helvetica"/>
          <w:sz w:val="24"/>
          <w:szCs w:val="24"/>
          <w:lang w:val="en-US" w:eastAsia="zh-CN"/>
        </w:rPr>
        <w:t xml:space="preserve">Grade B (Very good): </w:t>
      </w:r>
      <w:r w:rsidRPr="00B102F1">
        <w:rPr>
          <w:rFonts w:ascii="Book Antiqua" w:eastAsia="SimSun" w:hAnsi="Book Antiqua" w:cs="Helvetica" w:hint="eastAsia"/>
          <w:caps/>
          <w:sz w:val="24"/>
          <w:szCs w:val="24"/>
          <w:lang w:val="en-US" w:eastAsia="zh-CN"/>
        </w:rPr>
        <w:t>b</w:t>
      </w:r>
    </w:p>
    <w:p w14:paraId="0CAECA50"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sz w:val="24"/>
          <w:szCs w:val="24"/>
          <w:lang w:val="en-US" w:eastAsia="zh-CN"/>
        </w:rPr>
      </w:pPr>
      <w:r w:rsidRPr="00B102F1">
        <w:rPr>
          <w:rFonts w:ascii="Book Antiqua" w:eastAsia="SimSun" w:hAnsi="Book Antiqua" w:cs="Helvetica"/>
          <w:sz w:val="24"/>
          <w:szCs w:val="24"/>
          <w:lang w:val="en-US" w:eastAsia="zh-CN"/>
        </w:rPr>
        <w:t xml:space="preserve">Grade C (Good): </w:t>
      </w:r>
      <w:r w:rsidRPr="00B102F1">
        <w:rPr>
          <w:rFonts w:ascii="Book Antiqua" w:eastAsia="SimSun" w:hAnsi="Book Antiqua" w:cs="Helvetica" w:hint="eastAsia"/>
          <w:sz w:val="24"/>
          <w:szCs w:val="24"/>
          <w:lang w:val="en-US" w:eastAsia="zh-CN"/>
        </w:rPr>
        <w:t>C</w:t>
      </w:r>
    </w:p>
    <w:p w14:paraId="28941C5B"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sz w:val="24"/>
          <w:szCs w:val="24"/>
          <w:lang w:val="en-US" w:eastAsia="zh-CN"/>
        </w:rPr>
      </w:pPr>
      <w:r w:rsidRPr="00B102F1">
        <w:rPr>
          <w:rFonts w:ascii="Book Antiqua" w:eastAsia="SimSun" w:hAnsi="Book Antiqua" w:cs="Helvetica"/>
          <w:sz w:val="24"/>
          <w:szCs w:val="24"/>
          <w:lang w:val="en-US" w:eastAsia="zh-CN"/>
        </w:rPr>
        <w:t xml:space="preserve">Grade D (Fair): </w:t>
      </w:r>
      <w:r w:rsidRPr="00B102F1">
        <w:rPr>
          <w:rFonts w:ascii="Book Antiqua" w:eastAsia="SimSun" w:hAnsi="Book Antiqua" w:cs="Helvetica" w:hint="eastAsia"/>
          <w:sz w:val="24"/>
          <w:szCs w:val="24"/>
          <w:lang w:val="en-US" w:eastAsia="zh-CN"/>
        </w:rPr>
        <w:t>0</w:t>
      </w:r>
    </w:p>
    <w:p w14:paraId="551098DD" w14:textId="77777777" w:rsidR="00B102F1" w:rsidRPr="00B102F1" w:rsidRDefault="00B102F1" w:rsidP="00D305D7">
      <w:pPr>
        <w:shd w:val="clear" w:color="auto" w:fill="FFFFFF"/>
        <w:snapToGrid w:val="0"/>
        <w:spacing w:after="0" w:line="360" w:lineRule="auto"/>
        <w:jc w:val="both"/>
        <w:rPr>
          <w:rFonts w:ascii="Book Antiqua" w:eastAsia="SimSun" w:hAnsi="Book Antiqua" w:cs="Helvetica"/>
          <w:sz w:val="24"/>
          <w:szCs w:val="24"/>
          <w:lang w:val="en-US" w:eastAsia="zh-CN"/>
        </w:rPr>
      </w:pPr>
      <w:r w:rsidRPr="00B102F1">
        <w:rPr>
          <w:rFonts w:ascii="Book Antiqua" w:eastAsia="SimSun" w:hAnsi="Book Antiqua" w:cs="Helvetica"/>
          <w:sz w:val="24"/>
          <w:szCs w:val="24"/>
          <w:lang w:val="en-US" w:eastAsia="zh-CN"/>
        </w:rPr>
        <w:t xml:space="preserve">Grade E (Poor): </w:t>
      </w:r>
      <w:r w:rsidRPr="00B102F1">
        <w:rPr>
          <w:rFonts w:ascii="Book Antiqua" w:eastAsia="SimSun" w:hAnsi="Book Antiqua" w:cs="Helvetica" w:hint="eastAsia"/>
          <w:sz w:val="24"/>
          <w:szCs w:val="24"/>
          <w:lang w:val="en-US" w:eastAsia="zh-CN"/>
        </w:rPr>
        <w:t>0</w:t>
      </w:r>
      <w:bookmarkEnd w:id="131"/>
      <w:bookmarkEnd w:id="132"/>
    </w:p>
    <w:bookmarkEnd w:id="129"/>
    <w:bookmarkEnd w:id="130"/>
    <w:bookmarkEnd w:id="133"/>
    <w:bookmarkEnd w:id="134"/>
    <w:p w14:paraId="78C52CE6" w14:textId="77777777" w:rsidR="00B102F1" w:rsidRPr="00B102F1" w:rsidRDefault="00B102F1" w:rsidP="00D305D7">
      <w:pPr>
        <w:shd w:val="clear" w:color="auto" w:fill="FFFFFF"/>
        <w:snapToGrid w:val="0"/>
        <w:spacing w:after="0" w:line="360" w:lineRule="auto"/>
        <w:jc w:val="both"/>
        <w:rPr>
          <w:rFonts w:ascii="Book Antiqua" w:eastAsia="SimSun" w:hAnsi="Book Antiqua" w:cs="SimSun"/>
          <w:sz w:val="24"/>
          <w:szCs w:val="24"/>
          <w:lang w:val="en-US" w:eastAsia="zh-CN"/>
        </w:rPr>
      </w:pPr>
    </w:p>
    <w:p w14:paraId="4F69D489" w14:textId="6869D508" w:rsidR="00F72825" w:rsidRDefault="00F72825" w:rsidP="00D305D7">
      <w:pPr>
        <w:snapToGrid w:val="0"/>
        <w:spacing w:after="0" w:line="360" w:lineRule="auto"/>
        <w:rPr>
          <w:rFonts w:ascii="Book Antiqua" w:eastAsia="Calibri" w:hAnsi="Book Antiqua" w:cs="Arial"/>
          <w:b/>
          <w:sz w:val="24"/>
          <w:szCs w:val="24"/>
          <w:lang w:val="en-GB"/>
        </w:rPr>
      </w:pPr>
      <w:r>
        <w:rPr>
          <w:rFonts w:ascii="Book Antiqua" w:eastAsia="Calibri" w:hAnsi="Book Antiqua" w:cs="Arial"/>
          <w:b/>
          <w:sz w:val="24"/>
          <w:szCs w:val="24"/>
          <w:lang w:val="en-GB"/>
        </w:rPr>
        <w:br w:type="page"/>
      </w:r>
    </w:p>
    <w:p w14:paraId="3F1E8A98" w14:textId="6E2D757F" w:rsidR="00EB25BB" w:rsidRPr="00303E62" w:rsidRDefault="00F72825" w:rsidP="00D305D7">
      <w:pPr>
        <w:snapToGrid w:val="0"/>
        <w:spacing w:after="0" w:line="360" w:lineRule="auto"/>
        <w:jc w:val="both"/>
        <w:rPr>
          <w:rFonts w:ascii="Book Antiqua" w:eastAsia="Calibri" w:hAnsi="Book Antiqua" w:cs="Arial"/>
          <w:b/>
          <w:sz w:val="24"/>
          <w:szCs w:val="24"/>
          <w:lang w:val="en-GB"/>
        </w:rPr>
      </w:pPr>
      <w:r>
        <w:rPr>
          <w:noProof/>
          <w:lang w:val="en-US" w:eastAsia="zh-CN"/>
        </w:rPr>
        <w:lastRenderedPageBreak/>
        <w:drawing>
          <wp:inline distT="0" distB="0" distL="0" distR="0" wp14:anchorId="61016BBE" wp14:editId="0E8F335D">
            <wp:extent cx="2914286" cy="5923810"/>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4286" cy="5923810"/>
                    </a:xfrm>
                    <a:prstGeom prst="rect">
                      <a:avLst/>
                    </a:prstGeom>
                  </pic:spPr>
                </pic:pic>
              </a:graphicData>
            </a:graphic>
          </wp:inline>
        </w:drawing>
      </w:r>
    </w:p>
    <w:p w14:paraId="02C27CFB" w14:textId="4B4A981C" w:rsidR="00663156" w:rsidRPr="00F72825" w:rsidRDefault="00663156" w:rsidP="00D305D7">
      <w:pPr>
        <w:snapToGrid w:val="0"/>
        <w:spacing w:after="0" w:line="360" w:lineRule="auto"/>
        <w:jc w:val="both"/>
        <w:rPr>
          <w:rFonts w:ascii="Book Antiqua" w:hAnsi="Book Antiqua" w:cs="Arial"/>
          <w:sz w:val="24"/>
          <w:szCs w:val="24"/>
          <w:lang w:val="en-GB" w:eastAsia="zh-CN"/>
        </w:rPr>
      </w:pPr>
      <w:r w:rsidRPr="00303E62">
        <w:rPr>
          <w:rFonts w:ascii="Book Antiqua" w:eastAsia="Calibri" w:hAnsi="Book Antiqua" w:cs="Arial"/>
          <w:b/>
          <w:sz w:val="24"/>
          <w:szCs w:val="24"/>
          <w:lang w:val="en-GB"/>
        </w:rPr>
        <w:t>Figure 1</w:t>
      </w:r>
      <w:r w:rsidR="00F72825">
        <w:rPr>
          <w:rFonts w:ascii="Book Antiqua" w:eastAsia="Calibri" w:hAnsi="Book Antiqua" w:cs="Arial" w:hint="eastAsia"/>
          <w:sz w:val="24"/>
          <w:szCs w:val="24"/>
          <w:lang w:val="en-GB" w:eastAsia="zh-CN"/>
        </w:rPr>
        <w:t xml:space="preserve"> </w:t>
      </w:r>
      <w:r w:rsidR="000E1DEF" w:rsidRPr="00F72825">
        <w:rPr>
          <w:rFonts w:ascii="Book Antiqua" w:eastAsia="Calibri" w:hAnsi="Book Antiqua" w:cs="Arial"/>
          <w:b/>
          <w:sz w:val="24"/>
          <w:szCs w:val="24"/>
          <w:lang w:val="en-GB"/>
        </w:rPr>
        <w:t>Representative examples</w:t>
      </w:r>
      <w:r w:rsidR="000F41C3">
        <w:rPr>
          <w:rFonts w:ascii="Book Antiqua" w:eastAsia="Calibri" w:hAnsi="Book Antiqua" w:cs="Arial" w:hint="eastAsia"/>
          <w:b/>
          <w:sz w:val="24"/>
          <w:szCs w:val="24"/>
          <w:lang w:val="en-GB" w:eastAsia="zh-CN"/>
        </w:rPr>
        <w:t xml:space="preserve"> </w:t>
      </w:r>
      <w:r w:rsidR="000E1DEF" w:rsidRPr="00F72825">
        <w:rPr>
          <w:rFonts w:ascii="Book Antiqua" w:eastAsia="Calibri" w:hAnsi="Book Antiqua" w:cs="Arial"/>
          <w:b/>
          <w:sz w:val="24"/>
          <w:szCs w:val="24"/>
          <w:lang w:val="en-GB"/>
        </w:rPr>
        <w:t>of bile duct brushings.</w:t>
      </w:r>
      <w:r w:rsidR="00F72825">
        <w:rPr>
          <w:rFonts w:ascii="Book Antiqua" w:hAnsi="Book Antiqua" w:cs="Arial" w:hint="eastAsia"/>
          <w:sz w:val="24"/>
          <w:szCs w:val="24"/>
          <w:lang w:val="en-GB" w:eastAsia="zh-CN"/>
        </w:rPr>
        <w:t xml:space="preserve"> A: </w:t>
      </w:r>
      <w:r w:rsidRPr="00303E62">
        <w:rPr>
          <w:rFonts w:ascii="Book Antiqua" w:eastAsia="Calibri" w:hAnsi="Book Antiqua" w:cs="Arial"/>
          <w:sz w:val="24"/>
          <w:szCs w:val="24"/>
          <w:lang w:val="en-GB"/>
        </w:rPr>
        <w:t>Benign brush cy</w:t>
      </w:r>
      <w:r w:rsidR="00F72825">
        <w:rPr>
          <w:rFonts w:ascii="Book Antiqua" w:eastAsia="Calibri" w:hAnsi="Book Antiqua" w:cs="Arial"/>
          <w:sz w:val="24"/>
          <w:szCs w:val="24"/>
          <w:lang w:val="en-GB"/>
        </w:rPr>
        <w:t>tology with inflammatory atypia</w:t>
      </w:r>
      <w:r w:rsidR="00F72825">
        <w:rPr>
          <w:rFonts w:ascii="Book Antiqua" w:eastAsia="Calibri" w:hAnsi="Book Antiqua" w:cs="Arial" w:hint="eastAsia"/>
          <w:sz w:val="24"/>
          <w:szCs w:val="24"/>
          <w:lang w:val="en-GB" w:eastAsia="zh-CN"/>
        </w:rPr>
        <w:t xml:space="preserve">; </w:t>
      </w:r>
      <w:r w:rsidR="00F72825">
        <w:rPr>
          <w:rFonts w:ascii="Book Antiqua" w:hAnsi="Book Antiqua" w:cs="Arial" w:hint="eastAsia"/>
          <w:sz w:val="24"/>
          <w:szCs w:val="24"/>
          <w:lang w:val="en-GB" w:eastAsia="zh-CN"/>
        </w:rPr>
        <w:t xml:space="preserve">B: </w:t>
      </w:r>
      <w:r w:rsidRPr="00303E62">
        <w:rPr>
          <w:rFonts w:ascii="Book Antiqua" w:eastAsia="Calibri" w:hAnsi="Book Antiqua" w:cs="Arial"/>
          <w:sz w:val="24"/>
          <w:szCs w:val="24"/>
          <w:lang w:val="en-GB"/>
        </w:rPr>
        <w:t>Brush cytolo</w:t>
      </w:r>
      <w:r w:rsidR="00F72825">
        <w:rPr>
          <w:rFonts w:ascii="Book Antiqua" w:eastAsia="Calibri" w:hAnsi="Book Antiqua" w:cs="Arial"/>
          <w:sz w:val="24"/>
          <w:szCs w:val="24"/>
          <w:lang w:val="en-GB"/>
        </w:rPr>
        <w:t>gy with suspicion of malignancy</w:t>
      </w:r>
      <w:r w:rsidR="00F72825">
        <w:rPr>
          <w:rFonts w:ascii="Book Antiqua" w:eastAsia="Calibri" w:hAnsi="Book Antiqua" w:cs="Arial" w:hint="eastAsia"/>
          <w:sz w:val="24"/>
          <w:szCs w:val="24"/>
          <w:lang w:val="en-GB" w:eastAsia="zh-CN"/>
        </w:rPr>
        <w:t xml:space="preserve">; </w:t>
      </w:r>
      <w:r w:rsidR="00F72825">
        <w:rPr>
          <w:rFonts w:ascii="Book Antiqua" w:hAnsi="Book Antiqua" w:cs="Arial"/>
          <w:sz w:val="24"/>
          <w:szCs w:val="24"/>
          <w:lang w:val="en-GB" w:eastAsia="zh-CN"/>
        </w:rPr>
        <w:t>and</w:t>
      </w:r>
      <w:r w:rsidR="00F72825">
        <w:rPr>
          <w:rFonts w:ascii="Book Antiqua" w:hAnsi="Book Antiqua" w:cs="Arial" w:hint="eastAsia"/>
          <w:sz w:val="24"/>
          <w:szCs w:val="24"/>
          <w:lang w:val="en-GB" w:eastAsia="zh-CN"/>
        </w:rPr>
        <w:t xml:space="preserve"> C: </w:t>
      </w:r>
      <w:r w:rsidRPr="00303E62">
        <w:rPr>
          <w:rFonts w:ascii="Book Antiqua" w:eastAsia="Calibri" w:hAnsi="Book Antiqua" w:cs="Arial"/>
          <w:sz w:val="24"/>
          <w:szCs w:val="24"/>
          <w:lang w:val="en-GB"/>
        </w:rPr>
        <w:t xml:space="preserve">Malignant brush cytology. Patient was </w:t>
      </w:r>
      <w:r w:rsidR="00516873" w:rsidRPr="00303E62">
        <w:rPr>
          <w:rFonts w:ascii="Book Antiqua" w:eastAsia="Calibri" w:hAnsi="Book Antiqua" w:cs="Arial"/>
          <w:sz w:val="24"/>
          <w:szCs w:val="24"/>
          <w:lang w:val="en-GB"/>
        </w:rPr>
        <w:t>diagnose</w:t>
      </w:r>
      <w:r w:rsidR="00CC671F" w:rsidRPr="00303E62">
        <w:rPr>
          <w:rFonts w:ascii="Book Antiqua" w:eastAsia="Calibri" w:hAnsi="Book Antiqua" w:cs="Arial"/>
          <w:sz w:val="24"/>
          <w:szCs w:val="24"/>
          <w:lang w:val="en-GB"/>
        </w:rPr>
        <w:t>d</w:t>
      </w:r>
      <w:r w:rsidR="00516873" w:rsidRPr="00303E62">
        <w:rPr>
          <w:rFonts w:ascii="Book Antiqua" w:eastAsia="Calibri" w:hAnsi="Book Antiqua" w:cs="Arial"/>
          <w:sz w:val="24"/>
          <w:szCs w:val="24"/>
          <w:lang w:val="en-GB"/>
        </w:rPr>
        <w:t xml:space="preserve"> with</w:t>
      </w:r>
      <w:r w:rsidRPr="00303E62">
        <w:rPr>
          <w:rFonts w:ascii="Book Antiqua" w:eastAsia="Calibri" w:hAnsi="Book Antiqua" w:cs="Arial"/>
          <w:sz w:val="24"/>
          <w:szCs w:val="24"/>
          <w:lang w:val="en-GB"/>
        </w:rPr>
        <w:t xml:space="preserve"> cholangiocarcinoma.</w:t>
      </w:r>
    </w:p>
    <w:p w14:paraId="06F340F4" w14:textId="77777777" w:rsidR="00F72825" w:rsidRDefault="00F72825" w:rsidP="00D305D7">
      <w:pPr>
        <w:snapToGrid w:val="0"/>
        <w:spacing w:after="0" w:line="360" w:lineRule="auto"/>
        <w:rPr>
          <w:rFonts w:ascii="Book Antiqua" w:eastAsia="Calibri" w:hAnsi="Book Antiqua" w:cs="Arial"/>
          <w:sz w:val="24"/>
          <w:szCs w:val="24"/>
          <w:lang w:val="en-GB"/>
        </w:rPr>
      </w:pPr>
      <w:r>
        <w:rPr>
          <w:rFonts w:ascii="Book Antiqua" w:eastAsia="Calibri" w:hAnsi="Book Antiqua" w:cs="Arial"/>
          <w:sz w:val="24"/>
          <w:szCs w:val="24"/>
          <w:lang w:val="en-GB"/>
        </w:rPr>
        <w:br w:type="page"/>
      </w:r>
    </w:p>
    <w:p w14:paraId="3D0F8E4F" w14:textId="7E0C2492" w:rsidR="00F72825" w:rsidRDefault="000F41C3" w:rsidP="00D305D7">
      <w:pPr>
        <w:snapToGrid w:val="0"/>
        <w:spacing w:after="0" w:line="360" w:lineRule="auto"/>
        <w:jc w:val="both"/>
        <w:rPr>
          <w:rFonts w:ascii="Book Antiqua" w:hAnsi="Book Antiqua" w:cs="Arial"/>
          <w:b/>
          <w:sz w:val="24"/>
          <w:szCs w:val="24"/>
          <w:lang w:val="en-GB" w:eastAsia="zh-CN"/>
        </w:rPr>
      </w:pPr>
      <w:r>
        <w:rPr>
          <w:noProof/>
          <w:lang w:val="en-US" w:eastAsia="zh-CN"/>
        </w:rPr>
        <w:lastRenderedPageBreak/>
        <w:drawing>
          <wp:inline distT="0" distB="0" distL="0" distR="0" wp14:anchorId="32E3E5A7" wp14:editId="6BEDFE9F">
            <wp:extent cx="2914286" cy="6019048"/>
            <wp:effectExtent l="0" t="0" r="63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4286" cy="6019048"/>
                    </a:xfrm>
                    <a:prstGeom prst="rect">
                      <a:avLst/>
                    </a:prstGeom>
                  </pic:spPr>
                </pic:pic>
              </a:graphicData>
            </a:graphic>
          </wp:inline>
        </w:drawing>
      </w:r>
    </w:p>
    <w:p w14:paraId="7A0E5CCB" w14:textId="41C64B19" w:rsidR="00663156" w:rsidRPr="000F41C3" w:rsidRDefault="00663156" w:rsidP="00D305D7">
      <w:pPr>
        <w:snapToGrid w:val="0"/>
        <w:spacing w:after="0" w:line="360" w:lineRule="auto"/>
        <w:jc w:val="both"/>
        <w:rPr>
          <w:rFonts w:ascii="Book Antiqua" w:eastAsia="Calibri" w:hAnsi="Book Antiqua" w:cs="Arial"/>
          <w:b/>
          <w:sz w:val="24"/>
          <w:szCs w:val="24"/>
          <w:lang w:val="en-GB"/>
        </w:rPr>
      </w:pPr>
      <w:r w:rsidRPr="00303E62">
        <w:rPr>
          <w:rFonts w:ascii="Book Antiqua" w:eastAsia="Calibri" w:hAnsi="Book Antiqua" w:cs="Arial"/>
          <w:b/>
          <w:sz w:val="24"/>
          <w:szCs w:val="24"/>
          <w:lang w:val="en-GB"/>
        </w:rPr>
        <w:t>Figure 2</w:t>
      </w:r>
      <w:r w:rsidR="000F41C3">
        <w:rPr>
          <w:rFonts w:ascii="Book Antiqua" w:eastAsia="Calibri" w:hAnsi="Book Antiqua" w:cs="Arial" w:hint="eastAsia"/>
          <w:b/>
          <w:sz w:val="24"/>
          <w:szCs w:val="24"/>
          <w:lang w:val="en-GB" w:eastAsia="zh-CN"/>
        </w:rPr>
        <w:t xml:space="preserve"> </w:t>
      </w:r>
      <w:r w:rsidR="000E1DEF" w:rsidRPr="000F41C3">
        <w:rPr>
          <w:rFonts w:ascii="Book Antiqua" w:eastAsia="Calibri" w:hAnsi="Book Antiqua" w:cs="Arial"/>
          <w:b/>
          <w:sz w:val="24"/>
          <w:szCs w:val="24"/>
          <w:lang w:val="en-GB"/>
        </w:rPr>
        <w:t>Histology from explanted livers diagnosed with biliary neoplasia.</w:t>
      </w:r>
      <w:r w:rsidR="000F41C3">
        <w:rPr>
          <w:rFonts w:ascii="Book Antiqua" w:hAnsi="Book Antiqua" w:cs="Arial" w:hint="eastAsia"/>
          <w:b/>
          <w:sz w:val="24"/>
          <w:szCs w:val="24"/>
          <w:lang w:val="en-GB" w:eastAsia="zh-CN"/>
        </w:rPr>
        <w:t xml:space="preserve"> </w:t>
      </w:r>
      <w:r w:rsidR="000F41C3" w:rsidRPr="00F5412B">
        <w:rPr>
          <w:rFonts w:ascii="Book Antiqua" w:hAnsi="Book Antiqua" w:cs="Arial" w:hint="eastAsia"/>
          <w:sz w:val="24"/>
          <w:szCs w:val="24"/>
          <w:lang w:val="en-GB" w:eastAsia="zh-CN"/>
        </w:rPr>
        <w:t>A:</w:t>
      </w:r>
      <w:r w:rsidR="000F41C3">
        <w:rPr>
          <w:rFonts w:ascii="Book Antiqua" w:hAnsi="Book Antiqua" w:cs="Arial" w:hint="eastAsia"/>
          <w:b/>
          <w:sz w:val="24"/>
          <w:szCs w:val="24"/>
          <w:lang w:val="en-GB" w:eastAsia="zh-CN"/>
        </w:rPr>
        <w:t xml:space="preserve"> </w:t>
      </w:r>
      <w:r w:rsidRPr="00303E62">
        <w:rPr>
          <w:rFonts w:ascii="Book Antiqua" w:eastAsia="Calibri" w:hAnsi="Book Antiqua" w:cs="Arial"/>
          <w:sz w:val="24"/>
          <w:szCs w:val="24"/>
          <w:lang w:val="en-GB"/>
        </w:rPr>
        <w:t>Bile duct from explanted</w:t>
      </w:r>
      <w:r w:rsidR="000F41C3">
        <w:rPr>
          <w:rFonts w:ascii="Book Antiqua" w:eastAsia="Calibri" w:hAnsi="Book Antiqua" w:cs="Arial"/>
          <w:sz w:val="24"/>
          <w:szCs w:val="24"/>
          <w:lang w:val="en-GB"/>
        </w:rPr>
        <w:t xml:space="preserve"> liver with low-grade dysplasia</w:t>
      </w:r>
      <w:r w:rsidR="000F41C3">
        <w:rPr>
          <w:rFonts w:ascii="Book Antiqua" w:eastAsia="Calibri" w:hAnsi="Book Antiqua" w:cs="Arial" w:hint="eastAsia"/>
          <w:sz w:val="24"/>
          <w:szCs w:val="24"/>
          <w:lang w:val="en-GB" w:eastAsia="zh-CN"/>
        </w:rPr>
        <w:t xml:space="preserve">; B: </w:t>
      </w:r>
      <w:r w:rsidRPr="00303E62">
        <w:rPr>
          <w:rFonts w:ascii="Book Antiqua" w:eastAsia="Calibri" w:hAnsi="Book Antiqua" w:cs="Arial"/>
          <w:sz w:val="24"/>
          <w:szCs w:val="24"/>
          <w:lang w:val="en-GB"/>
        </w:rPr>
        <w:t xml:space="preserve">Bile duct from explanted </w:t>
      </w:r>
      <w:r w:rsidR="000F41C3">
        <w:rPr>
          <w:rFonts w:ascii="Book Antiqua" w:eastAsia="Calibri" w:hAnsi="Book Antiqua" w:cs="Arial"/>
          <w:sz w:val="24"/>
          <w:szCs w:val="24"/>
          <w:lang w:val="en-GB"/>
        </w:rPr>
        <w:t>liver with high-grade dysplasia</w:t>
      </w:r>
      <w:r w:rsidR="000F41C3">
        <w:rPr>
          <w:rFonts w:ascii="Book Antiqua" w:eastAsia="Calibri" w:hAnsi="Book Antiqua" w:cs="Arial" w:hint="eastAsia"/>
          <w:sz w:val="24"/>
          <w:szCs w:val="24"/>
          <w:lang w:val="en-GB" w:eastAsia="zh-CN"/>
        </w:rPr>
        <w:t xml:space="preserve">; and C: </w:t>
      </w:r>
      <w:r w:rsidRPr="00303E62">
        <w:rPr>
          <w:rFonts w:ascii="Book Antiqua" w:eastAsia="Calibri" w:hAnsi="Book Antiqua" w:cs="Arial"/>
          <w:sz w:val="24"/>
          <w:szCs w:val="24"/>
          <w:lang w:val="en-GB"/>
        </w:rPr>
        <w:t>Cholangiocarcinoma from explanted liver.</w:t>
      </w:r>
    </w:p>
    <w:p w14:paraId="33F6DBC3" w14:textId="584B6113" w:rsidR="00F72825" w:rsidRDefault="00F72825" w:rsidP="00D305D7">
      <w:pPr>
        <w:snapToGrid w:val="0"/>
        <w:spacing w:after="0" w:line="360" w:lineRule="auto"/>
        <w:rPr>
          <w:rFonts w:ascii="Book Antiqua" w:eastAsia="Calibri" w:hAnsi="Book Antiqua" w:cs="Arial"/>
          <w:sz w:val="24"/>
          <w:szCs w:val="24"/>
          <w:lang w:val="en-GB"/>
        </w:rPr>
      </w:pPr>
      <w:r>
        <w:rPr>
          <w:rFonts w:ascii="Book Antiqua" w:eastAsia="Calibri" w:hAnsi="Book Antiqua" w:cs="Arial"/>
          <w:sz w:val="24"/>
          <w:szCs w:val="24"/>
          <w:lang w:val="en-GB"/>
        </w:rPr>
        <w:br w:type="page"/>
      </w:r>
    </w:p>
    <w:p w14:paraId="63B0698E" w14:textId="37AEF4AB" w:rsidR="00F72825" w:rsidRPr="00815C34" w:rsidRDefault="00F72825" w:rsidP="00D305D7">
      <w:pPr>
        <w:snapToGrid w:val="0"/>
        <w:spacing w:after="0" w:line="360" w:lineRule="auto"/>
        <w:jc w:val="both"/>
        <w:rPr>
          <w:rFonts w:ascii="Book Antiqua" w:hAnsi="Book Antiqua" w:cs="Arial"/>
          <w:b/>
          <w:bCs/>
          <w:sz w:val="24"/>
          <w:szCs w:val="24"/>
          <w:lang w:val="en-GB" w:eastAsia="zh-CN"/>
        </w:rPr>
      </w:pPr>
      <w:r w:rsidRPr="00303E62">
        <w:rPr>
          <w:rFonts w:ascii="Book Antiqua" w:eastAsia="Times New Roman" w:hAnsi="Book Antiqua" w:cs="Arial"/>
          <w:b/>
          <w:bCs/>
          <w:sz w:val="24"/>
          <w:szCs w:val="24"/>
          <w:lang w:val="en-GB" w:eastAsia="fi-FI"/>
        </w:rPr>
        <w:lastRenderedPageBreak/>
        <w:t>Table 1</w:t>
      </w:r>
      <w:r w:rsidR="00F5412B">
        <w:rPr>
          <w:rFonts w:ascii="Book Antiqua" w:eastAsia="Times New Roman" w:hAnsi="Book Antiqua" w:cs="Arial" w:hint="eastAsia"/>
          <w:b/>
          <w:bCs/>
          <w:sz w:val="24"/>
          <w:szCs w:val="24"/>
          <w:lang w:val="en-GB" w:eastAsia="zh-CN"/>
        </w:rPr>
        <w:t xml:space="preserve"> </w:t>
      </w:r>
      <w:r w:rsidRPr="00303E62">
        <w:rPr>
          <w:rFonts w:ascii="Book Antiqua" w:eastAsia="Times New Roman" w:hAnsi="Book Antiqua" w:cs="Arial"/>
          <w:b/>
          <w:bCs/>
          <w:sz w:val="24"/>
          <w:szCs w:val="24"/>
          <w:lang w:val="en-GB" w:eastAsia="fi-FI"/>
        </w:rPr>
        <w:t xml:space="preserve">Histological findings in 30 explanted livers of </w:t>
      </w:r>
      <w:r w:rsidR="00F73722" w:rsidRPr="00F73722">
        <w:rPr>
          <w:rFonts w:ascii="Book Antiqua" w:eastAsia="Times New Roman" w:hAnsi="Book Antiqua" w:cs="Arial"/>
          <w:b/>
          <w:bCs/>
          <w:sz w:val="24"/>
          <w:szCs w:val="24"/>
          <w:lang w:val="en-GB" w:eastAsia="fi-FI"/>
        </w:rPr>
        <w:t>primary sclerosing cholangitis</w:t>
      </w:r>
      <w:r w:rsidRPr="00303E62">
        <w:rPr>
          <w:rFonts w:ascii="Book Antiqua" w:eastAsia="Times New Roman" w:hAnsi="Book Antiqua" w:cs="Arial"/>
          <w:b/>
          <w:bCs/>
          <w:sz w:val="24"/>
          <w:szCs w:val="24"/>
          <w:lang w:val="en-GB" w:eastAsia="fi-FI"/>
        </w:rPr>
        <w:t xml:space="preserve"> patients with biliary low-grade dyspla</w:t>
      </w:r>
      <w:r w:rsidR="00815C34">
        <w:rPr>
          <w:rFonts w:ascii="Book Antiqua" w:eastAsia="Times New Roman" w:hAnsi="Book Antiqua" w:cs="Arial"/>
          <w:b/>
          <w:bCs/>
          <w:sz w:val="24"/>
          <w:szCs w:val="24"/>
          <w:lang w:val="en-GB" w:eastAsia="fi-FI"/>
        </w:rPr>
        <w:t>sia or high-grade dysplasia/</w:t>
      </w:r>
      <w:r w:rsidR="00815C34" w:rsidRPr="00815C34">
        <w:rPr>
          <w:rFonts w:ascii="Book Antiqua" w:eastAsia="Times New Roman" w:hAnsi="Book Antiqua" w:cs="Arial"/>
          <w:bCs/>
          <w:sz w:val="24"/>
          <w:szCs w:val="24"/>
          <w:lang w:val="en-GB" w:eastAsia="fi-FI"/>
        </w:rPr>
        <w:t xml:space="preserve"> </w:t>
      </w:r>
      <w:r w:rsidR="00815C34" w:rsidRPr="00815C34">
        <w:rPr>
          <w:rFonts w:ascii="Book Antiqua" w:eastAsia="Times New Roman" w:hAnsi="Book Antiqua" w:cs="Arial"/>
          <w:b/>
          <w:bCs/>
          <w:sz w:val="24"/>
          <w:szCs w:val="24"/>
          <w:lang w:val="en-GB" w:eastAsia="fi-FI"/>
        </w:rPr>
        <w:t>cholangiocarcinoma</w:t>
      </w:r>
    </w:p>
    <w:tbl>
      <w:tblPr>
        <w:tblpPr w:leftFromText="180" w:rightFromText="180" w:vertAnchor="text" w:horzAnchor="margin" w:tblpY="338"/>
        <w:tblW w:w="9180" w:type="dxa"/>
        <w:tblBorders>
          <w:top w:val="single" w:sz="8" w:space="0" w:color="auto"/>
          <w:bottom w:val="single" w:sz="4" w:space="0" w:color="auto"/>
        </w:tblBorders>
        <w:tblCellMar>
          <w:left w:w="70" w:type="dxa"/>
          <w:right w:w="70" w:type="dxa"/>
        </w:tblCellMar>
        <w:tblLook w:val="04A0" w:firstRow="1" w:lastRow="0" w:firstColumn="1" w:lastColumn="0" w:noHBand="0" w:noVBand="1"/>
      </w:tblPr>
      <w:tblGrid>
        <w:gridCol w:w="3828"/>
        <w:gridCol w:w="2072"/>
        <w:gridCol w:w="1897"/>
        <w:gridCol w:w="1383"/>
      </w:tblGrid>
      <w:tr w:rsidR="00815C34" w:rsidRPr="00303E62" w14:paraId="3363408C" w14:textId="77777777" w:rsidTr="00815C34">
        <w:trPr>
          <w:trHeight w:val="300"/>
        </w:trPr>
        <w:tc>
          <w:tcPr>
            <w:tcW w:w="3828" w:type="dxa"/>
            <w:tcBorders>
              <w:top w:val="single" w:sz="4" w:space="0" w:color="auto"/>
              <w:bottom w:val="single" w:sz="8" w:space="0" w:color="auto"/>
            </w:tcBorders>
            <w:shd w:val="clear" w:color="auto" w:fill="auto"/>
            <w:noWrap/>
            <w:vAlign w:val="bottom"/>
          </w:tcPr>
          <w:p w14:paraId="06707F26" w14:textId="77777777" w:rsidR="00815C34" w:rsidRPr="00303E62" w:rsidRDefault="00815C34" w:rsidP="00D305D7">
            <w:pPr>
              <w:snapToGrid w:val="0"/>
              <w:spacing w:after="0" w:line="360" w:lineRule="auto"/>
              <w:jc w:val="both"/>
              <w:rPr>
                <w:rFonts w:ascii="Book Antiqua" w:eastAsia="Times New Roman" w:hAnsi="Book Antiqua" w:cs="Arial"/>
                <w:sz w:val="24"/>
                <w:szCs w:val="24"/>
                <w:lang w:val="en-GB" w:eastAsia="fi-FI"/>
              </w:rPr>
            </w:pPr>
          </w:p>
        </w:tc>
        <w:tc>
          <w:tcPr>
            <w:tcW w:w="2072" w:type="dxa"/>
            <w:tcBorders>
              <w:top w:val="single" w:sz="4" w:space="0" w:color="auto"/>
              <w:bottom w:val="single" w:sz="8" w:space="0" w:color="auto"/>
            </w:tcBorders>
            <w:shd w:val="clear" w:color="auto" w:fill="auto"/>
            <w:noWrap/>
            <w:vAlign w:val="bottom"/>
          </w:tcPr>
          <w:p w14:paraId="24CA86A2" w14:textId="77777777" w:rsidR="00815C34" w:rsidRPr="00303E62" w:rsidRDefault="00815C34"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LGD</w:t>
            </w:r>
          </w:p>
        </w:tc>
        <w:tc>
          <w:tcPr>
            <w:tcW w:w="1897" w:type="dxa"/>
            <w:tcBorders>
              <w:top w:val="single" w:sz="4" w:space="0" w:color="auto"/>
              <w:bottom w:val="single" w:sz="8" w:space="0" w:color="auto"/>
            </w:tcBorders>
            <w:shd w:val="clear" w:color="auto" w:fill="auto"/>
            <w:noWrap/>
            <w:vAlign w:val="bottom"/>
          </w:tcPr>
          <w:p w14:paraId="089BC6AD" w14:textId="77777777" w:rsidR="00815C34" w:rsidRPr="00303E62" w:rsidRDefault="00815C34" w:rsidP="00D305D7">
            <w:pPr>
              <w:snapToGrid w:val="0"/>
              <w:spacing w:after="0" w:line="360" w:lineRule="auto"/>
              <w:jc w:val="center"/>
              <w:rPr>
                <w:rFonts w:ascii="Book Antiqua" w:eastAsia="Times New Roman" w:hAnsi="Book Antiqua" w:cs="Arial"/>
                <w:b/>
                <w:bCs/>
                <w:sz w:val="24"/>
                <w:szCs w:val="24"/>
                <w:vertAlign w:val="superscript"/>
                <w:lang w:val="en-GB" w:eastAsia="fi-FI"/>
              </w:rPr>
            </w:pPr>
            <w:r w:rsidRPr="00303E62">
              <w:rPr>
                <w:rFonts w:ascii="Book Antiqua" w:eastAsia="Times New Roman" w:hAnsi="Book Antiqua" w:cs="Arial"/>
                <w:b/>
                <w:bCs/>
                <w:sz w:val="24"/>
                <w:szCs w:val="24"/>
                <w:lang w:val="en-GB" w:eastAsia="fi-FI"/>
              </w:rPr>
              <w:t>HGD</w:t>
            </w:r>
            <w:r>
              <w:rPr>
                <w:rFonts w:ascii="Book Antiqua" w:eastAsia="Times New Roman" w:hAnsi="Book Antiqua" w:cs="Arial" w:hint="eastAsia"/>
                <w:b/>
                <w:bCs/>
                <w:sz w:val="24"/>
                <w:szCs w:val="24"/>
                <w:lang w:val="en-GB" w:eastAsia="zh-CN"/>
              </w:rPr>
              <w:t xml:space="preserve"> </w:t>
            </w:r>
            <w:r w:rsidRPr="00303E62">
              <w:rPr>
                <w:rFonts w:ascii="Book Antiqua" w:eastAsia="Times New Roman" w:hAnsi="Book Antiqua" w:cs="Arial"/>
                <w:b/>
                <w:bCs/>
                <w:sz w:val="24"/>
                <w:szCs w:val="24"/>
                <w:lang w:val="en-GB" w:eastAsia="fi-FI"/>
              </w:rPr>
              <w:t>+</w:t>
            </w:r>
            <w:r>
              <w:rPr>
                <w:rFonts w:ascii="Book Antiqua" w:eastAsia="Times New Roman" w:hAnsi="Book Antiqua" w:cs="Arial" w:hint="eastAsia"/>
                <w:b/>
                <w:bCs/>
                <w:sz w:val="24"/>
                <w:szCs w:val="24"/>
                <w:lang w:val="en-GB" w:eastAsia="zh-CN"/>
              </w:rPr>
              <w:t xml:space="preserve"> </w:t>
            </w:r>
            <w:r w:rsidRPr="00303E62">
              <w:rPr>
                <w:rFonts w:ascii="Book Antiqua" w:eastAsia="Times New Roman" w:hAnsi="Book Antiqua" w:cs="Arial"/>
                <w:b/>
                <w:bCs/>
                <w:sz w:val="24"/>
                <w:szCs w:val="24"/>
                <w:lang w:val="en-GB" w:eastAsia="fi-FI"/>
              </w:rPr>
              <w:t>CCA</w:t>
            </w:r>
            <w:r w:rsidRPr="00433C73">
              <w:rPr>
                <w:rFonts w:ascii="Book Antiqua" w:hAnsi="Book Antiqua" w:cs="Arial"/>
                <w:b/>
                <w:sz w:val="24"/>
                <w:szCs w:val="24"/>
                <w:vertAlign w:val="superscript"/>
                <w:lang w:val="en-GB"/>
              </w:rPr>
              <w:t>2</w:t>
            </w:r>
          </w:p>
        </w:tc>
        <w:tc>
          <w:tcPr>
            <w:tcW w:w="1383" w:type="dxa"/>
            <w:tcBorders>
              <w:top w:val="single" w:sz="4" w:space="0" w:color="auto"/>
              <w:bottom w:val="single" w:sz="8" w:space="0" w:color="auto"/>
            </w:tcBorders>
            <w:shd w:val="clear" w:color="auto" w:fill="auto"/>
            <w:noWrap/>
            <w:vAlign w:val="bottom"/>
          </w:tcPr>
          <w:p w14:paraId="5B219BCF" w14:textId="77777777" w:rsidR="00815C34" w:rsidRPr="00303E62" w:rsidRDefault="00815C34" w:rsidP="00D305D7">
            <w:pPr>
              <w:snapToGrid w:val="0"/>
              <w:spacing w:after="0" w:line="360" w:lineRule="auto"/>
              <w:jc w:val="center"/>
              <w:rPr>
                <w:rFonts w:ascii="Book Antiqua" w:eastAsia="Times New Roman" w:hAnsi="Book Antiqua" w:cs="Arial"/>
                <w:b/>
                <w:bCs/>
                <w:sz w:val="24"/>
                <w:szCs w:val="24"/>
                <w:lang w:val="en-GB" w:eastAsia="zh-CN"/>
              </w:rPr>
            </w:pPr>
            <w:r w:rsidRPr="00815C34">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p>
        </w:tc>
      </w:tr>
      <w:tr w:rsidR="00815C34" w:rsidRPr="00303E62" w14:paraId="78E5F286" w14:textId="77777777" w:rsidTr="00815C34">
        <w:trPr>
          <w:trHeight w:val="300"/>
        </w:trPr>
        <w:tc>
          <w:tcPr>
            <w:tcW w:w="3828" w:type="dxa"/>
            <w:tcBorders>
              <w:top w:val="single" w:sz="8" w:space="0" w:color="auto"/>
            </w:tcBorders>
            <w:shd w:val="clear" w:color="auto" w:fill="auto"/>
            <w:noWrap/>
            <w:vAlign w:val="bottom"/>
          </w:tcPr>
          <w:p w14:paraId="01B0075E" w14:textId="77777777" w:rsidR="00815C34" w:rsidRPr="00815C34" w:rsidRDefault="00815C34" w:rsidP="00D305D7">
            <w:pPr>
              <w:snapToGrid w:val="0"/>
              <w:spacing w:after="0" w:line="360" w:lineRule="auto"/>
              <w:jc w:val="both"/>
              <w:rPr>
                <w:rFonts w:ascii="Book Antiqua" w:eastAsia="Times New Roman" w:hAnsi="Book Antiqua" w:cs="Arial"/>
                <w:bCs/>
                <w:sz w:val="24"/>
                <w:szCs w:val="24"/>
                <w:lang w:val="en-GB" w:eastAsia="fi-FI"/>
              </w:rPr>
            </w:pPr>
            <w:r w:rsidRPr="00815C34">
              <w:rPr>
                <w:rFonts w:ascii="Book Antiqua" w:eastAsia="Times New Roman" w:hAnsi="Book Antiqua" w:cs="Arial"/>
                <w:bCs/>
                <w:i/>
                <w:sz w:val="24"/>
                <w:szCs w:val="24"/>
                <w:lang w:val="en-GB" w:eastAsia="fi-FI"/>
              </w:rPr>
              <w:t>n</w:t>
            </w:r>
          </w:p>
        </w:tc>
        <w:tc>
          <w:tcPr>
            <w:tcW w:w="2072" w:type="dxa"/>
            <w:tcBorders>
              <w:top w:val="single" w:sz="8" w:space="0" w:color="auto"/>
            </w:tcBorders>
            <w:shd w:val="clear" w:color="auto" w:fill="auto"/>
            <w:noWrap/>
            <w:vAlign w:val="bottom"/>
          </w:tcPr>
          <w:p w14:paraId="59173FB8"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16</w:t>
            </w:r>
          </w:p>
        </w:tc>
        <w:tc>
          <w:tcPr>
            <w:tcW w:w="1897" w:type="dxa"/>
            <w:tcBorders>
              <w:top w:val="single" w:sz="8" w:space="0" w:color="auto"/>
            </w:tcBorders>
            <w:shd w:val="clear" w:color="auto" w:fill="auto"/>
            <w:noWrap/>
            <w:vAlign w:val="bottom"/>
          </w:tcPr>
          <w:p w14:paraId="6BF453E1"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14</w:t>
            </w:r>
          </w:p>
        </w:tc>
        <w:tc>
          <w:tcPr>
            <w:tcW w:w="1383" w:type="dxa"/>
            <w:tcBorders>
              <w:top w:val="single" w:sz="8" w:space="0" w:color="auto"/>
            </w:tcBorders>
            <w:shd w:val="clear" w:color="auto" w:fill="auto"/>
            <w:noWrap/>
            <w:vAlign w:val="bottom"/>
          </w:tcPr>
          <w:p w14:paraId="1742CE02"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p>
        </w:tc>
      </w:tr>
      <w:tr w:rsidR="00815C34" w:rsidRPr="00303E62" w14:paraId="45C83DC8" w14:textId="77777777" w:rsidTr="00815C34">
        <w:trPr>
          <w:trHeight w:val="300"/>
        </w:trPr>
        <w:tc>
          <w:tcPr>
            <w:tcW w:w="3828" w:type="dxa"/>
            <w:shd w:val="clear" w:color="auto" w:fill="auto"/>
            <w:noWrap/>
            <w:vAlign w:val="bottom"/>
          </w:tcPr>
          <w:p w14:paraId="2895E9AE" w14:textId="77777777" w:rsidR="00815C34" w:rsidRPr="00815C34" w:rsidRDefault="00815C34" w:rsidP="00D305D7">
            <w:pPr>
              <w:snapToGrid w:val="0"/>
              <w:spacing w:after="0" w:line="360" w:lineRule="auto"/>
              <w:jc w:val="both"/>
              <w:rPr>
                <w:rFonts w:ascii="Book Antiqua" w:eastAsia="Times New Roman" w:hAnsi="Book Antiqua" w:cs="Arial"/>
                <w:bCs/>
                <w:sz w:val="24"/>
                <w:szCs w:val="24"/>
                <w:lang w:val="en-GB" w:eastAsia="fi-FI"/>
              </w:rPr>
            </w:pPr>
            <w:r w:rsidRPr="00815C34">
              <w:rPr>
                <w:rFonts w:ascii="Book Antiqua" w:eastAsia="Times New Roman" w:hAnsi="Book Antiqua" w:cs="Arial"/>
                <w:bCs/>
                <w:sz w:val="24"/>
                <w:szCs w:val="24"/>
                <w:lang w:val="en-GB" w:eastAsia="fi-FI"/>
              </w:rPr>
              <w:t>Early LT</w:t>
            </w:r>
            <w:r w:rsidRPr="00815C34">
              <w:rPr>
                <w:rFonts w:ascii="Book Antiqua" w:hAnsi="Book Antiqua" w:cs="Arial"/>
                <w:sz w:val="24"/>
                <w:szCs w:val="24"/>
                <w:shd w:val="clear" w:color="auto" w:fill="FFFFFF"/>
                <w:vertAlign w:val="superscript"/>
                <w:lang w:val="en-GB"/>
              </w:rPr>
              <w:t>1</w:t>
            </w:r>
            <w:r w:rsidRPr="00815C34">
              <w:rPr>
                <w:rFonts w:ascii="Book Antiqua" w:eastAsia="Times New Roman" w:hAnsi="Book Antiqua" w:cs="Arial"/>
                <w:bCs/>
                <w:sz w:val="24"/>
                <w:szCs w:val="24"/>
                <w:lang w:val="en-GB" w:eastAsia="fi-FI"/>
              </w:rPr>
              <w:t xml:space="preserve">, </w:t>
            </w:r>
            <w:r w:rsidRPr="00815C34">
              <w:rPr>
                <w:rFonts w:ascii="Book Antiqua" w:eastAsia="Times New Roman" w:hAnsi="Book Antiqua" w:cs="Arial"/>
                <w:bCs/>
                <w:i/>
                <w:sz w:val="24"/>
                <w:szCs w:val="24"/>
                <w:lang w:val="en-GB" w:eastAsia="fi-FI"/>
              </w:rPr>
              <w:t>n</w:t>
            </w:r>
          </w:p>
        </w:tc>
        <w:tc>
          <w:tcPr>
            <w:tcW w:w="2072" w:type="dxa"/>
            <w:shd w:val="clear" w:color="auto" w:fill="auto"/>
            <w:noWrap/>
            <w:vAlign w:val="bottom"/>
          </w:tcPr>
          <w:p w14:paraId="1A327A60"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12</w:t>
            </w:r>
          </w:p>
        </w:tc>
        <w:tc>
          <w:tcPr>
            <w:tcW w:w="1897" w:type="dxa"/>
            <w:shd w:val="clear" w:color="auto" w:fill="auto"/>
            <w:noWrap/>
            <w:vAlign w:val="bottom"/>
          </w:tcPr>
          <w:p w14:paraId="1D8D7744"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11</w:t>
            </w:r>
          </w:p>
        </w:tc>
        <w:tc>
          <w:tcPr>
            <w:tcW w:w="1383" w:type="dxa"/>
            <w:shd w:val="clear" w:color="auto" w:fill="auto"/>
            <w:noWrap/>
            <w:vAlign w:val="bottom"/>
          </w:tcPr>
          <w:p w14:paraId="57251CA1"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1.000</w:t>
            </w:r>
          </w:p>
        </w:tc>
      </w:tr>
      <w:tr w:rsidR="00815C34" w:rsidRPr="00303E62" w14:paraId="59EFCE5B" w14:textId="77777777" w:rsidTr="00815C34">
        <w:trPr>
          <w:trHeight w:val="300"/>
        </w:trPr>
        <w:tc>
          <w:tcPr>
            <w:tcW w:w="3828" w:type="dxa"/>
            <w:shd w:val="clear" w:color="auto" w:fill="auto"/>
            <w:noWrap/>
            <w:vAlign w:val="bottom"/>
          </w:tcPr>
          <w:p w14:paraId="2DF6EDB6" w14:textId="77777777" w:rsidR="00815C34" w:rsidRPr="00815C34" w:rsidRDefault="00815C34" w:rsidP="00D305D7">
            <w:pPr>
              <w:snapToGrid w:val="0"/>
              <w:spacing w:after="0" w:line="360" w:lineRule="auto"/>
              <w:jc w:val="both"/>
              <w:rPr>
                <w:rFonts w:ascii="Book Antiqua" w:eastAsia="Times New Roman" w:hAnsi="Book Antiqua" w:cs="Arial"/>
                <w:bCs/>
                <w:sz w:val="24"/>
                <w:szCs w:val="24"/>
                <w:lang w:val="en-GB" w:eastAsia="fi-FI"/>
              </w:rPr>
            </w:pPr>
            <w:r w:rsidRPr="00815C34">
              <w:rPr>
                <w:rFonts w:ascii="Book Antiqua" w:eastAsia="Times New Roman" w:hAnsi="Book Antiqua" w:cs="Arial"/>
                <w:bCs/>
                <w:sz w:val="24"/>
                <w:szCs w:val="24"/>
                <w:lang w:val="en-GB" w:eastAsia="fi-FI"/>
              </w:rPr>
              <w:t>Histology intrahepatic</w:t>
            </w:r>
          </w:p>
        </w:tc>
        <w:tc>
          <w:tcPr>
            <w:tcW w:w="2072" w:type="dxa"/>
            <w:shd w:val="clear" w:color="auto" w:fill="auto"/>
            <w:noWrap/>
            <w:vAlign w:val="bottom"/>
          </w:tcPr>
          <w:p w14:paraId="750A209A" w14:textId="77777777" w:rsidR="00815C34" w:rsidRPr="00303E62" w:rsidRDefault="00815C34" w:rsidP="00D305D7">
            <w:pPr>
              <w:snapToGrid w:val="0"/>
              <w:spacing w:after="0" w:line="360" w:lineRule="auto"/>
              <w:jc w:val="center"/>
              <w:rPr>
                <w:rFonts w:ascii="Book Antiqua" w:eastAsia="Times New Roman" w:hAnsi="Book Antiqua" w:cs="Arial"/>
                <w:b/>
                <w:bCs/>
                <w:sz w:val="24"/>
                <w:szCs w:val="24"/>
                <w:lang w:val="en-GB" w:eastAsia="fi-FI"/>
              </w:rPr>
            </w:pPr>
          </w:p>
        </w:tc>
        <w:tc>
          <w:tcPr>
            <w:tcW w:w="1897" w:type="dxa"/>
            <w:shd w:val="clear" w:color="auto" w:fill="auto"/>
            <w:noWrap/>
            <w:vAlign w:val="bottom"/>
          </w:tcPr>
          <w:p w14:paraId="2091AAB5"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p>
        </w:tc>
        <w:tc>
          <w:tcPr>
            <w:tcW w:w="1383" w:type="dxa"/>
            <w:shd w:val="clear" w:color="auto" w:fill="auto"/>
            <w:noWrap/>
            <w:vAlign w:val="bottom"/>
          </w:tcPr>
          <w:p w14:paraId="0F4EB7DA"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p>
        </w:tc>
      </w:tr>
      <w:tr w:rsidR="00815C34" w:rsidRPr="00303E62" w14:paraId="2ED9525E" w14:textId="77777777" w:rsidTr="00815C34">
        <w:trPr>
          <w:trHeight w:val="300"/>
        </w:trPr>
        <w:tc>
          <w:tcPr>
            <w:tcW w:w="3828" w:type="dxa"/>
            <w:shd w:val="clear" w:color="auto" w:fill="auto"/>
            <w:noWrap/>
            <w:vAlign w:val="bottom"/>
          </w:tcPr>
          <w:p w14:paraId="5FCC60AF" w14:textId="77777777" w:rsidR="00815C34" w:rsidRPr="00815C34" w:rsidRDefault="00815C34" w:rsidP="00D305D7">
            <w:pPr>
              <w:snapToGrid w:val="0"/>
              <w:spacing w:after="0" w:line="360" w:lineRule="auto"/>
              <w:ind w:firstLineChars="200" w:firstLine="480"/>
              <w:jc w:val="both"/>
              <w:rPr>
                <w:rFonts w:ascii="Book Antiqua" w:eastAsia="Times New Roman" w:hAnsi="Book Antiqua" w:cs="Arial"/>
                <w:bCs/>
                <w:sz w:val="24"/>
                <w:szCs w:val="24"/>
                <w:lang w:val="en-GB" w:eastAsia="fi-FI"/>
              </w:rPr>
            </w:pPr>
            <w:r w:rsidRPr="00815C34">
              <w:rPr>
                <w:rFonts w:ascii="Book Antiqua" w:eastAsia="Times New Roman" w:hAnsi="Book Antiqua" w:cs="Arial"/>
                <w:bCs/>
                <w:sz w:val="24"/>
                <w:szCs w:val="24"/>
                <w:lang w:val="en-GB" w:eastAsia="fi-FI"/>
              </w:rPr>
              <w:t>Liver weight, g (IQR)</w:t>
            </w:r>
          </w:p>
        </w:tc>
        <w:tc>
          <w:tcPr>
            <w:tcW w:w="2072" w:type="dxa"/>
            <w:shd w:val="clear" w:color="auto" w:fill="auto"/>
            <w:noWrap/>
            <w:vAlign w:val="bottom"/>
          </w:tcPr>
          <w:p w14:paraId="3EA5FB6E"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1380 (1190-1717)</w:t>
            </w:r>
          </w:p>
        </w:tc>
        <w:tc>
          <w:tcPr>
            <w:tcW w:w="1897" w:type="dxa"/>
            <w:shd w:val="clear" w:color="auto" w:fill="auto"/>
            <w:noWrap/>
            <w:vAlign w:val="bottom"/>
          </w:tcPr>
          <w:p w14:paraId="00AB8D59"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1408 (1262-1487)</w:t>
            </w:r>
          </w:p>
        </w:tc>
        <w:tc>
          <w:tcPr>
            <w:tcW w:w="1383" w:type="dxa"/>
            <w:shd w:val="clear" w:color="auto" w:fill="auto"/>
            <w:noWrap/>
            <w:vAlign w:val="bottom"/>
          </w:tcPr>
          <w:p w14:paraId="505A2F67"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0.910</w:t>
            </w:r>
          </w:p>
        </w:tc>
      </w:tr>
      <w:tr w:rsidR="00815C34" w:rsidRPr="00303E62" w14:paraId="74990DE9" w14:textId="77777777" w:rsidTr="00815C34">
        <w:trPr>
          <w:trHeight w:val="300"/>
        </w:trPr>
        <w:tc>
          <w:tcPr>
            <w:tcW w:w="3828" w:type="dxa"/>
            <w:shd w:val="clear" w:color="auto" w:fill="auto"/>
            <w:noWrap/>
            <w:vAlign w:val="bottom"/>
          </w:tcPr>
          <w:p w14:paraId="6239BE2F" w14:textId="77777777" w:rsidR="00815C34" w:rsidRPr="00815C34" w:rsidRDefault="00815C34" w:rsidP="00D305D7">
            <w:pPr>
              <w:snapToGrid w:val="0"/>
              <w:spacing w:after="0" w:line="360" w:lineRule="auto"/>
              <w:ind w:firstLineChars="200" w:firstLine="480"/>
              <w:jc w:val="both"/>
              <w:rPr>
                <w:rFonts w:ascii="Book Antiqua" w:eastAsia="Times New Roman" w:hAnsi="Book Antiqua" w:cs="Arial"/>
                <w:bCs/>
                <w:sz w:val="24"/>
                <w:szCs w:val="24"/>
                <w:lang w:val="en-GB" w:eastAsia="fi-FI"/>
              </w:rPr>
            </w:pPr>
            <w:r w:rsidRPr="00815C34">
              <w:rPr>
                <w:rFonts w:ascii="Book Antiqua" w:eastAsia="Times New Roman" w:hAnsi="Book Antiqua" w:cs="Arial"/>
                <w:bCs/>
                <w:sz w:val="24"/>
                <w:szCs w:val="24"/>
                <w:lang w:val="en-GB" w:eastAsia="fi-FI"/>
              </w:rPr>
              <w:t>Fibrosis stage 1-4 (IQR)</w:t>
            </w:r>
          </w:p>
        </w:tc>
        <w:tc>
          <w:tcPr>
            <w:tcW w:w="2072" w:type="dxa"/>
            <w:shd w:val="clear" w:color="auto" w:fill="auto"/>
            <w:noWrap/>
            <w:vAlign w:val="bottom"/>
          </w:tcPr>
          <w:p w14:paraId="5C41E957"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3.5 (3.0-4.0)</w:t>
            </w:r>
          </w:p>
        </w:tc>
        <w:tc>
          <w:tcPr>
            <w:tcW w:w="1897" w:type="dxa"/>
            <w:shd w:val="clear" w:color="auto" w:fill="auto"/>
            <w:noWrap/>
            <w:vAlign w:val="bottom"/>
          </w:tcPr>
          <w:p w14:paraId="67A18765"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3.0 (2.0-4.0)</w:t>
            </w:r>
          </w:p>
        </w:tc>
        <w:tc>
          <w:tcPr>
            <w:tcW w:w="1383" w:type="dxa"/>
            <w:shd w:val="clear" w:color="auto" w:fill="auto"/>
            <w:noWrap/>
            <w:vAlign w:val="bottom"/>
          </w:tcPr>
          <w:p w14:paraId="3AD410E6"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0.473</w:t>
            </w:r>
          </w:p>
        </w:tc>
      </w:tr>
      <w:tr w:rsidR="00815C34" w:rsidRPr="00303E62" w14:paraId="137017D6" w14:textId="77777777" w:rsidTr="00815C34">
        <w:trPr>
          <w:trHeight w:val="300"/>
        </w:trPr>
        <w:tc>
          <w:tcPr>
            <w:tcW w:w="3828" w:type="dxa"/>
            <w:shd w:val="clear" w:color="auto" w:fill="auto"/>
            <w:noWrap/>
            <w:vAlign w:val="bottom"/>
          </w:tcPr>
          <w:p w14:paraId="2EB792FD" w14:textId="77777777" w:rsidR="00815C34" w:rsidRPr="00815C34" w:rsidRDefault="00815C34" w:rsidP="00D305D7">
            <w:pPr>
              <w:snapToGrid w:val="0"/>
              <w:spacing w:after="0" w:line="360" w:lineRule="auto"/>
              <w:ind w:firstLineChars="400" w:firstLine="960"/>
              <w:jc w:val="both"/>
              <w:rPr>
                <w:rFonts w:ascii="Book Antiqua" w:eastAsia="Times New Roman" w:hAnsi="Book Antiqua" w:cs="Arial"/>
                <w:bCs/>
                <w:iCs/>
                <w:sz w:val="24"/>
                <w:szCs w:val="24"/>
                <w:lang w:val="en-GB" w:eastAsia="fi-FI"/>
              </w:rPr>
            </w:pPr>
            <w:r w:rsidRPr="00815C34">
              <w:rPr>
                <w:rFonts w:ascii="Book Antiqua" w:eastAsia="Times New Roman" w:hAnsi="Book Antiqua" w:cs="Arial"/>
                <w:bCs/>
                <w:iCs/>
                <w:caps/>
                <w:sz w:val="24"/>
                <w:szCs w:val="24"/>
                <w:lang w:val="en-GB" w:eastAsia="fi-FI"/>
              </w:rPr>
              <w:t>s</w:t>
            </w:r>
            <w:r w:rsidRPr="00815C34">
              <w:rPr>
                <w:rFonts w:ascii="Book Antiqua" w:eastAsia="Times New Roman" w:hAnsi="Book Antiqua" w:cs="Arial"/>
                <w:bCs/>
                <w:iCs/>
                <w:sz w:val="24"/>
                <w:szCs w:val="24"/>
                <w:lang w:val="en-GB" w:eastAsia="fi-FI"/>
              </w:rPr>
              <w:t xml:space="preserve">tage 1-2, </w:t>
            </w:r>
            <w:r w:rsidRPr="00815C34">
              <w:rPr>
                <w:rFonts w:ascii="Book Antiqua" w:eastAsia="Times New Roman" w:hAnsi="Book Antiqua" w:cs="Arial"/>
                <w:bCs/>
                <w:i/>
                <w:iCs/>
                <w:sz w:val="24"/>
                <w:szCs w:val="24"/>
                <w:lang w:val="en-GB" w:eastAsia="fi-FI"/>
              </w:rPr>
              <w:t>n</w:t>
            </w:r>
          </w:p>
        </w:tc>
        <w:tc>
          <w:tcPr>
            <w:tcW w:w="2072" w:type="dxa"/>
            <w:shd w:val="clear" w:color="auto" w:fill="auto"/>
            <w:noWrap/>
            <w:vAlign w:val="bottom"/>
          </w:tcPr>
          <w:p w14:paraId="538ECA9A"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w:t>
            </w:r>
          </w:p>
        </w:tc>
        <w:tc>
          <w:tcPr>
            <w:tcW w:w="1897" w:type="dxa"/>
            <w:shd w:val="clear" w:color="auto" w:fill="auto"/>
            <w:noWrap/>
            <w:vAlign w:val="bottom"/>
          </w:tcPr>
          <w:p w14:paraId="27FF55DB"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383" w:type="dxa"/>
            <w:shd w:val="clear" w:color="auto" w:fill="auto"/>
            <w:noWrap/>
            <w:vAlign w:val="bottom"/>
          </w:tcPr>
          <w:p w14:paraId="098D7938"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0.675</w:t>
            </w:r>
          </w:p>
        </w:tc>
      </w:tr>
      <w:tr w:rsidR="00815C34" w:rsidRPr="00303E62" w14:paraId="40F676AA" w14:textId="77777777" w:rsidTr="00815C34">
        <w:trPr>
          <w:trHeight w:val="300"/>
        </w:trPr>
        <w:tc>
          <w:tcPr>
            <w:tcW w:w="3828" w:type="dxa"/>
            <w:shd w:val="clear" w:color="auto" w:fill="auto"/>
            <w:noWrap/>
            <w:vAlign w:val="bottom"/>
          </w:tcPr>
          <w:p w14:paraId="4E4F32F3" w14:textId="77777777" w:rsidR="00815C34" w:rsidRPr="00815C34" w:rsidRDefault="00815C34" w:rsidP="00D305D7">
            <w:pPr>
              <w:snapToGrid w:val="0"/>
              <w:spacing w:after="0" w:line="360" w:lineRule="auto"/>
              <w:ind w:firstLineChars="400" w:firstLine="960"/>
              <w:jc w:val="both"/>
              <w:rPr>
                <w:rFonts w:ascii="Book Antiqua" w:eastAsia="Times New Roman" w:hAnsi="Book Antiqua" w:cs="Arial"/>
                <w:bCs/>
                <w:iCs/>
                <w:sz w:val="24"/>
                <w:szCs w:val="24"/>
                <w:lang w:val="en-GB" w:eastAsia="fi-FI"/>
              </w:rPr>
            </w:pPr>
            <w:r w:rsidRPr="00815C34">
              <w:rPr>
                <w:rFonts w:ascii="Book Antiqua" w:eastAsia="Times New Roman" w:hAnsi="Book Antiqua" w:cs="Arial"/>
                <w:bCs/>
                <w:iCs/>
                <w:caps/>
                <w:sz w:val="24"/>
                <w:szCs w:val="24"/>
                <w:lang w:val="en-GB" w:eastAsia="fi-FI"/>
              </w:rPr>
              <w:t>s</w:t>
            </w:r>
            <w:r w:rsidRPr="00815C34">
              <w:rPr>
                <w:rFonts w:ascii="Book Antiqua" w:eastAsia="Times New Roman" w:hAnsi="Book Antiqua" w:cs="Arial"/>
                <w:bCs/>
                <w:iCs/>
                <w:sz w:val="24"/>
                <w:szCs w:val="24"/>
                <w:lang w:val="en-GB" w:eastAsia="fi-FI"/>
              </w:rPr>
              <w:t xml:space="preserve">tage 3-4, </w:t>
            </w:r>
            <w:r w:rsidRPr="00815C34">
              <w:rPr>
                <w:rFonts w:ascii="Book Antiqua" w:eastAsia="Times New Roman" w:hAnsi="Book Antiqua" w:cs="Arial"/>
                <w:bCs/>
                <w:i/>
                <w:iCs/>
                <w:sz w:val="24"/>
                <w:szCs w:val="24"/>
                <w:lang w:val="en-GB" w:eastAsia="fi-FI"/>
              </w:rPr>
              <w:t>n</w:t>
            </w:r>
          </w:p>
        </w:tc>
        <w:tc>
          <w:tcPr>
            <w:tcW w:w="2072" w:type="dxa"/>
            <w:shd w:val="clear" w:color="auto" w:fill="auto"/>
            <w:noWrap/>
            <w:vAlign w:val="bottom"/>
          </w:tcPr>
          <w:p w14:paraId="4F6275AF"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13</w:t>
            </w:r>
          </w:p>
        </w:tc>
        <w:tc>
          <w:tcPr>
            <w:tcW w:w="1897" w:type="dxa"/>
            <w:shd w:val="clear" w:color="auto" w:fill="auto"/>
            <w:noWrap/>
            <w:vAlign w:val="bottom"/>
          </w:tcPr>
          <w:p w14:paraId="0F499983"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w:t>
            </w:r>
          </w:p>
        </w:tc>
        <w:tc>
          <w:tcPr>
            <w:tcW w:w="1383" w:type="dxa"/>
            <w:shd w:val="clear" w:color="auto" w:fill="auto"/>
            <w:noWrap/>
            <w:vAlign w:val="bottom"/>
          </w:tcPr>
          <w:p w14:paraId="1592EF63"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0.675</w:t>
            </w:r>
          </w:p>
        </w:tc>
      </w:tr>
      <w:tr w:rsidR="00815C34" w:rsidRPr="00303E62" w14:paraId="6EEFFEDF" w14:textId="77777777" w:rsidTr="00815C34">
        <w:trPr>
          <w:trHeight w:val="300"/>
        </w:trPr>
        <w:tc>
          <w:tcPr>
            <w:tcW w:w="3828" w:type="dxa"/>
            <w:shd w:val="clear" w:color="auto" w:fill="auto"/>
            <w:noWrap/>
            <w:vAlign w:val="bottom"/>
          </w:tcPr>
          <w:p w14:paraId="4A333F75" w14:textId="77777777" w:rsidR="00815C34" w:rsidRPr="00815C34" w:rsidRDefault="00815C34" w:rsidP="00D305D7">
            <w:pPr>
              <w:snapToGrid w:val="0"/>
              <w:spacing w:after="0" w:line="360" w:lineRule="auto"/>
              <w:jc w:val="both"/>
              <w:rPr>
                <w:rFonts w:ascii="Book Antiqua" w:eastAsia="Times New Roman" w:hAnsi="Book Antiqua" w:cs="Arial"/>
                <w:bCs/>
                <w:sz w:val="24"/>
                <w:szCs w:val="24"/>
                <w:lang w:val="en-GB" w:eastAsia="fi-FI"/>
              </w:rPr>
            </w:pPr>
            <w:r w:rsidRPr="00815C34">
              <w:rPr>
                <w:rFonts w:ascii="Book Antiqua" w:eastAsia="Times New Roman" w:hAnsi="Book Antiqua" w:cs="Arial"/>
                <w:bCs/>
                <w:sz w:val="24"/>
                <w:szCs w:val="24"/>
                <w:lang w:val="en-GB" w:eastAsia="fi-FI"/>
              </w:rPr>
              <w:t xml:space="preserve">Histology extrahepatic, </w:t>
            </w:r>
            <w:r w:rsidRPr="00815C34">
              <w:rPr>
                <w:rFonts w:ascii="Book Antiqua" w:eastAsia="Times New Roman" w:hAnsi="Book Antiqua" w:cs="Arial"/>
                <w:bCs/>
                <w:i/>
                <w:sz w:val="24"/>
                <w:szCs w:val="24"/>
                <w:lang w:val="en-GB" w:eastAsia="fi-FI"/>
              </w:rPr>
              <w:t>n</w:t>
            </w:r>
          </w:p>
        </w:tc>
        <w:tc>
          <w:tcPr>
            <w:tcW w:w="2072" w:type="dxa"/>
            <w:shd w:val="clear" w:color="auto" w:fill="auto"/>
            <w:noWrap/>
            <w:vAlign w:val="bottom"/>
          </w:tcPr>
          <w:p w14:paraId="2B165455" w14:textId="77777777" w:rsidR="00815C34" w:rsidRPr="00303E62" w:rsidRDefault="00815C34" w:rsidP="00D305D7">
            <w:pPr>
              <w:snapToGrid w:val="0"/>
              <w:spacing w:after="0" w:line="360" w:lineRule="auto"/>
              <w:jc w:val="center"/>
              <w:rPr>
                <w:rFonts w:ascii="Book Antiqua" w:eastAsia="Times New Roman" w:hAnsi="Book Antiqua" w:cs="Arial"/>
                <w:b/>
                <w:bCs/>
                <w:sz w:val="24"/>
                <w:szCs w:val="24"/>
                <w:lang w:val="en-GB" w:eastAsia="fi-FI"/>
              </w:rPr>
            </w:pPr>
          </w:p>
        </w:tc>
        <w:tc>
          <w:tcPr>
            <w:tcW w:w="1897" w:type="dxa"/>
            <w:shd w:val="clear" w:color="auto" w:fill="auto"/>
            <w:noWrap/>
            <w:vAlign w:val="bottom"/>
          </w:tcPr>
          <w:p w14:paraId="12ADF8C7"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p>
        </w:tc>
        <w:tc>
          <w:tcPr>
            <w:tcW w:w="1383" w:type="dxa"/>
            <w:shd w:val="clear" w:color="auto" w:fill="auto"/>
            <w:noWrap/>
            <w:vAlign w:val="bottom"/>
          </w:tcPr>
          <w:p w14:paraId="372DB11A"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p>
        </w:tc>
      </w:tr>
      <w:tr w:rsidR="00815C34" w:rsidRPr="00303E62" w14:paraId="2106788A" w14:textId="77777777" w:rsidTr="00815C34">
        <w:trPr>
          <w:trHeight w:val="300"/>
        </w:trPr>
        <w:tc>
          <w:tcPr>
            <w:tcW w:w="3828" w:type="dxa"/>
            <w:shd w:val="clear" w:color="auto" w:fill="auto"/>
            <w:noWrap/>
            <w:vAlign w:val="bottom"/>
          </w:tcPr>
          <w:p w14:paraId="08119558" w14:textId="77777777" w:rsidR="00815C34" w:rsidRPr="00815C34" w:rsidRDefault="00815C34" w:rsidP="00D305D7">
            <w:pPr>
              <w:snapToGrid w:val="0"/>
              <w:spacing w:after="0" w:line="360" w:lineRule="auto"/>
              <w:ind w:firstLineChars="200" w:firstLine="480"/>
              <w:jc w:val="both"/>
              <w:rPr>
                <w:rFonts w:ascii="Book Antiqua" w:hAnsi="Book Antiqua" w:cs="Arial"/>
                <w:bCs/>
                <w:sz w:val="24"/>
                <w:szCs w:val="24"/>
                <w:lang w:val="en-GB" w:eastAsia="zh-CN"/>
              </w:rPr>
            </w:pPr>
            <w:r w:rsidRPr="00815C34">
              <w:rPr>
                <w:rFonts w:ascii="Book Antiqua" w:eastAsia="Times New Roman" w:hAnsi="Book Antiqua" w:cs="Arial"/>
                <w:bCs/>
                <w:sz w:val="24"/>
                <w:szCs w:val="24"/>
                <w:lang w:val="en-GB" w:eastAsia="fi-FI"/>
              </w:rPr>
              <w:t>Purulent cholangitis</w:t>
            </w:r>
          </w:p>
        </w:tc>
        <w:tc>
          <w:tcPr>
            <w:tcW w:w="2072" w:type="dxa"/>
            <w:shd w:val="clear" w:color="auto" w:fill="auto"/>
            <w:noWrap/>
            <w:vAlign w:val="bottom"/>
          </w:tcPr>
          <w:p w14:paraId="259B0CD7"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12</w:t>
            </w:r>
          </w:p>
        </w:tc>
        <w:tc>
          <w:tcPr>
            <w:tcW w:w="1897" w:type="dxa"/>
            <w:shd w:val="clear" w:color="auto" w:fill="auto"/>
            <w:noWrap/>
            <w:vAlign w:val="bottom"/>
          </w:tcPr>
          <w:p w14:paraId="48484C9A"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w:t>
            </w:r>
          </w:p>
        </w:tc>
        <w:tc>
          <w:tcPr>
            <w:tcW w:w="1383" w:type="dxa"/>
            <w:shd w:val="clear" w:color="auto" w:fill="auto"/>
            <w:noWrap/>
            <w:vAlign w:val="bottom"/>
          </w:tcPr>
          <w:p w14:paraId="18AF8823"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0.142</w:t>
            </w:r>
          </w:p>
        </w:tc>
      </w:tr>
      <w:tr w:rsidR="00815C34" w:rsidRPr="00303E62" w14:paraId="628F497A" w14:textId="77777777" w:rsidTr="00815C34">
        <w:trPr>
          <w:trHeight w:val="300"/>
        </w:trPr>
        <w:tc>
          <w:tcPr>
            <w:tcW w:w="3828" w:type="dxa"/>
            <w:shd w:val="clear" w:color="000000" w:fill="FFFFFF"/>
            <w:noWrap/>
            <w:vAlign w:val="bottom"/>
          </w:tcPr>
          <w:p w14:paraId="104B0719" w14:textId="77777777" w:rsidR="00815C34" w:rsidRPr="00815C34" w:rsidRDefault="00815C34" w:rsidP="00D305D7">
            <w:pPr>
              <w:snapToGrid w:val="0"/>
              <w:spacing w:after="0" w:line="360" w:lineRule="auto"/>
              <w:ind w:firstLineChars="200" w:firstLine="480"/>
              <w:jc w:val="both"/>
              <w:rPr>
                <w:rFonts w:ascii="Book Antiqua" w:hAnsi="Book Antiqua" w:cs="Arial"/>
                <w:bCs/>
                <w:sz w:val="24"/>
                <w:szCs w:val="24"/>
                <w:lang w:val="en-GB" w:eastAsia="zh-CN"/>
              </w:rPr>
            </w:pPr>
            <w:r w:rsidRPr="00815C34">
              <w:rPr>
                <w:rFonts w:ascii="Book Antiqua" w:eastAsia="Times New Roman" w:hAnsi="Book Antiqua" w:cs="Arial"/>
                <w:bCs/>
                <w:sz w:val="24"/>
                <w:szCs w:val="24"/>
                <w:lang w:val="en-GB" w:eastAsia="fi-FI"/>
              </w:rPr>
              <w:t>Ulceration</w:t>
            </w:r>
          </w:p>
        </w:tc>
        <w:tc>
          <w:tcPr>
            <w:tcW w:w="2072" w:type="dxa"/>
            <w:shd w:val="clear" w:color="000000" w:fill="FFFFFF"/>
            <w:noWrap/>
            <w:vAlign w:val="bottom"/>
          </w:tcPr>
          <w:p w14:paraId="295C1011"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11</w:t>
            </w:r>
          </w:p>
        </w:tc>
        <w:tc>
          <w:tcPr>
            <w:tcW w:w="1897" w:type="dxa"/>
            <w:shd w:val="clear" w:color="000000" w:fill="FFFFFF"/>
            <w:noWrap/>
            <w:vAlign w:val="bottom"/>
          </w:tcPr>
          <w:p w14:paraId="4BE128AD"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w:t>
            </w:r>
          </w:p>
        </w:tc>
        <w:tc>
          <w:tcPr>
            <w:tcW w:w="1383" w:type="dxa"/>
            <w:shd w:val="clear" w:color="000000" w:fill="FFFFFF"/>
            <w:noWrap/>
            <w:vAlign w:val="bottom"/>
          </w:tcPr>
          <w:p w14:paraId="17E26026"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0.224</w:t>
            </w:r>
          </w:p>
        </w:tc>
      </w:tr>
      <w:tr w:rsidR="00815C34" w:rsidRPr="00303E62" w14:paraId="082E9B6D" w14:textId="77777777" w:rsidTr="00815C34">
        <w:trPr>
          <w:trHeight w:val="300"/>
        </w:trPr>
        <w:tc>
          <w:tcPr>
            <w:tcW w:w="3828" w:type="dxa"/>
            <w:shd w:val="clear" w:color="auto" w:fill="auto"/>
            <w:noWrap/>
            <w:vAlign w:val="bottom"/>
          </w:tcPr>
          <w:p w14:paraId="2E02A596" w14:textId="77777777" w:rsidR="00815C34" w:rsidRPr="00815C34" w:rsidRDefault="00815C34" w:rsidP="00D305D7">
            <w:pPr>
              <w:snapToGrid w:val="0"/>
              <w:spacing w:after="0" w:line="360" w:lineRule="auto"/>
              <w:ind w:firstLineChars="200" w:firstLine="480"/>
              <w:jc w:val="both"/>
              <w:rPr>
                <w:rFonts w:ascii="Book Antiqua" w:hAnsi="Book Antiqua" w:cs="Arial"/>
                <w:bCs/>
                <w:sz w:val="24"/>
                <w:szCs w:val="24"/>
                <w:lang w:val="en-GB" w:eastAsia="zh-CN"/>
              </w:rPr>
            </w:pPr>
            <w:r w:rsidRPr="00815C34">
              <w:rPr>
                <w:rFonts w:ascii="Book Antiqua" w:eastAsia="Times New Roman" w:hAnsi="Book Antiqua" w:cs="Arial"/>
                <w:bCs/>
                <w:sz w:val="24"/>
                <w:szCs w:val="24"/>
                <w:lang w:val="en-GB" w:eastAsia="fi-FI"/>
              </w:rPr>
              <w:t>Intestinal metaplasia</w:t>
            </w:r>
          </w:p>
        </w:tc>
        <w:tc>
          <w:tcPr>
            <w:tcW w:w="2072" w:type="dxa"/>
            <w:shd w:val="clear" w:color="auto" w:fill="auto"/>
            <w:noWrap/>
            <w:vAlign w:val="bottom"/>
          </w:tcPr>
          <w:p w14:paraId="36974448"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w:t>
            </w:r>
          </w:p>
        </w:tc>
        <w:tc>
          <w:tcPr>
            <w:tcW w:w="1897" w:type="dxa"/>
            <w:shd w:val="clear" w:color="auto" w:fill="auto"/>
            <w:noWrap/>
            <w:vAlign w:val="bottom"/>
          </w:tcPr>
          <w:p w14:paraId="6423615C"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w:t>
            </w:r>
          </w:p>
        </w:tc>
        <w:tc>
          <w:tcPr>
            <w:tcW w:w="1383" w:type="dxa"/>
            <w:shd w:val="clear" w:color="auto" w:fill="auto"/>
            <w:noWrap/>
            <w:vAlign w:val="bottom"/>
          </w:tcPr>
          <w:p w14:paraId="3C5AF325"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0.822</w:t>
            </w:r>
          </w:p>
        </w:tc>
      </w:tr>
      <w:tr w:rsidR="00815C34" w:rsidRPr="00303E62" w14:paraId="762585B5" w14:textId="77777777" w:rsidTr="00815C34">
        <w:trPr>
          <w:trHeight w:val="300"/>
        </w:trPr>
        <w:tc>
          <w:tcPr>
            <w:tcW w:w="3828" w:type="dxa"/>
            <w:tcBorders>
              <w:bottom w:val="single" w:sz="4" w:space="0" w:color="auto"/>
            </w:tcBorders>
            <w:shd w:val="clear" w:color="auto" w:fill="auto"/>
            <w:noWrap/>
            <w:vAlign w:val="bottom"/>
          </w:tcPr>
          <w:p w14:paraId="7F0D54EC" w14:textId="77777777" w:rsidR="00815C34" w:rsidRPr="00815C34" w:rsidRDefault="00815C34" w:rsidP="00D305D7">
            <w:pPr>
              <w:snapToGrid w:val="0"/>
              <w:spacing w:after="0" w:line="360" w:lineRule="auto"/>
              <w:ind w:firstLineChars="200" w:firstLine="480"/>
              <w:jc w:val="both"/>
              <w:rPr>
                <w:rFonts w:ascii="Book Antiqua" w:hAnsi="Book Antiqua" w:cs="Arial"/>
                <w:bCs/>
                <w:sz w:val="24"/>
                <w:szCs w:val="24"/>
                <w:lang w:val="en-GB" w:eastAsia="zh-CN"/>
              </w:rPr>
            </w:pPr>
            <w:r w:rsidRPr="00815C34">
              <w:rPr>
                <w:rFonts w:ascii="Book Antiqua" w:eastAsia="Times New Roman" w:hAnsi="Book Antiqua" w:cs="Arial"/>
                <w:bCs/>
                <w:sz w:val="24"/>
                <w:szCs w:val="24"/>
                <w:lang w:val="en-GB" w:eastAsia="fi-FI"/>
              </w:rPr>
              <w:t>Squamous metaplasia</w:t>
            </w:r>
          </w:p>
        </w:tc>
        <w:tc>
          <w:tcPr>
            <w:tcW w:w="2072" w:type="dxa"/>
            <w:tcBorders>
              <w:bottom w:val="single" w:sz="4" w:space="0" w:color="auto"/>
            </w:tcBorders>
            <w:shd w:val="clear" w:color="auto" w:fill="auto"/>
            <w:noWrap/>
            <w:vAlign w:val="bottom"/>
          </w:tcPr>
          <w:p w14:paraId="3D7FE802"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w:t>
            </w:r>
          </w:p>
        </w:tc>
        <w:tc>
          <w:tcPr>
            <w:tcW w:w="1897" w:type="dxa"/>
            <w:tcBorders>
              <w:bottom w:val="single" w:sz="4" w:space="0" w:color="auto"/>
            </w:tcBorders>
            <w:shd w:val="clear" w:color="auto" w:fill="auto"/>
            <w:noWrap/>
            <w:vAlign w:val="bottom"/>
          </w:tcPr>
          <w:p w14:paraId="6EF45B62"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w:t>
            </w:r>
          </w:p>
        </w:tc>
        <w:tc>
          <w:tcPr>
            <w:tcW w:w="1383" w:type="dxa"/>
            <w:tcBorders>
              <w:bottom w:val="single" w:sz="4" w:space="0" w:color="auto"/>
            </w:tcBorders>
            <w:shd w:val="clear" w:color="auto" w:fill="auto"/>
            <w:noWrap/>
            <w:vAlign w:val="bottom"/>
          </w:tcPr>
          <w:p w14:paraId="2F62A375" w14:textId="77777777" w:rsidR="00815C34" w:rsidRPr="00303E62" w:rsidRDefault="00815C34"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0.790</w:t>
            </w:r>
          </w:p>
        </w:tc>
      </w:tr>
    </w:tbl>
    <w:p w14:paraId="6E9E2EC1" w14:textId="4C481F93" w:rsidR="00F72825" w:rsidRPr="00303E62" w:rsidRDefault="00815C34" w:rsidP="00D305D7">
      <w:pPr>
        <w:snapToGrid w:val="0"/>
        <w:spacing w:after="0" w:line="360" w:lineRule="auto"/>
        <w:jc w:val="both"/>
        <w:rPr>
          <w:rFonts w:ascii="Book Antiqua" w:hAnsi="Book Antiqua" w:cs="Arial"/>
          <w:sz w:val="24"/>
          <w:szCs w:val="24"/>
          <w:lang w:val="en-GB" w:eastAsia="zh-CN"/>
        </w:rPr>
      </w:pPr>
      <w:r w:rsidRPr="00303E62">
        <w:rPr>
          <w:rFonts w:ascii="Book Antiqua" w:eastAsia="Times New Roman" w:hAnsi="Book Antiqua" w:cs="Arial"/>
          <w:bCs/>
          <w:sz w:val="24"/>
          <w:szCs w:val="24"/>
          <w:vertAlign w:val="superscript"/>
          <w:lang w:val="en-GB" w:eastAsia="fi-FI"/>
        </w:rPr>
        <w:t>1</w:t>
      </w:r>
      <w:r w:rsidRPr="00303E62">
        <w:rPr>
          <w:rFonts w:ascii="Book Antiqua" w:eastAsia="Times New Roman" w:hAnsi="Book Antiqua" w:cs="Arial"/>
          <w:bCs/>
          <w:sz w:val="24"/>
          <w:szCs w:val="24"/>
          <w:lang w:val="en-GB" w:eastAsia="fi-FI"/>
        </w:rPr>
        <w:t>In early LTs, suspicion of biliary neoplasia was an important decision criterion for LT</w:t>
      </w:r>
      <w:r>
        <w:rPr>
          <w:rFonts w:ascii="Book Antiqua" w:eastAsia="Times New Roman" w:hAnsi="Book Antiqua" w:cs="Arial" w:hint="eastAsia"/>
          <w:bCs/>
          <w:sz w:val="24"/>
          <w:szCs w:val="24"/>
          <w:lang w:val="en-GB" w:eastAsia="zh-CN"/>
        </w:rPr>
        <w:t xml:space="preserve">; </w:t>
      </w:r>
      <w:r w:rsidRPr="00303E62">
        <w:rPr>
          <w:rFonts w:ascii="Book Antiqua" w:eastAsia="Times New Roman" w:hAnsi="Book Antiqua" w:cs="Arial"/>
          <w:bCs/>
          <w:sz w:val="24"/>
          <w:szCs w:val="24"/>
          <w:vertAlign w:val="superscript"/>
          <w:lang w:val="en-GB" w:eastAsia="fi-FI"/>
        </w:rPr>
        <w:t>2</w:t>
      </w:r>
      <w:r w:rsidRPr="00303E62">
        <w:rPr>
          <w:rFonts w:ascii="Book Antiqua" w:eastAsia="Times New Roman" w:hAnsi="Book Antiqua" w:cs="Arial"/>
          <w:bCs/>
          <w:sz w:val="24"/>
          <w:szCs w:val="24"/>
          <w:lang w:val="en-GB" w:eastAsia="fi-FI"/>
        </w:rPr>
        <w:t>CCA four patients; HGD ten patients.</w:t>
      </w:r>
      <w:r>
        <w:rPr>
          <w:rFonts w:ascii="Book Antiqua" w:eastAsia="Times New Roman" w:hAnsi="Book Antiqua" w:cs="Arial" w:hint="eastAsia"/>
          <w:bCs/>
          <w:sz w:val="24"/>
          <w:szCs w:val="24"/>
          <w:lang w:val="en-GB" w:eastAsia="zh-CN"/>
        </w:rPr>
        <w:t xml:space="preserve"> </w:t>
      </w:r>
      <w:r w:rsidRPr="00303E62">
        <w:rPr>
          <w:rFonts w:ascii="Book Antiqua" w:eastAsia="Times New Roman" w:hAnsi="Book Antiqua" w:cs="Arial"/>
          <w:bCs/>
          <w:sz w:val="24"/>
          <w:szCs w:val="24"/>
          <w:lang w:val="en-GB" w:eastAsia="fi-FI"/>
        </w:rPr>
        <w:t>Values are median values unless otherwise indicated (IQR)</w:t>
      </w:r>
      <w:r>
        <w:rPr>
          <w:rFonts w:ascii="Book Antiqua" w:eastAsia="Times New Roman" w:hAnsi="Book Antiqua" w:cs="Arial" w:hint="eastAsia"/>
          <w:bCs/>
          <w:sz w:val="24"/>
          <w:szCs w:val="24"/>
          <w:lang w:val="en-GB" w:eastAsia="zh-CN"/>
        </w:rPr>
        <w:t xml:space="preserve">. </w:t>
      </w:r>
      <w:r w:rsidRPr="00815C34">
        <w:rPr>
          <w:rFonts w:ascii="Book Antiqua" w:eastAsia="Times New Roman" w:hAnsi="Book Antiqua" w:cs="Arial"/>
          <w:bCs/>
          <w:i/>
          <w:sz w:val="24"/>
          <w:szCs w:val="24"/>
          <w:lang w:val="en-GB" w:eastAsia="fi-FI"/>
        </w:rPr>
        <w:t>P</w:t>
      </w:r>
      <w:r w:rsidRPr="00303E62">
        <w:rPr>
          <w:rFonts w:ascii="Book Antiqua" w:eastAsia="Times New Roman" w:hAnsi="Book Antiqua" w:cs="Arial"/>
          <w:bCs/>
          <w:sz w:val="24"/>
          <w:szCs w:val="24"/>
          <w:lang w:val="en-GB" w:eastAsia="fi-FI"/>
        </w:rPr>
        <w:t xml:space="preserve"> values: Mann-Whitney </w:t>
      </w:r>
      <w:r w:rsidRPr="00303E62">
        <w:rPr>
          <w:rFonts w:ascii="Book Antiqua" w:eastAsia="Times New Roman" w:hAnsi="Book Antiqua" w:cs="Arial"/>
          <w:bCs/>
          <w:i/>
          <w:sz w:val="24"/>
          <w:szCs w:val="24"/>
          <w:lang w:val="en-GB" w:eastAsia="fi-FI"/>
        </w:rPr>
        <w:t>U</w:t>
      </w:r>
      <w:r w:rsidRPr="00303E62">
        <w:rPr>
          <w:rFonts w:ascii="Book Antiqua" w:eastAsia="Times New Roman" w:hAnsi="Book Antiqua" w:cs="Arial"/>
          <w:bCs/>
          <w:sz w:val="24"/>
          <w:szCs w:val="24"/>
          <w:lang w:val="en-GB" w:eastAsia="fi-FI"/>
        </w:rPr>
        <w:t>-test for continuous variables, Fisher's exact test for dichotomous variables.</w:t>
      </w:r>
      <w:r>
        <w:rPr>
          <w:rFonts w:ascii="Book Antiqua" w:eastAsia="Times New Roman" w:hAnsi="Book Antiqua" w:cs="Arial" w:hint="eastAsia"/>
          <w:bCs/>
          <w:sz w:val="24"/>
          <w:szCs w:val="24"/>
          <w:lang w:val="en-GB" w:eastAsia="zh-CN"/>
        </w:rPr>
        <w:t xml:space="preserve"> </w:t>
      </w:r>
      <w:r w:rsidRPr="00303E62">
        <w:rPr>
          <w:rFonts w:ascii="Book Antiqua" w:eastAsia="Times New Roman" w:hAnsi="Book Antiqua" w:cs="Arial"/>
          <w:bCs/>
          <w:sz w:val="24"/>
          <w:szCs w:val="24"/>
          <w:lang w:val="en-GB" w:eastAsia="fi-FI"/>
        </w:rPr>
        <w:t>CCA</w:t>
      </w:r>
      <w:r>
        <w:rPr>
          <w:rFonts w:ascii="Book Antiqua" w:eastAsia="Times New Roman" w:hAnsi="Book Antiqua" w:cs="Arial" w:hint="eastAsia"/>
          <w:bCs/>
          <w:sz w:val="24"/>
          <w:szCs w:val="24"/>
          <w:lang w:val="en-GB" w:eastAsia="zh-CN"/>
        </w:rPr>
        <w:t>:</w:t>
      </w:r>
      <w:r w:rsidRPr="00303E62">
        <w:rPr>
          <w:rFonts w:ascii="Book Antiqua" w:eastAsia="Times New Roman" w:hAnsi="Book Antiqua" w:cs="Arial"/>
          <w:bCs/>
          <w:sz w:val="24"/>
          <w:szCs w:val="24"/>
          <w:lang w:val="en-GB" w:eastAsia="fi-FI"/>
        </w:rPr>
        <w:t xml:space="preserve"> </w:t>
      </w:r>
      <w:r w:rsidRPr="00815C34">
        <w:rPr>
          <w:rFonts w:ascii="Book Antiqua" w:eastAsia="Times New Roman" w:hAnsi="Book Antiqua" w:cs="Arial"/>
          <w:bCs/>
          <w:caps/>
          <w:sz w:val="24"/>
          <w:szCs w:val="24"/>
          <w:lang w:val="en-GB" w:eastAsia="fi-FI"/>
        </w:rPr>
        <w:t>c</w:t>
      </w:r>
      <w:r w:rsidRPr="00303E62">
        <w:rPr>
          <w:rFonts w:ascii="Book Antiqua" w:eastAsia="Times New Roman" w:hAnsi="Book Antiqua" w:cs="Arial"/>
          <w:bCs/>
          <w:sz w:val="24"/>
          <w:szCs w:val="24"/>
          <w:lang w:val="en-GB" w:eastAsia="fi-FI"/>
        </w:rPr>
        <w:t>holangiocarcinoma; HGD</w:t>
      </w:r>
      <w:r>
        <w:rPr>
          <w:rFonts w:ascii="Book Antiqua" w:eastAsia="Times New Roman" w:hAnsi="Book Antiqua" w:cs="Arial" w:hint="eastAsia"/>
          <w:bCs/>
          <w:sz w:val="24"/>
          <w:szCs w:val="24"/>
          <w:lang w:val="en-GB" w:eastAsia="zh-CN"/>
        </w:rPr>
        <w:t>:</w:t>
      </w:r>
      <w:r w:rsidRPr="00303E62">
        <w:rPr>
          <w:rFonts w:ascii="Book Antiqua" w:eastAsia="Times New Roman" w:hAnsi="Book Antiqua" w:cs="Arial"/>
          <w:bCs/>
          <w:sz w:val="24"/>
          <w:szCs w:val="24"/>
          <w:lang w:val="en-GB" w:eastAsia="fi-FI"/>
        </w:rPr>
        <w:t xml:space="preserve"> </w:t>
      </w:r>
      <w:r w:rsidRPr="00815C34">
        <w:rPr>
          <w:rFonts w:ascii="Book Antiqua" w:eastAsia="Times New Roman" w:hAnsi="Book Antiqua" w:cs="Arial"/>
          <w:bCs/>
          <w:caps/>
          <w:sz w:val="24"/>
          <w:szCs w:val="24"/>
          <w:lang w:val="en-GB" w:eastAsia="fi-FI"/>
        </w:rPr>
        <w:t>h</w:t>
      </w:r>
      <w:r w:rsidRPr="00303E62">
        <w:rPr>
          <w:rFonts w:ascii="Book Antiqua" w:eastAsia="Times New Roman" w:hAnsi="Book Antiqua" w:cs="Arial"/>
          <w:bCs/>
          <w:sz w:val="24"/>
          <w:szCs w:val="24"/>
          <w:lang w:val="en-GB" w:eastAsia="fi-FI"/>
        </w:rPr>
        <w:t>igh-grade dysplasia; IQR</w:t>
      </w:r>
      <w:r>
        <w:rPr>
          <w:rFonts w:ascii="Book Antiqua" w:eastAsia="Times New Roman" w:hAnsi="Book Antiqua" w:cs="Arial" w:hint="eastAsia"/>
          <w:bCs/>
          <w:sz w:val="24"/>
          <w:szCs w:val="24"/>
          <w:lang w:val="en-GB" w:eastAsia="zh-CN"/>
        </w:rPr>
        <w:t>:</w:t>
      </w:r>
      <w:r w:rsidRPr="00303E62">
        <w:rPr>
          <w:rFonts w:ascii="Book Antiqua" w:eastAsia="Times New Roman" w:hAnsi="Book Antiqua" w:cs="Arial"/>
          <w:bCs/>
          <w:sz w:val="24"/>
          <w:szCs w:val="24"/>
          <w:lang w:val="en-GB" w:eastAsia="fi-FI"/>
        </w:rPr>
        <w:t xml:space="preserve"> </w:t>
      </w:r>
      <w:r w:rsidRPr="00815C34">
        <w:rPr>
          <w:rFonts w:ascii="Book Antiqua" w:eastAsia="Times New Roman" w:hAnsi="Book Antiqua" w:cs="Arial"/>
          <w:bCs/>
          <w:caps/>
          <w:sz w:val="24"/>
          <w:szCs w:val="24"/>
          <w:lang w:val="en-GB" w:eastAsia="fi-FI"/>
        </w:rPr>
        <w:t>i</w:t>
      </w:r>
      <w:r w:rsidRPr="00303E62">
        <w:rPr>
          <w:rFonts w:ascii="Book Antiqua" w:eastAsia="Times New Roman" w:hAnsi="Book Antiqua" w:cs="Arial"/>
          <w:bCs/>
          <w:sz w:val="24"/>
          <w:szCs w:val="24"/>
          <w:lang w:val="en-GB" w:eastAsia="fi-FI"/>
        </w:rPr>
        <w:t>nterquartile range; LGD</w:t>
      </w:r>
      <w:r>
        <w:rPr>
          <w:rFonts w:ascii="Book Antiqua" w:eastAsia="Times New Roman" w:hAnsi="Book Antiqua" w:cs="Arial" w:hint="eastAsia"/>
          <w:bCs/>
          <w:sz w:val="24"/>
          <w:szCs w:val="24"/>
          <w:lang w:val="en-GB" w:eastAsia="zh-CN"/>
        </w:rPr>
        <w:t>:</w:t>
      </w:r>
      <w:r w:rsidRPr="00303E62">
        <w:rPr>
          <w:rFonts w:ascii="Book Antiqua" w:eastAsia="Times New Roman" w:hAnsi="Book Antiqua" w:cs="Arial"/>
          <w:bCs/>
          <w:sz w:val="24"/>
          <w:szCs w:val="24"/>
          <w:lang w:val="en-GB" w:eastAsia="fi-FI"/>
        </w:rPr>
        <w:t xml:space="preserve"> </w:t>
      </w:r>
      <w:r w:rsidRPr="00815C34">
        <w:rPr>
          <w:rFonts w:ascii="Book Antiqua" w:eastAsia="Times New Roman" w:hAnsi="Book Antiqua" w:cs="Arial"/>
          <w:bCs/>
          <w:caps/>
          <w:sz w:val="24"/>
          <w:szCs w:val="24"/>
          <w:lang w:val="en-GB" w:eastAsia="fi-FI"/>
        </w:rPr>
        <w:t>l</w:t>
      </w:r>
      <w:r w:rsidRPr="00303E62">
        <w:rPr>
          <w:rFonts w:ascii="Book Antiqua" w:eastAsia="Times New Roman" w:hAnsi="Book Antiqua" w:cs="Arial"/>
          <w:bCs/>
          <w:sz w:val="24"/>
          <w:szCs w:val="24"/>
          <w:lang w:val="en-GB" w:eastAsia="fi-FI"/>
        </w:rPr>
        <w:t>ow-grade dysplasia; LT</w:t>
      </w:r>
      <w:r>
        <w:rPr>
          <w:rFonts w:ascii="Book Antiqua" w:eastAsia="Times New Roman" w:hAnsi="Book Antiqua" w:cs="Arial" w:hint="eastAsia"/>
          <w:bCs/>
          <w:sz w:val="24"/>
          <w:szCs w:val="24"/>
          <w:lang w:val="en-GB" w:eastAsia="zh-CN"/>
        </w:rPr>
        <w:t xml:space="preserve">: </w:t>
      </w:r>
      <w:r w:rsidRPr="00815C34">
        <w:rPr>
          <w:rFonts w:ascii="Book Antiqua" w:eastAsia="Times New Roman" w:hAnsi="Book Antiqua" w:cs="Arial"/>
          <w:bCs/>
          <w:caps/>
          <w:sz w:val="24"/>
          <w:szCs w:val="24"/>
          <w:lang w:val="en-GB" w:eastAsia="fi-FI"/>
        </w:rPr>
        <w:t>l</w:t>
      </w:r>
      <w:r w:rsidRPr="00303E62">
        <w:rPr>
          <w:rFonts w:ascii="Book Antiqua" w:eastAsia="Times New Roman" w:hAnsi="Book Antiqua" w:cs="Arial"/>
          <w:bCs/>
          <w:sz w:val="24"/>
          <w:szCs w:val="24"/>
          <w:lang w:val="en-GB" w:eastAsia="fi-FI"/>
        </w:rPr>
        <w:t>iver transplantation.</w:t>
      </w:r>
    </w:p>
    <w:p w14:paraId="4DF8FA8A" w14:textId="67EEFE53" w:rsidR="00F5412B" w:rsidRDefault="00F5412B" w:rsidP="00D305D7">
      <w:pPr>
        <w:snapToGrid w:val="0"/>
        <w:spacing w:after="0" w:line="360" w:lineRule="auto"/>
        <w:rPr>
          <w:rFonts w:ascii="Book Antiqua" w:eastAsia="Calibri" w:hAnsi="Book Antiqua" w:cs="Arial"/>
          <w:sz w:val="24"/>
          <w:szCs w:val="24"/>
        </w:rPr>
      </w:pPr>
    </w:p>
    <w:p w14:paraId="3E4B404F" w14:textId="4397671C" w:rsidR="00F72825" w:rsidRPr="00F5412B" w:rsidRDefault="00F5412B" w:rsidP="00D305D7">
      <w:pPr>
        <w:snapToGrid w:val="0"/>
        <w:spacing w:after="0" w:line="360" w:lineRule="auto"/>
        <w:rPr>
          <w:rFonts w:ascii="Book Antiqua" w:hAnsi="Book Antiqua" w:cs="Arial"/>
          <w:sz w:val="24"/>
          <w:szCs w:val="24"/>
          <w:lang w:eastAsia="zh-CN"/>
        </w:rPr>
      </w:pPr>
      <w:r>
        <w:rPr>
          <w:rFonts w:ascii="Book Antiqua" w:eastAsia="Calibri" w:hAnsi="Book Antiqua" w:cs="Arial"/>
          <w:sz w:val="24"/>
          <w:szCs w:val="24"/>
        </w:rPr>
        <w:br w:type="page"/>
      </w:r>
    </w:p>
    <w:p w14:paraId="1C49AD41" w14:textId="77DA5731" w:rsidR="00722FF3" w:rsidRPr="004606EF" w:rsidRDefault="00815C34" w:rsidP="00D305D7">
      <w:pPr>
        <w:snapToGrid w:val="0"/>
        <w:spacing w:after="0" w:line="360" w:lineRule="auto"/>
        <w:jc w:val="both"/>
        <w:rPr>
          <w:rFonts w:ascii="Book Antiqua" w:hAnsi="Book Antiqua" w:cs="Arial"/>
          <w:sz w:val="24"/>
          <w:szCs w:val="24"/>
          <w:lang w:val="en-GB" w:eastAsia="zh-CN"/>
        </w:rPr>
      </w:pPr>
      <w:r w:rsidRPr="00303E62">
        <w:rPr>
          <w:rFonts w:ascii="Book Antiqua" w:eastAsia="Calibri" w:hAnsi="Book Antiqua" w:cs="Arial"/>
          <w:b/>
          <w:sz w:val="24"/>
          <w:szCs w:val="24"/>
          <w:lang w:val="en-GB"/>
        </w:rPr>
        <w:lastRenderedPageBreak/>
        <w:t xml:space="preserve"> Table 2</w:t>
      </w:r>
      <w:r w:rsidR="00F73722">
        <w:rPr>
          <w:rFonts w:ascii="Book Antiqua" w:eastAsia="Calibri" w:hAnsi="Book Antiqua" w:cs="Arial" w:hint="eastAsia"/>
          <w:b/>
          <w:sz w:val="24"/>
          <w:szCs w:val="24"/>
          <w:lang w:val="en-GB" w:eastAsia="zh-CN"/>
        </w:rPr>
        <w:t xml:space="preserve"> </w:t>
      </w:r>
      <w:r w:rsidRPr="00303E62">
        <w:rPr>
          <w:rFonts w:ascii="Book Antiqua" w:eastAsia="Calibri" w:hAnsi="Book Antiqua" w:cs="Arial"/>
          <w:b/>
          <w:sz w:val="24"/>
          <w:szCs w:val="24"/>
          <w:lang w:val="en-GB"/>
        </w:rPr>
        <w:t xml:space="preserve">Demographics, laboratory results and </w:t>
      </w:r>
      <w:r w:rsidR="00F73722" w:rsidRPr="00F73722">
        <w:rPr>
          <w:rFonts w:ascii="Book Antiqua" w:eastAsia="Calibri" w:hAnsi="Book Antiqua" w:cs="Arial"/>
          <w:b/>
          <w:sz w:val="24"/>
          <w:szCs w:val="24"/>
          <w:lang w:val="en-GB"/>
        </w:rPr>
        <w:t>endoscopic retrograde cholangiography</w:t>
      </w:r>
      <w:r w:rsidRPr="00303E62">
        <w:rPr>
          <w:rFonts w:ascii="Book Antiqua" w:eastAsia="Calibri" w:hAnsi="Book Antiqua" w:cs="Arial"/>
          <w:b/>
          <w:sz w:val="24"/>
          <w:szCs w:val="24"/>
          <w:lang w:val="en-GB"/>
        </w:rPr>
        <w:t xml:space="preserve"> findings in patients with </w:t>
      </w:r>
      <w:r w:rsidR="00F73722" w:rsidRPr="00F73722">
        <w:rPr>
          <w:rFonts w:ascii="Book Antiqua" w:eastAsia="Calibri" w:hAnsi="Book Antiqua" w:cs="Arial"/>
          <w:b/>
          <w:sz w:val="24"/>
          <w:szCs w:val="24"/>
          <w:lang w:val="en-GB"/>
        </w:rPr>
        <w:t>primary sclerosing cholangitis</w:t>
      </w:r>
      <w:r w:rsidRPr="00303E62">
        <w:rPr>
          <w:rFonts w:ascii="Book Antiqua" w:eastAsia="Calibri" w:hAnsi="Book Antiqua" w:cs="Arial"/>
          <w:b/>
          <w:sz w:val="24"/>
          <w:szCs w:val="24"/>
          <w:lang w:val="en-GB"/>
        </w:rPr>
        <w:t xml:space="preserve"> and low-grade dysplasia, high-grade d</w:t>
      </w:r>
      <w:r w:rsidR="004606EF">
        <w:rPr>
          <w:rFonts w:ascii="Book Antiqua" w:eastAsia="Calibri" w:hAnsi="Book Antiqua" w:cs="Arial"/>
          <w:b/>
          <w:sz w:val="24"/>
          <w:szCs w:val="24"/>
          <w:lang w:val="en-GB"/>
        </w:rPr>
        <w:t>ysplasia and cholangiocarcinoma</w:t>
      </w:r>
    </w:p>
    <w:tbl>
      <w:tblPr>
        <w:tblpPr w:leftFromText="141" w:rightFromText="141" w:vertAnchor="page" w:horzAnchor="margin" w:tblpXSpec="center" w:tblpY="2758"/>
        <w:tblW w:w="1164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34"/>
        <w:gridCol w:w="1923"/>
        <w:gridCol w:w="1781"/>
        <w:gridCol w:w="1645"/>
        <w:gridCol w:w="1158"/>
        <w:gridCol w:w="946"/>
        <w:gridCol w:w="789"/>
        <w:gridCol w:w="765"/>
        <w:gridCol w:w="8"/>
      </w:tblGrid>
      <w:tr w:rsidR="004606EF" w:rsidRPr="00303E62" w14:paraId="4D5305E7" w14:textId="77777777" w:rsidTr="00F73722">
        <w:trPr>
          <w:trHeight w:val="1690"/>
        </w:trPr>
        <w:tc>
          <w:tcPr>
            <w:tcW w:w="2618" w:type="dxa"/>
            <w:tcBorders>
              <w:top w:val="single" w:sz="4" w:space="0" w:color="auto"/>
              <w:bottom w:val="single" w:sz="4" w:space="0" w:color="auto"/>
            </w:tcBorders>
            <w:shd w:val="clear" w:color="auto" w:fill="auto"/>
            <w:noWrap/>
            <w:vAlign w:val="bottom"/>
          </w:tcPr>
          <w:p w14:paraId="14A3B03D" w14:textId="77777777" w:rsidR="004606EF" w:rsidRPr="00F73722" w:rsidRDefault="004606EF" w:rsidP="00D305D7">
            <w:pPr>
              <w:snapToGrid w:val="0"/>
              <w:spacing w:after="0" w:line="360" w:lineRule="auto"/>
              <w:jc w:val="both"/>
              <w:rPr>
                <w:rFonts w:ascii="Book Antiqua" w:eastAsia="Times New Roman" w:hAnsi="Book Antiqua" w:cs="Arial"/>
                <w:sz w:val="24"/>
                <w:szCs w:val="24"/>
                <w:lang w:val="en-GB" w:eastAsia="fi-FI"/>
              </w:rPr>
            </w:pPr>
          </w:p>
        </w:tc>
        <w:tc>
          <w:tcPr>
            <w:tcW w:w="1907" w:type="dxa"/>
            <w:tcBorders>
              <w:top w:val="single" w:sz="4" w:space="0" w:color="auto"/>
              <w:bottom w:val="single" w:sz="4" w:space="0" w:color="auto"/>
            </w:tcBorders>
            <w:shd w:val="clear" w:color="auto" w:fill="auto"/>
            <w:noWrap/>
            <w:vAlign w:val="bottom"/>
          </w:tcPr>
          <w:p w14:paraId="66ACE023"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LGD</w:t>
            </w:r>
          </w:p>
        </w:tc>
        <w:tc>
          <w:tcPr>
            <w:tcW w:w="1765" w:type="dxa"/>
            <w:tcBorders>
              <w:top w:val="single" w:sz="4" w:space="0" w:color="auto"/>
              <w:bottom w:val="single" w:sz="4" w:space="0" w:color="auto"/>
            </w:tcBorders>
            <w:shd w:val="clear" w:color="auto" w:fill="auto"/>
            <w:noWrap/>
            <w:vAlign w:val="bottom"/>
          </w:tcPr>
          <w:p w14:paraId="111F7F9A"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HGD</w:t>
            </w:r>
          </w:p>
        </w:tc>
        <w:tc>
          <w:tcPr>
            <w:tcW w:w="1629" w:type="dxa"/>
            <w:tcBorders>
              <w:top w:val="single" w:sz="4" w:space="0" w:color="auto"/>
              <w:bottom w:val="single" w:sz="4" w:space="0" w:color="auto"/>
            </w:tcBorders>
            <w:shd w:val="clear" w:color="auto" w:fill="auto"/>
            <w:noWrap/>
            <w:vAlign w:val="bottom"/>
          </w:tcPr>
          <w:p w14:paraId="006EE51B"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CCA</w:t>
            </w:r>
          </w:p>
        </w:tc>
        <w:tc>
          <w:tcPr>
            <w:tcW w:w="1142" w:type="dxa"/>
            <w:tcBorders>
              <w:top w:val="single" w:sz="4" w:space="0" w:color="auto"/>
              <w:bottom w:val="single" w:sz="4" w:space="0" w:color="auto"/>
            </w:tcBorders>
            <w:shd w:val="clear" w:color="auto" w:fill="auto"/>
            <w:noWrap/>
            <w:vAlign w:val="bottom"/>
          </w:tcPr>
          <w:p w14:paraId="3957EC17"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zh-CN"/>
              </w:rPr>
            </w:pPr>
            <w:r w:rsidRPr="00815C34">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p>
        </w:tc>
        <w:tc>
          <w:tcPr>
            <w:tcW w:w="987" w:type="dxa"/>
            <w:tcBorders>
              <w:top w:val="single" w:sz="4" w:space="0" w:color="auto"/>
              <w:bottom w:val="single" w:sz="4" w:space="0" w:color="auto"/>
            </w:tcBorders>
          </w:tcPr>
          <w:p w14:paraId="7D08F96E"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zh-CN"/>
              </w:rPr>
            </w:pPr>
            <w:r w:rsidRPr="00815C34">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r w:rsidRPr="00303E62">
              <w:rPr>
                <w:rFonts w:ascii="Book Antiqua" w:eastAsia="Times New Roman" w:hAnsi="Book Antiqua" w:cs="Arial"/>
                <w:b/>
                <w:sz w:val="24"/>
                <w:szCs w:val="24"/>
                <w:lang w:val="en-GB" w:eastAsia="fi-FI"/>
              </w:rPr>
              <w:t xml:space="preserve"> </w:t>
            </w:r>
            <w:r>
              <w:rPr>
                <w:rFonts w:ascii="Book Antiqua" w:eastAsia="Times New Roman" w:hAnsi="Book Antiqua" w:cs="Arial" w:hint="eastAsia"/>
                <w:b/>
                <w:sz w:val="24"/>
                <w:szCs w:val="24"/>
                <w:lang w:val="en-GB" w:eastAsia="zh-CN"/>
              </w:rPr>
              <w:t>(</w:t>
            </w:r>
            <w:r w:rsidRPr="00303E62">
              <w:rPr>
                <w:rFonts w:ascii="Book Antiqua" w:eastAsia="Times New Roman" w:hAnsi="Book Antiqua" w:cs="Arial"/>
                <w:b/>
                <w:sz w:val="24"/>
                <w:szCs w:val="24"/>
                <w:lang w:val="en-GB" w:eastAsia="fi-FI"/>
              </w:rPr>
              <w:t xml:space="preserve">LGD </w:t>
            </w:r>
            <w:r w:rsidRPr="00815C34">
              <w:rPr>
                <w:rFonts w:ascii="Book Antiqua" w:eastAsia="Times New Roman" w:hAnsi="Book Antiqua" w:cs="Arial"/>
                <w:b/>
                <w:i/>
                <w:sz w:val="24"/>
                <w:szCs w:val="24"/>
                <w:lang w:val="en-GB" w:eastAsia="fi-FI"/>
              </w:rPr>
              <w:t>vs</w:t>
            </w:r>
            <w:r w:rsidRPr="00815C34">
              <w:rPr>
                <w:rFonts w:ascii="Book Antiqua" w:eastAsia="Times New Roman" w:hAnsi="Book Antiqua" w:cs="Arial" w:hint="eastAsia"/>
                <w:b/>
                <w:i/>
                <w:sz w:val="24"/>
                <w:szCs w:val="24"/>
                <w:lang w:val="en-GB" w:eastAsia="zh-CN"/>
              </w:rPr>
              <w:t xml:space="preserve"> </w:t>
            </w:r>
            <w:r w:rsidRPr="00303E62">
              <w:rPr>
                <w:rFonts w:ascii="Book Antiqua" w:eastAsia="Times New Roman" w:hAnsi="Book Antiqua" w:cs="Arial"/>
                <w:b/>
                <w:sz w:val="24"/>
                <w:szCs w:val="24"/>
                <w:lang w:val="en-GB" w:eastAsia="fi-FI"/>
              </w:rPr>
              <w:t>HGD</w:t>
            </w:r>
            <w:r>
              <w:rPr>
                <w:rFonts w:ascii="Book Antiqua" w:eastAsia="Times New Roman" w:hAnsi="Book Antiqua" w:cs="Arial" w:hint="eastAsia"/>
                <w:b/>
                <w:sz w:val="24"/>
                <w:szCs w:val="24"/>
                <w:lang w:val="en-GB" w:eastAsia="zh-CN"/>
              </w:rPr>
              <w:t>)</w:t>
            </w:r>
          </w:p>
        </w:tc>
        <w:tc>
          <w:tcPr>
            <w:tcW w:w="806" w:type="dxa"/>
            <w:tcBorders>
              <w:top w:val="single" w:sz="4" w:space="0" w:color="auto"/>
              <w:bottom w:val="single" w:sz="4" w:space="0" w:color="auto"/>
            </w:tcBorders>
          </w:tcPr>
          <w:p w14:paraId="5C55FCC7"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zh-CN"/>
              </w:rPr>
            </w:pPr>
            <w:r w:rsidRPr="00815C34">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r w:rsidRPr="00303E62">
              <w:rPr>
                <w:rFonts w:ascii="Book Antiqua" w:eastAsia="Times New Roman" w:hAnsi="Book Antiqua" w:cs="Arial"/>
                <w:b/>
                <w:sz w:val="24"/>
                <w:szCs w:val="24"/>
                <w:lang w:val="en-GB" w:eastAsia="fi-FI"/>
              </w:rPr>
              <w:t xml:space="preserve"> </w:t>
            </w:r>
            <w:r>
              <w:rPr>
                <w:rFonts w:ascii="Book Antiqua" w:eastAsia="Times New Roman" w:hAnsi="Book Antiqua" w:cs="Arial" w:hint="eastAsia"/>
                <w:b/>
                <w:sz w:val="24"/>
                <w:szCs w:val="24"/>
                <w:lang w:val="en-GB" w:eastAsia="zh-CN"/>
              </w:rPr>
              <w:t>(</w:t>
            </w:r>
            <w:r w:rsidRPr="00303E62">
              <w:rPr>
                <w:rFonts w:ascii="Book Antiqua" w:eastAsia="Times New Roman" w:hAnsi="Book Antiqua" w:cs="Arial"/>
                <w:b/>
                <w:sz w:val="24"/>
                <w:szCs w:val="24"/>
                <w:lang w:val="en-GB" w:eastAsia="fi-FI"/>
              </w:rPr>
              <w:t xml:space="preserve">HGD </w:t>
            </w:r>
            <w:r w:rsidRPr="00815C34">
              <w:rPr>
                <w:rFonts w:ascii="Book Antiqua" w:eastAsia="Times New Roman" w:hAnsi="Book Antiqua" w:cs="Arial"/>
                <w:b/>
                <w:i/>
                <w:sz w:val="24"/>
                <w:szCs w:val="24"/>
                <w:lang w:val="en-GB" w:eastAsia="fi-FI"/>
              </w:rPr>
              <w:t>vs</w:t>
            </w:r>
            <w:r w:rsidRPr="00815C34">
              <w:rPr>
                <w:rFonts w:ascii="Book Antiqua" w:eastAsia="Times New Roman" w:hAnsi="Book Antiqua" w:cs="Arial" w:hint="eastAsia"/>
                <w:b/>
                <w:i/>
                <w:sz w:val="24"/>
                <w:szCs w:val="24"/>
                <w:lang w:val="en-GB" w:eastAsia="zh-CN"/>
              </w:rPr>
              <w:t xml:space="preserve"> </w:t>
            </w:r>
            <w:r w:rsidRPr="00303E62">
              <w:rPr>
                <w:rFonts w:ascii="Book Antiqua" w:eastAsia="Times New Roman" w:hAnsi="Book Antiqua" w:cs="Arial"/>
                <w:b/>
                <w:sz w:val="24"/>
                <w:szCs w:val="24"/>
                <w:lang w:val="en-GB" w:eastAsia="fi-FI"/>
              </w:rPr>
              <w:t>CCA</w:t>
            </w:r>
            <w:r>
              <w:rPr>
                <w:rFonts w:ascii="Book Antiqua" w:eastAsia="Times New Roman" w:hAnsi="Book Antiqua" w:cs="Arial" w:hint="eastAsia"/>
                <w:b/>
                <w:sz w:val="24"/>
                <w:szCs w:val="24"/>
                <w:lang w:val="en-GB" w:eastAsia="zh-CN"/>
              </w:rPr>
              <w:t>)</w:t>
            </w:r>
          </w:p>
        </w:tc>
        <w:tc>
          <w:tcPr>
            <w:tcW w:w="795" w:type="dxa"/>
            <w:gridSpan w:val="2"/>
            <w:tcBorders>
              <w:top w:val="single" w:sz="4" w:space="0" w:color="auto"/>
              <w:bottom w:val="single" w:sz="4" w:space="0" w:color="auto"/>
            </w:tcBorders>
          </w:tcPr>
          <w:p w14:paraId="69CF35E2"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zh-CN"/>
              </w:rPr>
            </w:pPr>
            <w:r w:rsidRPr="00815C34">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r w:rsidRPr="00303E62">
              <w:rPr>
                <w:rFonts w:ascii="Book Antiqua" w:eastAsia="Times New Roman" w:hAnsi="Book Antiqua" w:cs="Arial"/>
                <w:b/>
                <w:sz w:val="24"/>
                <w:szCs w:val="24"/>
                <w:lang w:val="en-GB" w:eastAsia="fi-FI"/>
              </w:rPr>
              <w:t xml:space="preserve"> </w:t>
            </w:r>
            <w:r>
              <w:rPr>
                <w:rFonts w:ascii="Book Antiqua" w:eastAsia="Times New Roman" w:hAnsi="Book Antiqua" w:cs="Arial" w:hint="eastAsia"/>
                <w:b/>
                <w:sz w:val="24"/>
                <w:szCs w:val="24"/>
                <w:lang w:val="en-GB" w:eastAsia="zh-CN"/>
              </w:rPr>
              <w:t>(</w:t>
            </w:r>
            <w:r w:rsidRPr="00303E62">
              <w:rPr>
                <w:rFonts w:ascii="Book Antiqua" w:eastAsia="Times New Roman" w:hAnsi="Book Antiqua" w:cs="Arial"/>
                <w:b/>
                <w:sz w:val="24"/>
                <w:szCs w:val="24"/>
                <w:lang w:val="en-GB" w:eastAsia="fi-FI"/>
              </w:rPr>
              <w:t xml:space="preserve">LGD </w:t>
            </w:r>
            <w:r w:rsidRPr="00815C34">
              <w:rPr>
                <w:rFonts w:ascii="Book Antiqua" w:eastAsia="Times New Roman" w:hAnsi="Book Antiqua" w:cs="Arial"/>
                <w:b/>
                <w:i/>
                <w:sz w:val="24"/>
                <w:szCs w:val="24"/>
                <w:lang w:val="en-GB" w:eastAsia="fi-FI"/>
              </w:rPr>
              <w:t xml:space="preserve"> vs</w:t>
            </w:r>
            <w:r w:rsidRPr="00815C34">
              <w:rPr>
                <w:rFonts w:ascii="Book Antiqua" w:eastAsia="Times New Roman" w:hAnsi="Book Antiqua" w:cs="Arial" w:hint="eastAsia"/>
                <w:b/>
                <w:i/>
                <w:sz w:val="24"/>
                <w:szCs w:val="24"/>
                <w:lang w:val="en-GB" w:eastAsia="zh-CN"/>
              </w:rPr>
              <w:t xml:space="preserve"> </w:t>
            </w:r>
            <w:r w:rsidRPr="00303E62">
              <w:rPr>
                <w:rFonts w:ascii="Book Antiqua" w:eastAsia="Times New Roman" w:hAnsi="Book Antiqua" w:cs="Arial"/>
                <w:b/>
                <w:sz w:val="24"/>
                <w:szCs w:val="24"/>
                <w:lang w:val="en-GB" w:eastAsia="fi-FI"/>
              </w:rPr>
              <w:t>CCA</w:t>
            </w:r>
            <w:r>
              <w:rPr>
                <w:rFonts w:ascii="Book Antiqua" w:eastAsia="Times New Roman" w:hAnsi="Book Antiqua" w:cs="Arial" w:hint="eastAsia"/>
                <w:b/>
                <w:sz w:val="24"/>
                <w:szCs w:val="24"/>
                <w:lang w:val="en-GB" w:eastAsia="zh-CN"/>
              </w:rPr>
              <w:t>)</w:t>
            </w:r>
          </w:p>
        </w:tc>
      </w:tr>
      <w:tr w:rsidR="004606EF" w:rsidRPr="00303E62" w14:paraId="7F152898" w14:textId="77777777" w:rsidTr="00F73722">
        <w:trPr>
          <w:trHeight w:val="315"/>
        </w:trPr>
        <w:tc>
          <w:tcPr>
            <w:tcW w:w="2618" w:type="dxa"/>
            <w:tcBorders>
              <w:top w:val="single" w:sz="4" w:space="0" w:color="auto"/>
            </w:tcBorders>
            <w:shd w:val="clear" w:color="auto" w:fill="auto"/>
            <w:noWrap/>
            <w:vAlign w:val="bottom"/>
          </w:tcPr>
          <w:p w14:paraId="051650DA" w14:textId="77777777" w:rsidR="004606EF" w:rsidRPr="004606EF" w:rsidRDefault="004606EF" w:rsidP="00D305D7">
            <w:pPr>
              <w:snapToGrid w:val="0"/>
              <w:spacing w:after="0" w:line="360" w:lineRule="auto"/>
              <w:jc w:val="both"/>
              <w:rPr>
                <w:rFonts w:ascii="Book Antiqua" w:eastAsia="Times New Roman" w:hAnsi="Book Antiqua" w:cs="Arial"/>
                <w:bCs/>
                <w:i/>
                <w:sz w:val="24"/>
                <w:szCs w:val="24"/>
                <w:lang w:val="en-GB" w:eastAsia="fi-FI"/>
              </w:rPr>
            </w:pPr>
            <w:r w:rsidRPr="004606EF">
              <w:rPr>
                <w:rFonts w:ascii="Book Antiqua" w:eastAsia="Times New Roman" w:hAnsi="Book Antiqua" w:cs="Arial"/>
                <w:bCs/>
                <w:i/>
                <w:sz w:val="24"/>
                <w:szCs w:val="24"/>
                <w:lang w:val="en-GB" w:eastAsia="fi-FI"/>
              </w:rPr>
              <w:t>n</w:t>
            </w:r>
          </w:p>
        </w:tc>
        <w:tc>
          <w:tcPr>
            <w:tcW w:w="1907" w:type="dxa"/>
            <w:tcBorders>
              <w:top w:val="single" w:sz="4" w:space="0" w:color="auto"/>
            </w:tcBorders>
            <w:shd w:val="clear" w:color="auto" w:fill="auto"/>
            <w:noWrap/>
            <w:vAlign w:val="bottom"/>
          </w:tcPr>
          <w:p w14:paraId="44287E2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16</w:t>
            </w:r>
          </w:p>
        </w:tc>
        <w:tc>
          <w:tcPr>
            <w:tcW w:w="1765" w:type="dxa"/>
            <w:tcBorders>
              <w:top w:val="single" w:sz="4" w:space="0" w:color="auto"/>
            </w:tcBorders>
            <w:shd w:val="clear" w:color="auto" w:fill="auto"/>
            <w:noWrap/>
            <w:vAlign w:val="bottom"/>
          </w:tcPr>
          <w:p w14:paraId="607D936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w:t>
            </w:r>
          </w:p>
        </w:tc>
        <w:tc>
          <w:tcPr>
            <w:tcW w:w="1629" w:type="dxa"/>
            <w:tcBorders>
              <w:top w:val="single" w:sz="4" w:space="0" w:color="auto"/>
            </w:tcBorders>
            <w:shd w:val="clear" w:color="auto" w:fill="auto"/>
            <w:noWrap/>
            <w:vAlign w:val="bottom"/>
          </w:tcPr>
          <w:p w14:paraId="4C8C0D4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19</w:t>
            </w:r>
          </w:p>
        </w:tc>
        <w:tc>
          <w:tcPr>
            <w:tcW w:w="1142" w:type="dxa"/>
            <w:tcBorders>
              <w:top w:val="single" w:sz="4" w:space="0" w:color="auto"/>
            </w:tcBorders>
            <w:shd w:val="clear" w:color="auto" w:fill="auto"/>
            <w:noWrap/>
            <w:vAlign w:val="bottom"/>
          </w:tcPr>
          <w:p w14:paraId="33E69EE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987" w:type="dxa"/>
            <w:tcBorders>
              <w:top w:val="single" w:sz="4" w:space="0" w:color="auto"/>
            </w:tcBorders>
          </w:tcPr>
          <w:p w14:paraId="316C0281" w14:textId="77777777" w:rsidR="004606EF" w:rsidRPr="00303E62" w:rsidRDefault="004606EF" w:rsidP="00D305D7">
            <w:pPr>
              <w:snapToGrid w:val="0"/>
              <w:spacing w:after="0" w:line="360" w:lineRule="auto"/>
              <w:jc w:val="center"/>
              <w:rPr>
                <w:rFonts w:ascii="Book Antiqua" w:eastAsia="Times New Roman" w:hAnsi="Book Antiqua" w:cs="Arial"/>
                <w:b/>
                <w:sz w:val="24"/>
                <w:szCs w:val="24"/>
                <w:lang w:val="en-GB" w:eastAsia="fi-FI"/>
              </w:rPr>
            </w:pPr>
            <w:r w:rsidRPr="00303E62">
              <w:rPr>
                <w:rFonts w:ascii="Book Antiqua" w:eastAsia="Times New Roman" w:hAnsi="Book Antiqua" w:cs="Arial"/>
                <w:b/>
                <w:sz w:val="24"/>
                <w:szCs w:val="24"/>
                <w:lang w:val="en-GB" w:eastAsia="fi-FI"/>
              </w:rPr>
              <w:t>.</w:t>
            </w:r>
          </w:p>
        </w:tc>
        <w:tc>
          <w:tcPr>
            <w:tcW w:w="806" w:type="dxa"/>
            <w:tcBorders>
              <w:top w:val="single" w:sz="4" w:space="0" w:color="auto"/>
            </w:tcBorders>
          </w:tcPr>
          <w:p w14:paraId="17A8D3E0" w14:textId="77777777" w:rsidR="004606EF" w:rsidRPr="00303E62" w:rsidRDefault="004606EF" w:rsidP="00D305D7">
            <w:pPr>
              <w:snapToGrid w:val="0"/>
              <w:spacing w:after="0" w:line="360" w:lineRule="auto"/>
              <w:jc w:val="center"/>
              <w:rPr>
                <w:rFonts w:ascii="Book Antiqua" w:eastAsia="Times New Roman" w:hAnsi="Book Antiqua" w:cs="Arial"/>
                <w:b/>
                <w:sz w:val="24"/>
                <w:szCs w:val="24"/>
                <w:lang w:val="en-GB" w:eastAsia="fi-FI"/>
              </w:rPr>
            </w:pPr>
            <w:r w:rsidRPr="00303E62">
              <w:rPr>
                <w:rFonts w:ascii="Book Antiqua" w:eastAsia="Times New Roman" w:hAnsi="Book Antiqua" w:cs="Arial"/>
                <w:b/>
                <w:sz w:val="24"/>
                <w:szCs w:val="24"/>
                <w:lang w:val="en-GB" w:eastAsia="fi-FI"/>
              </w:rPr>
              <w:t>.</w:t>
            </w:r>
          </w:p>
        </w:tc>
        <w:tc>
          <w:tcPr>
            <w:tcW w:w="795" w:type="dxa"/>
            <w:gridSpan w:val="2"/>
            <w:tcBorders>
              <w:top w:val="single" w:sz="4" w:space="0" w:color="auto"/>
            </w:tcBorders>
          </w:tcPr>
          <w:p w14:paraId="42D4F704" w14:textId="77777777" w:rsidR="004606EF" w:rsidRPr="00303E62" w:rsidRDefault="004606EF" w:rsidP="00D305D7">
            <w:pPr>
              <w:snapToGrid w:val="0"/>
              <w:spacing w:after="0" w:line="360" w:lineRule="auto"/>
              <w:jc w:val="center"/>
              <w:rPr>
                <w:rFonts w:ascii="Book Antiqua" w:eastAsia="Times New Roman" w:hAnsi="Book Antiqua" w:cs="Arial"/>
                <w:b/>
                <w:sz w:val="24"/>
                <w:szCs w:val="24"/>
                <w:lang w:val="en-GB" w:eastAsia="fi-FI"/>
              </w:rPr>
            </w:pPr>
            <w:r w:rsidRPr="00303E62">
              <w:rPr>
                <w:rFonts w:ascii="Book Antiqua" w:eastAsia="Times New Roman" w:hAnsi="Book Antiqua" w:cs="Arial"/>
                <w:b/>
                <w:sz w:val="24"/>
                <w:szCs w:val="24"/>
                <w:lang w:val="en-GB" w:eastAsia="fi-FI"/>
              </w:rPr>
              <w:t>.</w:t>
            </w:r>
          </w:p>
        </w:tc>
      </w:tr>
      <w:tr w:rsidR="004606EF" w:rsidRPr="00303E62" w14:paraId="122AC32B" w14:textId="77777777" w:rsidTr="00F73722">
        <w:trPr>
          <w:trHeight w:val="315"/>
        </w:trPr>
        <w:tc>
          <w:tcPr>
            <w:tcW w:w="2618" w:type="dxa"/>
            <w:shd w:val="clear" w:color="auto" w:fill="auto"/>
            <w:noWrap/>
            <w:vAlign w:val="bottom"/>
          </w:tcPr>
          <w:p w14:paraId="69C34EBF"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Male/female</w:t>
            </w:r>
          </w:p>
        </w:tc>
        <w:tc>
          <w:tcPr>
            <w:tcW w:w="1907" w:type="dxa"/>
            <w:shd w:val="clear" w:color="auto" w:fill="auto"/>
            <w:noWrap/>
            <w:vAlign w:val="bottom"/>
          </w:tcPr>
          <w:p w14:paraId="04B0D51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10/6</w:t>
            </w:r>
          </w:p>
        </w:tc>
        <w:tc>
          <w:tcPr>
            <w:tcW w:w="1765" w:type="dxa"/>
            <w:shd w:val="clear" w:color="auto" w:fill="auto"/>
            <w:noWrap/>
            <w:vAlign w:val="bottom"/>
          </w:tcPr>
          <w:p w14:paraId="0EEAEBA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8/2</w:t>
            </w:r>
          </w:p>
        </w:tc>
        <w:tc>
          <w:tcPr>
            <w:tcW w:w="1629" w:type="dxa"/>
            <w:shd w:val="clear" w:color="auto" w:fill="auto"/>
            <w:noWrap/>
            <w:vAlign w:val="bottom"/>
          </w:tcPr>
          <w:p w14:paraId="655F56E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14/5</w:t>
            </w:r>
          </w:p>
        </w:tc>
        <w:tc>
          <w:tcPr>
            <w:tcW w:w="1142" w:type="dxa"/>
            <w:shd w:val="clear" w:color="auto" w:fill="auto"/>
            <w:noWrap/>
            <w:vAlign w:val="bottom"/>
          </w:tcPr>
          <w:p w14:paraId="1595078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0.701</w:t>
            </w:r>
          </w:p>
        </w:tc>
        <w:tc>
          <w:tcPr>
            <w:tcW w:w="987" w:type="dxa"/>
          </w:tcPr>
          <w:p w14:paraId="114F71D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2FCEC86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2AEAF0F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4A6480E2" w14:textId="77777777" w:rsidTr="00F73722">
        <w:trPr>
          <w:trHeight w:val="315"/>
        </w:trPr>
        <w:tc>
          <w:tcPr>
            <w:tcW w:w="2618" w:type="dxa"/>
            <w:shd w:val="clear" w:color="auto" w:fill="auto"/>
            <w:noWrap/>
            <w:vAlign w:val="bottom"/>
          </w:tcPr>
          <w:p w14:paraId="0D8E0C23" w14:textId="77777777" w:rsidR="004606EF" w:rsidRPr="004606EF" w:rsidRDefault="004606EF" w:rsidP="00D305D7">
            <w:pPr>
              <w:snapToGrid w:val="0"/>
              <w:spacing w:after="0" w:line="360" w:lineRule="auto"/>
              <w:jc w:val="both"/>
              <w:rPr>
                <w:rFonts w:ascii="Book Antiqua" w:hAnsi="Book Antiqua" w:cs="Arial"/>
                <w:bCs/>
                <w:sz w:val="24"/>
                <w:szCs w:val="24"/>
                <w:lang w:val="en-GB" w:eastAsia="zh-CN"/>
              </w:rPr>
            </w:pPr>
            <w:r>
              <w:rPr>
                <w:rFonts w:ascii="Book Antiqua" w:eastAsia="Times New Roman" w:hAnsi="Book Antiqua" w:cs="Arial"/>
                <w:bCs/>
                <w:sz w:val="24"/>
                <w:szCs w:val="24"/>
                <w:lang w:val="en-GB" w:eastAsia="fi-FI"/>
              </w:rPr>
              <w:t>Age, yr</w:t>
            </w:r>
          </w:p>
        </w:tc>
        <w:tc>
          <w:tcPr>
            <w:tcW w:w="1907" w:type="dxa"/>
            <w:shd w:val="clear" w:color="auto" w:fill="auto"/>
            <w:noWrap/>
            <w:vAlign w:val="bottom"/>
          </w:tcPr>
          <w:p w14:paraId="1D74411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32 (26-48)</w:t>
            </w:r>
          </w:p>
        </w:tc>
        <w:tc>
          <w:tcPr>
            <w:tcW w:w="1765" w:type="dxa"/>
            <w:shd w:val="clear" w:color="auto" w:fill="auto"/>
            <w:noWrap/>
            <w:vAlign w:val="bottom"/>
          </w:tcPr>
          <w:p w14:paraId="0FF1761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48 (35-59)</w:t>
            </w:r>
          </w:p>
        </w:tc>
        <w:tc>
          <w:tcPr>
            <w:tcW w:w="1629" w:type="dxa"/>
            <w:shd w:val="clear" w:color="auto" w:fill="auto"/>
            <w:noWrap/>
            <w:vAlign w:val="bottom"/>
          </w:tcPr>
          <w:p w14:paraId="3D4CBB7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55 (37-60)</w:t>
            </w:r>
          </w:p>
        </w:tc>
        <w:tc>
          <w:tcPr>
            <w:tcW w:w="1142" w:type="dxa"/>
            <w:shd w:val="clear" w:color="auto" w:fill="auto"/>
            <w:noWrap/>
            <w:vAlign w:val="bottom"/>
          </w:tcPr>
          <w:p w14:paraId="43C13713"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0.003</w:t>
            </w:r>
          </w:p>
        </w:tc>
        <w:tc>
          <w:tcPr>
            <w:tcW w:w="987" w:type="dxa"/>
          </w:tcPr>
          <w:p w14:paraId="666AA220"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0.056</w:t>
            </w:r>
          </w:p>
        </w:tc>
        <w:tc>
          <w:tcPr>
            <w:tcW w:w="806" w:type="dxa"/>
          </w:tcPr>
          <w:p w14:paraId="23DA97BE"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0.896</w:t>
            </w:r>
          </w:p>
        </w:tc>
        <w:tc>
          <w:tcPr>
            <w:tcW w:w="795" w:type="dxa"/>
            <w:gridSpan w:val="2"/>
          </w:tcPr>
          <w:p w14:paraId="13FC2001"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0.004</w:t>
            </w:r>
          </w:p>
        </w:tc>
      </w:tr>
      <w:tr w:rsidR="004606EF" w:rsidRPr="00303E62" w14:paraId="5ACADF02" w14:textId="77777777" w:rsidTr="00F73722">
        <w:trPr>
          <w:trHeight w:val="315"/>
        </w:trPr>
        <w:tc>
          <w:tcPr>
            <w:tcW w:w="2618" w:type="dxa"/>
            <w:shd w:val="clear" w:color="auto" w:fill="auto"/>
            <w:noWrap/>
            <w:vAlign w:val="bottom"/>
          </w:tcPr>
          <w:p w14:paraId="0CB132A0" w14:textId="77777777" w:rsidR="004606EF" w:rsidRPr="004606EF" w:rsidRDefault="004606EF" w:rsidP="00D305D7">
            <w:pPr>
              <w:snapToGrid w:val="0"/>
              <w:spacing w:after="0" w:line="360" w:lineRule="auto"/>
              <w:jc w:val="both"/>
              <w:rPr>
                <w:rFonts w:ascii="Book Antiqua" w:hAnsi="Book Antiqua" w:cs="Arial"/>
                <w:bCs/>
                <w:sz w:val="24"/>
                <w:szCs w:val="24"/>
                <w:lang w:val="en-GB" w:eastAsia="zh-CN"/>
              </w:rPr>
            </w:pPr>
            <w:r>
              <w:rPr>
                <w:rFonts w:ascii="Book Antiqua" w:eastAsia="Times New Roman" w:hAnsi="Book Antiqua" w:cs="Arial"/>
                <w:bCs/>
                <w:sz w:val="24"/>
                <w:szCs w:val="24"/>
                <w:lang w:val="en-GB" w:eastAsia="fi-FI"/>
              </w:rPr>
              <w:t>PSC duration, yr</w:t>
            </w:r>
          </w:p>
        </w:tc>
        <w:tc>
          <w:tcPr>
            <w:tcW w:w="1907" w:type="dxa"/>
            <w:shd w:val="clear" w:color="auto" w:fill="auto"/>
            <w:noWrap/>
            <w:vAlign w:val="bottom"/>
          </w:tcPr>
          <w:p w14:paraId="04EFD36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4.1 (2.2-8.3)</w:t>
            </w:r>
          </w:p>
        </w:tc>
        <w:tc>
          <w:tcPr>
            <w:tcW w:w="1765" w:type="dxa"/>
            <w:shd w:val="clear" w:color="auto" w:fill="auto"/>
            <w:noWrap/>
            <w:vAlign w:val="bottom"/>
          </w:tcPr>
          <w:p w14:paraId="7F8E07D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4.4 (2.3-7.9)</w:t>
            </w:r>
          </w:p>
        </w:tc>
        <w:tc>
          <w:tcPr>
            <w:tcW w:w="1629" w:type="dxa"/>
            <w:shd w:val="clear" w:color="auto" w:fill="auto"/>
            <w:noWrap/>
            <w:vAlign w:val="bottom"/>
          </w:tcPr>
          <w:p w14:paraId="06D05CE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4.0 (0.3-17.1)</w:t>
            </w:r>
          </w:p>
        </w:tc>
        <w:tc>
          <w:tcPr>
            <w:tcW w:w="1142" w:type="dxa"/>
            <w:shd w:val="clear" w:color="auto" w:fill="auto"/>
            <w:noWrap/>
            <w:vAlign w:val="bottom"/>
          </w:tcPr>
          <w:p w14:paraId="0289365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0.948</w:t>
            </w:r>
          </w:p>
        </w:tc>
        <w:tc>
          <w:tcPr>
            <w:tcW w:w="987" w:type="dxa"/>
          </w:tcPr>
          <w:p w14:paraId="64F60CA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4E4F6DB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583094D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6DFA385D" w14:textId="77777777" w:rsidTr="00F73722">
        <w:trPr>
          <w:trHeight w:val="315"/>
        </w:trPr>
        <w:tc>
          <w:tcPr>
            <w:tcW w:w="2618" w:type="dxa"/>
            <w:shd w:val="clear" w:color="auto" w:fill="auto"/>
            <w:noWrap/>
            <w:vAlign w:val="bottom"/>
          </w:tcPr>
          <w:p w14:paraId="33DA46F0"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Symptoms, </w:t>
            </w:r>
            <w:r w:rsidRPr="004606EF">
              <w:rPr>
                <w:rFonts w:ascii="Book Antiqua" w:eastAsia="Times New Roman" w:hAnsi="Book Antiqua" w:cs="Arial"/>
                <w:bCs/>
                <w:i/>
                <w:sz w:val="24"/>
                <w:szCs w:val="24"/>
                <w:lang w:val="en-GB" w:eastAsia="fi-FI"/>
              </w:rPr>
              <w:t>n</w:t>
            </w:r>
          </w:p>
        </w:tc>
        <w:tc>
          <w:tcPr>
            <w:tcW w:w="1907" w:type="dxa"/>
            <w:shd w:val="clear" w:color="auto" w:fill="auto"/>
            <w:noWrap/>
            <w:vAlign w:val="bottom"/>
          </w:tcPr>
          <w:p w14:paraId="57E03EA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12</w:t>
            </w:r>
          </w:p>
        </w:tc>
        <w:tc>
          <w:tcPr>
            <w:tcW w:w="1765" w:type="dxa"/>
            <w:shd w:val="clear" w:color="auto" w:fill="auto"/>
            <w:noWrap/>
            <w:vAlign w:val="bottom"/>
          </w:tcPr>
          <w:p w14:paraId="50D061D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w:t>
            </w:r>
          </w:p>
        </w:tc>
        <w:tc>
          <w:tcPr>
            <w:tcW w:w="1629" w:type="dxa"/>
            <w:shd w:val="clear" w:color="auto" w:fill="auto"/>
            <w:noWrap/>
            <w:vAlign w:val="bottom"/>
          </w:tcPr>
          <w:p w14:paraId="654722E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16</w:t>
            </w:r>
          </w:p>
        </w:tc>
        <w:tc>
          <w:tcPr>
            <w:tcW w:w="1142" w:type="dxa"/>
            <w:shd w:val="clear" w:color="auto" w:fill="auto"/>
            <w:noWrap/>
            <w:vAlign w:val="bottom"/>
          </w:tcPr>
          <w:p w14:paraId="75135DB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0.890</w:t>
            </w:r>
          </w:p>
        </w:tc>
        <w:tc>
          <w:tcPr>
            <w:tcW w:w="987" w:type="dxa"/>
          </w:tcPr>
          <w:p w14:paraId="02FF5F9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1A0223F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5F2A1F2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5C616139" w14:textId="77777777" w:rsidTr="00F73722">
        <w:trPr>
          <w:trHeight w:val="315"/>
        </w:trPr>
        <w:tc>
          <w:tcPr>
            <w:tcW w:w="2618" w:type="dxa"/>
            <w:shd w:val="clear" w:color="auto" w:fill="auto"/>
            <w:noWrap/>
            <w:vAlign w:val="bottom"/>
          </w:tcPr>
          <w:p w14:paraId="33514B23"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Icterus, </w:t>
            </w:r>
            <w:r w:rsidRPr="004606EF">
              <w:rPr>
                <w:rFonts w:ascii="Book Antiqua" w:eastAsia="Times New Roman" w:hAnsi="Book Antiqua" w:cs="Arial"/>
                <w:bCs/>
                <w:i/>
                <w:sz w:val="24"/>
                <w:szCs w:val="24"/>
                <w:lang w:val="en-GB" w:eastAsia="fi-FI"/>
              </w:rPr>
              <w:t>n</w:t>
            </w:r>
          </w:p>
        </w:tc>
        <w:tc>
          <w:tcPr>
            <w:tcW w:w="1907" w:type="dxa"/>
            <w:shd w:val="clear" w:color="auto" w:fill="auto"/>
            <w:noWrap/>
            <w:vAlign w:val="bottom"/>
          </w:tcPr>
          <w:p w14:paraId="50BC413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w:t>
            </w:r>
          </w:p>
        </w:tc>
        <w:tc>
          <w:tcPr>
            <w:tcW w:w="1765" w:type="dxa"/>
            <w:shd w:val="clear" w:color="auto" w:fill="auto"/>
            <w:noWrap/>
            <w:vAlign w:val="bottom"/>
          </w:tcPr>
          <w:p w14:paraId="611F1AC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629" w:type="dxa"/>
            <w:shd w:val="clear" w:color="auto" w:fill="auto"/>
            <w:noWrap/>
            <w:vAlign w:val="bottom"/>
          </w:tcPr>
          <w:p w14:paraId="0153DDF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12</w:t>
            </w:r>
          </w:p>
        </w:tc>
        <w:tc>
          <w:tcPr>
            <w:tcW w:w="1142" w:type="dxa"/>
            <w:shd w:val="clear" w:color="auto" w:fill="auto"/>
            <w:noWrap/>
            <w:vAlign w:val="bottom"/>
          </w:tcPr>
          <w:p w14:paraId="097684F4" w14:textId="77777777" w:rsidR="004606EF" w:rsidRPr="00303E62" w:rsidRDefault="004606EF" w:rsidP="00D305D7">
            <w:pPr>
              <w:snapToGrid w:val="0"/>
              <w:spacing w:after="0" w:line="360" w:lineRule="auto"/>
              <w:jc w:val="center"/>
              <w:rPr>
                <w:rFonts w:ascii="Book Antiqua" w:eastAsia="Times New Roman" w:hAnsi="Book Antiqua" w:cs="Arial"/>
                <w:b/>
                <w:sz w:val="24"/>
                <w:szCs w:val="24"/>
                <w:lang w:val="en-GB" w:eastAsia="fi-FI"/>
              </w:rPr>
            </w:pPr>
            <w:r w:rsidRPr="00303E62">
              <w:rPr>
                <w:rFonts w:ascii="Book Antiqua" w:eastAsia="Times New Roman" w:hAnsi="Book Antiqua" w:cs="Arial"/>
                <w:b/>
                <w:sz w:val="24"/>
                <w:szCs w:val="24"/>
                <w:lang w:val="en-GB" w:eastAsia="fi-FI"/>
              </w:rPr>
              <w:t>0.014</w:t>
            </w:r>
          </w:p>
        </w:tc>
        <w:tc>
          <w:tcPr>
            <w:tcW w:w="987" w:type="dxa"/>
          </w:tcPr>
          <w:p w14:paraId="22D737A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0.483</w:t>
            </w:r>
          </w:p>
        </w:tc>
        <w:tc>
          <w:tcPr>
            <w:tcW w:w="806" w:type="dxa"/>
          </w:tcPr>
          <w:p w14:paraId="357F74D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1.000</w:t>
            </w:r>
          </w:p>
        </w:tc>
        <w:tc>
          <w:tcPr>
            <w:tcW w:w="795" w:type="dxa"/>
            <w:gridSpan w:val="2"/>
          </w:tcPr>
          <w:p w14:paraId="75B2833B" w14:textId="77777777" w:rsidR="004606EF" w:rsidRPr="00303E62" w:rsidRDefault="004606EF" w:rsidP="00D305D7">
            <w:pPr>
              <w:snapToGrid w:val="0"/>
              <w:spacing w:after="0" w:line="360" w:lineRule="auto"/>
              <w:jc w:val="center"/>
              <w:rPr>
                <w:rFonts w:ascii="Book Antiqua" w:eastAsia="Times New Roman" w:hAnsi="Book Antiqua" w:cs="Arial"/>
                <w:b/>
                <w:sz w:val="24"/>
                <w:szCs w:val="24"/>
                <w:lang w:val="en-GB" w:eastAsia="fi-FI"/>
              </w:rPr>
            </w:pPr>
            <w:r w:rsidRPr="00303E62">
              <w:rPr>
                <w:rFonts w:ascii="Book Antiqua" w:eastAsia="Times New Roman" w:hAnsi="Book Antiqua" w:cs="Arial"/>
                <w:b/>
                <w:sz w:val="24"/>
                <w:szCs w:val="24"/>
                <w:lang w:val="en-GB" w:eastAsia="fi-FI"/>
              </w:rPr>
              <w:t>0.024</w:t>
            </w:r>
          </w:p>
        </w:tc>
      </w:tr>
      <w:tr w:rsidR="004606EF" w:rsidRPr="00303E62" w14:paraId="5F596C26" w14:textId="77777777" w:rsidTr="00F73722">
        <w:trPr>
          <w:trHeight w:val="315"/>
        </w:trPr>
        <w:tc>
          <w:tcPr>
            <w:tcW w:w="2618" w:type="dxa"/>
            <w:shd w:val="clear" w:color="auto" w:fill="auto"/>
            <w:noWrap/>
            <w:vAlign w:val="bottom"/>
          </w:tcPr>
          <w:p w14:paraId="1EDBAC0A"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Pruritus, </w:t>
            </w:r>
            <w:r w:rsidRPr="004606EF">
              <w:rPr>
                <w:rFonts w:ascii="Book Antiqua" w:eastAsia="Times New Roman" w:hAnsi="Book Antiqua" w:cs="Arial"/>
                <w:bCs/>
                <w:i/>
                <w:sz w:val="24"/>
                <w:szCs w:val="24"/>
                <w:lang w:val="en-GB" w:eastAsia="fi-FI"/>
              </w:rPr>
              <w:t xml:space="preserve"> n</w:t>
            </w:r>
          </w:p>
        </w:tc>
        <w:tc>
          <w:tcPr>
            <w:tcW w:w="1907" w:type="dxa"/>
            <w:shd w:val="clear" w:color="auto" w:fill="auto"/>
            <w:noWrap/>
            <w:vAlign w:val="bottom"/>
          </w:tcPr>
          <w:p w14:paraId="6C63B76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9</w:t>
            </w:r>
          </w:p>
        </w:tc>
        <w:tc>
          <w:tcPr>
            <w:tcW w:w="1765" w:type="dxa"/>
            <w:shd w:val="clear" w:color="auto" w:fill="auto"/>
            <w:noWrap/>
            <w:vAlign w:val="bottom"/>
          </w:tcPr>
          <w:p w14:paraId="4880A87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w:t>
            </w:r>
          </w:p>
        </w:tc>
        <w:tc>
          <w:tcPr>
            <w:tcW w:w="1629" w:type="dxa"/>
            <w:shd w:val="clear" w:color="auto" w:fill="auto"/>
            <w:noWrap/>
            <w:vAlign w:val="bottom"/>
          </w:tcPr>
          <w:p w14:paraId="0ACC9FC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w:t>
            </w:r>
          </w:p>
        </w:tc>
        <w:tc>
          <w:tcPr>
            <w:tcW w:w="1142" w:type="dxa"/>
            <w:shd w:val="clear" w:color="auto" w:fill="auto"/>
            <w:noWrap/>
            <w:vAlign w:val="bottom"/>
          </w:tcPr>
          <w:p w14:paraId="671B2D8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1.000</w:t>
            </w:r>
          </w:p>
        </w:tc>
        <w:tc>
          <w:tcPr>
            <w:tcW w:w="987" w:type="dxa"/>
          </w:tcPr>
          <w:p w14:paraId="18AE546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72E8F4B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6E020A7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41C31C5D" w14:textId="77777777" w:rsidTr="00F73722">
        <w:trPr>
          <w:trHeight w:val="315"/>
        </w:trPr>
        <w:tc>
          <w:tcPr>
            <w:tcW w:w="2618" w:type="dxa"/>
            <w:shd w:val="clear" w:color="auto" w:fill="auto"/>
            <w:noWrap/>
            <w:vAlign w:val="bottom"/>
          </w:tcPr>
          <w:p w14:paraId="0496C8B2"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Cholangitis/fever, </w:t>
            </w:r>
            <w:r w:rsidRPr="004606EF">
              <w:rPr>
                <w:rFonts w:ascii="Book Antiqua" w:eastAsia="Times New Roman" w:hAnsi="Book Antiqua" w:cs="Arial"/>
                <w:bCs/>
                <w:i/>
                <w:sz w:val="24"/>
                <w:szCs w:val="24"/>
                <w:lang w:val="en-GB" w:eastAsia="fi-FI"/>
              </w:rPr>
              <w:t>n</w:t>
            </w:r>
          </w:p>
        </w:tc>
        <w:tc>
          <w:tcPr>
            <w:tcW w:w="1907" w:type="dxa"/>
            <w:shd w:val="clear" w:color="auto" w:fill="auto"/>
            <w:noWrap/>
            <w:vAlign w:val="bottom"/>
          </w:tcPr>
          <w:p w14:paraId="279E14C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765" w:type="dxa"/>
            <w:shd w:val="clear" w:color="auto" w:fill="auto"/>
            <w:noWrap/>
            <w:vAlign w:val="bottom"/>
          </w:tcPr>
          <w:p w14:paraId="7690E8E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w:t>
            </w:r>
          </w:p>
        </w:tc>
        <w:tc>
          <w:tcPr>
            <w:tcW w:w="1629" w:type="dxa"/>
            <w:shd w:val="clear" w:color="auto" w:fill="auto"/>
            <w:noWrap/>
            <w:vAlign w:val="bottom"/>
          </w:tcPr>
          <w:p w14:paraId="30436CA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w:t>
            </w:r>
          </w:p>
        </w:tc>
        <w:tc>
          <w:tcPr>
            <w:tcW w:w="1142" w:type="dxa"/>
            <w:shd w:val="clear" w:color="auto" w:fill="auto"/>
            <w:noWrap/>
            <w:vAlign w:val="bottom"/>
          </w:tcPr>
          <w:p w14:paraId="25AC769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0.415</w:t>
            </w:r>
          </w:p>
        </w:tc>
        <w:tc>
          <w:tcPr>
            <w:tcW w:w="987" w:type="dxa"/>
          </w:tcPr>
          <w:p w14:paraId="644D9D7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109E198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1C45EDD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172D83AD" w14:textId="77777777" w:rsidTr="00F73722">
        <w:trPr>
          <w:trHeight w:val="315"/>
        </w:trPr>
        <w:tc>
          <w:tcPr>
            <w:tcW w:w="2618" w:type="dxa"/>
            <w:shd w:val="clear" w:color="auto" w:fill="auto"/>
            <w:noWrap/>
            <w:vAlign w:val="bottom"/>
          </w:tcPr>
          <w:p w14:paraId="7523F6E5"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Fatigue,</w:t>
            </w:r>
            <w:r>
              <w:rPr>
                <w:rFonts w:ascii="Book Antiqua" w:eastAsia="Times New Roman" w:hAnsi="Book Antiqua" w:cs="Arial" w:hint="eastAsia"/>
                <w:bCs/>
                <w:sz w:val="24"/>
                <w:szCs w:val="24"/>
                <w:lang w:val="en-GB" w:eastAsia="zh-CN"/>
              </w:rPr>
              <w:t xml:space="preserve"> </w:t>
            </w:r>
            <w:r w:rsidRPr="004606EF">
              <w:rPr>
                <w:rFonts w:ascii="Book Antiqua" w:eastAsia="Times New Roman" w:hAnsi="Book Antiqua" w:cs="Arial"/>
                <w:bCs/>
                <w:i/>
                <w:sz w:val="24"/>
                <w:szCs w:val="24"/>
                <w:lang w:val="en-GB" w:eastAsia="fi-FI"/>
              </w:rPr>
              <w:t>n</w:t>
            </w:r>
          </w:p>
        </w:tc>
        <w:tc>
          <w:tcPr>
            <w:tcW w:w="1907" w:type="dxa"/>
            <w:shd w:val="clear" w:color="auto" w:fill="auto"/>
            <w:noWrap/>
            <w:vAlign w:val="bottom"/>
          </w:tcPr>
          <w:p w14:paraId="7FC3AA9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7</w:t>
            </w:r>
          </w:p>
        </w:tc>
        <w:tc>
          <w:tcPr>
            <w:tcW w:w="1765" w:type="dxa"/>
            <w:shd w:val="clear" w:color="auto" w:fill="auto"/>
            <w:noWrap/>
            <w:vAlign w:val="bottom"/>
          </w:tcPr>
          <w:p w14:paraId="10748FB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w:t>
            </w:r>
          </w:p>
        </w:tc>
        <w:tc>
          <w:tcPr>
            <w:tcW w:w="1629" w:type="dxa"/>
            <w:shd w:val="clear" w:color="auto" w:fill="auto"/>
            <w:noWrap/>
            <w:vAlign w:val="bottom"/>
          </w:tcPr>
          <w:p w14:paraId="62BA3B1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142" w:type="dxa"/>
            <w:shd w:val="clear" w:color="auto" w:fill="auto"/>
            <w:noWrap/>
            <w:vAlign w:val="bottom"/>
          </w:tcPr>
          <w:p w14:paraId="1D7ACD5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1.000</w:t>
            </w:r>
          </w:p>
        </w:tc>
        <w:tc>
          <w:tcPr>
            <w:tcW w:w="987" w:type="dxa"/>
          </w:tcPr>
          <w:p w14:paraId="0B2505A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2655EF1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49C14980"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6C82F6D3" w14:textId="77777777" w:rsidTr="00F73722">
        <w:trPr>
          <w:trHeight w:val="315"/>
        </w:trPr>
        <w:tc>
          <w:tcPr>
            <w:tcW w:w="2618" w:type="dxa"/>
            <w:shd w:val="clear" w:color="auto" w:fill="auto"/>
            <w:noWrap/>
            <w:vAlign w:val="bottom"/>
          </w:tcPr>
          <w:p w14:paraId="482144F6"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Pain, </w:t>
            </w:r>
            <w:r w:rsidRPr="004606EF">
              <w:rPr>
                <w:rFonts w:ascii="Book Antiqua" w:eastAsia="Times New Roman" w:hAnsi="Book Antiqua" w:cs="Arial"/>
                <w:bCs/>
                <w:i/>
                <w:sz w:val="24"/>
                <w:szCs w:val="24"/>
                <w:lang w:val="en-GB" w:eastAsia="fi-FI"/>
              </w:rPr>
              <w:t xml:space="preserve"> n</w:t>
            </w:r>
          </w:p>
        </w:tc>
        <w:tc>
          <w:tcPr>
            <w:tcW w:w="1907" w:type="dxa"/>
            <w:shd w:val="clear" w:color="auto" w:fill="auto"/>
            <w:noWrap/>
            <w:vAlign w:val="bottom"/>
          </w:tcPr>
          <w:p w14:paraId="3F5F654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w:t>
            </w:r>
          </w:p>
        </w:tc>
        <w:tc>
          <w:tcPr>
            <w:tcW w:w="1765" w:type="dxa"/>
            <w:shd w:val="clear" w:color="auto" w:fill="auto"/>
            <w:noWrap/>
            <w:vAlign w:val="bottom"/>
          </w:tcPr>
          <w:p w14:paraId="49BD8C2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w:t>
            </w:r>
          </w:p>
        </w:tc>
        <w:tc>
          <w:tcPr>
            <w:tcW w:w="1629" w:type="dxa"/>
            <w:shd w:val="clear" w:color="auto" w:fill="auto"/>
            <w:noWrap/>
            <w:vAlign w:val="bottom"/>
          </w:tcPr>
          <w:p w14:paraId="07B62D2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142" w:type="dxa"/>
            <w:shd w:val="clear" w:color="auto" w:fill="auto"/>
            <w:noWrap/>
            <w:vAlign w:val="bottom"/>
          </w:tcPr>
          <w:p w14:paraId="72EDFB9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0.863</w:t>
            </w:r>
          </w:p>
        </w:tc>
        <w:tc>
          <w:tcPr>
            <w:tcW w:w="987" w:type="dxa"/>
          </w:tcPr>
          <w:p w14:paraId="2EDAB1D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16E47B7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5661443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166FC342" w14:textId="77777777" w:rsidTr="00F73722">
        <w:trPr>
          <w:trHeight w:val="315"/>
        </w:trPr>
        <w:tc>
          <w:tcPr>
            <w:tcW w:w="2618" w:type="dxa"/>
            <w:shd w:val="clear" w:color="auto" w:fill="auto"/>
            <w:noWrap/>
            <w:vAlign w:val="bottom"/>
          </w:tcPr>
          <w:p w14:paraId="7743FEBA"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MELD score</w:t>
            </w:r>
          </w:p>
        </w:tc>
        <w:tc>
          <w:tcPr>
            <w:tcW w:w="1907" w:type="dxa"/>
            <w:shd w:val="clear" w:color="auto" w:fill="auto"/>
            <w:noWrap/>
            <w:vAlign w:val="bottom"/>
          </w:tcPr>
          <w:p w14:paraId="06900C00"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7.6 (7.4-11.0)</w:t>
            </w:r>
          </w:p>
        </w:tc>
        <w:tc>
          <w:tcPr>
            <w:tcW w:w="1765" w:type="dxa"/>
            <w:shd w:val="clear" w:color="auto" w:fill="auto"/>
            <w:noWrap/>
            <w:vAlign w:val="bottom"/>
          </w:tcPr>
          <w:p w14:paraId="5F291B2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7.6 (6.4-8.7)</w:t>
            </w:r>
          </w:p>
        </w:tc>
        <w:tc>
          <w:tcPr>
            <w:tcW w:w="1629" w:type="dxa"/>
            <w:shd w:val="clear" w:color="auto" w:fill="auto"/>
            <w:noWrap/>
            <w:vAlign w:val="bottom"/>
          </w:tcPr>
          <w:p w14:paraId="4703F8D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7.7 (6.4-10.4)</w:t>
            </w:r>
          </w:p>
        </w:tc>
        <w:tc>
          <w:tcPr>
            <w:tcW w:w="1142" w:type="dxa"/>
            <w:shd w:val="clear" w:color="auto" w:fill="auto"/>
            <w:noWrap/>
            <w:vAlign w:val="bottom"/>
          </w:tcPr>
          <w:p w14:paraId="7E6D4C9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0.883</w:t>
            </w:r>
          </w:p>
        </w:tc>
        <w:tc>
          <w:tcPr>
            <w:tcW w:w="987" w:type="dxa"/>
          </w:tcPr>
          <w:p w14:paraId="4220B89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7C5744D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3AF9A65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53FB7E7D" w14:textId="77777777" w:rsidTr="00F73722">
        <w:trPr>
          <w:trHeight w:val="315"/>
        </w:trPr>
        <w:tc>
          <w:tcPr>
            <w:tcW w:w="2618" w:type="dxa"/>
            <w:shd w:val="clear" w:color="auto" w:fill="auto"/>
            <w:noWrap/>
            <w:vAlign w:val="bottom"/>
          </w:tcPr>
          <w:p w14:paraId="58A2786B"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IBD, n</w:t>
            </w:r>
          </w:p>
        </w:tc>
        <w:tc>
          <w:tcPr>
            <w:tcW w:w="1907" w:type="dxa"/>
            <w:shd w:val="clear" w:color="auto" w:fill="auto"/>
            <w:noWrap/>
            <w:vAlign w:val="bottom"/>
          </w:tcPr>
          <w:p w14:paraId="6BF2789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w:t>
            </w:r>
          </w:p>
        </w:tc>
        <w:tc>
          <w:tcPr>
            <w:tcW w:w="1765" w:type="dxa"/>
            <w:shd w:val="clear" w:color="auto" w:fill="auto"/>
            <w:noWrap/>
            <w:vAlign w:val="bottom"/>
          </w:tcPr>
          <w:p w14:paraId="5009ED6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w:t>
            </w:r>
          </w:p>
        </w:tc>
        <w:tc>
          <w:tcPr>
            <w:tcW w:w="1629" w:type="dxa"/>
            <w:shd w:val="clear" w:color="auto" w:fill="auto"/>
            <w:noWrap/>
            <w:vAlign w:val="bottom"/>
          </w:tcPr>
          <w:p w14:paraId="27E5AED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15</w:t>
            </w:r>
          </w:p>
        </w:tc>
        <w:tc>
          <w:tcPr>
            <w:tcW w:w="1142" w:type="dxa"/>
            <w:shd w:val="clear" w:color="auto" w:fill="auto"/>
            <w:noWrap/>
            <w:vAlign w:val="bottom"/>
          </w:tcPr>
          <w:p w14:paraId="31710B7B"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0.307</w:t>
            </w:r>
          </w:p>
        </w:tc>
        <w:tc>
          <w:tcPr>
            <w:tcW w:w="987" w:type="dxa"/>
          </w:tcPr>
          <w:p w14:paraId="58D228F3"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w:t>
            </w:r>
          </w:p>
        </w:tc>
        <w:tc>
          <w:tcPr>
            <w:tcW w:w="806" w:type="dxa"/>
          </w:tcPr>
          <w:p w14:paraId="1179E61F"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w:t>
            </w:r>
          </w:p>
        </w:tc>
        <w:tc>
          <w:tcPr>
            <w:tcW w:w="795" w:type="dxa"/>
            <w:gridSpan w:val="2"/>
          </w:tcPr>
          <w:p w14:paraId="0C7DDFB3"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w:t>
            </w:r>
          </w:p>
        </w:tc>
      </w:tr>
      <w:tr w:rsidR="004606EF" w:rsidRPr="00303E62" w14:paraId="34A9A6C8" w14:textId="77777777" w:rsidTr="00F73722">
        <w:trPr>
          <w:trHeight w:val="315"/>
        </w:trPr>
        <w:tc>
          <w:tcPr>
            <w:tcW w:w="2618" w:type="dxa"/>
            <w:shd w:val="clear" w:color="auto" w:fill="auto"/>
            <w:noWrap/>
            <w:vAlign w:val="bottom"/>
          </w:tcPr>
          <w:p w14:paraId="72305E8B"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ALP, U/L</w:t>
            </w:r>
          </w:p>
        </w:tc>
        <w:tc>
          <w:tcPr>
            <w:tcW w:w="1907" w:type="dxa"/>
            <w:shd w:val="clear" w:color="auto" w:fill="auto"/>
            <w:noWrap/>
            <w:vAlign w:val="bottom"/>
          </w:tcPr>
          <w:p w14:paraId="44A7F23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175 (90-324)</w:t>
            </w:r>
          </w:p>
        </w:tc>
        <w:tc>
          <w:tcPr>
            <w:tcW w:w="1765" w:type="dxa"/>
            <w:shd w:val="clear" w:color="auto" w:fill="auto"/>
            <w:noWrap/>
            <w:vAlign w:val="bottom"/>
          </w:tcPr>
          <w:p w14:paraId="7A04A54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89 (69-176)</w:t>
            </w:r>
          </w:p>
        </w:tc>
        <w:tc>
          <w:tcPr>
            <w:tcW w:w="1629" w:type="dxa"/>
            <w:shd w:val="clear" w:color="auto" w:fill="auto"/>
            <w:noWrap/>
            <w:vAlign w:val="bottom"/>
          </w:tcPr>
          <w:p w14:paraId="1F46CCC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237 (158-396)</w:t>
            </w:r>
          </w:p>
        </w:tc>
        <w:tc>
          <w:tcPr>
            <w:tcW w:w="1142" w:type="dxa"/>
            <w:shd w:val="clear" w:color="auto" w:fill="auto"/>
            <w:noWrap/>
            <w:vAlign w:val="bottom"/>
          </w:tcPr>
          <w:p w14:paraId="7A2A922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0.214</w:t>
            </w:r>
          </w:p>
        </w:tc>
        <w:tc>
          <w:tcPr>
            <w:tcW w:w="987" w:type="dxa"/>
          </w:tcPr>
          <w:p w14:paraId="4E36EF2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2C80F84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6AC2224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73D5A8D5" w14:textId="77777777" w:rsidTr="00F73722">
        <w:trPr>
          <w:trHeight w:val="315"/>
        </w:trPr>
        <w:tc>
          <w:tcPr>
            <w:tcW w:w="2618" w:type="dxa"/>
            <w:shd w:val="clear" w:color="auto" w:fill="auto"/>
            <w:noWrap/>
            <w:vAlign w:val="bottom"/>
          </w:tcPr>
          <w:p w14:paraId="6B7007D7"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AST, U/L</w:t>
            </w:r>
          </w:p>
        </w:tc>
        <w:tc>
          <w:tcPr>
            <w:tcW w:w="1907" w:type="dxa"/>
            <w:shd w:val="clear" w:color="auto" w:fill="auto"/>
            <w:noWrap/>
            <w:vAlign w:val="bottom"/>
          </w:tcPr>
          <w:p w14:paraId="43E9C45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45 (32-118)</w:t>
            </w:r>
          </w:p>
        </w:tc>
        <w:tc>
          <w:tcPr>
            <w:tcW w:w="1765" w:type="dxa"/>
            <w:shd w:val="clear" w:color="auto" w:fill="auto"/>
            <w:noWrap/>
            <w:vAlign w:val="bottom"/>
          </w:tcPr>
          <w:p w14:paraId="7A1EBDA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51 (34-64)</w:t>
            </w:r>
          </w:p>
        </w:tc>
        <w:tc>
          <w:tcPr>
            <w:tcW w:w="1629" w:type="dxa"/>
            <w:shd w:val="clear" w:color="auto" w:fill="auto"/>
            <w:noWrap/>
            <w:vAlign w:val="bottom"/>
          </w:tcPr>
          <w:p w14:paraId="085DE33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59 (38-94)</w:t>
            </w:r>
          </w:p>
        </w:tc>
        <w:tc>
          <w:tcPr>
            <w:tcW w:w="1142" w:type="dxa"/>
            <w:shd w:val="clear" w:color="auto" w:fill="auto"/>
            <w:noWrap/>
            <w:vAlign w:val="bottom"/>
          </w:tcPr>
          <w:p w14:paraId="14E390E0"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0.618</w:t>
            </w:r>
          </w:p>
        </w:tc>
        <w:tc>
          <w:tcPr>
            <w:tcW w:w="987" w:type="dxa"/>
          </w:tcPr>
          <w:p w14:paraId="7939A28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331E493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2BEB101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7932AE5B" w14:textId="77777777" w:rsidTr="00F73722">
        <w:trPr>
          <w:trHeight w:val="315"/>
        </w:trPr>
        <w:tc>
          <w:tcPr>
            <w:tcW w:w="2618" w:type="dxa"/>
            <w:shd w:val="clear" w:color="auto" w:fill="auto"/>
            <w:noWrap/>
            <w:vAlign w:val="bottom"/>
          </w:tcPr>
          <w:p w14:paraId="66BAE917"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ALT, U/L</w:t>
            </w:r>
          </w:p>
        </w:tc>
        <w:tc>
          <w:tcPr>
            <w:tcW w:w="1907" w:type="dxa"/>
            <w:shd w:val="clear" w:color="auto" w:fill="auto"/>
            <w:noWrap/>
            <w:vAlign w:val="bottom"/>
          </w:tcPr>
          <w:p w14:paraId="2B8CFEF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61 (31-113)</w:t>
            </w:r>
          </w:p>
        </w:tc>
        <w:tc>
          <w:tcPr>
            <w:tcW w:w="1765" w:type="dxa"/>
            <w:shd w:val="clear" w:color="auto" w:fill="auto"/>
            <w:noWrap/>
            <w:vAlign w:val="bottom"/>
          </w:tcPr>
          <w:p w14:paraId="5B1EC50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56 (30-102)</w:t>
            </w:r>
          </w:p>
        </w:tc>
        <w:tc>
          <w:tcPr>
            <w:tcW w:w="1629" w:type="dxa"/>
            <w:shd w:val="clear" w:color="auto" w:fill="auto"/>
            <w:noWrap/>
            <w:vAlign w:val="bottom"/>
          </w:tcPr>
          <w:p w14:paraId="4679F30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55 (46-112)</w:t>
            </w:r>
          </w:p>
        </w:tc>
        <w:tc>
          <w:tcPr>
            <w:tcW w:w="1142" w:type="dxa"/>
            <w:shd w:val="clear" w:color="auto" w:fill="auto"/>
            <w:noWrap/>
            <w:vAlign w:val="bottom"/>
          </w:tcPr>
          <w:p w14:paraId="4F6CA6E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0.717</w:t>
            </w:r>
          </w:p>
        </w:tc>
        <w:tc>
          <w:tcPr>
            <w:tcW w:w="987" w:type="dxa"/>
          </w:tcPr>
          <w:p w14:paraId="164B226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5B740F1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0E73528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2E82B670" w14:textId="77777777" w:rsidTr="00F73722">
        <w:trPr>
          <w:trHeight w:val="315"/>
        </w:trPr>
        <w:tc>
          <w:tcPr>
            <w:tcW w:w="2618" w:type="dxa"/>
            <w:shd w:val="clear" w:color="auto" w:fill="auto"/>
            <w:noWrap/>
            <w:vAlign w:val="bottom"/>
          </w:tcPr>
          <w:p w14:paraId="2857CFAC"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Bilirubin, µmol/L</w:t>
            </w:r>
          </w:p>
        </w:tc>
        <w:tc>
          <w:tcPr>
            <w:tcW w:w="1907" w:type="dxa"/>
            <w:shd w:val="clear" w:color="auto" w:fill="auto"/>
            <w:noWrap/>
            <w:vAlign w:val="bottom"/>
          </w:tcPr>
          <w:p w14:paraId="4BC6C1A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23 (13-32)</w:t>
            </w:r>
          </w:p>
        </w:tc>
        <w:tc>
          <w:tcPr>
            <w:tcW w:w="1765" w:type="dxa"/>
            <w:shd w:val="clear" w:color="auto" w:fill="auto"/>
            <w:noWrap/>
            <w:vAlign w:val="bottom"/>
          </w:tcPr>
          <w:p w14:paraId="22FF875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11 (8-22)</w:t>
            </w:r>
          </w:p>
        </w:tc>
        <w:tc>
          <w:tcPr>
            <w:tcW w:w="1629" w:type="dxa"/>
            <w:shd w:val="clear" w:color="auto" w:fill="auto"/>
            <w:noWrap/>
            <w:vAlign w:val="bottom"/>
          </w:tcPr>
          <w:p w14:paraId="3FF821D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25 (15-47)</w:t>
            </w:r>
          </w:p>
        </w:tc>
        <w:tc>
          <w:tcPr>
            <w:tcW w:w="1142" w:type="dxa"/>
            <w:shd w:val="clear" w:color="auto" w:fill="auto"/>
            <w:noWrap/>
            <w:vAlign w:val="bottom"/>
          </w:tcPr>
          <w:p w14:paraId="2D37445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0.354</w:t>
            </w:r>
          </w:p>
        </w:tc>
        <w:tc>
          <w:tcPr>
            <w:tcW w:w="987" w:type="dxa"/>
          </w:tcPr>
          <w:p w14:paraId="3C46AF6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7EC2DEE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14EEF6E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38DE05C2" w14:textId="77777777" w:rsidTr="00F73722">
        <w:trPr>
          <w:trHeight w:val="315"/>
        </w:trPr>
        <w:tc>
          <w:tcPr>
            <w:tcW w:w="2618" w:type="dxa"/>
            <w:shd w:val="clear" w:color="auto" w:fill="auto"/>
            <w:noWrap/>
            <w:vAlign w:val="bottom"/>
          </w:tcPr>
          <w:p w14:paraId="679DBB34"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CA19-9, kU/L </w:t>
            </w:r>
          </w:p>
        </w:tc>
        <w:tc>
          <w:tcPr>
            <w:tcW w:w="1907" w:type="dxa"/>
            <w:shd w:val="clear" w:color="auto" w:fill="auto"/>
            <w:noWrap/>
            <w:vAlign w:val="bottom"/>
          </w:tcPr>
          <w:p w14:paraId="2923B5E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 (3-22)</w:t>
            </w:r>
          </w:p>
        </w:tc>
        <w:tc>
          <w:tcPr>
            <w:tcW w:w="1765" w:type="dxa"/>
            <w:shd w:val="clear" w:color="auto" w:fill="auto"/>
            <w:noWrap/>
            <w:vAlign w:val="bottom"/>
          </w:tcPr>
          <w:p w14:paraId="5A0603A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 (5-16)</w:t>
            </w:r>
          </w:p>
        </w:tc>
        <w:tc>
          <w:tcPr>
            <w:tcW w:w="1629" w:type="dxa"/>
            <w:shd w:val="clear" w:color="auto" w:fill="auto"/>
            <w:noWrap/>
            <w:vAlign w:val="bottom"/>
          </w:tcPr>
          <w:p w14:paraId="33C637D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120 (14-415)</w:t>
            </w:r>
          </w:p>
        </w:tc>
        <w:tc>
          <w:tcPr>
            <w:tcW w:w="1142" w:type="dxa"/>
            <w:shd w:val="clear" w:color="auto" w:fill="auto"/>
            <w:noWrap/>
            <w:vAlign w:val="bottom"/>
          </w:tcPr>
          <w:p w14:paraId="565912B7"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0.002</w:t>
            </w:r>
          </w:p>
        </w:tc>
        <w:tc>
          <w:tcPr>
            <w:tcW w:w="987" w:type="dxa"/>
          </w:tcPr>
          <w:p w14:paraId="322FC7A1" w14:textId="77777777" w:rsidR="004606EF" w:rsidRPr="00303E62" w:rsidRDefault="004606EF" w:rsidP="00D305D7">
            <w:pPr>
              <w:snapToGrid w:val="0"/>
              <w:spacing w:after="0" w:line="360" w:lineRule="auto"/>
              <w:jc w:val="center"/>
              <w:rPr>
                <w:rFonts w:ascii="Book Antiqua" w:eastAsia="Times New Roman" w:hAnsi="Book Antiqua" w:cs="Arial"/>
                <w:bCs/>
                <w:sz w:val="24"/>
                <w:szCs w:val="24"/>
                <w:lang w:val="en-GB" w:eastAsia="fi-FI"/>
              </w:rPr>
            </w:pPr>
            <w:r w:rsidRPr="00303E62">
              <w:rPr>
                <w:rFonts w:ascii="Book Antiqua" w:eastAsia="Times New Roman" w:hAnsi="Book Antiqua" w:cs="Arial"/>
                <w:bCs/>
                <w:sz w:val="24"/>
                <w:szCs w:val="24"/>
                <w:lang w:val="en-GB" w:eastAsia="fi-FI"/>
              </w:rPr>
              <w:t>1.000</w:t>
            </w:r>
          </w:p>
        </w:tc>
        <w:tc>
          <w:tcPr>
            <w:tcW w:w="806" w:type="dxa"/>
          </w:tcPr>
          <w:p w14:paraId="6E0A3A76"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0.006</w:t>
            </w:r>
          </w:p>
        </w:tc>
        <w:tc>
          <w:tcPr>
            <w:tcW w:w="795" w:type="dxa"/>
            <w:gridSpan w:val="2"/>
          </w:tcPr>
          <w:p w14:paraId="1971ABF1"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0.006</w:t>
            </w:r>
          </w:p>
        </w:tc>
      </w:tr>
      <w:tr w:rsidR="004606EF" w:rsidRPr="00303E62" w14:paraId="2AD1BBDB" w14:textId="77777777" w:rsidTr="00F73722">
        <w:trPr>
          <w:trHeight w:val="315"/>
        </w:trPr>
        <w:tc>
          <w:tcPr>
            <w:tcW w:w="2618" w:type="dxa"/>
            <w:shd w:val="clear" w:color="auto" w:fill="auto"/>
            <w:noWrap/>
            <w:vAlign w:val="bottom"/>
          </w:tcPr>
          <w:p w14:paraId="388FA8B6"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CEA, µg/L </w:t>
            </w:r>
          </w:p>
        </w:tc>
        <w:tc>
          <w:tcPr>
            <w:tcW w:w="1907" w:type="dxa"/>
            <w:shd w:val="clear" w:color="auto" w:fill="auto"/>
            <w:noWrap/>
            <w:vAlign w:val="bottom"/>
          </w:tcPr>
          <w:p w14:paraId="7A4821A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1.3 (1.0-2.7)</w:t>
            </w:r>
          </w:p>
        </w:tc>
        <w:tc>
          <w:tcPr>
            <w:tcW w:w="1765" w:type="dxa"/>
            <w:shd w:val="clear" w:color="auto" w:fill="auto"/>
            <w:noWrap/>
            <w:vAlign w:val="bottom"/>
          </w:tcPr>
          <w:p w14:paraId="3C403E8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2.4 (1.4-2.9)</w:t>
            </w:r>
          </w:p>
        </w:tc>
        <w:tc>
          <w:tcPr>
            <w:tcW w:w="1629" w:type="dxa"/>
            <w:shd w:val="clear" w:color="auto" w:fill="auto"/>
            <w:noWrap/>
            <w:vAlign w:val="bottom"/>
          </w:tcPr>
          <w:p w14:paraId="07AC0E6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2.1 (1.4-5.8)</w:t>
            </w:r>
          </w:p>
        </w:tc>
        <w:tc>
          <w:tcPr>
            <w:tcW w:w="1142" w:type="dxa"/>
            <w:shd w:val="clear" w:color="auto" w:fill="auto"/>
            <w:noWrap/>
            <w:vAlign w:val="bottom"/>
          </w:tcPr>
          <w:p w14:paraId="6EB21A5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0.081</w:t>
            </w:r>
          </w:p>
        </w:tc>
        <w:tc>
          <w:tcPr>
            <w:tcW w:w="987" w:type="dxa"/>
          </w:tcPr>
          <w:p w14:paraId="41A9D5B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2B78EAC2"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95" w:type="dxa"/>
            <w:gridSpan w:val="2"/>
          </w:tcPr>
          <w:p w14:paraId="58D2D211"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7F27AAFE" w14:textId="77777777" w:rsidTr="00F73722">
        <w:trPr>
          <w:gridAfter w:val="2"/>
          <w:wAfter w:w="795" w:type="dxa"/>
          <w:trHeight w:val="315"/>
        </w:trPr>
        <w:tc>
          <w:tcPr>
            <w:tcW w:w="2618" w:type="dxa"/>
            <w:shd w:val="clear" w:color="auto" w:fill="auto"/>
            <w:noWrap/>
            <w:vAlign w:val="bottom"/>
          </w:tcPr>
          <w:p w14:paraId="4B2086B1"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mERC score</w:t>
            </w:r>
          </w:p>
        </w:tc>
        <w:tc>
          <w:tcPr>
            <w:tcW w:w="1907" w:type="dxa"/>
            <w:shd w:val="clear" w:color="auto" w:fill="auto"/>
            <w:vAlign w:val="bottom"/>
          </w:tcPr>
          <w:p w14:paraId="39DC0EBD"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p>
        </w:tc>
        <w:tc>
          <w:tcPr>
            <w:tcW w:w="1765" w:type="dxa"/>
            <w:shd w:val="clear" w:color="auto" w:fill="auto"/>
            <w:noWrap/>
            <w:vAlign w:val="bottom"/>
          </w:tcPr>
          <w:p w14:paraId="4A2E4BB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p>
        </w:tc>
        <w:tc>
          <w:tcPr>
            <w:tcW w:w="1629" w:type="dxa"/>
            <w:shd w:val="clear" w:color="auto" w:fill="auto"/>
            <w:noWrap/>
            <w:vAlign w:val="bottom"/>
          </w:tcPr>
          <w:p w14:paraId="6D1B8A4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p>
        </w:tc>
        <w:tc>
          <w:tcPr>
            <w:tcW w:w="1142" w:type="dxa"/>
            <w:shd w:val="clear" w:color="auto" w:fill="auto"/>
            <w:noWrap/>
            <w:vAlign w:val="bottom"/>
          </w:tcPr>
          <w:p w14:paraId="549423E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p>
        </w:tc>
        <w:tc>
          <w:tcPr>
            <w:tcW w:w="987" w:type="dxa"/>
            <w:shd w:val="clear" w:color="auto" w:fill="auto"/>
            <w:vAlign w:val="bottom"/>
          </w:tcPr>
          <w:p w14:paraId="5233110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p>
        </w:tc>
        <w:tc>
          <w:tcPr>
            <w:tcW w:w="806" w:type="dxa"/>
            <w:shd w:val="clear" w:color="auto" w:fill="auto"/>
            <w:vAlign w:val="bottom"/>
          </w:tcPr>
          <w:p w14:paraId="0C21939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p>
        </w:tc>
      </w:tr>
      <w:tr w:rsidR="004606EF" w:rsidRPr="00303E62" w14:paraId="529AFCE9" w14:textId="77777777" w:rsidTr="00F73722">
        <w:trPr>
          <w:gridAfter w:val="1"/>
          <w:wAfter w:w="8" w:type="dxa"/>
          <w:trHeight w:val="315"/>
        </w:trPr>
        <w:tc>
          <w:tcPr>
            <w:tcW w:w="2618" w:type="dxa"/>
            <w:shd w:val="clear" w:color="auto" w:fill="auto"/>
            <w:noWrap/>
            <w:vAlign w:val="bottom"/>
          </w:tcPr>
          <w:p w14:paraId="2FD7D9BF"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Intrahepatic (IQR)</w:t>
            </w:r>
          </w:p>
        </w:tc>
        <w:tc>
          <w:tcPr>
            <w:tcW w:w="1907" w:type="dxa"/>
            <w:shd w:val="clear" w:color="auto" w:fill="auto"/>
            <w:noWrap/>
            <w:vAlign w:val="bottom"/>
          </w:tcPr>
          <w:p w14:paraId="06C9377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 (4-6)</w:t>
            </w:r>
          </w:p>
        </w:tc>
        <w:tc>
          <w:tcPr>
            <w:tcW w:w="1765" w:type="dxa"/>
            <w:shd w:val="clear" w:color="auto" w:fill="auto"/>
            <w:noWrap/>
            <w:vAlign w:val="bottom"/>
          </w:tcPr>
          <w:p w14:paraId="7061000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 (5-7)</w:t>
            </w:r>
          </w:p>
        </w:tc>
        <w:tc>
          <w:tcPr>
            <w:tcW w:w="1629" w:type="dxa"/>
            <w:shd w:val="clear" w:color="auto" w:fill="auto"/>
            <w:noWrap/>
            <w:vAlign w:val="bottom"/>
          </w:tcPr>
          <w:p w14:paraId="544C0BA6"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 (6-6)</w:t>
            </w:r>
          </w:p>
        </w:tc>
        <w:tc>
          <w:tcPr>
            <w:tcW w:w="1142" w:type="dxa"/>
            <w:shd w:val="clear" w:color="auto" w:fill="auto"/>
            <w:noWrap/>
            <w:vAlign w:val="bottom"/>
          </w:tcPr>
          <w:p w14:paraId="0467D52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0.440</w:t>
            </w:r>
          </w:p>
        </w:tc>
        <w:tc>
          <w:tcPr>
            <w:tcW w:w="987" w:type="dxa"/>
          </w:tcPr>
          <w:p w14:paraId="1E69A1B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556EEF0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87" w:type="dxa"/>
          </w:tcPr>
          <w:p w14:paraId="1BD4ED2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22A4995A" w14:textId="77777777" w:rsidTr="00F73722">
        <w:trPr>
          <w:gridAfter w:val="1"/>
          <w:wAfter w:w="8" w:type="dxa"/>
          <w:trHeight w:val="315"/>
        </w:trPr>
        <w:tc>
          <w:tcPr>
            <w:tcW w:w="2618" w:type="dxa"/>
            <w:shd w:val="clear" w:color="auto" w:fill="auto"/>
            <w:noWrap/>
            <w:vAlign w:val="bottom"/>
          </w:tcPr>
          <w:p w14:paraId="1EE54745"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Extrahepatic (IQR)</w:t>
            </w:r>
          </w:p>
        </w:tc>
        <w:tc>
          <w:tcPr>
            <w:tcW w:w="1907" w:type="dxa"/>
            <w:shd w:val="clear" w:color="auto" w:fill="auto"/>
            <w:noWrap/>
            <w:vAlign w:val="bottom"/>
          </w:tcPr>
          <w:p w14:paraId="5CEBE6A0"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 (2-6)</w:t>
            </w:r>
          </w:p>
        </w:tc>
        <w:tc>
          <w:tcPr>
            <w:tcW w:w="1765" w:type="dxa"/>
            <w:shd w:val="clear" w:color="auto" w:fill="auto"/>
            <w:noWrap/>
            <w:vAlign w:val="bottom"/>
          </w:tcPr>
          <w:p w14:paraId="60FB69A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 (2-6)</w:t>
            </w:r>
          </w:p>
        </w:tc>
        <w:tc>
          <w:tcPr>
            <w:tcW w:w="1629" w:type="dxa"/>
            <w:shd w:val="clear" w:color="auto" w:fill="auto"/>
            <w:noWrap/>
            <w:vAlign w:val="bottom"/>
          </w:tcPr>
          <w:p w14:paraId="2812251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 (2-5)</w:t>
            </w:r>
          </w:p>
        </w:tc>
        <w:tc>
          <w:tcPr>
            <w:tcW w:w="1142" w:type="dxa"/>
            <w:shd w:val="clear" w:color="auto" w:fill="auto"/>
            <w:noWrap/>
            <w:vAlign w:val="bottom"/>
          </w:tcPr>
          <w:p w14:paraId="5B256D8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0.613</w:t>
            </w:r>
          </w:p>
        </w:tc>
        <w:tc>
          <w:tcPr>
            <w:tcW w:w="987" w:type="dxa"/>
          </w:tcPr>
          <w:p w14:paraId="45E8624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7F10515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87" w:type="dxa"/>
          </w:tcPr>
          <w:p w14:paraId="300DF60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r w:rsidR="004606EF" w:rsidRPr="00303E62" w14:paraId="0447ABA6" w14:textId="77777777" w:rsidTr="00F73722">
        <w:trPr>
          <w:gridAfter w:val="1"/>
          <w:wAfter w:w="8" w:type="dxa"/>
          <w:trHeight w:val="315"/>
        </w:trPr>
        <w:tc>
          <w:tcPr>
            <w:tcW w:w="2618" w:type="dxa"/>
            <w:shd w:val="clear" w:color="auto" w:fill="auto"/>
            <w:noWrap/>
            <w:vAlign w:val="bottom"/>
          </w:tcPr>
          <w:p w14:paraId="1F9BE29F" w14:textId="77777777" w:rsidR="004606EF" w:rsidRPr="004606EF" w:rsidRDefault="004606EF" w:rsidP="00D305D7">
            <w:pPr>
              <w:snapToGrid w:val="0"/>
              <w:spacing w:after="0" w:line="360" w:lineRule="auto"/>
              <w:jc w:val="both"/>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Total score (IQR)</w:t>
            </w:r>
          </w:p>
        </w:tc>
        <w:tc>
          <w:tcPr>
            <w:tcW w:w="1907" w:type="dxa"/>
            <w:shd w:val="clear" w:color="auto" w:fill="auto"/>
            <w:noWrap/>
            <w:vAlign w:val="bottom"/>
          </w:tcPr>
          <w:p w14:paraId="3A51A7D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9 (7-11)</w:t>
            </w:r>
          </w:p>
        </w:tc>
        <w:tc>
          <w:tcPr>
            <w:tcW w:w="1765" w:type="dxa"/>
            <w:shd w:val="clear" w:color="auto" w:fill="auto"/>
            <w:noWrap/>
            <w:vAlign w:val="bottom"/>
          </w:tcPr>
          <w:p w14:paraId="69A0677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11 (8-12)</w:t>
            </w:r>
          </w:p>
        </w:tc>
        <w:tc>
          <w:tcPr>
            <w:tcW w:w="1629" w:type="dxa"/>
            <w:shd w:val="clear" w:color="auto" w:fill="auto"/>
            <w:noWrap/>
            <w:vAlign w:val="bottom"/>
          </w:tcPr>
          <w:p w14:paraId="49AD952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9 (8-11)</w:t>
            </w:r>
          </w:p>
        </w:tc>
        <w:tc>
          <w:tcPr>
            <w:tcW w:w="1142" w:type="dxa"/>
            <w:shd w:val="clear" w:color="auto" w:fill="auto"/>
            <w:noWrap/>
            <w:vAlign w:val="bottom"/>
          </w:tcPr>
          <w:p w14:paraId="233F9BA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0.523</w:t>
            </w:r>
          </w:p>
        </w:tc>
        <w:tc>
          <w:tcPr>
            <w:tcW w:w="987" w:type="dxa"/>
          </w:tcPr>
          <w:p w14:paraId="5A4284F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806" w:type="dxa"/>
          </w:tcPr>
          <w:p w14:paraId="44F4063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c>
          <w:tcPr>
            <w:tcW w:w="787" w:type="dxa"/>
          </w:tcPr>
          <w:p w14:paraId="60A064C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w:t>
            </w:r>
          </w:p>
        </w:tc>
      </w:tr>
    </w:tbl>
    <w:p w14:paraId="49FDF47B" w14:textId="1E1075EF" w:rsidR="004606EF" w:rsidRPr="00303E62" w:rsidRDefault="00722FF3" w:rsidP="00D305D7">
      <w:pPr>
        <w:snapToGrid w:val="0"/>
        <w:spacing w:after="0" w:line="360" w:lineRule="auto"/>
        <w:jc w:val="both"/>
        <w:rPr>
          <w:rFonts w:ascii="Book Antiqua" w:eastAsia="Calibri" w:hAnsi="Book Antiqua" w:cs="Arial"/>
          <w:sz w:val="24"/>
          <w:szCs w:val="24"/>
          <w:lang w:val="en-GB"/>
        </w:rPr>
      </w:pPr>
      <w:r w:rsidRPr="00303E62">
        <w:rPr>
          <w:rFonts w:ascii="Book Antiqua" w:eastAsia="Calibri" w:hAnsi="Book Antiqua" w:cs="Arial"/>
          <w:sz w:val="24"/>
          <w:szCs w:val="24"/>
          <w:lang w:val="en-GB"/>
        </w:rPr>
        <w:lastRenderedPageBreak/>
        <w:t>Values are presented as median (IQR) unless otherwise indicated.</w:t>
      </w:r>
      <w:r w:rsidR="004606EF">
        <w:rPr>
          <w:rFonts w:ascii="Book Antiqua" w:eastAsia="Calibri" w:hAnsi="Book Antiqua" w:cs="Arial" w:hint="eastAsia"/>
          <w:sz w:val="24"/>
          <w:szCs w:val="24"/>
          <w:lang w:val="en-GB" w:eastAsia="zh-CN"/>
        </w:rPr>
        <w:t xml:space="preserve"> </w:t>
      </w:r>
      <w:r w:rsidR="000318F6" w:rsidRPr="00303E62">
        <w:rPr>
          <w:rFonts w:ascii="Book Antiqua" w:eastAsia="Calibri" w:hAnsi="Book Antiqua" w:cs="Arial"/>
          <w:sz w:val="24"/>
          <w:szCs w:val="24"/>
          <w:lang w:val="en-GB"/>
        </w:rPr>
        <w:t>Jonckeere-Terpstra</w:t>
      </w:r>
      <w:r w:rsidR="00827335" w:rsidRPr="00303E62">
        <w:rPr>
          <w:rFonts w:ascii="Book Antiqua" w:eastAsia="Calibri" w:hAnsi="Book Antiqua" w:cs="Arial"/>
          <w:sz w:val="24"/>
          <w:szCs w:val="24"/>
          <w:lang w:val="en-GB"/>
        </w:rPr>
        <w:t xml:space="preserve"> </w:t>
      </w:r>
      <w:r w:rsidR="000318F6" w:rsidRPr="00303E62">
        <w:rPr>
          <w:rFonts w:ascii="Book Antiqua" w:eastAsia="Calibri" w:hAnsi="Book Antiqua" w:cs="Arial"/>
          <w:sz w:val="24"/>
          <w:szCs w:val="24"/>
          <w:lang w:val="en-GB"/>
        </w:rPr>
        <w:t>test was</w:t>
      </w:r>
      <w:r w:rsidRPr="00303E62">
        <w:rPr>
          <w:rFonts w:ascii="Book Antiqua" w:eastAsia="Calibri" w:hAnsi="Book Antiqua" w:cs="Arial"/>
          <w:sz w:val="24"/>
          <w:szCs w:val="24"/>
          <w:lang w:val="en-GB"/>
        </w:rPr>
        <w:t xml:space="preserve"> used to analy</w:t>
      </w:r>
      <w:r w:rsidR="00516873" w:rsidRPr="00303E62">
        <w:rPr>
          <w:rFonts w:ascii="Book Antiqua" w:eastAsia="Calibri" w:hAnsi="Book Antiqua" w:cs="Arial"/>
          <w:sz w:val="24"/>
          <w:szCs w:val="24"/>
          <w:lang w:val="en-GB"/>
        </w:rPr>
        <w:t>s</w:t>
      </w:r>
      <w:r w:rsidRPr="00303E62">
        <w:rPr>
          <w:rFonts w:ascii="Book Antiqua" w:eastAsia="Calibri" w:hAnsi="Book Antiqua" w:cs="Arial"/>
          <w:sz w:val="24"/>
          <w:szCs w:val="24"/>
          <w:lang w:val="en-GB"/>
        </w:rPr>
        <w:t xml:space="preserve">e differences of continuous variables, and Fisher’s exact test </w:t>
      </w:r>
      <w:r w:rsidR="00516873" w:rsidRPr="00303E62">
        <w:rPr>
          <w:rFonts w:ascii="Book Antiqua" w:eastAsia="Calibri" w:hAnsi="Book Antiqua" w:cs="Arial"/>
          <w:sz w:val="24"/>
          <w:szCs w:val="24"/>
          <w:lang w:val="en-GB"/>
        </w:rPr>
        <w:t xml:space="preserve">was used </w:t>
      </w:r>
      <w:r w:rsidRPr="00303E62">
        <w:rPr>
          <w:rFonts w:ascii="Book Antiqua" w:eastAsia="Calibri" w:hAnsi="Book Antiqua" w:cs="Arial"/>
          <w:sz w:val="24"/>
          <w:szCs w:val="24"/>
          <w:lang w:val="en-GB"/>
        </w:rPr>
        <w:t>for dichotomous variables.</w:t>
      </w:r>
      <w:r w:rsidR="00827335" w:rsidRPr="00303E62">
        <w:rPr>
          <w:rFonts w:ascii="Book Antiqua" w:eastAsia="Calibri" w:hAnsi="Book Antiqua" w:cs="Arial"/>
          <w:sz w:val="24"/>
          <w:szCs w:val="24"/>
          <w:lang w:val="en-GB"/>
        </w:rPr>
        <w:t xml:space="preserve"> </w:t>
      </w:r>
      <w:r w:rsidR="00460B40" w:rsidRPr="00303E62">
        <w:rPr>
          <w:rFonts w:ascii="Book Antiqua" w:eastAsia="Calibri" w:hAnsi="Book Antiqua" w:cs="Arial"/>
          <w:sz w:val="24"/>
          <w:szCs w:val="24"/>
          <w:lang w:val="en-GB"/>
        </w:rPr>
        <w:t xml:space="preserve">Significance values </w:t>
      </w:r>
      <w:r w:rsidR="00516873" w:rsidRPr="00303E62">
        <w:rPr>
          <w:rFonts w:ascii="Book Antiqua" w:eastAsia="Calibri" w:hAnsi="Book Antiqua" w:cs="Arial"/>
          <w:sz w:val="24"/>
          <w:szCs w:val="24"/>
          <w:lang w:val="en-GB"/>
        </w:rPr>
        <w:t>were</w:t>
      </w:r>
      <w:r w:rsidR="00460B40" w:rsidRPr="00303E62">
        <w:rPr>
          <w:rFonts w:ascii="Book Antiqua" w:eastAsia="Calibri" w:hAnsi="Book Antiqua" w:cs="Arial"/>
          <w:sz w:val="24"/>
          <w:szCs w:val="24"/>
          <w:lang w:val="en-GB"/>
        </w:rPr>
        <w:t xml:space="preserve"> adjusted </w:t>
      </w:r>
      <w:r w:rsidR="00516873" w:rsidRPr="00303E62">
        <w:rPr>
          <w:rFonts w:ascii="Book Antiqua" w:eastAsia="Calibri" w:hAnsi="Book Antiqua" w:cs="Arial"/>
          <w:sz w:val="24"/>
          <w:szCs w:val="24"/>
          <w:lang w:val="en-GB"/>
        </w:rPr>
        <w:t>usi</w:t>
      </w:r>
      <w:r w:rsidR="00B165B8" w:rsidRPr="00303E62">
        <w:rPr>
          <w:rFonts w:ascii="Book Antiqua" w:eastAsia="Calibri" w:hAnsi="Book Antiqua" w:cs="Arial"/>
          <w:sz w:val="24"/>
          <w:szCs w:val="24"/>
          <w:lang w:val="en-GB"/>
        </w:rPr>
        <w:t>n</w:t>
      </w:r>
      <w:r w:rsidR="00516873" w:rsidRPr="00303E62">
        <w:rPr>
          <w:rFonts w:ascii="Book Antiqua" w:eastAsia="Calibri" w:hAnsi="Book Antiqua" w:cs="Arial"/>
          <w:sz w:val="24"/>
          <w:szCs w:val="24"/>
          <w:lang w:val="en-GB"/>
        </w:rPr>
        <w:t>g</w:t>
      </w:r>
      <w:r w:rsidR="00460B40" w:rsidRPr="00303E62">
        <w:rPr>
          <w:rFonts w:ascii="Book Antiqua" w:eastAsia="Calibri" w:hAnsi="Book Antiqua" w:cs="Arial"/>
          <w:sz w:val="24"/>
          <w:szCs w:val="24"/>
          <w:lang w:val="en-GB"/>
        </w:rPr>
        <w:t xml:space="preserve"> the Bonferroni correction for multiple tests.</w:t>
      </w:r>
      <w:r w:rsidR="004606EF">
        <w:rPr>
          <w:rFonts w:ascii="Book Antiqua" w:eastAsia="Calibri" w:hAnsi="Book Antiqua" w:cs="Arial" w:hint="eastAsia"/>
          <w:sz w:val="24"/>
          <w:szCs w:val="24"/>
          <w:lang w:val="en-GB" w:eastAsia="zh-CN"/>
        </w:rPr>
        <w:t xml:space="preserve"> </w:t>
      </w:r>
      <w:r w:rsidR="004606EF" w:rsidRPr="00303E62">
        <w:rPr>
          <w:rFonts w:ascii="Book Antiqua" w:eastAsia="Calibri" w:hAnsi="Book Antiqua" w:cs="Arial"/>
          <w:sz w:val="24"/>
          <w:szCs w:val="24"/>
          <w:lang w:val="en-GB"/>
        </w:rPr>
        <w:t>CCA</w:t>
      </w:r>
      <w:r w:rsidR="004606EF">
        <w:rPr>
          <w:rFonts w:ascii="Book Antiqua" w:eastAsia="Calibri" w:hAnsi="Book Antiqua" w:cs="Arial" w:hint="eastAsia"/>
          <w:sz w:val="24"/>
          <w:szCs w:val="24"/>
          <w:lang w:val="en-GB" w:eastAsia="zh-CN"/>
        </w:rPr>
        <w:t xml:space="preserve">: </w:t>
      </w:r>
      <w:r w:rsidR="004606EF" w:rsidRPr="004606EF">
        <w:rPr>
          <w:rFonts w:ascii="Book Antiqua" w:eastAsia="Calibri" w:hAnsi="Book Antiqua" w:cs="Arial"/>
          <w:caps/>
          <w:sz w:val="24"/>
          <w:szCs w:val="24"/>
          <w:lang w:val="en-GB"/>
        </w:rPr>
        <w:t>c</w:t>
      </w:r>
      <w:r w:rsidR="004606EF" w:rsidRPr="00303E62">
        <w:rPr>
          <w:rFonts w:ascii="Book Antiqua" w:eastAsia="Calibri" w:hAnsi="Book Antiqua" w:cs="Arial"/>
          <w:sz w:val="24"/>
          <w:szCs w:val="24"/>
          <w:lang w:val="en-GB"/>
        </w:rPr>
        <w:t>holangiocarcinoma; HGD</w:t>
      </w:r>
      <w:r w:rsidR="004606EF">
        <w:rPr>
          <w:rFonts w:ascii="Book Antiqua" w:eastAsia="Calibri" w:hAnsi="Book Antiqua" w:cs="Arial" w:hint="eastAsia"/>
          <w:sz w:val="24"/>
          <w:szCs w:val="24"/>
          <w:lang w:val="en-GB" w:eastAsia="zh-CN"/>
        </w:rPr>
        <w:t xml:space="preserve">: </w:t>
      </w:r>
      <w:r w:rsidR="004606EF" w:rsidRPr="004606EF">
        <w:rPr>
          <w:rFonts w:ascii="Book Antiqua" w:eastAsia="Calibri" w:hAnsi="Book Antiqua" w:cs="Arial"/>
          <w:caps/>
          <w:sz w:val="24"/>
          <w:szCs w:val="24"/>
          <w:lang w:val="en-GB"/>
        </w:rPr>
        <w:t>h</w:t>
      </w:r>
      <w:r w:rsidR="004606EF" w:rsidRPr="00303E62">
        <w:rPr>
          <w:rFonts w:ascii="Book Antiqua" w:eastAsia="Calibri" w:hAnsi="Book Antiqua" w:cs="Arial"/>
          <w:sz w:val="24"/>
          <w:szCs w:val="24"/>
          <w:lang w:val="en-GB"/>
        </w:rPr>
        <w:t>igh-grade dysplasia; IQR</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i</w:t>
      </w:r>
      <w:r w:rsidR="004606EF" w:rsidRPr="00303E62">
        <w:rPr>
          <w:rFonts w:ascii="Book Antiqua" w:eastAsia="Calibri" w:hAnsi="Book Antiqua" w:cs="Arial"/>
          <w:sz w:val="24"/>
          <w:szCs w:val="24"/>
          <w:lang w:val="en-GB"/>
        </w:rPr>
        <w:t>nterquartile rate; LGD</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l</w:t>
      </w:r>
      <w:r w:rsidR="004606EF" w:rsidRPr="00303E62">
        <w:rPr>
          <w:rFonts w:ascii="Book Antiqua" w:eastAsia="Calibri" w:hAnsi="Book Antiqua" w:cs="Arial"/>
          <w:sz w:val="24"/>
          <w:szCs w:val="24"/>
          <w:lang w:val="en-GB"/>
        </w:rPr>
        <w:t>ow-grade dysplasia; mERC score</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m</w:t>
      </w:r>
      <w:r w:rsidR="004606EF" w:rsidRPr="00303E62">
        <w:rPr>
          <w:rFonts w:ascii="Book Antiqua" w:eastAsia="Calibri" w:hAnsi="Book Antiqua" w:cs="Arial"/>
          <w:sz w:val="24"/>
          <w:szCs w:val="24"/>
          <w:lang w:val="en-GB"/>
        </w:rPr>
        <w:t>odified Amsterdam ERC score; MELD score</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m</w:t>
      </w:r>
      <w:r w:rsidR="004606EF" w:rsidRPr="00303E62">
        <w:rPr>
          <w:rFonts w:ascii="Book Antiqua" w:eastAsia="Calibri" w:hAnsi="Book Antiqua" w:cs="Arial"/>
          <w:sz w:val="24"/>
          <w:szCs w:val="24"/>
          <w:lang w:val="en-GB"/>
        </w:rPr>
        <w:t>odel for end-stage liver disease score; IBD</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i</w:t>
      </w:r>
      <w:r w:rsidR="004606EF" w:rsidRPr="00303E62">
        <w:rPr>
          <w:rFonts w:ascii="Book Antiqua" w:eastAsia="Calibri" w:hAnsi="Book Antiqua" w:cs="Arial"/>
          <w:sz w:val="24"/>
          <w:szCs w:val="24"/>
          <w:lang w:val="en-GB"/>
        </w:rPr>
        <w:t>nflammatory bowel disease; ALP</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a</w:t>
      </w:r>
      <w:r w:rsidR="004606EF" w:rsidRPr="00303E62">
        <w:rPr>
          <w:rFonts w:ascii="Book Antiqua" w:eastAsia="Calibri" w:hAnsi="Book Antiqua" w:cs="Arial"/>
          <w:sz w:val="24"/>
          <w:szCs w:val="24"/>
          <w:lang w:val="en-GB"/>
        </w:rPr>
        <w:t>lkaline phosphatase; AST</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a</w:t>
      </w:r>
      <w:r w:rsidR="004606EF" w:rsidRPr="00303E62">
        <w:rPr>
          <w:rFonts w:ascii="Book Antiqua" w:eastAsia="Calibri" w:hAnsi="Book Antiqua" w:cs="Arial"/>
          <w:sz w:val="24"/>
          <w:szCs w:val="24"/>
          <w:lang w:val="en-GB"/>
        </w:rPr>
        <w:t>spartate aminotransferase; ALT</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a</w:t>
      </w:r>
      <w:r w:rsidR="004606EF" w:rsidRPr="00303E62">
        <w:rPr>
          <w:rFonts w:ascii="Book Antiqua" w:eastAsia="Calibri" w:hAnsi="Book Antiqua" w:cs="Arial"/>
          <w:sz w:val="24"/>
          <w:szCs w:val="24"/>
          <w:lang w:val="en-GB"/>
        </w:rPr>
        <w:t xml:space="preserve">lanine aminotransferase; </w:t>
      </w:r>
      <w:r w:rsidR="00F73722">
        <w:rPr>
          <w:rFonts w:ascii="Book Antiqua" w:eastAsia="Calibri" w:hAnsi="Book Antiqua" w:cs="Arial" w:hint="eastAsia"/>
          <w:sz w:val="24"/>
          <w:szCs w:val="24"/>
          <w:lang w:val="en-GB" w:eastAsia="zh-CN"/>
        </w:rPr>
        <w:t xml:space="preserve">PSC: </w:t>
      </w:r>
      <w:r w:rsidR="00F73722" w:rsidRPr="00F73722">
        <w:rPr>
          <w:rFonts w:ascii="Book Antiqua" w:eastAsia="Calibri" w:hAnsi="Book Antiqua" w:cs="Arial"/>
          <w:caps/>
          <w:sz w:val="24"/>
          <w:szCs w:val="24"/>
          <w:lang w:val="en-GB"/>
        </w:rPr>
        <w:t>p</w:t>
      </w:r>
      <w:r w:rsidR="00F73722" w:rsidRPr="00303E62">
        <w:rPr>
          <w:rFonts w:ascii="Book Antiqua" w:eastAsia="Calibri" w:hAnsi="Book Antiqua" w:cs="Arial"/>
          <w:sz w:val="24"/>
          <w:szCs w:val="24"/>
          <w:lang w:val="en-GB"/>
        </w:rPr>
        <w:t>rimary sclerosing cholangitis</w:t>
      </w:r>
      <w:r w:rsidR="00F73722">
        <w:rPr>
          <w:rFonts w:ascii="Book Antiqua" w:eastAsia="Calibri" w:hAnsi="Book Antiqua" w:cs="Arial" w:hint="eastAsia"/>
          <w:sz w:val="24"/>
          <w:szCs w:val="24"/>
          <w:lang w:val="en-GB" w:eastAsia="zh-CN"/>
        </w:rPr>
        <w:t>;</w:t>
      </w:r>
      <w:r w:rsidR="00F73722" w:rsidRPr="00303E62">
        <w:rPr>
          <w:rFonts w:ascii="Book Antiqua" w:eastAsia="Calibri" w:hAnsi="Book Antiqua" w:cs="Arial"/>
          <w:sz w:val="24"/>
          <w:szCs w:val="24"/>
          <w:lang w:val="en-GB"/>
        </w:rPr>
        <w:t xml:space="preserve"> </w:t>
      </w:r>
      <w:r w:rsidR="004606EF" w:rsidRPr="00303E62">
        <w:rPr>
          <w:rFonts w:ascii="Book Antiqua" w:eastAsia="Calibri" w:hAnsi="Book Antiqua" w:cs="Arial"/>
          <w:sz w:val="24"/>
          <w:szCs w:val="24"/>
          <w:lang w:val="en-GB"/>
        </w:rPr>
        <w:t>CA19-9</w:t>
      </w:r>
      <w:r w:rsidR="004606EF">
        <w:rPr>
          <w:rFonts w:ascii="Book Antiqua" w:eastAsia="Calibri" w:hAnsi="Book Antiqua" w:cs="Arial" w:hint="eastAsia"/>
          <w:sz w:val="24"/>
          <w:szCs w:val="24"/>
          <w:lang w:val="en-GB" w:eastAsia="zh-CN"/>
        </w:rPr>
        <w:t>:</w:t>
      </w:r>
      <w:r w:rsidR="004606EF" w:rsidRPr="00303E62">
        <w:rPr>
          <w:rFonts w:ascii="Book Antiqua" w:eastAsia="Calibri" w:hAnsi="Book Antiqua" w:cs="Arial"/>
          <w:sz w:val="24"/>
          <w:szCs w:val="24"/>
          <w:lang w:val="en-GB"/>
        </w:rPr>
        <w:t xml:space="preserve"> </w:t>
      </w:r>
      <w:r w:rsidR="004606EF" w:rsidRPr="004606EF">
        <w:rPr>
          <w:rFonts w:ascii="Book Antiqua" w:eastAsia="Calibri" w:hAnsi="Book Antiqua" w:cs="Arial"/>
          <w:caps/>
          <w:sz w:val="24"/>
          <w:szCs w:val="24"/>
          <w:lang w:val="en-GB"/>
        </w:rPr>
        <w:t>c</w:t>
      </w:r>
      <w:r w:rsidR="004606EF" w:rsidRPr="00303E62">
        <w:rPr>
          <w:rFonts w:ascii="Book Antiqua" w:eastAsia="Calibri" w:hAnsi="Book Antiqua" w:cs="Arial"/>
          <w:sz w:val="24"/>
          <w:szCs w:val="24"/>
          <w:lang w:val="en-GB"/>
        </w:rPr>
        <w:t>arbohydrate antigen 19-9; CEA</w:t>
      </w:r>
      <w:r w:rsidR="004606EF">
        <w:rPr>
          <w:rFonts w:ascii="Book Antiqua" w:eastAsia="Calibri" w:hAnsi="Book Antiqua" w:cs="Arial" w:hint="eastAsia"/>
          <w:sz w:val="24"/>
          <w:szCs w:val="24"/>
          <w:lang w:val="en-GB" w:eastAsia="zh-CN"/>
        </w:rPr>
        <w:t xml:space="preserve">: </w:t>
      </w:r>
      <w:r w:rsidR="004606EF" w:rsidRPr="004606EF">
        <w:rPr>
          <w:rFonts w:ascii="Book Antiqua" w:eastAsia="Calibri" w:hAnsi="Book Antiqua" w:cs="Arial"/>
          <w:caps/>
          <w:sz w:val="24"/>
          <w:szCs w:val="24"/>
          <w:lang w:val="en-GB"/>
        </w:rPr>
        <w:t>c</w:t>
      </w:r>
      <w:r w:rsidR="004606EF" w:rsidRPr="00303E62">
        <w:rPr>
          <w:rFonts w:ascii="Book Antiqua" w:eastAsia="Calibri" w:hAnsi="Book Antiqua" w:cs="Arial"/>
          <w:sz w:val="24"/>
          <w:szCs w:val="24"/>
          <w:lang w:val="en-GB"/>
        </w:rPr>
        <w:t>arcinoembryonic antigen.</w:t>
      </w:r>
    </w:p>
    <w:p w14:paraId="01157F86" w14:textId="15CBE431" w:rsidR="00722FF3" w:rsidRPr="004606EF" w:rsidRDefault="00722FF3" w:rsidP="00D305D7">
      <w:pPr>
        <w:snapToGrid w:val="0"/>
        <w:spacing w:after="0" w:line="360" w:lineRule="auto"/>
        <w:jc w:val="both"/>
        <w:rPr>
          <w:rFonts w:ascii="Book Antiqua" w:eastAsia="Calibri" w:hAnsi="Book Antiqua" w:cs="Arial"/>
          <w:sz w:val="24"/>
          <w:szCs w:val="24"/>
          <w:lang w:val="en-GB" w:eastAsia="zh-CN"/>
        </w:rPr>
      </w:pPr>
    </w:p>
    <w:p w14:paraId="30C9DFC5" w14:textId="2059A760" w:rsidR="00F72825" w:rsidRDefault="00F72825" w:rsidP="00D305D7">
      <w:pPr>
        <w:snapToGrid w:val="0"/>
        <w:spacing w:after="0" w:line="360" w:lineRule="auto"/>
        <w:rPr>
          <w:rFonts w:ascii="Book Antiqua" w:eastAsia="Calibri" w:hAnsi="Book Antiqua" w:cs="Arial"/>
          <w:b/>
          <w:sz w:val="24"/>
          <w:szCs w:val="24"/>
          <w:lang w:val="en-GB"/>
        </w:rPr>
      </w:pPr>
      <w:r>
        <w:rPr>
          <w:rFonts w:ascii="Book Antiqua" w:eastAsia="Calibri" w:hAnsi="Book Antiqua" w:cs="Arial"/>
          <w:b/>
          <w:sz w:val="24"/>
          <w:szCs w:val="24"/>
          <w:lang w:val="en-GB"/>
        </w:rPr>
        <w:br w:type="page"/>
      </w:r>
    </w:p>
    <w:p w14:paraId="4B9A42DD" w14:textId="27DC76B3" w:rsidR="000318F6" w:rsidRPr="00441397" w:rsidRDefault="00DD73B5" w:rsidP="00D305D7">
      <w:pPr>
        <w:snapToGrid w:val="0"/>
        <w:spacing w:after="0" w:line="360" w:lineRule="auto"/>
        <w:jc w:val="both"/>
        <w:rPr>
          <w:rFonts w:ascii="Book Antiqua" w:hAnsi="Book Antiqua" w:cs="Arial"/>
          <w:b/>
          <w:sz w:val="24"/>
          <w:szCs w:val="24"/>
          <w:lang w:val="en-GB" w:eastAsia="zh-CN"/>
        </w:rPr>
      </w:pPr>
      <w:r w:rsidRPr="00303E62">
        <w:rPr>
          <w:rFonts w:ascii="Book Antiqua" w:eastAsia="Calibri" w:hAnsi="Book Antiqua" w:cs="Arial"/>
          <w:b/>
          <w:sz w:val="24"/>
          <w:szCs w:val="24"/>
          <w:lang w:val="en-GB"/>
        </w:rPr>
        <w:lastRenderedPageBreak/>
        <w:t>Table 3</w:t>
      </w:r>
      <w:r w:rsidR="004606EF">
        <w:rPr>
          <w:rFonts w:ascii="Book Antiqua" w:eastAsia="Calibri" w:hAnsi="Book Antiqua" w:cs="Arial" w:hint="eastAsia"/>
          <w:b/>
          <w:sz w:val="24"/>
          <w:szCs w:val="24"/>
          <w:lang w:val="en-GB" w:eastAsia="zh-CN"/>
        </w:rPr>
        <w:t xml:space="preserve"> </w:t>
      </w:r>
      <w:r w:rsidRPr="00303E62">
        <w:rPr>
          <w:rFonts w:ascii="Book Antiqua" w:eastAsia="Calibri" w:hAnsi="Book Antiqua" w:cs="Arial"/>
          <w:b/>
          <w:sz w:val="24"/>
          <w:szCs w:val="24"/>
          <w:lang w:val="en-GB"/>
        </w:rPr>
        <w:t>Brush cytology</w:t>
      </w:r>
      <w:r w:rsidR="00441397">
        <w:rPr>
          <w:rFonts w:ascii="Book Antiqua" w:eastAsia="Calibri" w:hAnsi="Book Antiqua" w:cs="Arial" w:hint="eastAsia"/>
          <w:b/>
          <w:sz w:val="24"/>
          <w:szCs w:val="24"/>
          <w:lang w:val="en-GB" w:eastAsia="zh-CN"/>
        </w:rPr>
        <w:t xml:space="preserve"> </w:t>
      </w:r>
      <w:r w:rsidRPr="00303E62">
        <w:rPr>
          <w:rFonts w:ascii="Book Antiqua" w:eastAsia="Calibri" w:hAnsi="Book Antiqua" w:cs="Arial"/>
          <w:b/>
          <w:sz w:val="24"/>
          <w:szCs w:val="24"/>
          <w:lang w:val="en-GB"/>
        </w:rPr>
        <w:t xml:space="preserve">and DNA flow cytometry in patients with </w:t>
      </w:r>
      <w:r w:rsidR="00441397" w:rsidRPr="00441397">
        <w:rPr>
          <w:rFonts w:ascii="Book Antiqua" w:eastAsia="Calibri" w:hAnsi="Book Antiqua" w:cs="Arial"/>
          <w:b/>
          <w:sz w:val="24"/>
          <w:szCs w:val="24"/>
          <w:lang w:val="en-GB"/>
        </w:rPr>
        <w:t>low-grade dysplasia</w:t>
      </w:r>
      <w:r w:rsidRPr="00303E62">
        <w:rPr>
          <w:rFonts w:ascii="Book Antiqua" w:eastAsia="Calibri" w:hAnsi="Book Antiqua" w:cs="Arial"/>
          <w:b/>
          <w:sz w:val="24"/>
          <w:szCs w:val="24"/>
          <w:lang w:val="en-GB"/>
        </w:rPr>
        <w:t xml:space="preserve">, </w:t>
      </w:r>
      <w:r w:rsidR="00441397" w:rsidRPr="00441397">
        <w:rPr>
          <w:rFonts w:ascii="Book Antiqua" w:eastAsia="Calibri" w:hAnsi="Book Antiqua" w:cs="Arial"/>
          <w:b/>
          <w:sz w:val="24"/>
          <w:szCs w:val="24"/>
          <w:lang w:val="en-GB"/>
        </w:rPr>
        <w:t>high-grade dysplasia</w:t>
      </w:r>
      <w:r w:rsidR="00441397">
        <w:rPr>
          <w:rFonts w:ascii="Book Antiqua" w:eastAsia="Calibri" w:hAnsi="Book Antiqua" w:cs="Arial"/>
          <w:b/>
          <w:sz w:val="24"/>
          <w:szCs w:val="24"/>
          <w:lang w:val="en-GB"/>
        </w:rPr>
        <w:t xml:space="preserve"> or </w:t>
      </w:r>
      <w:r w:rsidR="00441397" w:rsidRPr="00441397">
        <w:rPr>
          <w:rFonts w:ascii="Book Antiqua" w:eastAsia="Calibri" w:hAnsi="Book Antiqua" w:cs="Arial"/>
          <w:b/>
          <w:sz w:val="24"/>
          <w:szCs w:val="24"/>
          <w:lang w:val="en-GB"/>
        </w:rPr>
        <w:t>cholangiocarcinoma</w:t>
      </w:r>
    </w:p>
    <w:tbl>
      <w:tblPr>
        <w:tblW w:w="10343" w:type="dxa"/>
        <w:tblInd w:w="-35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65"/>
        <w:gridCol w:w="1749"/>
        <w:gridCol w:w="1874"/>
        <w:gridCol w:w="1859"/>
        <w:gridCol w:w="1276"/>
      </w:tblGrid>
      <w:tr w:rsidR="004606EF" w:rsidRPr="00303E62" w14:paraId="6F21E4AB" w14:textId="77777777" w:rsidTr="00F73722">
        <w:trPr>
          <w:trHeight w:val="315"/>
        </w:trPr>
        <w:tc>
          <w:tcPr>
            <w:tcW w:w="3649" w:type="dxa"/>
            <w:tcBorders>
              <w:top w:val="single" w:sz="4" w:space="0" w:color="auto"/>
              <w:bottom w:val="single" w:sz="4" w:space="0" w:color="auto"/>
            </w:tcBorders>
            <w:shd w:val="clear" w:color="auto" w:fill="auto"/>
            <w:noWrap/>
            <w:vAlign w:val="bottom"/>
          </w:tcPr>
          <w:p w14:paraId="06DFCA0C" w14:textId="77777777" w:rsidR="004606EF" w:rsidRPr="00303E62" w:rsidRDefault="004606EF" w:rsidP="00D305D7">
            <w:pPr>
              <w:snapToGrid w:val="0"/>
              <w:spacing w:after="0" w:line="360" w:lineRule="auto"/>
              <w:rPr>
                <w:rFonts w:ascii="Book Antiqua" w:eastAsia="Times New Roman" w:hAnsi="Book Antiqua" w:cs="Arial"/>
                <w:sz w:val="24"/>
                <w:szCs w:val="24"/>
                <w:lang w:val="en-GB" w:eastAsia="fi-FI"/>
              </w:rPr>
            </w:pPr>
          </w:p>
        </w:tc>
        <w:tc>
          <w:tcPr>
            <w:tcW w:w="1733" w:type="dxa"/>
            <w:tcBorders>
              <w:top w:val="single" w:sz="4" w:space="0" w:color="auto"/>
              <w:bottom w:val="single" w:sz="4" w:space="0" w:color="auto"/>
            </w:tcBorders>
            <w:shd w:val="clear" w:color="auto" w:fill="auto"/>
            <w:noWrap/>
            <w:vAlign w:val="bottom"/>
          </w:tcPr>
          <w:p w14:paraId="5256DC97"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LGD</w:t>
            </w:r>
          </w:p>
        </w:tc>
        <w:tc>
          <w:tcPr>
            <w:tcW w:w="1858" w:type="dxa"/>
            <w:tcBorders>
              <w:top w:val="single" w:sz="4" w:space="0" w:color="auto"/>
              <w:bottom w:val="single" w:sz="4" w:space="0" w:color="auto"/>
            </w:tcBorders>
            <w:shd w:val="clear" w:color="000000" w:fill="FFFFFF"/>
            <w:noWrap/>
            <w:vAlign w:val="bottom"/>
          </w:tcPr>
          <w:p w14:paraId="69596977"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HGD</w:t>
            </w:r>
          </w:p>
        </w:tc>
        <w:tc>
          <w:tcPr>
            <w:tcW w:w="1843" w:type="dxa"/>
            <w:tcBorders>
              <w:top w:val="single" w:sz="4" w:space="0" w:color="auto"/>
              <w:bottom w:val="single" w:sz="4" w:space="0" w:color="auto"/>
            </w:tcBorders>
            <w:shd w:val="clear" w:color="auto" w:fill="auto"/>
            <w:noWrap/>
            <w:vAlign w:val="bottom"/>
          </w:tcPr>
          <w:p w14:paraId="262FE78E" w14:textId="77777777"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fi-FI"/>
              </w:rPr>
            </w:pPr>
            <w:r w:rsidRPr="00303E62">
              <w:rPr>
                <w:rFonts w:ascii="Book Antiqua" w:eastAsia="Times New Roman" w:hAnsi="Book Antiqua" w:cs="Arial"/>
                <w:b/>
                <w:bCs/>
                <w:sz w:val="24"/>
                <w:szCs w:val="24"/>
                <w:lang w:val="en-GB" w:eastAsia="fi-FI"/>
              </w:rPr>
              <w:t>CCA</w:t>
            </w:r>
          </w:p>
        </w:tc>
        <w:tc>
          <w:tcPr>
            <w:tcW w:w="1260" w:type="dxa"/>
            <w:tcBorders>
              <w:top w:val="single" w:sz="4" w:space="0" w:color="auto"/>
              <w:bottom w:val="single" w:sz="4" w:space="0" w:color="auto"/>
            </w:tcBorders>
          </w:tcPr>
          <w:p w14:paraId="33E4E495" w14:textId="64EEFACD" w:rsidR="004606EF" w:rsidRPr="00303E62" w:rsidRDefault="004606EF" w:rsidP="00D305D7">
            <w:pPr>
              <w:snapToGrid w:val="0"/>
              <w:spacing w:after="0" w:line="360" w:lineRule="auto"/>
              <w:jc w:val="center"/>
              <w:rPr>
                <w:rFonts w:ascii="Book Antiqua" w:eastAsia="Times New Roman" w:hAnsi="Book Antiqua" w:cs="Arial"/>
                <w:b/>
                <w:bCs/>
                <w:sz w:val="24"/>
                <w:szCs w:val="24"/>
                <w:lang w:val="en-GB" w:eastAsia="zh-CN"/>
              </w:rPr>
            </w:pPr>
            <w:r w:rsidRPr="004606EF">
              <w:rPr>
                <w:rFonts w:ascii="Book Antiqua" w:eastAsia="Times New Roman" w:hAnsi="Book Antiqua" w:cs="Arial"/>
                <w:b/>
                <w:bCs/>
                <w:i/>
                <w:sz w:val="24"/>
                <w:szCs w:val="24"/>
                <w:lang w:val="en-GB" w:eastAsia="fi-FI"/>
              </w:rPr>
              <w:t>P</w:t>
            </w:r>
            <w:r>
              <w:rPr>
                <w:rFonts w:ascii="Book Antiqua" w:eastAsia="Times New Roman" w:hAnsi="Book Antiqua" w:cs="Arial" w:hint="eastAsia"/>
                <w:b/>
                <w:bCs/>
                <w:sz w:val="24"/>
                <w:szCs w:val="24"/>
                <w:lang w:val="en-GB" w:eastAsia="zh-CN"/>
              </w:rPr>
              <w:t xml:space="preserve"> value</w:t>
            </w:r>
          </w:p>
        </w:tc>
      </w:tr>
      <w:tr w:rsidR="004606EF" w:rsidRPr="00303E62" w14:paraId="424F331F" w14:textId="77777777" w:rsidTr="00F73722">
        <w:trPr>
          <w:trHeight w:val="315"/>
        </w:trPr>
        <w:tc>
          <w:tcPr>
            <w:tcW w:w="3649" w:type="dxa"/>
            <w:tcBorders>
              <w:top w:val="single" w:sz="4" w:space="0" w:color="auto"/>
            </w:tcBorders>
            <w:shd w:val="clear" w:color="auto" w:fill="auto"/>
            <w:noWrap/>
            <w:vAlign w:val="bottom"/>
          </w:tcPr>
          <w:p w14:paraId="024E6B56" w14:textId="77777777" w:rsidR="004606EF" w:rsidRPr="004606EF" w:rsidRDefault="004606EF" w:rsidP="00D305D7">
            <w:pPr>
              <w:snapToGrid w:val="0"/>
              <w:spacing w:after="0" w:line="360" w:lineRule="auto"/>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Patients, </w:t>
            </w:r>
            <w:r w:rsidRPr="004606EF">
              <w:rPr>
                <w:rFonts w:ascii="Book Antiqua" w:eastAsia="Times New Roman" w:hAnsi="Book Antiqua" w:cs="Arial"/>
                <w:bCs/>
                <w:i/>
                <w:sz w:val="24"/>
                <w:szCs w:val="24"/>
                <w:lang w:val="en-GB" w:eastAsia="fi-FI"/>
              </w:rPr>
              <w:t>n</w:t>
            </w:r>
          </w:p>
        </w:tc>
        <w:tc>
          <w:tcPr>
            <w:tcW w:w="1733" w:type="dxa"/>
            <w:tcBorders>
              <w:top w:val="single" w:sz="4" w:space="0" w:color="auto"/>
            </w:tcBorders>
            <w:shd w:val="clear" w:color="auto" w:fill="auto"/>
            <w:noWrap/>
            <w:vAlign w:val="bottom"/>
          </w:tcPr>
          <w:p w14:paraId="1578756C"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16</w:t>
            </w:r>
          </w:p>
        </w:tc>
        <w:tc>
          <w:tcPr>
            <w:tcW w:w="1858" w:type="dxa"/>
            <w:tcBorders>
              <w:top w:val="single" w:sz="4" w:space="0" w:color="auto"/>
            </w:tcBorders>
            <w:shd w:val="clear" w:color="000000" w:fill="FFFFFF"/>
            <w:noWrap/>
            <w:vAlign w:val="bottom"/>
          </w:tcPr>
          <w:p w14:paraId="493D660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w:t>
            </w:r>
          </w:p>
        </w:tc>
        <w:tc>
          <w:tcPr>
            <w:tcW w:w="1843" w:type="dxa"/>
            <w:tcBorders>
              <w:top w:val="single" w:sz="4" w:space="0" w:color="auto"/>
            </w:tcBorders>
            <w:shd w:val="clear" w:color="auto" w:fill="auto"/>
            <w:noWrap/>
            <w:vAlign w:val="bottom"/>
          </w:tcPr>
          <w:p w14:paraId="7A687FAD" w14:textId="115DBB09"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19</w:t>
            </w:r>
          </w:p>
        </w:tc>
        <w:tc>
          <w:tcPr>
            <w:tcW w:w="1260" w:type="dxa"/>
            <w:tcBorders>
              <w:top w:val="single" w:sz="4" w:space="0" w:color="auto"/>
            </w:tcBorders>
            <w:shd w:val="clear" w:color="auto" w:fill="auto"/>
            <w:noWrap/>
            <w:vAlign w:val="bottom"/>
          </w:tcPr>
          <w:p w14:paraId="15F710E1" w14:textId="3F187E9D" w:rsidR="004606EF" w:rsidRPr="004606EF" w:rsidRDefault="004606EF" w:rsidP="00D305D7">
            <w:pPr>
              <w:snapToGrid w:val="0"/>
              <w:spacing w:after="0" w:line="360" w:lineRule="auto"/>
              <w:jc w:val="center"/>
              <w:rPr>
                <w:rFonts w:ascii="Book Antiqua" w:hAnsi="Book Antiqua" w:cs="Arial"/>
                <w:sz w:val="24"/>
                <w:szCs w:val="24"/>
                <w:lang w:val="en-GB" w:eastAsia="zh-CN"/>
              </w:rPr>
            </w:pPr>
          </w:p>
        </w:tc>
      </w:tr>
      <w:tr w:rsidR="004606EF" w:rsidRPr="00303E62" w14:paraId="0439FC97" w14:textId="77777777" w:rsidTr="00F73722">
        <w:trPr>
          <w:trHeight w:val="315"/>
        </w:trPr>
        <w:tc>
          <w:tcPr>
            <w:tcW w:w="3649" w:type="dxa"/>
            <w:shd w:val="clear" w:color="auto" w:fill="auto"/>
            <w:noWrap/>
            <w:vAlign w:val="bottom"/>
          </w:tcPr>
          <w:p w14:paraId="73690C9E" w14:textId="77777777" w:rsidR="004606EF" w:rsidRPr="004606EF" w:rsidRDefault="004606EF" w:rsidP="00D305D7">
            <w:pPr>
              <w:snapToGrid w:val="0"/>
              <w:spacing w:after="0" w:line="360" w:lineRule="auto"/>
              <w:ind w:firstLineChars="200" w:firstLine="480"/>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 xml:space="preserve">Liver transplanted, </w:t>
            </w:r>
            <w:r w:rsidRPr="004606EF">
              <w:rPr>
                <w:rFonts w:ascii="Book Antiqua" w:eastAsia="Times New Roman" w:hAnsi="Book Antiqua" w:cs="Arial"/>
                <w:bCs/>
                <w:i/>
                <w:sz w:val="24"/>
                <w:szCs w:val="24"/>
                <w:lang w:val="en-GB" w:eastAsia="fi-FI"/>
              </w:rPr>
              <w:t>n</w:t>
            </w:r>
          </w:p>
        </w:tc>
        <w:tc>
          <w:tcPr>
            <w:tcW w:w="1733" w:type="dxa"/>
            <w:shd w:val="clear" w:color="auto" w:fill="auto"/>
            <w:noWrap/>
            <w:vAlign w:val="bottom"/>
          </w:tcPr>
          <w:p w14:paraId="2015F9DE"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16</w:t>
            </w:r>
          </w:p>
        </w:tc>
        <w:tc>
          <w:tcPr>
            <w:tcW w:w="1858" w:type="dxa"/>
            <w:shd w:val="clear" w:color="000000" w:fill="FFFFFF"/>
            <w:noWrap/>
            <w:vAlign w:val="bottom"/>
          </w:tcPr>
          <w:p w14:paraId="061F85D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w:t>
            </w:r>
          </w:p>
        </w:tc>
        <w:tc>
          <w:tcPr>
            <w:tcW w:w="1843" w:type="dxa"/>
            <w:shd w:val="clear" w:color="auto" w:fill="auto"/>
            <w:noWrap/>
            <w:vAlign w:val="bottom"/>
          </w:tcPr>
          <w:p w14:paraId="09B65AEC" w14:textId="50E7CE8B"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w:t>
            </w:r>
          </w:p>
        </w:tc>
        <w:tc>
          <w:tcPr>
            <w:tcW w:w="1260" w:type="dxa"/>
            <w:shd w:val="clear" w:color="auto" w:fill="auto"/>
            <w:noWrap/>
            <w:vAlign w:val="bottom"/>
          </w:tcPr>
          <w:p w14:paraId="33CAC024" w14:textId="29BE1558" w:rsidR="004606EF" w:rsidRPr="004606EF" w:rsidRDefault="004606EF" w:rsidP="00D305D7">
            <w:pPr>
              <w:snapToGrid w:val="0"/>
              <w:spacing w:after="0" w:line="360" w:lineRule="auto"/>
              <w:jc w:val="center"/>
              <w:rPr>
                <w:rFonts w:ascii="Book Antiqua" w:hAnsi="Book Antiqua" w:cs="Arial"/>
                <w:sz w:val="24"/>
                <w:szCs w:val="24"/>
                <w:lang w:val="en-GB" w:eastAsia="zh-CN"/>
              </w:rPr>
            </w:pPr>
          </w:p>
        </w:tc>
      </w:tr>
      <w:tr w:rsidR="004606EF" w:rsidRPr="00303E62" w14:paraId="7347B93A" w14:textId="77777777" w:rsidTr="00F73722">
        <w:trPr>
          <w:trHeight w:val="315"/>
        </w:trPr>
        <w:tc>
          <w:tcPr>
            <w:tcW w:w="3649" w:type="dxa"/>
            <w:shd w:val="clear" w:color="auto" w:fill="auto"/>
            <w:noWrap/>
            <w:vAlign w:val="bottom"/>
          </w:tcPr>
          <w:p w14:paraId="3F9BD714" w14:textId="77777777" w:rsidR="004606EF" w:rsidRPr="004606EF" w:rsidRDefault="004606EF" w:rsidP="00D305D7">
            <w:pPr>
              <w:snapToGrid w:val="0"/>
              <w:spacing w:after="0" w:line="360" w:lineRule="auto"/>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BCs, n (IQR)</w:t>
            </w:r>
          </w:p>
        </w:tc>
        <w:tc>
          <w:tcPr>
            <w:tcW w:w="1733" w:type="dxa"/>
            <w:shd w:val="clear" w:color="auto" w:fill="auto"/>
            <w:noWrap/>
            <w:vAlign w:val="bottom"/>
          </w:tcPr>
          <w:p w14:paraId="5896EE8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4.0 (2.3-5.0)</w:t>
            </w:r>
          </w:p>
        </w:tc>
        <w:tc>
          <w:tcPr>
            <w:tcW w:w="1858" w:type="dxa"/>
            <w:shd w:val="clear" w:color="000000" w:fill="FFFFFF"/>
            <w:noWrap/>
            <w:vAlign w:val="bottom"/>
          </w:tcPr>
          <w:p w14:paraId="31495B2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4.5 (1.8-5.3)</w:t>
            </w:r>
          </w:p>
        </w:tc>
        <w:tc>
          <w:tcPr>
            <w:tcW w:w="1843" w:type="dxa"/>
            <w:shd w:val="clear" w:color="auto" w:fill="auto"/>
            <w:noWrap/>
            <w:vAlign w:val="bottom"/>
          </w:tcPr>
          <w:p w14:paraId="7783F5F7" w14:textId="337240AD"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2.5 (1.8-5.3)</w:t>
            </w:r>
          </w:p>
        </w:tc>
        <w:tc>
          <w:tcPr>
            <w:tcW w:w="1260" w:type="dxa"/>
            <w:shd w:val="clear" w:color="auto" w:fill="auto"/>
            <w:noWrap/>
            <w:vAlign w:val="bottom"/>
          </w:tcPr>
          <w:p w14:paraId="1C7FF0D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0.219</w:t>
            </w:r>
          </w:p>
        </w:tc>
      </w:tr>
      <w:tr w:rsidR="004606EF" w:rsidRPr="00303E62" w14:paraId="43CC4C46" w14:textId="77777777" w:rsidTr="00F73722">
        <w:trPr>
          <w:trHeight w:val="315"/>
        </w:trPr>
        <w:tc>
          <w:tcPr>
            <w:tcW w:w="3649" w:type="dxa"/>
            <w:shd w:val="clear" w:color="auto" w:fill="auto"/>
            <w:noWrap/>
            <w:vAlign w:val="bottom"/>
          </w:tcPr>
          <w:p w14:paraId="27E77FF8" w14:textId="77777777" w:rsidR="004606EF" w:rsidRPr="004606EF" w:rsidRDefault="004606EF" w:rsidP="00D305D7">
            <w:pPr>
              <w:snapToGrid w:val="0"/>
              <w:spacing w:after="0" w:line="360" w:lineRule="auto"/>
              <w:ind w:firstLineChars="200" w:firstLine="480"/>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BC suspicious/malignant</w:t>
            </w:r>
          </w:p>
        </w:tc>
        <w:tc>
          <w:tcPr>
            <w:tcW w:w="1733" w:type="dxa"/>
            <w:shd w:val="clear" w:color="auto" w:fill="auto"/>
            <w:noWrap/>
            <w:vAlign w:val="bottom"/>
          </w:tcPr>
          <w:p w14:paraId="772517D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11</w:t>
            </w:r>
          </w:p>
        </w:tc>
        <w:tc>
          <w:tcPr>
            <w:tcW w:w="1858" w:type="dxa"/>
            <w:shd w:val="clear" w:color="000000" w:fill="FFFFFF"/>
            <w:noWrap/>
            <w:vAlign w:val="bottom"/>
          </w:tcPr>
          <w:p w14:paraId="6511AA7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8</w:t>
            </w:r>
          </w:p>
        </w:tc>
        <w:tc>
          <w:tcPr>
            <w:tcW w:w="1843" w:type="dxa"/>
            <w:shd w:val="clear" w:color="auto" w:fill="auto"/>
            <w:noWrap/>
            <w:vAlign w:val="bottom"/>
          </w:tcPr>
          <w:p w14:paraId="71C66D93"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15</w:t>
            </w:r>
          </w:p>
        </w:tc>
        <w:tc>
          <w:tcPr>
            <w:tcW w:w="1260" w:type="dxa"/>
          </w:tcPr>
          <w:p w14:paraId="4FB0918A"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0.746</w:t>
            </w:r>
          </w:p>
        </w:tc>
      </w:tr>
      <w:tr w:rsidR="004606EF" w:rsidRPr="00303E62" w14:paraId="7B946FEA" w14:textId="77777777" w:rsidTr="00F73722">
        <w:trPr>
          <w:trHeight w:val="315"/>
        </w:trPr>
        <w:tc>
          <w:tcPr>
            <w:tcW w:w="3649" w:type="dxa"/>
            <w:shd w:val="clear" w:color="auto" w:fill="auto"/>
            <w:noWrap/>
            <w:vAlign w:val="bottom"/>
          </w:tcPr>
          <w:p w14:paraId="0F96FDE9" w14:textId="77777777" w:rsidR="004606EF" w:rsidRPr="004606EF" w:rsidRDefault="004606EF" w:rsidP="00D305D7">
            <w:pPr>
              <w:snapToGrid w:val="0"/>
              <w:spacing w:after="0" w:line="360" w:lineRule="auto"/>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Flow cytometry, n (IQR)</w:t>
            </w:r>
          </w:p>
        </w:tc>
        <w:tc>
          <w:tcPr>
            <w:tcW w:w="1733" w:type="dxa"/>
            <w:shd w:val="clear" w:color="auto" w:fill="auto"/>
            <w:noWrap/>
            <w:vAlign w:val="bottom"/>
          </w:tcPr>
          <w:p w14:paraId="2E979D60"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3.0 (2.3-4.0)</w:t>
            </w:r>
          </w:p>
        </w:tc>
        <w:tc>
          <w:tcPr>
            <w:tcW w:w="1858" w:type="dxa"/>
            <w:shd w:val="clear" w:color="000000" w:fill="FFFFFF"/>
            <w:noWrap/>
            <w:vAlign w:val="bottom"/>
          </w:tcPr>
          <w:p w14:paraId="097D3B87"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3.0 (1.8-5.0)</w:t>
            </w:r>
          </w:p>
        </w:tc>
        <w:tc>
          <w:tcPr>
            <w:tcW w:w="1843" w:type="dxa"/>
            <w:shd w:val="clear" w:color="auto" w:fill="auto"/>
            <w:noWrap/>
            <w:vAlign w:val="bottom"/>
          </w:tcPr>
          <w:p w14:paraId="46C9236D" w14:textId="21D92672"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2.0 (1.0-4.3)</w:t>
            </w:r>
          </w:p>
        </w:tc>
        <w:tc>
          <w:tcPr>
            <w:tcW w:w="1260" w:type="dxa"/>
            <w:shd w:val="clear" w:color="auto" w:fill="auto"/>
            <w:noWrap/>
            <w:vAlign w:val="bottom"/>
          </w:tcPr>
          <w:p w14:paraId="2D60F499"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0.195</w:t>
            </w:r>
          </w:p>
        </w:tc>
      </w:tr>
      <w:tr w:rsidR="004606EF" w:rsidRPr="00303E62" w14:paraId="74BC5E76" w14:textId="77777777" w:rsidTr="00F73722">
        <w:trPr>
          <w:trHeight w:val="315"/>
        </w:trPr>
        <w:tc>
          <w:tcPr>
            <w:tcW w:w="3649" w:type="dxa"/>
            <w:shd w:val="clear" w:color="auto" w:fill="auto"/>
            <w:noWrap/>
            <w:vAlign w:val="bottom"/>
          </w:tcPr>
          <w:p w14:paraId="08965826" w14:textId="77777777" w:rsidR="004606EF" w:rsidRPr="004606EF" w:rsidRDefault="004606EF" w:rsidP="00D305D7">
            <w:pPr>
              <w:snapToGrid w:val="0"/>
              <w:spacing w:after="0" w:line="360" w:lineRule="auto"/>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DNA-index (highest, IQR)</w:t>
            </w:r>
          </w:p>
        </w:tc>
        <w:tc>
          <w:tcPr>
            <w:tcW w:w="1733" w:type="dxa"/>
            <w:shd w:val="clear" w:color="auto" w:fill="auto"/>
            <w:noWrap/>
            <w:vAlign w:val="bottom"/>
          </w:tcPr>
          <w:p w14:paraId="0AC07244"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 (1.0-1.2)</w:t>
            </w:r>
          </w:p>
        </w:tc>
        <w:tc>
          <w:tcPr>
            <w:tcW w:w="1858" w:type="dxa"/>
            <w:shd w:val="clear" w:color="000000" w:fill="FFFFFF"/>
            <w:noWrap/>
            <w:vAlign w:val="bottom"/>
          </w:tcPr>
          <w:p w14:paraId="13EC409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bCs/>
                <w:sz w:val="24"/>
                <w:szCs w:val="24"/>
                <w:lang w:val="en-GB" w:eastAsia="fi-FI"/>
              </w:rPr>
              <w:t>1.2 (1.0-1.8)</w:t>
            </w:r>
          </w:p>
        </w:tc>
        <w:tc>
          <w:tcPr>
            <w:tcW w:w="1843" w:type="dxa"/>
            <w:shd w:val="clear" w:color="auto" w:fill="auto"/>
            <w:noWrap/>
            <w:vAlign w:val="bottom"/>
          </w:tcPr>
          <w:p w14:paraId="329F06C8" w14:textId="00F3E2D6"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1.0 (1.0-1.2)</w:t>
            </w:r>
          </w:p>
        </w:tc>
        <w:tc>
          <w:tcPr>
            <w:tcW w:w="1260" w:type="dxa"/>
            <w:shd w:val="clear" w:color="auto" w:fill="auto"/>
            <w:noWrap/>
            <w:vAlign w:val="bottom"/>
          </w:tcPr>
          <w:p w14:paraId="19D3FDCD"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0.745</w:t>
            </w:r>
          </w:p>
        </w:tc>
      </w:tr>
      <w:tr w:rsidR="004606EF" w:rsidRPr="00303E62" w14:paraId="0F353CB6" w14:textId="77777777" w:rsidTr="00F73722">
        <w:trPr>
          <w:trHeight w:val="315"/>
        </w:trPr>
        <w:tc>
          <w:tcPr>
            <w:tcW w:w="3649" w:type="dxa"/>
            <w:shd w:val="clear" w:color="auto" w:fill="auto"/>
            <w:noWrap/>
            <w:vAlign w:val="bottom"/>
          </w:tcPr>
          <w:p w14:paraId="5DA62EDB" w14:textId="77777777" w:rsidR="004606EF" w:rsidRPr="004606EF" w:rsidRDefault="004606EF" w:rsidP="00D305D7">
            <w:pPr>
              <w:snapToGrid w:val="0"/>
              <w:spacing w:after="0" w:line="360" w:lineRule="auto"/>
              <w:ind w:firstLineChars="200" w:firstLine="480"/>
              <w:rPr>
                <w:rFonts w:ascii="Book Antiqua" w:eastAsia="Times New Roman" w:hAnsi="Book Antiqua" w:cs="Arial"/>
                <w:bCs/>
                <w:sz w:val="24"/>
                <w:szCs w:val="24"/>
                <w:lang w:val="en-GB" w:eastAsia="fi-FI"/>
              </w:rPr>
            </w:pPr>
            <w:r w:rsidRPr="004606EF">
              <w:rPr>
                <w:rFonts w:ascii="Book Antiqua" w:eastAsia="Times New Roman" w:hAnsi="Book Antiqua" w:cs="Arial"/>
                <w:bCs/>
                <w:sz w:val="24"/>
                <w:szCs w:val="24"/>
                <w:lang w:val="en-GB" w:eastAsia="fi-FI"/>
              </w:rPr>
              <w:t>Aneuploid</w:t>
            </w:r>
          </w:p>
        </w:tc>
        <w:tc>
          <w:tcPr>
            <w:tcW w:w="1733" w:type="dxa"/>
            <w:shd w:val="clear" w:color="auto" w:fill="auto"/>
            <w:noWrap/>
            <w:vAlign w:val="bottom"/>
          </w:tcPr>
          <w:p w14:paraId="4B60660B"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6</w:t>
            </w:r>
          </w:p>
        </w:tc>
        <w:tc>
          <w:tcPr>
            <w:tcW w:w="1858" w:type="dxa"/>
            <w:shd w:val="clear" w:color="000000" w:fill="FFFFFF"/>
            <w:noWrap/>
            <w:vAlign w:val="bottom"/>
          </w:tcPr>
          <w:p w14:paraId="4C378FB5"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5</w:t>
            </w:r>
          </w:p>
        </w:tc>
        <w:tc>
          <w:tcPr>
            <w:tcW w:w="1843" w:type="dxa"/>
            <w:shd w:val="clear" w:color="auto" w:fill="auto"/>
            <w:noWrap/>
            <w:vAlign w:val="bottom"/>
          </w:tcPr>
          <w:p w14:paraId="0A90F92F"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7</w:t>
            </w:r>
          </w:p>
        </w:tc>
        <w:tc>
          <w:tcPr>
            <w:tcW w:w="1260" w:type="dxa"/>
          </w:tcPr>
          <w:p w14:paraId="7BE805D8" w14:textId="77777777" w:rsidR="004606EF" w:rsidRPr="00303E62" w:rsidRDefault="004606EF" w:rsidP="00D305D7">
            <w:pPr>
              <w:snapToGrid w:val="0"/>
              <w:spacing w:after="0" w:line="360" w:lineRule="auto"/>
              <w:jc w:val="center"/>
              <w:rPr>
                <w:rFonts w:ascii="Book Antiqua" w:eastAsia="Times New Roman" w:hAnsi="Book Antiqua" w:cs="Arial"/>
                <w:sz w:val="24"/>
                <w:szCs w:val="24"/>
                <w:lang w:val="en-GB" w:eastAsia="fi-FI"/>
              </w:rPr>
            </w:pPr>
            <w:r w:rsidRPr="00303E62">
              <w:rPr>
                <w:rFonts w:ascii="Book Antiqua" w:eastAsia="Times New Roman" w:hAnsi="Book Antiqua" w:cs="Arial"/>
                <w:sz w:val="24"/>
                <w:szCs w:val="24"/>
                <w:lang w:val="en-GB" w:eastAsia="fi-FI"/>
              </w:rPr>
              <w:t>0.795</w:t>
            </w:r>
          </w:p>
        </w:tc>
      </w:tr>
    </w:tbl>
    <w:p w14:paraId="097780A7" w14:textId="5FC2F55D" w:rsidR="004753D0" w:rsidRPr="00441397" w:rsidRDefault="004606EF" w:rsidP="00D305D7">
      <w:pPr>
        <w:snapToGrid w:val="0"/>
        <w:spacing w:after="0" w:line="360" w:lineRule="auto"/>
        <w:jc w:val="both"/>
        <w:rPr>
          <w:rFonts w:ascii="Book Antiqua" w:hAnsi="Book Antiqua" w:cs="Arial"/>
          <w:b/>
          <w:sz w:val="24"/>
          <w:szCs w:val="24"/>
          <w:lang w:val="en-GB" w:eastAsia="zh-CN"/>
        </w:rPr>
      </w:pPr>
      <w:r w:rsidRPr="00303E62">
        <w:rPr>
          <w:rFonts w:ascii="Book Antiqua" w:eastAsia="Times New Roman" w:hAnsi="Book Antiqua" w:cs="Arial"/>
          <w:sz w:val="24"/>
          <w:szCs w:val="24"/>
          <w:lang w:val="en-GB" w:eastAsia="fi-FI"/>
        </w:rPr>
        <w:t xml:space="preserve">Numbers are median (IQR) or </w:t>
      </w:r>
      <w:r w:rsidRPr="00441397">
        <w:rPr>
          <w:rFonts w:ascii="Book Antiqua" w:eastAsia="Times New Roman" w:hAnsi="Book Antiqua" w:cs="Arial"/>
          <w:i/>
          <w:sz w:val="24"/>
          <w:szCs w:val="24"/>
          <w:lang w:val="en-GB" w:eastAsia="fi-FI"/>
        </w:rPr>
        <w:t>n</w:t>
      </w:r>
      <w:r w:rsidRPr="00303E62">
        <w:rPr>
          <w:rFonts w:ascii="Book Antiqua" w:eastAsia="Times New Roman" w:hAnsi="Book Antiqua" w:cs="Arial"/>
          <w:sz w:val="24"/>
          <w:szCs w:val="24"/>
          <w:lang w:val="en-GB" w:eastAsia="fi-FI"/>
        </w:rPr>
        <w:t>. </w:t>
      </w:r>
      <w:r w:rsidRPr="00441397">
        <w:rPr>
          <w:rFonts w:ascii="Book Antiqua" w:eastAsia="Times New Roman" w:hAnsi="Book Antiqua" w:cs="Arial"/>
          <w:i/>
          <w:sz w:val="24"/>
          <w:szCs w:val="24"/>
          <w:lang w:val="en-GB" w:eastAsia="fi-FI"/>
        </w:rPr>
        <w:t>P</w:t>
      </w:r>
      <w:r w:rsidRPr="00303E62">
        <w:rPr>
          <w:rFonts w:ascii="Book Antiqua" w:eastAsia="Times New Roman" w:hAnsi="Book Antiqua" w:cs="Arial"/>
          <w:sz w:val="24"/>
          <w:szCs w:val="24"/>
          <w:lang w:val="en-GB" w:eastAsia="fi-FI"/>
        </w:rPr>
        <w:t xml:space="preserve"> values: Jonckeere-Terpstra test for continuous variables, and Fisher's exact test for dichotomous variables.</w:t>
      </w:r>
      <w:r w:rsidR="00441397">
        <w:rPr>
          <w:rFonts w:ascii="Book Antiqua" w:hAnsi="Book Antiqua" w:cs="Arial" w:hint="eastAsia"/>
          <w:b/>
          <w:sz w:val="24"/>
          <w:szCs w:val="24"/>
          <w:lang w:val="en-GB" w:eastAsia="zh-CN"/>
        </w:rPr>
        <w:t xml:space="preserve"> </w:t>
      </w:r>
      <w:r w:rsidR="00441397" w:rsidRPr="00441397">
        <w:rPr>
          <w:rFonts w:ascii="Book Antiqua" w:eastAsia="Calibri" w:hAnsi="Book Antiqua" w:cs="Arial"/>
          <w:sz w:val="24"/>
          <w:szCs w:val="24"/>
          <w:lang w:val="en-GB"/>
        </w:rPr>
        <w:t>BC</w:t>
      </w:r>
      <w:r w:rsidR="00441397" w:rsidRPr="00441397">
        <w:rPr>
          <w:rFonts w:ascii="Book Antiqua" w:eastAsia="Calibri" w:hAnsi="Book Antiqua" w:cs="Arial" w:hint="eastAsia"/>
          <w:sz w:val="24"/>
          <w:szCs w:val="24"/>
          <w:lang w:val="en-GB" w:eastAsia="zh-CN"/>
        </w:rPr>
        <w:t xml:space="preserve">: </w:t>
      </w:r>
      <w:r w:rsidR="00441397" w:rsidRPr="00441397">
        <w:rPr>
          <w:rFonts w:ascii="Book Antiqua" w:eastAsia="Calibri" w:hAnsi="Book Antiqua" w:cs="Arial"/>
          <w:sz w:val="24"/>
          <w:szCs w:val="24"/>
          <w:lang w:val="en-GB"/>
        </w:rPr>
        <w:t>Brush cytology</w:t>
      </w:r>
      <w:r w:rsidR="00441397" w:rsidRPr="00441397">
        <w:rPr>
          <w:rFonts w:ascii="Book Antiqua" w:eastAsia="Calibri" w:hAnsi="Book Antiqua" w:cs="Arial" w:hint="eastAsia"/>
          <w:sz w:val="24"/>
          <w:szCs w:val="24"/>
          <w:lang w:val="en-GB" w:eastAsia="zh-CN"/>
        </w:rPr>
        <w:t>;</w:t>
      </w:r>
      <w:r w:rsidR="00441397">
        <w:rPr>
          <w:rFonts w:ascii="Book Antiqua" w:eastAsia="Calibri" w:hAnsi="Book Antiqua" w:cs="Arial" w:hint="eastAsia"/>
          <w:sz w:val="24"/>
          <w:szCs w:val="24"/>
          <w:lang w:val="en-GB" w:eastAsia="zh-CN"/>
        </w:rPr>
        <w:t xml:space="preserve"> </w:t>
      </w:r>
      <w:r w:rsidR="00441397" w:rsidRPr="00303E62">
        <w:rPr>
          <w:rFonts w:ascii="Book Antiqua" w:eastAsia="Calibri" w:hAnsi="Book Antiqua" w:cs="Arial"/>
          <w:sz w:val="24"/>
          <w:szCs w:val="24"/>
          <w:lang w:val="en-GB"/>
        </w:rPr>
        <w:t>CCA</w:t>
      </w:r>
      <w:r w:rsidR="00441397">
        <w:rPr>
          <w:rFonts w:ascii="Book Antiqua" w:eastAsia="Calibri" w:hAnsi="Book Antiqua" w:cs="Arial" w:hint="eastAsia"/>
          <w:sz w:val="24"/>
          <w:szCs w:val="24"/>
          <w:lang w:val="en-GB" w:eastAsia="zh-CN"/>
        </w:rPr>
        <w:t xml:space="preserve">: </w:t>
      </w:r>
      <w:r w:rsidR="00441397" w:rsidRPr="004606EF">
        <w:rPr>
          <w:rFonts w:ascii="Book Antiqua" w:eastAsia="Calibri" w:hAnsi="Book Antiqua" w:cs="Arial"/>
          <w:caps/>
          <w:sz w:val="24"/>
          <w:szCs w:val="24"/>
          <w:lang w:val="en-GB"/>
        </w:rPr>
        <w:t>c</w:t>
      </w:r>
      <w:r w:rsidR="00441397" w:rsidRPr="00303E62">
        <w:rPr>
          <w:rFonts w:ascii="Book Antiqua" w:eastAsia="Calibri" w:hAnsi="Book Antiqua" w:cs="Arial"/>
          <w:sz w:val="24"/>
          <w:szCs w:val="24"/>
          <w:lang w:val="en-GB"/>
        </w:rPr>
        <w:t>holangiocarcinoma;</w:t>
      </w:r>
      <w:r w:rsidR="00441397">
        <w:rPr>
          <w:rFonts w:ascii="Book Antiqua" w:eastAsia="Calibri" w:hAnsi="Book Antiqua" w:cs="Arial" w:hint="eastAsia"/>
          <w:sz w:val="24"/>
          <w:szCs w:val="24"/>
          <w:lang w:val="en-GB" w:eastAsia="zh-CN"/>
        </w:rPr>
        <w:t xml:space="preserve"> </w:t>
      </w:r>
      <w:r w:rsidR="00441397" w:rsidRPr="00303E62">
        <w:rPr>
          <w:rFonts w:ascii="Book Antiqua" w:eastAsia="Calibri" w:hAnsi="Book Antiqua" w:cs="Arial"/>
          <w:sz w:val="24"/>
          <w:szCs w:val="24"/>
          <w:lang w:val="en-GB"/>
        </w:rPr>
        <w:t>HGD</w:t>
      </w:r>
      <w:r w:rsidR="00441397">
        <w:rPr>
          <w:rFonts w:ascii="Book Antiqua" w:eastAsia="Calibri" w:hAnsi="Book Antiqua" w:cs="Arial" w:hint="eastAsia"/>
          <w:sz w:val="24"/>
          <w:szCs w:val="24"/>
          <w:lang w:val="en-GB" w:eastAsia="zh-CN"/>
        </w:rPr>
        <w:t xml:space="preserve">: </w:t>
      </w:r>
      <w:r w:rsidR="00441397" w:rsidRPr="004606EF">
        <w:rPr>
          <w:rFonts w:ascii="Book Antiqua" w:eastAsia="Calibri" w:hAnsi="Book Antiqua" w:cs="Arial"/>
          <w:caps/>
          <w:sz w:val="24"/>
          <w:szCs w:val="24"/>
          <w:lang w:val="en-GB"/>
        </w:rPr>
        <w:t>h</w:t>
      </w:r>
      <w:r w:rsidR="00441397" w:rsidRPr="00303E62">
        <w:rPr>
          <w:rFonts w:ascii="Book Antiqua" w:eastAsia="Calibri" w:hAnsi="Book Antiqua" w:cs="Arial"/>
          <w:sz w:val="24"/>
          <w:szCs w:val="24"/>
          <w:lang w:val="en-GB"/>
        </w:rPr>
        <w:t>igh-grade dysplasia; IQR</w:t>
      </w:r>
      <w:r w:rsidR="00441397">
        <w:rPr>
          <w:rFonts w:ascii="Book Antiqua" w:eastAsia="Calibri" w:hAnsi="Book Antiqua" w:cs="Arial" w:hint="eastAsia"/>
          <w:sz w:val="24"/>
          <w:szCs w:val="24"/>
          <w:lang w:val="en-GB" w:eastAsia="zh-CN"/>
        </w:rPr>
        <w:t>:</w:t>
      </w:r>
      <w:r w:rsidR="00441397" w:rsidRPr="00303E62">
        <w:rPr>
          <w:rFonts w:ascii="Book Antiqua" w:eastAsia="Calibri" w:hAnsi="Book Antiqua" w:cs="Arial"/>
          <w:sz w:val="24"/>
          <w:szCs w:val="24"/>
          <w:lang w:val="en-GB"/>
        </w:rPr>
        <w:t xml:space="preserve"> </w:t>
      </w:r>
      <w:r w:rsidR="00441397" w:rsidRPr="004606EF">
        <w:rPr>
          <w:rFonts w:ascii="Book Antiqua" w:eastAsia="Calibri" w:hAnsi="Book Antiqua" w:cs="Arial"/>
          <w:caps/>
          <w:sz w:val="24"/>
          <w:szCs w:val="24"/>
          <w:lang w:val="en-GB"/>
        </w:rPr>
        <w:t>i</w:t>
      </w:r>
      <w:r w:rsidR="00441397" w:rsidRPr="00303E62">
        <w:rPr>
          <w:rFonts w:ascii="Book Antiqua" w:eastAsia="Calibri" w:hAnsi="Book Antiqua" w:cs="Arial"/>
          <w:sz w:val="24"/>
          <w:szCs w:val="24"/>
          <w:lang w:val="en-GB"/>
        </w:rPr>
        <w:t>nterquartile rate; LGD</w:t>
      </w:r>
      <w:r w:rsidR="00441397">
        <w:rPr>
          <w:rFonts w:ascii="Book Antiqua" w:eastAsia="Calibri" w:hAnsi="Book Antiqua" w:cs="Arial" w:hint="eastAsia"/>
          <w:sz w:val="24"/>
          <w:szCs w:val="24"/>
          <w:lang w:val="en-GB" w:eastAsia="zh-CN"/>
        </w:rPr>
        <w:t>:</w:t>
      </w:r>
      <w:r w:rsidR="00441397" w:rsidRPr="00303E62">
        <w:rPr>
          <w:rFonts w:ascii="Book Antiqua" w:eastAsia="Calibri" w:hAnsi="Book Antiqua" w:cs="Arial"/>
          <w:sz w:val="24"/>
          <w:szCs w:val="24"/>
          <w:lang w:val="en-GB"/>
        </w:rPr>
        <w:t xml:space="preserve"> </w:t>
      </w:r>
      <w:r w:rsidR="00441397" w:rsidRPr="004606EF">
        <w:rPr>
          <w:rFonts w:ascii="Book Antiqua" w:eastAsia="Calibri" w:hAnsi="Book Antiqua" w:cs="Arial"/>
          <w:caps/>
          <w:sz w:val="24"/>
          <w:szCs w:val="24"/>
          <w:lang w:val="en-GB"/>
        </w:rPr>
        <w:t>l</w:t>
      </w:r>
      <w:r w:rsidR="00441397">
        <w:rPr>
          <w:rFonts w:ascii="Book Antiqua" w:eastAsia="Calibri" w:hAnsi="Book Antiqua" w:cs="Arial"/>
          <w:sz w:val="24"/>
          <w:szCs w:val="24"/>
          <w:lang w:val="en-GB"/>
        </w:rPr>
        <w:t>ow-grade dysplasia</w:t>
      </w:r>
      <w:r w:rsidR="00441397">
        <w:rPr>
          <w:rFonts w:ascii="Book Antiqua" w:eastAsia="Calibri" w:hAnsi="Book Antiqua" w:cs="Arial" w:hint="eastAsia"/>
          <w:sz w:val="24"/>
          <w:szCs w:val="24"/>
          <w:lang w:val="en-GB" w:eastAsia="zh-CN"/>
        </w:rPr>
        <w:t>.</w:t>
      </w:r>
    </w:p>
    <w:sectPr w:rsidR="004753D0" w:rsidRPr="00441397" w:rsidSect="00E6106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AC79" w14:textId="77777777" w:rsidR="00BB6DC6" w:rsidRDefault="00BB6DC6" w:rsidP="009D2990">
      <w:pPr>
        <w:spacing w:after="0" w:line="240" w:lineRule="auto"/>
      </w:pPr>
      <w:r>
        <w:separator/>
      </w:r>
    </w:p>
  </w:endnote>
  <w:endnote w:type="continuationSeparator" w:id="0">
    <w:p w14:paraId="6F8B9CA7" w14:textId="77777777" w:rsidR="00BB6DC6" w:rsidRDefault="00BB6DC6" w:rsidP="009D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82BB9" w14:textId="77777777" w:rsidR="00BB6DC6" w:rsidRDefault="00BB6DC6" w:rsidP="009D2990">
      <w:pPr>
        <w:spacing w:after="0" w:line="240" w:lineRule="auto"/>
      </w:pPr>
      <w:r>
        <w:separator/>
      </w:r>
    </w:p>
  </w:footnote>
  <w:footnote w:type="continuationSeparator" w:id="0">
    <w:p w14:paraId="7F200B47" w14:textId="77777777" w:rsidR="00BB6DC6" w:rsidRDefault="00BB6DC6" w:rsidP="009D2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692"/>
    <w:multiLevelType w:val="hybridMultilevel"/>
    <w:tmpl w:val="99A6E14A"/>
    <w:lvl w:ilvl="0" w:tplc="BEA0B2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A60698"/>
    <w:multiLevelType w:val="hybridMultilevel"/>
    <w:tmpl w:val="3DAA05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E13D79"/>
    <w:multiLevelType w:val="hybridMultilevel"/>
    <w:tmpl w:val="298EBBD8"/>
    <w:lvl w:ilvl="0" w:tplc="DE586350">
      <w:start w:val="1"/>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8F79A5"/>
    <w:multiLevelType w:val="hybridMultilevel"/>
    <w:tmpl w:val="7C286AD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C2712B8"/>
    <w:multiLevelType w:val="hybridMultilevel"/>
    <w:tmpl w:val="BAE202E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sDAyNgISJoaWlko6SsGpxcWZ+XkgBYa1AK7INyosAAAA"/>
  </w:docVars>
  <w:rsids>
    <w:rsidRoot w:val="00EB1E08"/>
    <w:rsid w:val="000015CA"/>
    <w:rsid w:val="000146F1"/>
    <w:rsid w:val="00025A52"/>
    <w:rsid w:val="000318F6"/>
    <w:rsid w:val="00034355"/>
    <w:rsid w:val="00041612"/>
    <w:rsid w:val="000472DA"/>
    <w:rsid w:val="00047A5D"/>
    <w:rsid w:val="00051A49"/>
    <w:rsid w:val="000552E3"/>
    <w:rsid w:val="00076062"/>
    <w:rsid w:val="00077543"/>
    <w:rsid w:val="00080C5E"/>
    <w:rsid w:val="000A7A2B"/>
    <w:rsid w:val="000B01A8"/>
    <w:rsid w:val="000B0BA2"/>
    <w:rsid w:val="000E1DEF"/>
    <w:rsid w:val="000E47A6"/>
    <w:rsid w:val="000F0A5D"/>
    <w:rsid w:val="000F41C3"/>
    <w:rsid w:val="00102614"/>
    <w:rsid w:val="0011121E"/>
    <w:rsid w:val="00117498"/>
    <w:rsid w:val="001266CF"/>
    <w:rsid w:val="00175AE9"/>
    <w:rsid w:val="00183E4A"/>
    <w:rsid w:val="00186891"/>
    <w:rsid w:val="00186C96"/>
    <w:rsid w:val="00187713"/>
    <w:rsid w:val="001926F9"/>
    <w:rsid w:val="001B3A78"/>
    <w:rsid w:val="001B4240"/>
    <w:rsid w:val="001C0463"/>
    <w:rsid w:val="001F1F08"/>
    <w:rsid w:val="002150A9"/>
    <w:rsid w:val="00230A9D"/>
    <w:rsid w:val="002342F7"/>
    <w:rsid w:val="00234B0B"/>
    <w:rsid w:val="002952E1"/>
    <w:rsid w:val="002977CF"/>
    <w:rsid w:val="002B25F8"/>
    <w:rsid w:val="002C0CEB"/>
    <w:rsid w:val="002C322E"/>
    <w:rsid w:val="0030160E"/>
    <w:rsid w:val="00303E62"/>
    <w:rsid w:val="003220CB"/>
    <w:rsid w:val="00351E2E"/>
    <w:rsid w:val="003553FA"/>
    <w:rsid w:val="003569EB"/>
    <w:rsid w:val="00384E9D"/>
    <w:rsid w:val="003A6A7F"/>
    <w:rsid w:val="003C4FB1"/>
    <w:rsid w:val="003C5F2B"/>
    <w:rsid w:val="003D6093"/>
    <w:rsid w:val="003E183B"/>
    <w:rsid w:val="003F75F1"/>
    <w:rsid w:val="00433C73"/>
    <w:rsid w:val="00433E47"/>
    <w:rsid w:val="00441397"/>
    <w:rsid w:val="0045522A"/>
    <w:rsid w:val="00455ED8"/>
    <w:rsid w:val="004606EF"/>
    <w:rsid w:val="00460744"/>
    <w:rsid w:val="00460B40"/>
    <w:rsid w:val="00470919"/>
    <w:rsid w:val="004753D0"/>
    <w:rsid w:val="00491318"/>
    <w:rsid w:val="004960BE"/>
    <w:rsid w:val="00496582"/>
    <w:rsid w:val="004C3218"/>
    <w:rsid w:val="004D0F37"/>
    <w:rsid w:val="005063EE"/>
    <w:rsid w:val="00511CA9"/>
    <w:rsid w:val="00516682"/>
    <w:rsid w:val="00516873"/>
    <w:rsid w:val="00525A13"/>
    <w:rsid w:val="00525B28"/>
    <w:rsid w:val="005468D0"/>
    <w:rsid w:val="00560FD3"/>
    <w:rsid w:val="00563494"/>
    <w:rsid w:val="005902EE"/>
    <w:rsid w:val="005C4F00"/>
    <w:rsid w:val="005D5407"/>
    <w:rsid w:val="005E66AE"/>
    <w:rsid w:val="005F20D8"/>
    <w:rsid w:val="005F57E0"/>
    <w:rsid w:val="00601049"/>
    <w:rsid w:val="00622E3C"/>
    <w:rsid w:val="00635A9B"/>
    <w:rsid w:val="00663156"/>
    <w:rsid w:val="0068303D"/>
    <w:rsid w:val="006A46F6"/>
    <w:rsid w:val="006F77C7"/>
    <w:rsid w:val="007078B0"/>
    <w:rsid w:val="00721E96"/>
    <w:rsid w:val="00722A9C"/>
    <w:rsid w:val="00722FF3"/>
    <w:rsid w:val="00753904"/>
    <w:rsid w:val="00773FF1"/>
    <w:rsid w:val="007A3537"/>
    <w:rsid w:val="007B3959"/>
    <w:rsid w:val="007D3FDE"/>
    <w:rsid w:val="007E3CC2"/>
    <w:rsid w:val="007F0B33"/>
    <w:rsid w:val="007F1D01"/>
    <w:rsid w:val="0080110C"/>
    <w:rsid w:val="00801C14"/>
    <w:rsid w:val="00815C34"/>
    <w:rsid w:val="00827335"/>
    <w:rsid w:val="00830A24"/>
    <w:rsid w:val="008318A5"/>
    <w:rsid w:val="00834248"/>
    <w:rsid w:val="00837843"/>
    <w:rsid w:val="00837A21"/>
    <w:rsid w:val="00842FE8"/>
    <w:rsid w:val="0085683D"/>
    <w:rsid w:val="00857A23"/>
    <w:rsid w:val="00863ACD"/>
    <w:rsid w:val="008749F2"/>
    <w:rsid w:val="00896133"/>
    <w:rsid w:val="008B2E1F"/>
    <w:rsid w:val="008C27AA"/>
    <w:rsid w:val="008D1845"/>
    <w:rsid w:val="008D75B1"/>
    <w:rsid w:val="008F3EAF"/>
    <w:rsid w:val="009027FD"/>
    <w:rsid w:val="00907FA2"/>
    <w:rsid w:val="009150A5"/>
    <w:rsid w:val="00923921"/>
    <w:rsid w:val="009271DC"/>
    <w:rsid w:val="0095694E"/>
    <w:rsid w:val="00981961"/>
    <w:rsid w:val="00984708"/>
    <w:rsid w:val="009922F7"/>
    <w:rsid w:val="009C3980"/>
    <w:rsid w:val="009D2990"/>
    <w:rsid w:val="00A039A6"/>
    <w:rsid w:val="00A07CF1"/>
    <w:rsid w:val="00A1119C"/>
    <w:rsid w:val="00A11682"/>
    <w:rsid w:val="00A21AE6"/>
    <w:rsid w:val="00A26958"/>
    <w:rsid w:val="00A50321"/>
    <w:rsid w:val="00A51998"/>
    <w:rsid w:val="00A51EE2"/>
    <w:rsid w:val="00A552D3"/>
    <w:rsid w:val="00A72AEC"/>
    <w:rsid w:val="00A749DD"/>
    <w:rsid w:val="00A8775D"/>
    <w:rsid w:val="00A9149A"/>
    <w:rsid w:val="00A93F87"/>
    <w:rsid w:val="00AA1103"/>
    <w:rsid w:val="00AA262B"/>
    <w:rsid w:val="00AA70C9"/>
    <w:rsid w:val="00AC7236"/>
    <w:rsid w:val="00AC75E7"/>
    <w:rsid w:val="00AF3F65"/>
    <w:rsid w:val="00AF5AA1"/>
    <w:rsid w:val="00B031C9"/>
    <w:rsid w:val="00B102F1"/>
    <w:rsid w:val="00B11716"/>
    <w:rsid w:val="00B165B8"/>
    <w:rsid w:val="00B259E9"/>
    <w:rsid w:val="00B34366"/>
    <w:rsid w:val="00B507FB"/>
    <w:rsid w:val="00B54CD9"/>
    <w:rsid w:val="00B672AC"/>
    <w:rsid w:val="00B77622"/>
    <w:rsid w:val="00B83594"/>
    <w:rsid w:val="00B95781"/>
    <w:rsid w:val="00BA1875"/>
    <w:rsid w:val="00BA37E9"/>
    <w:rsid w:val="00BB20F1"/>
    <w:rsid w:val="00BB6DC6"/>
    <w:rsid w:val="00BC4857"/>
    <w:rsid w:val="00BD2C70"/>
    <w:rsid w:val="00BF764C"/>
    <w:rsid w:val="00C07F65"/>
    <w:rsid w:val="00C15914"/>
    <w:rsid w:val="00C16CD2"/>
    <w:rsid w:val="00C41259"/>
    <w:rsid w:val="00C41F86"/>
    <w:rsid w:val="00C4678C"/>
    <w:rsid w:val="00C476BA"/>
    <w:rsid w:val="00C575AC"/>
    <w:rsid w:val="00C6255F"/>
    <w:rsid w:val="00C8673B"/>
    <w:rsid w:val="00CA4B4C"/>
    <w:rsid w:val="00CB018E"/>
    <w:rsid w:val="00CB229B"/>
    <w:rsid w:val="00CC671F"/>
    <w:rsid w:val="00CE3ABE"/>
    <w:rsid w:val="00CF64C3"/>
    <w:rsid w:val="00D065D5"/>
    <w:rsid w:val="00D305D7"/>
    <w:rsid w:val="00D3651B"/>
    <w:rsid w:val="00D46A66"/>
    <w:rsid w:val="00D57D4C"/>
    <w:rsid w:val="00D639A6"/>
    <w:rsid w:val="00D76B03"/>
    <w:rsid w:val="00DC7376"/>
    <w:rsid w:val="00DD73B5"/>
    <w:rsid w:val="00E00465"/>
    <w:rsid w:val="00E34F0A"/>
    <w:rsid w:val="00E6106A"/>
    <w:rsid w:val="00E6458F"/>
    <w:rsid w:val="00E86819"/>
    <w:rsid w:val="00E87D5D"/>
    <w:rsid w:val="00EB0A78"/>
    <w:rsid w:val="00EB1E08"/>
    <w:rsid w:val="00EB25BB"/>
    <w:rsid w:val="00EB5ABE"/>
    <w:rsid w:val="00F349B0"/>
    <w:rsid w:val="00F42CC0"/>
    <w:rsid w:val="00F4518E"/>
    <w:rsid w:val="00F4532A"/>
    <w:rsid w:val="00F53359"/>
    <w:rsid w:val="00F5412B"/>
    <w:rsid w:val="00F67621"/>
    <w:rsid w:val="00F72825"/>
    <w:rsid w:val="00F73722"/>
    <w:rsid w:val="00F7411B"/>
    <w:rsid w:val="00F94892"/>
    <w:rsid w:val="00FA24CB"/>
    <w:rsid w:val="00FA6ADB"/>
    <w:rsid w:val="00FB4350"/>
    <w:rsid w:val="00FC2151"/>
    <w:rsid w:val="00FD2450"/>
    <w:rsid w:val="00FD2FC3"/>
    <w:rsid w:val="00FE174F"/>
    <w:rsid w:val="00FF788A"/>
  </w:rsids>
  <m:mathPr>
    <m:mathFont m:val="Cambria Math"/>
    <m:brkBin m:val="before"/>
    <m:brkBinSub m:val="--"/>
    <m:smallFrac/>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DE74"/>
  <w15:docId w15:val="{4CC231FC-31EF-4675-B879-8CA2C34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08"/>
  </w:style>
  <w:style w:type="paragraph" w:styleId="Heading1">
    <w:name w:val="heading 1"/>
    <w:basedOn w:val="Normal"/>
    <w:link w:val="Heading1Char"/>
    <w:uiPriority w:val="9"/>
    <w:qFormat/>
    <w:rsid w:val="00663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156"/>
    <w:rPr>
      <w:rFonts w:ascii="Times New Roman" w:eastAsia="Times New Roman" w:hAnsi="Times New Roman" w:cs="Times New Roman"/>
      <w:b/>
      <w:bCs/>
      <w:kern w:val="36"/>
      <w:sz w:val="48"/>
      <w:szCs w:val="48"/>
      <w:lang w:eastAsia="fi-FI"/>
    </w:rPr>
  </w:style>
  <w:style w:type="character" w:customStyle="1" w:styleId="Hyperlinkki1">
    <w:name w:val="Hyperlinkki1"/>
    <w:basedOn w:val="DefaultParagraphFont"/>
    <w:uiPriority w:val="99"/>
    <w:unhideWhenUsed/>
    <w:rsid w:val="00663156"/>
    <w:rPr>
      <w:color w:val="0563C1"/>
      <w:u w:val="single"/>
    </w:rPr>
  </w:style>
  <w:style w:type="paragraph" w:customStyle="1" w:styleId="Seliteteksti1">
    <w:name w:val="Seliteteksti1"/>
    <w:basedOn w:val="Normal"/>
    <w:next w:val="BalloonText"/>
    <w:link w:val="SelitetekstiChar"/>
    <w:uiPriority w:val="99"/>
    <w:semiHidden/>
    <w:unhideWhenUsed/>
    <w:rsid w:val="00663156"/>
    <w:pPr>
      <w:spacing w:after="0" w:line="240" w:lineRule="auto"/>
    </w:pPr>
    <w:rPr>
      <w:rFonts w:ascii="Times New Roman" w:hAnsi="Times New Roman"/>
      <w:sz w:val="18"/>
      <w:szCs w:val="18"/>
    </w:rPr>
  </w:style>
  <w:style w:type="character" w:customStyle="1" w:styleId="SelitetekstiChar">
    <w:name w:val="Seliteteksti Char"/>
    <w:basedOn w:val="DefaultParagraphFont"/>
    <w:link w:val="Seliteteksti1"/>
    <w:uiPriority w:val="99"/>
    <w:semiHidden/>
    <w:rsid w:val="00663156"/>
    <w:rPr>
      <w:rFonts w:ascii="Times New Roman" w:hAnsi="Times New Roman"/>
      <w:sz w:val="18"/>
      <w:szCs w:val="18"/>
    </w:rPr>
  </w:style>
  <w:style w:type="character" w:styleId="CommentReference">
    <w:name w:val="annotation reference"/>
    <w:basedOn w:val="DefaultParagraphFont"/>
    <w:uiPriority w:val="99"/>
    <w:semiHidden/>
    <w:unhideWhenUsed/>
    <w:rsid w:val="00663156"/>
    <w:rPr>
      <w:sz w:val="18"/>
      <w:szCs w:val="18"/>
    </w:rPr>
  </w:style>
  <w:style w:type="paragraph" w:customStyle="1" w:styleId="Kommentinteksti1">
    <w:name w:val="Kommentin teksti1"/>
    <w:basedOn w:val="Normal"/>
    <w:next w:val="CommentText"/>
    <w:link w:val="KommentintekstiChar"/>
    <w:uiPriority w:val="99"/>
    <w:semiHidden/>
    <w:unhideWhenUsed/>
    <w:rsid w:val="00663156"/>
    <w:pPr>
      <w:spacing w:line="240" w:lineRule="auto"/>
    </w:pPr>
    <w:rPr>
      <w:sz w:val="24"/>
      <w:szCs w:val="24"/>
    </w:rPr>
  </w:style>
  <w:style w:type="character" w:customStyle="1" w:styleId="KommentintekstiChar">
    <w:name w:val="Kommentin teksti Char"/>
    <w:basedOn w:val="DefaultParagraphFont"/>
    <w:link w:val="Kommentinteksti1"/>
    <w:uiPriority w:val="99"/>
    <w:semiHidden/>
    <w:rsid w:val="00663156"/>
    <w:rPr>
      <w:sz w:val="24"/>
      <w:szCs w:val="24"/>
    </w:rPr>
  </w:style>
  <w:style w:type="paragraph" w:customStyle="1" w:styleId="Kommentinotsikko1">
    <w:name w:val="Kommentin otsikko1"/>
    <w:basedOn w:val="CommentText"/>
    <w:next w:val="CommentText"/>
    <w:uiPriority w:val="99"/>
    <w:semiHidden/>
    <w:unhideWhenUsed/>
    <w:rsid w:val="00663156"/>
    <w:rPr>
      <w:b/>
      <w:bCs/>
    </w:rPr>
  </w:style>
  <w:style w:type="character" w:customStyle="1" w:styleId="CommentSubjectChar">
    <w:name w:val="Comment Subject Char"/>
    <w:basedOn w:val="KommentintekstiChar"/>
    <w:link w:val="CommentSubject"/>
    <w:uiPriority w:val="99"/>
    <w:semiHidden/>
    <w:rsid w:val="00663156"/>
    <w:rPr>
      <w:b/>
      <w:bCs/>
      <w:sz w:val="20"/>
      <w:szCs w:val="20"/>
    </w:rPr>
  </w:style>
  <w:style w:type="paragraph" w:customStyle="1" w:styleId="Luettelokappale1">
    <w:name w:val="Luettelokappale1"/>
    <w:basedOn w:val="Normal"/>
    <w:next w:val="ListParagraph"/>
    <w:uiPriority w:val="34"/>
    <w:qFormat/>
    <w:rsid w:val="00663156"/>
    <w:pPr>
      <w:ind w:left="720"/>
      <w:contextualSpacing/>
    </w:pPr>
  </w:style>
  <w:style w:type="paragraph" w:customStyle="1" w:styleId="Muutos1">
    <w:name w:val="Muutos1"/>
    <w:next w:val="Revision"/>
    <w:hidden/>
    <w:uiPriority w:val="99"/>
    <w:semiHidden/>
    <w:rsid w:val="00663156"/>
    <w:pPr>
      <w:spacing w:after="0" w:line="240" w:lineRule="auto"/>
    </w:pPr>
  </w:style>
  <w:style w:type="character" w:customStyle="1" w:styleId="apple-converted-space">
    <w:name w:val="apple-converted-space"/>
    <w:basedOn w:val="DefaultParagraphFont"/>
    <w:rsid w:val="00663156"/>
  </w:style>
  <w:style w:type="character" w:customStyle="1" w:styleId="highlight">
    <w:name w:val="highlight"/>
    <w:basedOn w:val="DefaultParagraphFont"/>
    <w:rsid w:val="00663156"/>
  </w:style>
  <w:style w:type="paragraph" w:customStyle="1" w:styleId="Yltunniste1">
    <w:name w:val="Ylätunniste1"/>
    <w:basedOn w:val="Normal"/>
    <w:next w:val="Header"/>
    <w:link w:val="YltunnisteChar"/>
    <w:uiPriority w:val="99"/>
    <w:unhideWhenUsed/>
    <w:rsid w:val="00663156"/>
    <w:pPr>
      <w:tabs>
        <w:tab w:val="center" w:pos="4819"/>
        <w:tab w:val="right" w:pos="9638"/>
      </w:tabs>
      <w:spacing w:after="0" w:line="240" w:lineRule="auto"/>
    </w:pPr>
  </w:style>
  <w:style w:type="character" w:customStyle="1" w:styleId="YltunnisteChar">
    <w:name w:val="Ylätunniste Char"/>
    <w:basedOn w:val="DefaultParagraphFont"/>
    <w:link w:val="Yltunniste1"/>
    <w:uiPriority w:val="99"/>
    <w:rsid w:val="00663156"/>
  </w:style>
  <w:style w:type="paragraph" w:customStyle="1" w:styleId="Alatunniste1">
    <w:name w:val="Alatunniste1"/>
    <w:basedOn w:val="Normal"/>
    <w:next w:val="Footer"/>
    <w:link w:val="AlatunnisteChar"/>
    <w:uiPriority w:val="99"/>
    <w:unhideWhenUsed/>
    <w:rsid w:val="00663156"/>
    <w:pPr>
      <w:tabs>
        <w:tab w:val="center" w:pos="4819"/>
        <w:tab w:val="right" w:pos="9638"/>
      </w:tabs>
      <w:spacing w:after="0" w:line="240" w:lineRule="auto"/>
    </w:pPr>
  </w:style>
  <w:style w:type="character" w:customStyle="1" w:styleId="AlatunnisteChar">
    <w:name w:val="Alatunniste Char"/>
    <w:basedOn w:val="DefaultParagraphFont"/>
    <w:link w:val="Alatunniste1"/>
    <w:uiPriority w:val="99"/>
    <w:rsid w:val="00663156"/>
  </w:style>
  <w:style w:type="character" w:styleId="Hyperlink">
    <w:name w:val="Hyperlink"/>
    <w:basedOn w:val="DefaultParagraphFont"/>
    <w:uiPriority w:val="99"/>
    <w:unhideWhenUsed/>
    <w:rsid w:val="00663156"/>
    <w:rPr>
      <w:color w:val="0563C1" w:themeColor="hyperlink"/>
      <w:u w:val="single"/>
    </w:rPr>
  </w:style>
  <w:style w:type="paragraph" w:styleId="BalloonText">
    <w:name w:val="Balloon Text"/>
    <w:basedOn w:val="Normal"/>
    <w:link w:val="BalloonTextChar"/>
    <w:uiPriority w:val="99"/>
    <w:semiHidden/>
    <w:unhideWhenUsed/>
    <w:rsid w:val="00663156"/>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663156"/>
    <w:rPr>
      <w:rFonts w:ascii="Tahoma" w:hAnsi="Tahoma" w:cs="Tahoma"/>
      <w:sz w:val="16"/>
      <w:szCs w:val="18"/>
      <w:lang w:val="en-US"/>
    </w:rPr>
  </w:style>
  <w:style w:type="paragraph" w:styleId="CommentText">
    <w:name w:val="annotation text"/>
    <w:basedOn w:val="Normal"/>
    <w:link w:val="CommentTextChar"/>
    <w:unhideWhenUsed/>
    <w:rsid w:val="00663156"/>
    <w:pPr>
      <w:spacing w:line="240" w:lineRule="auto"/>
    </w:pPr>
    <w:rPr>
      <w:sz w:val="20"/>
      <w:szCs w:val="20"/>
    </w:rPr>
  </w:style>
  <w:style w:type="character" w:customStyle="1" w:styleId="CommentTextChar">
    <w:name w:val="Comment Text Char"/>
    <w:basedOn w:val="DefaultParagraphFont"/>
    <w:link w:val="CommentText"/>
    <w:rsid w:val="00663156"/>
    <w:rPr>
      <w:sz w:val="20"/>
      <w:szCs w:val="20"/>
    </w:rPr>
  </w:style>
  <w:style w:type="paragraph" w:styleId="CommentSubject">
    <w:name w:val="annotation subject"/>
    <w:basedOn w:val="CommentText"/>
    <w:next w:val="CommentText"/>
    <w:link w:val="CommentSubjectChar"/>
    <w:uiPriority w:val="99"/>
    <w:semiHidden/>
    <w:unhideWhenUsed/>
    <w:rsid w:val="00663156"/>
    <w:rPr>
      <w:b/>
      <w:bCs/>
    </w:rPr>
  </w:style>
  <w:style w:type="character" w:customStyle="1" w:styleId="KommentinotsikkoChar1">
    <w:name w:val="Kommentin otsikko Char1"/>
    <w:basedOn w:val="CommentTextChar"/>
    <w:uiPriority w:val="99"/>
    <w:semiHidden/>
    <w:rsid w:val="00663156"/>
    <w:rPr>
      <w:b/>
      <w:bCs/>
      <w:sz w:val="20"/>
      <w:szCs w:val="20"/>
    </w:rPr>
  </w:style>
  <w:style w:type="paragraph" w:styleId="ListParagraph">
    <w:name w:val="List Paragraph"/>
    <w:basedOn w:val="Normal"/>
    <w:uiPriority w:val="34"/>
    <w:qFormat/>
    <w:rsid w:val="00663156"/>
    <w:pPr>
      <w:ind w:left="720"/>
      <w:contextualSpacing/>
    </w:pPr>
  </w:style>
  <w:style w:type="paragraph" w:styleId="Revision">
    <w:name w:val="Revision"/>
    <w:hidden/>
    <w:uiPriority w:val="99"/>
    <w:semiHidden/>
    <w:rsid w:val="00663156"/>
    <w:pPr>
      <w:spacing w:after="0" w:line="240" w:lineRule="auto"/>
    </w:pPr>
  </w:style>
  <w:style w:type="paragraph" w:styleId="Header">
    <w:name w:val="header"/>
    <w:basedOn w:val="Normal"/>
    <w:link w:val="HeaderChar"/>
    <w:uiPriority w:val="99"/>
    <w:unhideWhenUsed/>
    <w:rsid w:val="006631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3156"/>
  </w:style>
  <w:style w:type="paragraph" w:styleId="Footer">
    <w:name w:val="footer"/>
    <w:basedOn w:val="Normal"/>
    <w:link w:val="FooterChar"/>
    <w:uiPriority w:val="99"/>
    <w:unhideWhenUsed/>
    <w:rsid w:val="006631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3156"/>
  </w:style>
  <w:style w:type="table" w:styleId="TableGrid">
    <w:name w:val="Table Grid"/>
    <w:basedOn w:val="TableNormal"/>
    <w:uiPriority w:val="39"/>
    <w:rsid w:val="000B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inta1">
    <w:name w:val="Maininta1"/>
    <w:basedOn w:val="DefaultParagraphFont"/>
    <w:uiPriority w:val="99"/>
    <w:semiHidden/>
    <w:unhideWhenUsed/>
    <w:rsid w:val="008C27AA"/>
    <w:rPr>
      <w:color w:val="2B579A"/>
      <w:shd w:val="clear" w:color="auto" w:fill="E6E6E6"/>
    </w:rPr>
  </w:style>
  <w:style w:type="paragraph" w:customStyle="1" w:styleId="1">
    <w:name w:val="正文1"/>
    <w:uiPriority w:val="99"/>
    <w:rsid w:val="00AF3F65"/>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1693">
      <w:bodyDiv w:val="1"/>
      <w:marLeft w:val="0"/>
      <w:marRight w:val="0"/>
      <w:marTop w:val="0"/>
      <w:marBottom w:val="0"/>
      <w:divBdr>
        <w:top w:val="none" w:sz="0" w:space="0" w:color="auto"/>
        <w:left w:val="none" w:sz="0" w:space="0" w:color="auto"/>
        <w:bottom w:val="none" w:sz="0" w:space="0" w:color="auto"/>
        <w:right w:val="none" w:sz="0" w:space="0" w:color="auto"/>
      </w:divBdr>
    </w:div>
    <w:div w:id="12563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a.boyd@hus.fi"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5668</Words>
  <Characters>32311</Characters>
  <Application>Microsoft Office Word</Application>
  <DocSecurity>0</DocSecurity>
  <Lines>269</Lines>
  <Paragraphs>75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Boyd</dc:creator>
  <cp:keywords/>
  <dc:description/>
  <cp:lastModifiedBy>Na Ma</cp:lastModifiedBy>
  <cp:revision>2</cp:revision>
  <cp:lastPrinted>2017-03-24T11:37:00Z</cp:lastPrinted>
  <dcterms:created xsi:type="dcterms:W3CDTF">2017-06-17T20:19:00Z</dcterms:created>
  <dcterms:modified xsi:type="dcterms:W3CDTF">2017-06-17T20:19:00Z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-2035226691</vt:i4>
  </property>
  <property fmtid="{D5CDD505-2E9C-101B-9397-08002B2CF9AE}" pid="3" name="_NewReviewCycle">
    <vt:lpwstr/>
  </property>
  <property fmtid="{D5CDD505-2E9C-101B-9397-08002B2CF9AE}" pid="4" name="_EmailSubject">
    <vt:lpwstr>WJG revisio</vt:lpwstr>
  </property>
  <property fmtid="{D5CDD505-2E9C-101B-9397-08002B2CF9AE}" pid="5" name="_AuthorEmail">
    <vt:lpwstr>Martti.Farkkila@hus.fi</vt:lpwstr>
  </property>
  <property fmtid="{D5CDD505-2E9C-101B-9397-08002B2CF9AE}" pid="6" name="_AuthorEmailDisplayName">
    <vt:lpwstr>Färkkilä Martti</vt:lpwstr>
  </property>
  <property fmtid="{D5CDD505-2E9C-101B-9397-08002B2CF9AE}" pid="7" name="_PreviousAdHocReviewCycleID">
    <vt:i4>-1287843636</vt:i4>
  </property>
  <property fmtid="{D5CDD505-2E9C-101B-9397-08002B2CF9AE}" pid="8" name="_ReviewingToolsShownOnce">
    <vt:lpwstr/>
  </property>
</Properties>
</file>