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D615D" w14:textId="77777777" w:rsidR="00A6392E" w:rsidRPr="002676CC" w:rsidRDefault="00A6392E" w:rsidP="00AE09AF">
      <w:pPr>
        <w:pStyle w:val="1"/>
        <w:snapToGrid w:val="0"/>
        <w:spacing w:line="360" w:lineRule="auto"/>
        <w:jc w:val="both"/>
        <w:rPr>
          <w:rFonts w:ascii="Book Antiqua" w:hAnsi="Book Antiqua" w:cs="Times New Roman"/>
          <w:b/>
          <w:color w:val="auto"/>
          <w:sz w:val="24"/>
          <w:szCs w:val="24"/>
          <w:highlight w:val="white"/>
          <w:lang w:val="en-US" w:eastAsia="zh-CN"/>
        </w:rPr>
      </w:pPr>
      <w:r w:rsidRPr="002676CC">
        <w:rPr>
          <w:rFonts w:ascii="Book Antiqua" w:hAnsi="Book Antiqua" w:cs="Times New Roman"/>
          <w:b/>
          <w:color w:val="auto"/>
          <w:sz w:val="24"/>
          <w:szCs w:val="24"/>
          <w:highlight w:val="white"/>
          <w:lang w:val="en-US" w:eastAsia="zh-CN"/>
        </w:rPr>
        <w:t xml:space="preserve">Name of </w:t>
      </w:r>
      <w:r w:rsidRPr="002676CC">
        <w:rPr>
          <w:rFonts w:ascii="Book Antiqua" w:hAnsi="Book Antiqua" w:cs="Times New Roman"/>
          <w:b/>
          <w:caps/>
          <w:color w:val="auto"/>
          <w:sz w:val="24"/>
          <w:szCs w:val="24"/>
          <w:highlight w:val="white"/>
          <w:lang w:val="en-US" w:eastAsia="zh-CN"/>
        </w:rPr>
        <w:t>j</w:t>
      </w:r>
      <w:r w:rsidRPr="002676CC">
        <w:rPr>
          <w:rFonts w:ascii="Book Antiqua" w:hAnsi="Book Antiqua" w:cs="Times New Roman"/>
          <w:b/>
          <w:color w:val="auto"/>
          <w:sz w:val="24"/>
          <w:szCs w:val="24"/>
          <w:highlight w:val="white"/>
          <w:lang w:val="en-US" w:eastAsia="zh-CN"/>
        </w:rPr>
        <w:t xml:space="preserve">ournal: </w:t>
      </w:r>
      <w:bookmarkStart w:id="0" w:name="OLE_LINK718"/>
      <w:bookmarkStart w:id="1" w:name="OLE_LINK719"/>
      <w:r w:rsidRPr="002676CC">
        <w:rPr>
          <w:rFonts w:ascii="Book Antiqua" w:hAnsi="Book Antiqua" w:cs="Times New Roman"/>
          <w:b/>
          <w:i/>
          <w:color w:val="auto"/>
          <w:sz w:val="24"/>
          <w:szCs w:val="24"/>
          <w:highlight w:val="white"/>
          <w:lang w:val="en-US" w:eastAsia="zh-CN"/>
        </w:rPr>
        <w:t>World Journal of Gastroenterology</w:t>
      </w:r>
      <w:bookmarkEnd w:id="0"/>
      <w:bookmarkEnd w:id="1"/>
    </w:p>
    <w:p w14:paraId="7F5CFEE7" w14:textId="77777777" w:rsidR="00A6392E" w:rsidRPr="002676CC" w:rsidRDefault="00A6392E" w:rsidP="00AE09AF">
      <w:pPr>
        <w:pStyle w:val="1"/>
        <w:snapToGrid w:val="0"/>
        <w:spacing w:line="360" w:lineRule="auto"/>
        <w:jc w:val="both"/>
        <w:rPr>
          <w:rFonts w:ascii="Book Antiqua" w:eastAsiaTheme="minorEastAsia" w:hAnsi="Book Antiqua" w:cs="Times New Roman"/>
          <w:b/>
          <w:i/>
          <w:color w:val="auto"/>
          <w:sz w:val="24"/>
          <w:szCs w:val="24"/>
          <w:highlight w:val="white"/>
          <w:lang w:val="en-US" w:eastAsia="ja-JP"/>
        </w:rPr>
      </w:pPr>
      <w:bookmarkStart w:id="2" w:name="OLE_LINK485"/>
      <w:bookmarkStart w:id="3" w:name="OLE_LINK486"/>
      <w:bookmarkStart w:id="4" w:name="OLE_LINK661"/>
      <w:bookmarkStart w:id="5" w:name="OLE_LINK768"/>
      <w:bookmarkStart w:id="6" w:name="OLE_LINK514"/>
      <w:bookmarkStart w:id="7" w:name="OLE_LINK515"/>
      <w:r w:rsidRPr="002676CC">
        <w:rPr>
          <w:rFonts w:ascii="Book Antiqua" w:hAnsi="Book Antiqua" w:cs="Times New Roman"/>
          <w:b/>
          <w:color w:val="auto"/>
          <w:sz w:val="24"/>
          <w:szCs w:val="24"/>
          <w:highlight w:val="white"/>
          <w:lang w:eastAsia="zh-CN"/>
        </w:rPr>
        <w:t>Manuscript NO:</w:t>
      </w:r>
      <w:bookmarkEnd w:id="2"/>
      <w:bookmarkEnd w:id="3"/>
      <w:bookmarkEnd w:id="4"/>
      <w:bookmarkEnd w:id="5"/>
      <w:r w:rsidRPr="002676CC">
        <w:rPr>
          <w:rFonts w:ascii="Book Antiqua" w:hAnsi="Book Antiqua" w:cs="Times New Roman"/>
          <w:b/>
          <w:color w:val="auto"/>
          <w:sz w:val="24"/>
          <w:szCs w:val="24"/>
          <w:highlight w:val="white"/>
          <w:lang w:eastAsia="zh-CN"/>
        </w:rPr>
        <w:t xml:space="preserve"> </w:t>
      </w:r>
      <w:r w:rsidRPr="002676CC">
        <w:rPr>
          <w:rFonts w:ascii="Book Antiqua" w:eastAsiaTheme="minorEastAsia" w:hAnsi="Book Antiqua" w:cs="Times New Roman"/>
          <w:b/>
          <w:color w:val="auto"/>
          <w:sz w:val="24"/>
          <w:szCs w:val="24"/>
          <w:highlight w:val="white"/>
          <w:lang w:eastAsia="ja-JP"/>
        </w:rPr>
        <w:t>33631</w:t>
      </w:r>
    </w:p>
    <w:bookmarkEnd w:id="6"/>
    <w:bookmarkEnd w:id="7"/>
    <w:p w14:paraId="2DABE71E" w14:textId="1C9EB136" w:rsidR="00A6392E" w:rsidRPr="002676CC" w:rsidRDefault="00A6392E" w:rsidP="00AE09AF">
      <w:pPr>
        <w:snapToGrid w:val="0"/>
        <w:spacing w:line="360" w:lineRule="auto"/>
        <w:jc w:val="both"/>
        <w:rPr>
          <w:rFonts w:ascii="Book Antiqua" w:eastAsia="SimSun" w:hAnsi="Book Antiqua"/>
          <w:b/>
          <w:lang w:val="it-IT" w:eastAsia="zh-CN"/>
        </w:rPr>
      </w:pPr>
      <w:r w:rsidRPr="002676CC">
        <w:rPr>
          <w:rFonts w:ascii="Book Antiqua" w:hAnsi="Book Antiqua"/>
          <w:b/>
          <w:highlight w:val="white"/>
          <w:lang w:val="it-IT"/>
        </w:rPr>
        <w:t xml:space="preserve">Manuscript </w:t>
      </w:r>
      <w:r w:rsidRPr="002676CC">
        <w:rPr>
          <w:rFonts w:ascii="Book Antiqua" w:hAnsi="Book Antiqua"/>
          <w:b/>
          <w:caps/>
          <w:highlight w:val="white"/>
        </w:rPr>
        <w:t>t</w:t>
      </w:r>
      <w:r w:rsidRPr="002676CC">
        <w:rPr>
          <w:rFonts w:ascii="Book Antiqua" w:hAnsi="Book Antiqua"/>
          <w:b/>
          <w:highlight w:val="white"/>
          <w:lang w:val="it-IT"/>
        </w:rPr>
        <w:t>ype</w:t>
      </w:r>
      <w:r w:rsidRPr="002676CC">
        <w:rPr>
          <w:rFonts w:ascii="Book Antiqua" w:hAnsi="Book Antiqua"/>
          <w:b/>
          <w:lang w:val="it-IT"/>
        </w:rPr>
        <w:t>:</w:t>
      </w:r>
      <w:r w:rsidR="00AE09AF" w:rsidRPr="002676CC">
        <w:rPr>
          <w:rFonts w:ascii="Book Antiqua" w:eastAsia="SimSun" w:hAnsi="Book Antiqua" w:hint="eastAsia"/>
          <w:b/>
          <w:lang w:val="it-IT" w:eastAsia="zh-CN"/>
        </w:rPr>
        <w:t xml:space="preserve"> </w:t>
      </w:r>
      <w:r w:rsidR="00A11A30" w:rsidRPr="002676CC">
        <w:rPr>
          <w:rFonts w:ascii="Book Antiqua" w:hAnsi="Book Antiqua"/>
          <w:b/>
          <w:lang w:val="it-IT"/>
        </w:rPr>
        <w:t>CASE REPORT</w:t>
      </w:r>
    </w:p>
    <w:p w14:paraId="36CE45D6" w14:textId="77777777" w:rsidR="00A6392E" w:rsidRPr="002676CC" w:rsidRDefault="00A6392E" w:rsidP="00AE09AF">
      <w:pPr>
        <w:snapToGrid w:val="0"/>
        <w:spacing w:line="360" w:lineRule="auto"/>
        <w:jc w:val="both"/>
        <w:rPr>
          <w:rFonts w:ascii="Book Antiqua" w:hAnsi="Book Antiqua" w:cs="Times New Roman"/>
          <w:b/>
        </w:rPr>
      </w:pPr>
    </w:p>
    <w:p w14:paraId="2259F7B7" w14:textId="77777777" w:rsidR="00081D46" w:rsidRPr="002676CC" w:rsidRDefault="00E01023" w:rsidP="00AE09AF">
      <w:pPr>
        <w:snapToGrid w:val="0"/>
        <w:spacing w:line="360" w:lineRule="auto"/>
        <w:jc w:val="both"/>
        <w:rPr>
          <w:rFonts w:ascii="Book Antiqua" w:hAnsi="Book Antiqua" w:cs="Times New Roman"/>
          <w:b/>
        </w:rPr>
      </w:pPr>
      <w:r w:rsidRPr="002676CC">
        <w:rPr>
          <w:rFonts w:ascii="Book Antiqua" w:hAnsi="Book Antiqua" w:cs="Times New Roman"/>
          <w:b/>
        </w:rPr>
        <w:t>T</w:t>
      </w:r>
      <w:r w:rsidR="00715B14" w:rsidRPr="002676CC">
        <w:rPr>
          <w:rFonts w:ascii="Book Antiqua" w:hAnsi="Book Antiqua" w:cs="Times New Roman"/>
          <w:b/>
        </w:rPr>
        <w:t>egafur</w:t>
      </w:r>
      <w:r w:rsidR="00A84DDB" w:rsidRPr="002676CC">
        <w:rPr>
          <w:rFonts w:ascii="Book Antiqua" w:hAnsi="Book Antiqua" w:cs="Times New Roman"/>
          <w:b/>
        </w:rPr>
        <w:t>-</w:t>
      </w:r>
      <w:r w:rsidR="00715B14" w:rsidRPr="002676CC">
        <w:rPr>
          <w:rFonts w:ascii="Book Antiqua" w:hAnsi="Book Antiqua" w:cs="Times New Roman"/>
          <w:b/>
        </w:rPr>
        <w:t>uracil</w:t>
      </w:r>
      <w:r w:rsidR="00A84DDB" w:rsidRPr="002676CC">
        <w:rPr>
          <w:rFonts w:ascii="Book Antiqua" w:hAnsi="Book Antiqua" w:cs="Times New Roman"/>
          <w:b/>
        </w:rPr>
        <w:t>-</w:t>
      </w:r>
      <w:r w:rsidR="00296C8B" w:rsidRPr="002676CC">
        <w:rPr>
          <w:rFonts w:ascii="Book Antiqua" w:hAnsi="Book Antiqua" w:cs="Times New Roman"/>
          <w:b/>
        </w:rPr>
        <w:t xml:space="preserve">induced </w:t>
      </w:r>
      <w:r w:rsidR="002A3D59" w:rsidRPr="002676CC">
        <w:rPr>
          <w:rFonts w:ascii="Book Antiqua" w:hAnsi="Book Antiqua" w:cs="Times New Roman"/>
          <w:b/>
        </w:rPr>
        <w:t>rapid</w:t>
      </w:r>
      <w:r w:rsidR="00B04C6D" w:rsidRPr="002676CC">
        <w:rPr>
          <w:rFonts w:ascii="Book Antiqua" w:hAnsi="Book Antiqua" w:cs="Times New Roman"/>
          <w:b/>
        </w:rPr>
        <w:t xml:space="preserve"> development of</w:t>
      </w:r>
      <w:r w:rsidR="00081D46" w:rsidRPr="002676CC">
        <w:rPr>
          <w:rFonts w:ascii="Book Antiqua" w:hAnsi="Book Antiqua" w:cs="Times New Roman"/>
          <w:b/>
        </w:rPr>
        <w:t xml:space="preserve"> </w:t>
      </w:r>
      <w:r w:rsidR="002D4584" w:rsidRPr="002676CC">
        <w:rPr>
          <w:rFonts w:ascii="Book Antiqua" w:hAnsi="Book Antiqua" w:cs="Times New Roman"/>
          <w:b/>
        </w:rPr>
        <w:t xml:space="preserve">advanced </w:t>
      </w:r>
      <w:r w:rsidR="00081D46" w:rsidRPr="002676CC">
        <w:rPr>
          <w:rFonts w:ascii="Book Antiqua" w:hAnsi="Book Antiqua" w:cs="Times New Roman"/>
          <w:b/>
        </w:rPr>
        <w:t>hepatic fibrosis</w:t>
      </w:r>
    </w:p>
    <w:p w14:paraId="7080DA34" w14:textId="77777777" w:rsidR="00901305" w:rsidRPr="002676CC" w:rsidRDefault="00901305" w:rsidP="00AE09AF">
      <w:pPr>
        <w:snapToGrid w:val="0"/>
        <w:spacing w:line="360" w:lineRule="auto"/>
        <w:jc w:val="both"/>
        <w:rPr>
          <w:rFonts w:ascii="Book Antiqua" w:hAnsi="Book Antiqua" w:cs="Times New Roman"/>
        </w:rPr>
      </w:pPr>
    </w:p>
    <w:p w14:paraId="1A3FFBF9" w14:textId="5E32325A" w:rsidR="006E35B9" w:rsidRPr="002676CC" w:rsidRDefault="00A11A30" w:rsidP="00AE09AF">
      <w:pPr>
        <w:snapToGrid w:val="0"/>
        <w:spacing w:line="360" w:lineRule="auto"/>
        <w:jc w:val="both"/>
        <w:rPr>
          <w:rFonts w:ascii="Book Antiqua" w:hAnsi="Book Antiqua" w:cs="Times New Roman"/>
        </w:rPr>
      </w:pPr>
      <w:r w:rsidRPr="002676CC">
        <w:rPr>
          <w:rFonts w:ascii="Book Antiqua" w:hAnsi="Book Antiqua" w:cs="Times New Roman"/>
        </w:rPr>
        <w:t xml:space="preserve">Honda S </w:t>
      </w:r>
      <w:r w:rsidRPr="002676CC">
        <w:rPr>
          <w:rFonts w:ascii="Book Antiqua" w:hAnsi="Book Antiqua" w:cs="Times New Roman"/>
          <w:i/>
        </w:rPr>
        <w:t>et al.</w:t>
      </w:r>
      <w:r w:rsidR="00A57C4E" w:rsidRPr="002676CC">
        <w:rPr>
          <w:rFonts w:ascii="Book Antiqua" w:eastAsia="SimSun" w:hAnsi="Book Antiqua" w:cs="Times New Roman" w:hint="eastAsia"/>
          <w:lang w:eastAsia="zh-CN"/>
        </w:rPr>
        <w:t xml:space="preserve"> </w:t>
      </w:r>
      <w:r w:rsidR="00901305" w:rsidRPr="002676CC">
        <w:rPr>
          <w:rFonts w:ascii="Book Antiqua" w:hAnsi="Book Antiqua" w:cs="Times New Roman"/>
        </w:rPr>
        <w:t>Tegafur-uracil-induced hepatic fibrosis</w:t>
      </w:r>
    </w:p>
    <w:p w14:paraId="23B23555" w14:textId="77777777" w:rsidR="00D60E76" w:rsidRPr="002676CC" w:rsidRDefault="00D60E76" w:rsidP="00AE09AF">
      <w:pPr>
        <w:snapToGrid w:val="0"/>
        <w:spacing w:line="360" w:lineRule="auto"/>
        <w:jc w:val="both"/>
        <w:rPr>
          <w:rFonts w:ascii="Book Antiqua" w:hAnsi="Book Antiqua" w:cs="Times New Roman"/>
        </w:rPr>
      </w:pPr>
    </w:p>
    <w:p w14:paraId="06B4C85D" w14:textId="77777777" w:rsidR="00A11A30" w:rsidRPr="002676CC" w:rsidRDefault="00A11A30" w:rsidP="00AE09AF">
      <w:pPr>
        <w:snapToGrid w:val="0"/>
        <w:spacing w:line="360" w:lineRule="auto"/>
        <w:jc w:val="both"/>
        <w:rPr>
          <w:rFonts w:ascii="Book Antiqua" w:hAnsi="Book Antiqua" w:cs="Times New Roman"/>
        </w:rPr>
      </w:pPr>
      <w:r w:rsidRPr="002676CC">
        <w:rPr>
          <w:rFonts w:ascii="Book Antiqua" w:hAnsi="Book Antiqua" w:cs="Times New Roman"/>
        </w:rPr>
        <w:t>Shuya Honda, Koji Sawada, Takumu Hasebe, Shunsuke Nakajima, Mikihiro Fujiya, Toshikatsu Okumura</w:t>
      </w:r>
    </w:p>
    <w:p w14:paraId="60773A07" w14:textId="77777777" w:rsidR="00A11A30" w:rsidRPr="002676CC" w:rsidRDefault="00A11A30" w:rsidP="00AE09AF">
      <w:pPr>
        <w:snapToGrid w:val="0"/>
        <w:spacing w:line="360" w:lineRule="auto"/>
        <w:jc w:val="both"/>
        <w:rPr>
          <w:rFonts w:ascii="Book Antiqua" w:hAnsi="Book Antiqua" w:cs="Times New Roman"/>
        </w:rPr>
      </w:pPr>
    </w:p>
    <w:p w14:paraId="58F9F8C1" w14:textId="1B9113A5" w:rsidR="00901305" w:rsidRPr="002676CC" w:rsidRDefault="006C4F98" w:rsidP="00AE09AF">
      <w:pPr>
        <w:snapToGrid w:val="0"/>
        <w:spacing w:line="360" w:lineRule="auto"/>
        <w:ind w:right="-1"/>
        <w:jc w:val="both"/>
        <w:rPr>
          <w:rFonts w:ascii="Book Antiqua" w:hAnsi="Book Antiqua" w:cs="Times New Roman"/>
        </w:rPr>
      </w:pPr>
      <w:r w:rsidRPr="002676CC">
        <w:rPr>
          <w:rFonts w:ascii="Book Antiqua" w:hAnsi="Book Antiqua" w:cs="Times New Roman"/>
          <w:b/>
        </w:rPr>
        <w:t>Shuya Honda, Koji Sawada, Takumu Hasebe, Shunsuke Nakajima, Mikihiro Fujiya, Toshikatsu Okumura,</w:t>
      </w:r>
      <w:r w:rsidRPr="002676CC">
        <w:rPr>
          <w:rFonts w:ascii="Book Antiqua" w:hAnsi="Book Antiqua" w:cs="Times New Roman"/>
        </w:rPr>
        <w:t xml:space="preserve"> </w:t>
      </w:r>
      <w:r w:rsidR="00901305" w:rsidRPr="002676CC">
        <w:rPr>
          <w:rFonts w:ascii="Book Antiqua" w:hAnsi="Book Antiqua" w:cs="Times New Roman"/>
        </w:rPr>
        <w:t>Division of Gastroenterology and Hematology/Oncology,</w:t>
      </w:r>
      <w:r w:rsidR="00AE09AF" w:rsidRPr="002676CC">
        <w:rPr>
          <w:rFonts w:ascii="Book Antiqua" w:eastAsia="SimSun" w:hAnsi="Book Antiqua" w:cs="Times New Roman" w:hint="eastAsia"/>
          <w:lang w:eastAsia="zh-CN"/>
        </w:rPr>
        <w:t xml:space="preserve"> </w:t>
      </w:r>
      <w:r w:rsidR="00901305" w:rsidRPr="002676CC">
        <w:rPr>
          <w:rFonts w:ascii="Book Antiqua" w:hAnsi="Book Antiqua" w:cs="Times New Roman"/>
        </w:rPr>
        <w:t>Department of Medicine, Asahikawa Medical University,</w:t>
      </w:r>
      <w:r w:rsidR="00AE09AF" w:rsidRPr="002676CC">
        <w:rPr>
          <w:rFonts w:ascii="Book Antiqua" w:eastAsia="SimSun" w:hAnsi="Book Antiqua" w:cs="Times New Roman" w:hint="eastAsia"/>
          <w:lang w:eastAsia="zh-CN"/>
        </w:rPr>
        <w:t xml:space="preserve"> </w:t>
      </w:r>
      <w:r w:rsidR="00901305" w:rsidRPr="002676CC">
        <w:rPr>
          <w:rFonts w:ascii="Book Antiqua" w:hAnsi="Book Antiqua" w:cs="Times New Roman"/>
        </w:rPr>
        <w:t>Asahikawa, Hokkaido 078-8510, Japan</w:t>
      </w:r>
    </w:p>
    <w:p w14:paraId="08C8F8A1" w14:textId="77777777" w:rsidR="00F67E99" w:rsidRPr="002676CC" w:rsidRDefault="00F67E99" w:rsidP="00AE09AF">
      <w:pPr>
        <w:snapToGrid w:val="0"/>
        <w:spacing w:line="360" w:lineRule="auto"/>
        <w:jc w:val="both"/>
        <w:rPr>
          <w:rFonts w:ascii="Book Antiqua" w:hAnsi="Book Antiqua" w:cs="Times New Roman"/>
          <w:b/>
        </w:rPr>
      </w:pPr>
    </w:p>
    <w:p w14:paraId="20F6FD46" w14:textId="6B150D24" w:rsidR="00F9227B" w:rsidRPr="002676CC" w:rsidRDefault="00F9227B" w:rsidP="00AE09AF">
      <w:pPr>
        <w:snapToGrid w:val="0"/>
        <w:spacing w:line="360" w:lineRule="auto"/>
        <w:jc w:val="both"/>
        <w:rPr>
          <w:rFonts w:ascii="Book Antiqua" w:hAnsi="Book Antiqua" w:cs="Times New Roman"/>
        </w:rPr>
      </w:pPr>
      <w:r w:rsidRPr="002676CC">
        <w:rPr>
          <w:rFonts w:ascii="Book Antiqua" w:hAnsi="Book Antiqua" w:cs="Times New Roman"/>
          <w:b/>
        </w:rPr>
        <w:t xml:space="preserve">Author contributions: </w:t>
      </w:r>
      <w:r w:rsidR="00165213" w:rsidRPr="002676CC">
        <w:rPr>
          <w:rFonts w:ascii="Book Antiqua" w:hAnsi="Book Antiqua" w:cs="Times New Roman"/>
        </w:rPr>
        <w:t>Honda S, Sawada K, Hasebe T</w:t>
      </w:r>
      <w:r w:rsidR="00AE09AF" w:rsidRPr="002676CC">
        <w:rPr>
          <w:rFonts w:ascii="Book Antiqua" w:eastAsia="SimSun" w:hAnsi="Book Antiqua" w:cs="Times New Roman" w:hint="eastAsia"/>
          <w:lang w:eastAsia="zh-CN"/>
        </w:rPr>
        <w:t xml:space="preserve"> </w:t>
      </w:r>
      <w:r w:rsidR="00165213" w:rsidRPr="002676CC">
        <w:rPr>
          <w:rFonts w:ascii="Book Antiqua" w:hAnsi="Book Antiqua" w:cs="Times New Roman"/>
        </w:rPr>
        <w:t>and Nakajima S treated this patient</w:t>
      </w:r>
      <w:r w:rsidR="00AE09AF" w:rsidRPr="002676CC">
        <w:rPr>
          <w:rFonts w:ascii="Book Antiqua" w:eastAsia="SimSun" w:hAnsi="Book Antiqua" w:cs="Times New Roman"/>
          <w:lang w:eastAsia="zh-CN"/>
        </w:rPr>
        <w:t>;</w:t>
      </w:r>
      <w:r w:rsidR="00AE09AF" w:rsidRPr="002676CC">
        <w:rPr>
          <w:rFonts w:ascii="Book Antiqua" w:eastAsia="SimSun" w:hAnsi="Book Antiqua" w:cs="Times New Roman" w:hint="eastAsia"/>
          <w:lang w:eastAsia="zh-CN"/>
        </w:rPr>
        <w:t xml:space="preserve"> </w:t>
      </w:r>
      <w:r w:rsidR="00165213" w:rsidRPr="002676CC">
        <w:rPr>
          <w:rFonts w:ascii="Book Antiqua" w:hAnsi="Book Antiqua" w:cs="Times New Roman"/>
        </w:rPr>
        <w:t>Sawada K, Fujiya M</w:t>
      </w:r>
      <w:r w:rsidR="00AE09AF" w:rsidRPr="002676CC">
        <w:rPr>
          <w:rFonts w:ascii="Book Antiqua" w:eastAsia="SimSun" w:hAnsi="Book Antiqua" w:cs="Times New Roman" w:hint="eastAsia"/>
          <w:lang w:eastAsia="zh-CN"/>
        </w:rPr>
        <w:t xml:space="preserve"> </w:t>
      </w:r>
      <w:r w:rsidR="00165213" w:rsidRPr="002676CC">
        <w:rPr>
          <w:rFonts w:ascii="Book Antiqua" w:hAnsi="Book Antiqua" w:cs="Times New Roman"/>
        </w:rPr>
        <w:t>and Okumura T wrote the paper.</w:t>
      </w:r>
    </w:p>
    <w:p w14:paraId="3E5F3687" w14:textId="77777777" w:rsidR="006D2989" w:rsidRPr="002676CC" w:rsidRDefault="006D2989" w:rsidP="00AE09AF">
      <w:pPr>
        <w:snapToGrid w:val="0"/>
        <w:spacing w:line="360" w:lineRule="auto"/>
        <w:jc w:val="both"/>
        <w:rPr>
          <w:rFonts w:ascii="Book Antiqua" w:hAnsi="Book Antiqua" w:cs="Times New Roman"/>
        </w:rPr>
      </w:pPr>
    </w:p>
    <w:p w14:paraId="65BBB98C" w14:textId="77777777" w:rsidR="006D2989" w:rsidRPr="002676CC" w:rsidRDefault="006D2989" w:rsidP="00AE09AF">
      <w:pPr>
        <w:snapToGrid w:val="0"/>
        <w:spacing w:line="360" w:lineRule="auto"/>
        <w:jc w:val="both"/>
        <w:rPr>
          <w:rFonts w:ascii="Book Antiqua" w:hAnsi="Book Antiqua" w:cs="Times New Roman"/>
        </w:rPr>
      </w:pPr>
      <w:r w:rsidRPr="002676CC">
        <w:rPr>
          <w:rFonts w:ascii="Book Antiqua" w:hAnsi="Book Antiqua" w:cs="Times New Roman"/>
          <w:b/>
        </w:rPr>
        <w:t xml:space="preserve">Institutional review board statement: </w:t>
      </w:r>
      <w:r w:rsidR="00D07DF3" w:rsidRPr="002676CC">
        <w:rPr>
          <w:rFonts w:ascii="Book Antiqua" w:hAnsi="Book Antiqua" w:cs="Times New Roman"/>
        </w:rPr>
        <w:t>This study was a</w:t>
      </w:r>
      <w:r w:rsidRPr="002676CC">
        <w:rPr>
          <w:rFonts w:ascii="Book Antiqua" w:hAnsi="Book Antiqua" w:cs="Times New Roman"/>
        </w:rPr>
        <w:t>p</w:t>
      </w:r>
      <w:r w:rsidR="00D07DF3" w:rsidRPr="002676CC">
        <w:rPr>
          <w:rFonts w:ascii="Book Antiqua" w:hAnsi="Book Antiqua" w:cs="Times New Roman"/>
        </w:rPr>
        <w:t>proved</w:t>
      </w:r>
      <w:r w:rsidRPr="002676CC">
        <w:rPr>
          <w:rFonts w:ascii="Book Antiqua" w:hAnsi="Book Antiqua" w:cs="Times New Roman"/>
        </w:rPr>
        <w:t xml:space="preserve"> </w:t>
      </w:r>
      <w:r w:rsidR="00D07DF3" w:rsidRPr="002676CC">
        <w:rPr>
          <w:rFonts w:ascii="Book Antiqua" w:hAnsi="Book Antiqua" w:cs="Times New Roman"/>
        </w:rPr>
        <w:t>by</w:t>
      </w:r>
      <w:r w:rsidRPr="002676CC">
        <w:rPr>
          <w:rFonts w:ascii="Book Antiqua" w:hAnsi="Book Antiqua" w:cs="Times New Roman"/>
        </w:rPr>
        <w:t xml:space="preserve"> the Institutional Review Board of Asahikawa Medical University.</w:t>
      </w:r>
    </w:p>
    <w:p w14:paraId="6DCA2E43" w14:textId="77777777" w:rsidR="00F67E99" w:rsidRPr="002676CC" w:rsidRDefault="00F67E99" w:rsidP="00AE09AF">
      <w:pPr>
        <w:snapToGrid w:val="0"/>
        <w:spacing w:line="360" w:lineRule="auto"/>
        <w:jc w:val="both"/>
        <w:rPr>
          <w:rFonts w:ascii="Book Antiqua" w:hAnsi="Book Antiqua" w:cs="Times New Roman"/>
          <w:b/>
        </w:rPr>
      </w:pPr>
    </w:p>
    <w:p w14:paraId="005DAA98" w14:textId="77777777" w:rsidR="006D2989" w:rsidRPr="002676CC" w:rsidRDefault="006D2989" w:rsidP="00AE09AF">
      <w:pPr>
        <w:snapToGrid w:val="0"/>
        <w:spacing w:line="360" w:lineRule="auto"/>
        <w:jc w:val="both"/>
        <w:rPr>
          <w:rFonts w:ascii="Book Antiqua" w:hAnsi="Book Antiqua" w:cs="Times New Roman"/>
        </w:rPr>
      </w:pPr>
      <w:r w:rsidRPr="002676CC">
        <w:rPr>
          <w:rFonts w:ascii="Book Antiqua" w:hAnsi="Book Antiqua" w:cs="Times New Roman"/>
          <w:b/>
        </w:rPr>
        <w:t xml:space="preserve">Informed consent statement: </w:t>
      </w:r>
      <w:r w:rsidRPr="002676CC">
        <w:rPr>
          <w:rFonts w:ascii="Book Antiqua" w:hAnsi="Book Antiqua" w:cs="Times New Roman"/>
        </w:rPr>
        <w:t xml:space="preserve">Written informed consent was obtained prior to </w:t>
      </w:r>
      <w:r w:rsidR="005512FF" w:rsidRPr="002676CC">
        <w:rPr>
          <w:rFonts w:ascii="Book Antiqua" w:hAnsi="Book Antiqua" w:cs="Times New Roman"/>
        </w:rPr>
        <w:t xml:space="preserve">this </w:t>
      </w:r>
      <w:r w:rsidRPr="002676CC">
        <w:rPr>
          <w:rFonts w:ascii="Book Antiqua" w:hAnsi="Book Antiqua" w:cs="Times New Roman"/>
        </w:rPr>
        <w:t>manuscript preparation.</w:t>
      </w:r>
    </w:p>
    <w:p w14:paraId="24662C36" w14:textId="77777777" w:rsidR="006D2989" w:rsidRPr="002676CC" w:rsidRDefault="006D2989" w:rsidP="00AE09AF">
      <w:pPr>
        <w:snapToGrid w:val="0"/>
        <w:spacing w:line="360" w:lineRule="auto"/>
        <w:jc w:val="both"/>
        <w:rPr>
          <w:rFonts w:ascii="Book Antiqua" w:hAnsi="Book Antiqua" w:cs="Times New Roman"/>
          <w:b/>
        </w:rPr>
      </w:pPr>
    </w:p>
    <w:p w14:paraId="7EBAE6C9" w14:textId="353DA3AF" w:rsidR="005512FF" w:rsidRPr="002676CC" w:rsidRDefault="005512FF" w:rsidP="00AE09AF">
      <w:pPr>
        <w:snapToGrid w:val="0"/>
        <w:spacing w:line="360" w:lineRule="auto"/>
        <w:jc w:val="both"/>
        <w:rPr>
          <w:rFonts w:ascii="Book Antiqua" w:hAnsi="Book Antiqua" w:cs="Times New Roman"/>
        </w:rPr>
      </w:pPr>
      <w:r w:rsidRPr="002676CC">
        <w:rPr>
          <w:rFonts w:ascii="Book Antiqua" w:hAnsi="Book Antiqua" w:cs="Times New Roman"/>
          <w:b/>
        </w:rPr>
        <w:t xml:space="preserve">Conflict-of-interest statement: </w:t>
      </w:r>
      <w:r w:rsidR="006B4082" w:rsidRPr="002676CC">
        <w:rPr>
          <w:rFonts w:ascii="Book Antiqua" w:hAnsi="Book Antiqua" w:cs="Times New Roman"/>
        </w:rPr>
        <w:t>All the authors have no</w:t>
      </w:r>
      <w:r w:rsidRPr="002676CC">
        <w:rPr>
          <w:rFonts w:ascii="Book Antiqua" w:hAnsi="Book Antiqua" w:cs="Times New Roman"/>
        </w:rPr>
        <w:t xml:space="preserve"> conflict</w:t>
      </w:r>
      <w:r w:rsidR="006B4082" w:rsidRPr="002676CC">
        <w:rPr>
          <w:rFonts w:ascii="Book Antiqua" w:hAnsi="Book Antiqua" w:cs="Times New Roman"/>
        </w:rPr>
        <w:t>s</w:t>
      </w:r>
      <w:r w:rsidRPr="002676CC">
        <w:rPr>
          <w:rFonts w:ascii="Book Antiqua" w:hAnsi="Book Antiqua" w:cs="Times New Roman"/>
        </w:rPr>
        <w:t xml:space="preserve"> of interest</w:t>
      </w:r>
      <w:r w:rsidR="006B4082" w:rsidRPr="002676CC">
        <w:rPr>
          <w:rFonts w:ascii="Book Antiqua" w:hAnsi="Book Antiqua" w:cs="Times New Roman"/>
        </w:rPr>
        <w:t>s</w:t>
      </w:r>
      <w:r w:rsidRPr="002676CC">
        <w:rPr>
          <w:rFonts w:ascii="Book Antiqua" w:hAnsi="Book Antiqua" w:cs="Times New Roman"/>
        </w:rPr>
        <w:t xml:space="preserve"> to declare.</w:t>
      </w:r>
    </w:p>
    <w:p w14:paraId="6334AD12" w14:textId="77777777" w:rsidR="005512FF" w:rsidRPr="002676CC" w:rsidRDefault="005512FF" w:rsidP="00AE09AF">
      <w:pPr>
        <w:snapToGrid w:val="0"/>
        <w:spacing w:line="360" w:lineRule="auto"/>
        <w:jc w:val="both"/>
        <w:rPr>
          <w:rFonts w:ascii="Book Antiqua" w:hAnsi="Book Antiqua" w:cs="Times New Roman"/>
          <w:b/>
        </w:rPr>
      </w:pPr>
    </w:p>
    <w:p w14:paraId="647DE808" w14:textId="77777777" w:rsidR="00A57C4E" w:rsidRPr="002676CC" w:rsidRDefault="00A57C4E" w:rsidP="00A57C4E">
      <w:pPr>
        <w:pStyle w:val="1"/>
        <w:snapToGrid w:val="0"/>
        <w:spacing w:line="360" w:lineRule="auto"/>
        <w:jc w:val="both"/>
        <w:rPr>
          <w:rFonts w:ascii="Book Antiqua" w:hAnsi="Book Antiqua" w:cs="Times New Roman"/>
          <w:bCs/>
          <w:color w:val="auto"/>
          <w:sz w:val="24"/>
          <w:highlight w:val="white"/>
          <w:lang w:val="en-US"/>
        </w:rPr>
      </w:pPr>
      <w:bookmarkStart w:id="8" w:name="OLE_LINK734"/>
      <w:bookmarkStart w:id="9" w:name="OLE_LINK441"/>
      <w:bookmarkStart w:id="10" w:name="OLE_LINK442"/>
      <w:bookmarkStart w:id="11" w:name="OLE_LINK1032"/>
      <w:bookmarkStart w:id="12" w:name="OLE_LINK1232"/>
      <w:bookmarkStart w:id="13" w:name="OLE_LINK559"/>
      <w:bookmarkStart w:id="14" w:name="OLE_LINK878"/>
      <w:bookmarkStart w:id="15" w:name="OLE_LINK879"/>
      <w:r w:rsidRPr="002676CC">
        <w:rPr>
          <w:rFonts w:ascii="Book Antiqua" w:hAnsi="Book Antiqua" w:cs="Times New Roman"/>
          <w:b/>
          <w:bCs/>
          <w:color w:val="auto"/>
          <w:sz w:val="24"/>
          <w:highlight w:val="white"/>
          <w:lang w:val="en-US"/>
        </w:rPr>
        <w:t>Open-Access:</w:t>
      </w:r>
      <w:r w:rsidRPr="002676CC">
        <w:rPr>
          <w:rFonts w:ascii="Book Antiqua" w:hAnsi="Book Antiqua" w:cs="Times New Roman"/>
          <w:bCs/>
          <w:color w:val="auto"/>
          <w:sz w:val="24"/>
          <w:highlight w:val="white"/>
          <w:lang w:val="en-US"/>
        </w:rPr>
        <w:t xml:space="preserve"> </w:t>
      </w:r>
      <w:bookmarkStart w:id="16" w:name="OLE_LINK479"/>
      <w:bookmarkStart w:id="17" w:name="OLE_LINK496"/>
      <w:bookmarkStart w:id="18" w:name="OLE_LINK506"/>
      <w:bookmarkStart w:id="19" w:name="OLE_LINK507"/>
      <w:r w:rsidRPr="002676CC">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2676CC">
        <w:rPr>
          <w:rFonts w:ascii="Book Antiqua" w:hAnsi="Book Antiqua" w:cs="Times New Roman" w:hint="eastAsia"/>
          <w:bCs/>
          <w:color w:val="auto"/>
          <w:sz w:val="24"/>
          <w:highlight w:val="white"/>
          <w:lang w:val="en-US" w:eastAsia="zh-CN"/>
        </w:rPr>
        <w:t xml:space="preserve"> </w:t>
      </w:r>
      <w:r w:rsidRPr="002676CC">
        <w:rPr>
          <w:rFonts w:ascii="Book Antiqua" w:hAnsi="Book Antiqua" w:cs="Times New Roman"/>
          <w:bCs/>
          <w:color w:val="auto"/>
          <w:sz w:val="24"/>
          <w:highlight w:val="white"/>
          <w:lang w:val="en-US"/>
        </w:rPr>
        <w:lastRenderedPageBreak/>
        <w:t>in</w:t>
      </w:r>
      <w:r w:rsidRPr="002676CC">
        <w:rPr>
          <w:rFonts w:ascii="Book Antiqua" w:hAnsi="Book Antiqua" w:cs="Times New Roman" w:hint="eastAsia"/>
          <w:bCs/>
          <w:color w:val="auto"/>
          <w:sz w:val="24"/>
          <w:highlight w:val="white"/>
          <w:lang w:val="en-US" w:eastAsia="zh-CN"/>
        </w:rPr>
        <w:t xml:space="preserve"> </w:t>
      </w:r>
      <w:r w:rsidRPr="002676CC">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676CC">
          <w:rPr>
            <w:rStyle w:val="Hyperlink"/>
            <w:rFonts w:ascii="Book Antiqua" w:hAnsi="Book Antiqua" w:cs="Times New Roman"/>
            <w:bCs/>
            <w:color w:val="auto"/>
            <w:sz w:val="24"/>
            <w:highlight w:val="white"/>
            <w:lang w:val="en-US"/>
          </w:rPr>
          <w:t>http://creativecommons.org/licenses/by-nc/4.0/</w:t>
        </w:r>
      </w:hyperlink>
      <w:bookmarkEnd w:id="8"/>
      <w:bookmarkEnd w:id="16"/>
      <w:bookmarkEnd w:id="17"/>
      <w:bookmarkEnd w:id="18"/>
      <w:bookmarkEnd w:id="19"/>
    </w:p>
    <w:bookmarkEnd w:id="9"/>
    <w:bookmarkEnd w:id="10"/>
    <w:bookmarkEnd w:id="11"/>
    <w:bookmarkEnd w:id="12"/>
    <w:bookmarkEnd w:id="13"/>
    <w:p w14:paraId="4D3B5F89" w14:textId="77777777" w:rsidR="00A57C4E" w:rsidRPr="002676CC" w:rsidRDefault="00A57C4E" w:rsidP="00A57C4E">
      <w:pPr>
        <w:pStyle w:val="1"/>
        <w:snapToGrid w:val="0"/>
        <w:spacing w:line="360" w:lineRule="auto"/>
        <w:jc w:val="both"/>
        <w:rPr>
          <w:rFonts w:ascii="Book Antiqua" w:hAnsi="Book Antiqua" w:cs="Times New Roman"/>
          <w:b/>
          <w:bCs/>
          <w:color w:val="auto"/>
          <w:sz w:val="24"/>
          <w:highlight w:val="white"/>
          <w:lang w:val="en-US" w:eastAsia="zh-CN"/>
        </w:rPr>
      </w:pPr>
    </w:p>
    <w:p w14:paraId="76E075B6" w14:textId="4417AA18" w:rsidR="005A236D" w:rsidRPr="002676CC" w:rsidRDefault="00A57C4E" w:rsidP="00A57C4E">
      <w:pPr>
        <w:widowControl w:val="0"/>
        <w:autoSpaceDE w:val="0"/>
        <w:autoSpaceDN w:val="0"/>
        <w:adjustRightInd w:val="0"/>
        <w:snapToGrid w:val="0"/>
        <w:spacing w:line="360" w:lineRule="auto"/>
        <w:jc w:val="both"/>
        <w:rPr>
          <w:rFonts w:ascii="Book Antiqua" w:eastAsiaTheme="minorEastAsia" w:hAnsi="Book Antiqua" w:cs="Book Antiqua"/>
        </w:rPr>
      </w:pPr>
      <w:r w:rsidRPr="002676CC">
        <w:rPr>
          <w:rFonts w:ascii="Book Antiqua" w:hAnsi="Book Antiqua" w:cs="Times New Roman"/>
          <w:b/>
          <w:bCs/>
          <w:highlight w:val="white"/>
        </w:rPr>
        <w:t>Manuscript source:</w:t>
      </w:r>
      <w:r w:rsidRPr="002676CC">
        <w:rPr>
          <w:rFonts w:ascii="Book Antiqua" w:hAnsi="Book Antiqua" w:cs="Times New Roman" w:hint="eastAsia"/>
          <w:b/>
          <w:bCs/>
          <w:highlight w:val="white"/>
          <w:lang w:eastAsia="zh-CN"/>
        </w:rPr>
        <w:t xml:space="preserve"> </w:t>
      </w:r>
      <w:r w:rsidRPr="002676CC">
        <w:rPr>
          <w:rFonts w:ascii="Book Antiqua" w:hAnsi="Book Antiqua" w:cs="Times New Roman"/>
          <w:bCs/>
          <w:highlight w:val="white"/>
        </w:rPr>
        <w:t>Unsolicited manuscript</w:t>
      </w:r>
      <w:bookmarkEnd w:id="14"/>
      <w:bookmarkEnd w:id="15"/>
    </w:p>
    <w:p w14:paraId="1C10AFB8" w14:textId="77777777" w:rsidR="005A236D" w:rsidRPr="002676CC" w:rsidRDefault="005A236D" w:rsidP="00AE09AF">
      <w:pPr>
        <w:snapToGrid w:val="0"/>
        <w:spacing w:line="360" w:lineRule="auto"/>
        <w:jc w:val="both"/>
        <w:rPr>
          <w:rFonts w:ascii="Book Antiqua" w:hAnsi="Book Antiqua" w:cs="Times New Roman"/>
          <w:b/>
        </w:rPr>
      </w:pPr>
    </w:p>
    <w:p w14:paraId="4731EF33" w14:textId="468F5CE8" w:rsidR="002979FB" w:rsidRPr="002676CC" w:rsidRDefault="002979FB" w:rsidP="00AE09AF">
      <w:pPr>
        <w:snapToGrid w:val="0"/>
        <w:spacing w:line="360" w:lineRule="auto"/>
        <w:ind w:right="-1"/>
        <w:jc w:val="both"/>
        <w:rPr>
          <w:rFonts w:ascii="Book Antiqua" w:hAnsi="Book Antiqua" w:cs="Times New Roman"/>
        </w:rPr>
      </w:pPr>
      <w:r w:rsidRPr="002676CC">
        <w:rPr>
          <w:rFonts w:ascii="Book Antiqua" w:hAnsi="Book Antiqua" w:cs="Times New Roman"/>
          <w:b/>
        </w:rPr>
        <w:t>Correspondence to:</w:t>
      </w:r>
      <w:r w:rsidR="00A57C4E" w:rsidRPr="002676CC">
        <w:rPr>
          <w:rFonts w:ascii="Book Antiqua" w:eastAsia="SimSun" w:hAnsi="Book Antiqua" w:cs="Times New Roman" w:hint="eastAsia"/>
          <w:b/>
          <w:lang w:eastAsia="zh-CN"/>
        </w:rPr>
        <w:t xml:space="preserve"> </w:t>
      </w:r>
      <w:r w:rsidRPr="002676CC">
        <w:rPr>
          <w:rFonts w:ascii="Book Antiqua" w:hAnsi="Book Antiqua" w:cs="Times New Roman"/>
          <w:b/>
        </w:rPr>
        <w:t>Koji Sawada, MD, PhD</w:t>
      </w:r>
      <w:r w:rsidR="00BF7BBD" w:rsidRPr="002676CC">
        <w:rPr>
          <w:rFonts w:ascii="Book Antiqua" w:hAnsi="Book Antiqua" w:cs="Times New Roman"/>
        </w:rPr>
        <w:t xml:space="preserve">, </w:t>
      </w:r>
      <w:r w:rsidRPr="002676CC">
        <w:rPr>
          <w:rFonts w:ascii="Book Antiqua" w:hAnsi="Book Antiqua" w:cs="Times New Roman"/>
        </w:rPr>
        <w:t>Division of Gastroenterology and Hematology/Oncology, Department of Medicine, Asahi</w:t>
      </w:r>
      <w:r w:rsidR="00BF7BBD" w:rsidRPr="002676CC">
        <w:rPr>
          <w:rFonts w:ascii="Book Antiqua" w:hAnsi="Book Antiqua" w:cs="Times New Roman"/>
        </w:rPr>
        <w:t xml:space="preserve">kawa Medical University, </w:t>
      </w:r>
      <w:r w:rsidRPr="002676CC">
        <w:rPr>
          <w:rFonts w:ascii="Book Antiqua" w:hAnsi="Book Antiqua" w:cs="Times New Roman"/>
        </w:rPr>
        <w:t>2-1 Midorigaoka-higashi, Asahikawa, Hokkaido 078-8510, Japan</w:t>
      </w:r>
      <w:r w:rsidR="00A57C4E" w:rsidRPr="002676CC">
        <w:rPr>
          <w:rFonts w:ascii="Book Antiqua" w:eastAsia="SimSun" w:hAnsi="Book Antiqua" w:cs="Times New Roman" w:hint="eastAsia"/>
          <w:lang w:eastAsia="zh-CN"/>
        </w:rPr>
        <w:t xml:space="preserve">. </w:t>
      </w:r>
      <w:r w:rsidRPr="002676CC">
        <w:rPr>
          <w:rFonts w:ascii="Book Antiqua" w:hAnsi="Book Antiqua" w:cs="Times New Roman"/>
        </w:rPr>
        <w:t>k-sawada@asahikawa-med.ac.jp</w:t>
      </w:r>
    </w:p>
    <w:p w14:paraId="61B24AB2" w14:textId="65ACE557" w:rsidR="002979FB" w:rsidRPr="002676CC" w:rsidRDefault="00BF7BBD" w:rsidP="00AE09AF">
      <w:pPr>
        <w:snapToGrid w:val="0"/>
        <w:spacing w:line="360" w:lineRule="auto"/>
        <w:jc w:val="both"/>
        <w:rPr>
          <w:rFonts w:ascii="Book Antiqua" w:hAnsi="Book Antiqua" w:cs="Times New Roman"/>
        </w:rPr>
      </w:pPr>
      <w:r w:rsidRPr="002676CC">
        <w:rPr>
          <w:rFonts w:ascii="Book Antiqua" w:hAnsi="Book Antiqua" w:cs="Times New Roman"/>
          <w:b/>
        </w:rPr>
        <w:t>Telephone:</w:t>
      </w:r>
      <w:r w:rsidR="00A57C4E" w:rsidRPr="002676CC">
        <w:rPr>
          <w:rFonts w:ascii="Book Antiqua" w:hAnsi="Book Antiqua" w:cs="Times New Roman"/>
        </w:rPr>
        <w:t xml:space="preserve"> +81-166-68</w:t>
      </w:r>
      <w:r w:rsidRPr="002676CC">
        <w:rPr>
          <w:rFonts w:ascii="Book Antiqua" w:hAnsi="Book Antiqua" w:cs="Times New Roman"/>
        </w:rPr>
        <w:t>2462</w:t>
      </w:r>
    </w:p>
    <w:p w14:paraId="0FE88055" w14:textId="23EABE57" w:rsidR="00BF7BBD" w:rsidRPr="002676CC" w:rsidRDefault="00BF7BBD" w:rsidP="00AE09AF">
      <w:pPr>
        <w:snapToGrid w:val="0"/>
        <w:spacing w:line="360" w:lineRule="auto"/>
        <w:jc w:val="both"/>
        <w:rPr>
          <w:rFonts w:ascii="Book Antiqua" w:hAnsi="Book Antiqua" w:cs="Times New Roman"/>
        </w:rPr>
      </w:pPr>
      <w:r w:rsidRPr="002676CC">
        <w:rPr>
          <w:rFonts w:ascii="Book Antiqua" w:hAnsi="Book Antiqua" w:cs="Times New Roman"/>
          <w:b/>
        </w:rPr>
        <w:t>Fax:</w:t>
      </w:r>
      <w:r w:rsidR="00A57C4E" w:rsidRPr="002676CC">
        <w:rPr>
          <w:rFonts w:ascii="Book Antiqua" w:hAnsi="Book Antiqua" w:cs="Times New Roman"/>
        </w:rPr>
        <w:t xml:space="preserve"> +81-166-68</w:t>
      </w:r>
      <w:r w:rsidRPr="002676CC">
        <w:rPr>
          <w:rFonts w:ascii="Book Antiqua" w:hAnsi="Book Antiqua" w:cs="Times New Roman"/>
        </w:rPr>
        <w:t>2469</w:t>
      </w:r>
    </w:p>
    <w:p w14:paraId="65900568" w14:textId="77777777" w:rsidR="00901305" w:rsidRPr="002676CC" w:rsidRDefault="00901305" w:rsidP="00AE09AF">
      <w:pPr>
        <w:snapToGrid w:val="0"/>
        <w:spacing w:line="360" w:lineRule="auto"/>
        <w:jc w:val="both"/>
        <w:rPr>
          <w:rFonts w:ascii="Book Antiqua" w:eastAsia="SimSun" w:hAnsi="Book Antiqua" w:cs="Times New Roman"/>
          <w:b/>
          <w:lang w:eastAsia="zh-CN"/>
        </w:rPr>
      </w:pPr>
    </w:p>
    <w:p w14:paraId="049DC1C9" w14:textId="576BD2CE" w:rsidR="00414735" w:rsidRPr="00414735" w:rsidRDefault="00414735" w:rsidP="00414735">
      <w:pPr>
        <w:snapToGrid w:val="0"/>
        <w:spacing w:line="360" w:lineRule="auto"/>
        <w:jc w:val="both"/>
        <w:rPr>
          <w:rFonts w:ascii="Book Antiqua" w:eastAsia="SimSun" w:hAnsi="Book Antiqua" w:cs="SimSun"/>
          <w:b/>
          <w:lang w:eastAsia="zh-CN"/>
        </w:rPr>
      </w:pPr>
      <w:r w:rsidRPr="00414735">
        <w:rPr>
          <w:rFonts w:ascii="Book Antiqua" w:eastAsia="SimSun" w:hAnsi="Book Antiqua" w:cs="SimSun"/>
          <w:b/>
          <w:lang w:eastAsia="zh-CN"/>
        </w:rPr>
        <w:t>Received:</w:t>
      </w:r>
      <w:r w:rsidR="002676CC" w:rsidRPr="002676CC">
        <w:rPr>
          <w:rFonts w:ascii="Book Antiqua" w:eastAsia="SimSun" w:hAnsi="Book Antiqua" w:cs="SimSun" w:hint="eastAsia"/>
          <w:b/>
          <w:lang w:eastAsia="zh-CN"/>
        </w:rPr>
        <w:t xml:space="preserve"> </w:t>
      </w:r>
      <w:r w:rsidRPr="002676CC">
        <w:rPr>
          <w:rFonts w:ascii="Book Antiqua" w:eastAsia="SimSun" w:hAnsi="Book Antiqua" w:cs="SimSun" w:hint="eastAsia"/>
          <w:lang w:eastAsia="zh-CN"/>
        </w:rPr>
        <w:t>February 21, 2017</w:t>
      </w:r>
    </w:p>
    <w:p w14:paraId="331FF5CA" w14:textId="54181D14" w:rsidR="00414735" w:rsidRPr="00414735" w:rsidRDefault="00414735" w:rsidP="00414735">
      <w:pPr>
        <w:snapToGrid w:val="0"/>
        <w:spacing w:line="360" w:lineRule="auto"/>
        <w:jc w:val="both"/>
        <w:rPr>
          <w:rFonts w:ascii="Book Antiqua" w:eastAsia="SimSun" w:hAnsi="Book Antiqua" w:cs="SimSun"/>
          <w:b/>
          <w:lang w:eastAsia="zh-CN"/>
        </w:rPr>
      </w:pPr>
      <w:r w:rsidRPr="00414735">
        <w:rPr>
          <w:rFonts w:ascii="Book Antiqua" w:eastAsia="SimSun" w:hAnsi="Book Antiqua" w:cs="SimSun"/>
          <w:b/>
          <w:lang w:eastAsia="zh-CN"/>
        </w:rPr>
        <w:t>Peer-review started:</w:t>
      </w:r>
      <w:r w:rsidRPr="002676CC">
        <w:rPr>
          <w:rFonts w:ascii="Book Antiqua" w:eastAsia="SimSun" w:hAnsi="Book Antiqua" w:cs="SimSun" w:hint="eastAsia"/>
          <w:b/>
          <w:lang w:eastAsia="zh-CN"/>
        </w:rPr>
        <w:t xml:space="preserve"> </w:t>
      </w:r>
      <w:r w:rsidRPr="002676CC">
        <w:rPr>
          <w:rFonts w:ascii="Book Antiqua" w:eastAsia="SimSun" w:hAnsi="Book Antiqua" w:cs="SimSun" w:hint="eastAsia"/>
          <w:lang w:eastAsia="zh-CN"/>
        </w:rPr>
        <w:t>February 22, 2017</w:t>
      </w:r>
    </w:p>
    <w:p w14:paraId="6C2521F1" w14:textId="458AE780" w:rsidR="00414735" w:rsidRPr="00414735" w:rsidRDefault="00414735" w:rsidP="00414735">
      <w:pPr>
        <w:snapToGrid w:val="0"/>
        <w:spacing w:line="360" w:lineRule="auto"/>
        <w:jc w:val="both"/>
        <w:rPr>
          <w:rFonts w:ascii="Book Antiqua" w:eastAsia="SimSun" w:hAnsi="Book Antiqua" w:cs="SimSun"/>
          <w:b/>
          <w:lang w:eastAsia="zh-CN"/>
        </w:rPr>
      </w:pPr>
      <w:r w:rsidRPr="00414735">
        <w:rPr>
          <w:rFonts w:ascii="Book Antiqua" w:eastAsia="SimSun" w:hAnsi="Book Antiqua" w:cs="SimSun"/>
          <w:b/>
          <w:lang w:eastAsia="zh-CN"/>
        </w:rPr>
        <w:t>First decision:</w:t>
      </w:r>
      <w:r w:rsidRPr="002676CC">
        <w:rPr>
          <w:rFonts w:ascii="Book Antiqua" w:eastAsia="SimSun" w:hAnsi="Book Antiqua" w:cs="SimSun" w:hint="eastAsia"/>
          <w:b/>
          <w:lang w:eastAsia="zh-CN"/>
        </w:rPr>
        <w:t xml:space="preserve"> </w:t>
      </w:r>
      <w:r w:rsidRPr="002676CC">
        <w:rPr>
          <w:rFonts w:ascii="Book Antiqua" w:eastAsia="SimSun" w:hAnsi="Book Antiqua" w:cs="SimSun" w:hint="eastAsia"/>
          <w:lang w:eastAsia="zh-CN"/>
        </w:rPr>
        <w:t>June 5, 2017</w:t>
      </w:r>
    </w:p>
    <w:p w14:paraId="67941967" w14:textId="374D795B" w:rsidR="00414735" w:rsidRPr="00414735" w:rsidRDefault="00414735" w:rsidP="00414735">
      <w:pPr>
        <w:snapToGrid w:val="0"/>
        <w:spacing w:line="360" w:lineRule="auto"/>
        <w:jc w:val="both"/>
        <w:rPr>
          <w:rFonts w:ascii="Book Antiqua" w:eastAsia="SimSun" w:hAnsi="Book Antiqua" w:cs="SimSun"/>
          <w:b/>
          <w:lang w:eastAsia="zh-CN"/>
        </w:rPr>
      </w:pPr>
      <w:r w:rsidRPr="00414735">
        <w:rPr>
          <w:rFonts w:ascii="Book Antiqua" w:eastAsia="SimSun" w:hAnsi="Book Antiqua" w:cs="SimSun"/>
          <w:b/>
          <w:lang w:eastAsia="zh-CN"/>
        </w:rPr>
        <w:t>Revised:</w:t>
      </w:r>
      <w:r w:rsidRPr="002676CC">
        <w:rPr>
          <w:rFonts w:ascii="Book Antiqua" w:eastAsia="SimSun" w:hAnsi="Book Antiqua" w:cs="SimSun" w:hint="eastAsia"/>
          <w:lang w:eastAsia="zh-CN"/>
        </w:rPr>
        <w:t xml:space="preserve"> June 22, 2017</w:t>
      </w:r>
    </w:p>
    <w:p w14:paraId="379F7230" w14:textId="22823C16" w:rsidR="00414735" w:rsidRPr="000871E4" w:rsidRDefault="00414735" w:rsidP="000871E4">
      <w:pPr>
        <w:spacing w:line="360" w:lineRule="auto"/>
        <w:rPr>
          <w:rFonts w:ascii="Book Antiqua" w:hAnsi="Book Antiqua"/>
          <w:color w:val="000000"/>
        </w:rPr>
      </w:pPr>
      <w:r w:rsidRPr="00414735">
        <w:rPr>
          <w:rFonts w:ascii="Book Antiqua" w:eastAsia="SimSun" w:hAnsi="Book Antiqua" w:cs="SimSun"/>
          <w:b/>
          <w:lang w:eastAsia="zh-CN"/>
        </w:rPr>
        <w:t>Accepted:</w:t>
      </w:r>
      <w:bookmarkStart w:id="20" w:name="OLE_LINK135"/>
      <w:bookmarkStart w:id="21" w:name="OLE_LINK136"/>
      <w:bookmarkStart w:id="22" w:name="OLE_LINK137"/>
      <w:r w:rsidR="000871E4" w:rsidRPr="000871E4">
        <w:rPr>
          <w:rFonts w:ascii="Book Antiqua" w:hAnsi="Book Antiqua"/>
          <w:color w:val="000000"/>
        </w:rPr>
        <w:t xml:space="preserve"> </w:t>
      </w:r>
      <w:r w:rsidR="000871E4">
        <w:rPr>
          <w:rFonts w:ascii="Book Antiqua" w:hAnsi="Book Antiqua"/>
          <w:color w:val="000000"/>
        </w:rPr>
        <w:t>July 22, 2017</w:t>
      </w:r>
      <w:bookmarkEnd w:id="20"/>
      <w:bookmarkEnd w:id="21"/>
      <w:bookmarkEnd w:id="22"/>
    </w:p>
    <w:p w14:paraId="7AEC793F" w14:textId="77777777" w:rsidR="00414735" w:rsidRPr="00414735" w:rsidRDefault="00414735" w:rsidP="00414735">
      <w:pPr>
        <w:snapToGrid w:val="0"/>
        <w:spacing w:line="360" w:lineRule="auto"/>
        <w:jc w:val="both"/>
        <w:rPr>
          <w:rFonts w:ascii="Book Antiqua" w:eastAsia="SimSun" w:hAnsi="Book Antiqua" w:cs="SimSun"/>
          <w:b/>
          <w:lang w:eastAsia="zh-CN"/>
        </w:rPr>
      </w:pPr>
      <w:r w:rsidRPr="00414735">
        <w:rPr>
          <w:rFonts w:ascii="Book Antiqua" w:eastAsia="SimSun" w:hAnsi="Book Antiqua" w:cs="SimSun"/>
          <w:b/>
          <w:lang w:eastAsia="zh-CN"/>
        </w:rPr>
        <w:t>Article in press:</w:t>
      </w:r>
    </w:p>
    <w:p w14:paraId="5CF44F9C" w14:textId="77777777" w:rsidR="00414735" w:rsidRPr="00414735" w:rsidRDefault="00414735" w:rsidP="00414735">
      <w:pPr>
        <w:snapToGrid w:val="0"/>
        <w:spacing w:line="360" w:lineRule="auto"/>
        <w:jc w:val="both"/>
        <w:rPr>
          <w:rFonts w:ascii="Book Antiqua" w:eastAsia="SimSun" w:hAnsi="Book Antiqua" w:cs="Arial"/>
          <w:b/>
          <w:lang w:val="pl-PL" w:eastAsia="zh-CN"/>
        </w:rPr>
      </w:pPr>
      <w:r w:rsidRPr="00414735">
        <w:rPr>
          <w:rFonts w:ascii="Book Antiqua" w:eastAsia="SimSun" w:hAnsi="Book Antiqua" w:cs="Arial"/>
          <w:b/>
          <w:lang w:val="pl-PL" w:eastAsia="pl-PL"/>
        </w:rPr>
        <w:t>Published online</w:t>
      </w:r>
      <w:r w:rsidRPr="00414735">
        <w:rPr>
          <w:rFonts w:ascii="Book Antiqua" w:eastAsia="SimSun" w:hAnsi="Book Antiqua" w:cs="Arial" w:hint="eastAsia"/>
          <w:b/>
          <w:lang w:val="pl-PL" w:eastAsia="pl-PL"/>
        </w:rPr>
        <w:t>:</w:t>
      </w:r>
    </w:p>
    <w:p w14:paraId="7F94E28C" w14:textId="77777777" w:rsidR="00A57C4E" w:rsidRPr="002676CC" w:rsidRDefault="00A57C4E" w:rsidP="00AE09AF">
      <w:pPr>
        <w:snapToGrid w:val="0"/>
        <w:spacing w:line="360" w:lineRule="auto"/>
        <w:jc w:val="both"/>
        <w:rPr>
          <w:rFonts w:ascii="Book Antiqua" w:eastAsia="SimSun" w:hAnsi="Book Antiqua" w:cs="Times New Roman"/>
          <w:b/>
          <w:lang w:eastAsia="zh-CN"/>
        </w:rPr>
      </w:pPr>
    </w:p>
    <w:p w14:paraId="26B95CA4" w14:textId="77777777" w:rsidR="00A57C4E" w:rsidRPr="002676CC" w:rsidRDefault="00A57C4E">
      <w:pPr>
        <w:rPr>
          <w:rFonts w:ascii="Book Antiqua" w:hAnsi="Book Antiqua" w:cs="Times New Roman"/>
          <w:b/>
        </w:rPr>
      </w:pPr>
      <w:r w:rsidRPr="002676CC">
        <w:rPr>
          <w:rFonts w:ascii="Book Antiqua" w:hAnsi="Book Antiqua" w:cs="Times New Roman"/>
          <w:b/>
        </w:rPr>
        <w:br w:type="page"/>
      </w:r>
    </w:p>
    <w:p w14:paraId="41EC1977" w14:textId="5AE5389A" w:rsidR="00901305" w:rsidRPr="002676CC" w:rsidRDefault="00901305" w:rsidP="00AE09AF">
      <w:pPr>
        <w:snapToGrid w:val="0"/>
        <w:spacing w:line="360" w:lineRule="auto"/>
        <w:jc w:val="both"/>
        <w:rPr>
          <w:rFonts w:ascii="Book Antiqua" w:hAnsi="Book Antiqua" w:cs="Times New Roman"/>
          <w:b/>
        </w:rPr>
      </w:pPr>
      <w:r w:rsidRPr="002676CC">
        <w:rPr>
          <w:rFonts w:ascii="Book Antiqua" w:hAnsi="Book Antiqua" w:cs="Times New Roman"/>
          <w:b/>
        </w:rPr>
        <w:lastRenderedPageBreak/>
        <w:t>Abstract</w:t>
      </w:r>
    </w:p>
    <w:p w14:paraId="1999CA5E" w14:textId="3425C5A5" w:rsidR="00F41744" w:rsidRPr="002676CC" w:rsidRDefault="00F41744" w:rsidP="00AE09AF">
      <w:pPr>
        <w:snapToGrid w:val="0"/>
        <w:spacing w:line="360" w:lineRule="auto"/>
        <w:jc w:val="both"/>
        <w:rPr>
          <w:rFonts w:ascii="Book Antiqua" w:hAnsi="Book Antiqua" w:cs="Times New Roman"/>
        </w:rPr>
      </w:pPr>
      <w:r w:rsidRPr="002676CC">
        <w:rPr>
          <w:rFonts w:ascii="Book Antiqua" w:hAnsi="Book Antiqua" w:cs="Times New Roman"/>
        </w:rPr>
        <w:t xml:space="preserve">Tegafur-uracil has been reported to have only minor adverse effects and is associated with liver injury </w:t>
      </w:r>
      <w:r w:rsidR="009064D5" w:rsidRPr="002676CC">
        <w:rPr>
          <w:rFonts w:ascii="Book Antiqua" w:hAnsi="Book Antiqua" w:cs="Times New Roman"/>
        </w:rPr>
        <w:t>in</w:t>
      </w:r>
      <w:r w:rsidRPr="002676CC">
        <w:rPr>
          <w:rFonts w:ascii="Book Antiqua" w:hAnsi="Book Antiqua" w:cs="Times New Roman"/>
        </w:rPr>
        <w:t xml:space="preserve"> 1.79% of Japanese patients</w:t>
      </w:r>
      <w:r w:rsidR="00FE3E00" w:rsidRPr="002676CC">
        <w:rPr>
          <w:rFonts w:ascii="Book Antiqua" w:hAnsi="Book Antiqua" w:cs="Times New Roman"/>
        </w:rPr>
        <w:t>. T</w:t>
      </w:r>
      <w:r w:rsidRPr="002676CC">
        <w:rPr>
          <w:rFonts w:ascii="Book Antiqua" w:hAnsi="Book Antiqua" w:cs="Times New Roman"/>
        </w:rPr>
        <w:t>he development of tegafur-uracil-induced hepatic fibrosis with portal hypertension is rare. Here, we report a case of a 74-year-old woman with rapid</w:t>
      </w:r>
      <w:r w:rsidR="00FE3E00" w:rsidRPr="002676CC">
        <w:rPr>
          <w:rFonts w:ascii="Book Antiqua" w:hAnsi="Book Antiqua" w:cs="Times New Roman"/>
        </w:rPr>
        <w:t xml:space="preserve">ly developing </w:t>
      </w:r>
      <w:r w:rsidRPr="002676CC">
        <w:rPr>
          <w:rFonts w:ascii="Book Antiqua" w:hAnsi="Book Antiqua" w:cs="Times New Roman"/>
        </w:rPr>
        <w:t>tegafur-uracil-induced hepatic fibrosis. The patient had no history of liver disease and had been treated with tegafur-uracil for 8 mo</w:t>
      </w:r>
      <w:r w:rsidR="00BE6D3B">
        <w:rPr>
          <w:rFonts w:ascii="Book Antiqua" w:eastAsia="SimSun" w:hAnsi="Book Antiqua" w:cs="Times New Roman" w:hint="eastAsia"/>
          <w:lang w:eastAsia="zh-CN"/>
        </w:rPr>
        <w:t xml:space="preserve"> </w:t>
      </w:r>
      <w:r w:rsidRPr="002676CC">
        <w:rPr>
          <w:rFonts w:ascii="Book Antiqua" w:hAnsi="Book Antiqua" w:cs="Times New Roman"/>
        </w:rPr>
        <w:t xml:space="preserve">after breast cancer. The patient was admitted to our hospital for abdominal </w:t>
      </w:r>
      <w:r w:rsidR="00FE3E00" w:rsidRPr="002676CC">
        <w:rPr>
          <w:rFonts w:ascii="Book Antiqua" w:hAnsi="Book Antiqua" w:cs="Times New Roman"/>
        </w:rPr>
        <w:t>distension</w:t>
      </w:r>
      <w:r w:rsidRPr="002676CC">
        <w:rPr>
          <w:rFonts w:ascii="Book Antiqua" w:hAnsi="Book Antiqua" w:cs="Times New Roman"/>
        </w:rPr>
        <w:t xml:space="preserve"> and leg edema </w:t>
      </w:r>
      <w:r w:rsidR="00FE3E00" w:rsidRPr="002676CC">
        <w:rPr>
          <w:rFonts w:ascii="Book Antiqua" w:hAnsi="Book Antiqua" w:cs="Times New Roman"/>
        </w:rPr>
        <w:t xml:space="preserve">associated </w:t>
      </w:r>
      <w:r w:rsidRPr="002676CC">
        <w:rPr>
          <w:rFonts w:ascii="Book Antiqua" w:hAnsi="Book Antiqua" w:cs="Times New Roman"/>
        </w:rPr>
        <w:t>with liver dysfunc</w:t>
      </w:r>
      <w:r w:rsidR="00FE3E00" w:rsidRPr="002676CC">
        <w:rPr>
          <w:rFonts w:ascii="Book Antiqua" w:hAnsi="Book Antiqua" w:cs="Times New Roman"/>
        </w:rPr>
        <w:t>tion.</w:t>
      </w:r>
      <w:r w:rsidR="002676CC">
        <w:rPr>
          <w:rFonts w:ascii="Book Antiqua" w:eastAsia="SimSun" w:hAnsi="Book Antiqua" w:cs="Times New Roman" w:hint="eastAsia"/>
          <w:lang w:eastAsia="zh-CN"/>
        </w:rPr>
        <w:t xml:space="preserve"> </w:t>
      </w:r>
      <w:r w:rsidR="00BE6D3B" w:rsidRPr="00BE6D3B">
        <w:rPr>
          <w:rFonts w:ascii="Book Antiqua" w:hAnsi="Book Antiqua" w:cs="Times New Roman"/>
          <w:caps/>
        </w:rPr>
        <w:t>c</w:t>
      </w:r>
      <w:r w:rsidR="00BE6D3B" w:rsidRPr="00BE6D3B">
        <w:rPr>
          <w:rFonts w:ascii="Book Antiqua" w:hAnsi="Book Antiqua" w:cs="Times New Roman"/>
        </w:rPr>
        <w:t>omputed tomography</w:t>
      </w:r>
      <w:r w:rsidR="00BE6D3B">
        <w:rPr>
          <w:rFonts w:ascii="Book Antiqua" w:eastAsia="SimSun" w:hAnsi="Book Antiqua" w:cs="Times New Roman" w:hint="eastAsia"/>
          <w:lang w:eastAsia="zh-CN"/>
        </w:rPr>
        <w:t xml:space="preserve"> </w:t>
      </w:r>
      <w:r w:rsidRPr="002676CC">
        <w:rPr>
          <w:rFonts w:ascii="Book Antiqua" w:hAnsi="Book Antiqua" w:cs="Times New Roman"/>
        </w:rPr>
        <w:t xml:space="preserve">imaging revealed massive ascites and splenomegaly, and </w:t>
      </w:r>
      <w:r w:rsidR="00FE3E00" w:rsidRPr="002676CC">
        <w:rPr>
          <w:rFonts w:ascii="Book Antiqua" w:hAnsi="Book Antiqua" w:cs="Times New Roman"/>
        </w:rPr>
        <w:t xml:space="preserve">a </w:t>
      </w:r>
      <w:r w:rsidRPr="002676CC">
        <w:rPr>
          <w:rFonts w:ascii="Book Antiqua" w:hAnsi="Book Antiqua" w:cs="Times New Roman"/>
        </w:rPr>
        <w:t>non-invasive assessment of liver fibrosis indicated advanced fibrosis. The histopathological findings revealed periportal fibrosis and bridging fibrosis with septation. The massive ascites resolved afte</w:t>
      </w:r>
      <w:r w:rsidR="006B4082" w:rsidRPr="002676CC">
        <w:rPr>
          <w:rFonts w:ascii="Book Antiqua" w:hAnsi="Book Antiqua" w:cs="Times New Roman"/>
        </w:rPr>
        <w:t>r discontinuing tegafur-uracil.</w:t>
      </w:r>
      <w:r w:rsidR="00563CD0" w:rsidRPr="002676CC">
        <w:rPr>
          <w:rFonts w:ascii="Book Antiqua" w:hAnsi="Book Antiqua"/>
        </w:rPr>
        <w:t xml:space="preserve"> </w:t>
      </w:r>
      <w:r w:rsidR="0099482B" w:rsidRPr="002676CC">
        <w:rPr>
          <w:rFonts w:ascii="Book Antiqua" w:hAnsi="Book Antiqua"/>
        </w:rPr>
        <w:t xml:space="preserve">These findings </w:t>
      </w:r>
      <w:r w:rsidR="00563CD0" w:rsidRPr="002676CC">
        <w:rPr>
          <w:rFonts w:ascii="Book Antiqua" w:hAnsi="Book Antiqua" w:cs="Times New Roman"/>
        </w:rPr>
        <w:t>suggest</w:t>
      </w:r>
      <w:r w:rsidRPr="002676CC">
        <w:rPr>
          <w:rFonts w:ascii="Book Antiqua" w:hAnsi="Book Antiqua" w:cs="Times New Roman"/>
        </w:rPr>
        <w:t xml:space="preserve"> that advanced hepatic fibrosis can develop from </w:t>
      </w:r>
      <w:r w:rsidR="00FE3E00" w:rsidRPr="002676CC">
        <w:rPr>
          <w:rFonts w:ascii="Book Antiqua" w:hAnsi="Book Antiqua" w:cs="Times New Roman"/>
        </w:rPr>
        <w:t xml:space="preserve">a </w:t>
      </w:r>
      <w:r w:rsidR="0099482B" w:rsidRPr="002676CC">
        <w:rPr>
          <w:rFonts w:ascii="Book Antiqua" w:hAnsi="Book Antiqua" w:cs="Times New Roman"/>
        </w:rPr>
        <w:t xml:space="preserve">relatively </w:t>
      </w:r>
      <w:r w:rsidRPr="002676CC">
        <w:rPr>
          <w:rFonts w:ascii="Book Antiqua" w:hAnsi="Book Antiqua" w:cs="Times New Roman"/>
        </w:rPr>
        <w:t>short-term administration of tegafur-uracil and that non-invasive assessment is useful for predicting hepatic fibrosis.</w:t>
      </w:r>
    </w:p>
    <w:p w14:paraId="3BF52D59" w14:textId="77777777" w:rsidR="00901305" w:rsidRPr="002676CC" w:rsidRDefault="00901305" w:rsidP="00AE09AF">
      <w:pPr>
        <w:snapToGrid w:val="0"/>
        <w:spacing w:line="360" w:lineRule="auto"/>
        <w:jc w:val="both"/>
        <w:rPr>
          <w:rFonts w:ascii="Book Antiqua" w:hAnsi="Book Antiqua" w:cs="Times New Roman"/>
          <w:b/>
        </w:rPr>
      </w:pPr>
    </w:p>
    <w:p w14:paraId="47D987D2" w14:textId="77777777" w:rsidR="00F41744" w:rsidRPr="002676CC" w:rsidRDefault="00F41744" w:rsidP="00AE09AF">
      <w:pPr>
        <w:snapToGrid w:val="0"/>
        <w:spacing w:line="360" w:lineRule="auto"/>
        <w:jc w:val="both"/>
        <w:rPr>
          <w:rFonts w:ascii="Book Antiqua" w:hAnsi="Book Antiqua" w:cs="Times New Roman"/>
        </w:rPr>
      </w:pPr>
      <w:r w:rsidRPr="002676CC">
        <w:rPr>
          <w:rFonts w:ascii="Book Antiqua" w:hAnsi="Book Antiqua" w:cs="Times New Roman"/>
          <w:b/>
        </w:rPr>
        <w:t>Key words:</w:t>
      </w:r>
      <w:r w:rsidRPr="002676CC">
        <w:rPr>
          <w:rFonts w:ascii="Book Antiqua" w:hAnsi="Book Antiqua" w:cs="Times New Roman"/>
        </w:rPr>
        <w:t xml:space="preserve"> Tegafur-uracil; Drug-induced liver injury; Hepatic fibrosis; Portal hypertension; Non-invasive assessment</w:t>
      </w:r>
    </w:p>
    <w:p w14:paraId="7F3C70FB" w14:textId="77777777" w:rsidR="002979FB" w:rsidRPr="002676CC" w:rsidRDefault="002979FB" w:rsidP="00AE09AF">
      <w:pPr>
        <w:snapToGrid w:val="0"/>
        <w:spacing w:line="360" w:lineRule="auto"/>
        <w:jc w:val="both"/>
        <w:rPr>
          <w:rFonts w:ascii="Book Antiqua" w:hAnsi="Book Antiqua" w:cs="Times New Roman"/>
          <w:b/>
        </w:rPr>
      </w:pPr>
    </w:p>
    <w:p w14:paraId="4CC74A63" w14:textId="71BCEFEA" w:rsidR="009D6C1B" w:rsidRPr="002676CC" w:rsidRDefault="009D6C1B" w:rsidP="00AE09AF">
      <w:pPr>
        <w:snapToGrid w:val="0"/>
        <w:spacing w:line="360" w:lineRule="auto"/>
        <w:jc w:val="both"/>
        <w:rPr>
          <w:rFonts w:ascii="Book Antiqua" w:hAnsi="Book Antiqua" w:cs="Times New Roman"/>
          <w:b/>
        </w:rPr>
      </w:pPr>
      <w:r w:rsidRPr="00BE6D3B">
        <w:rPr>
          <w:rFonts w:ascii="Book Antiqua" w:eastAsiaTheme="minorEastAsia" w:hAnsi="Book Antiqua" w:cs="Book Antiqua"/>
          <w:b/>
        </w:rPr>
        <w:t>© The Author(s) 201</w:t>
      </w:r>
      <w:r w:rsidR="00BE6D3B" w:rsidRPr="00BE6D3B">
        <w:rPr>
          <w:rFonts w:ascii="Book Antiqua" w:eastAsia="SimSun" w:hAnsi="Book Antiqua" w:cs="Book Antiqua" w:hint="eastAsia"/>
          <w:b/>
          <w:lang w:eastAsia="zh-CN"/>
        </w:rPr>
        <w:t>7</w:t>
      </w:r>
      <w:r w:rsidRPr="00BE6D3B">
        <w:rPr>
          <w:rFonts w:ascii="Book Antiqua" w:eastAsiaTheme="minorEastAsia" w:hAnsi="Book Antiqua" w:cs="Book Antiqua"/>
          <w:b/>
        </w:rPr>
        <w:t xml:space="preserve">. </w:t>
      </w:r>
      <w:r w:rsidRPr="002676CC">
        <w:rPr>
          <w:rFonts w:ascii="Book Antiqua" w:eastAsiaTheme="minorEastAsia" w:hAnsi="Book Antiqua" w:cs="Book Antiqua"/>
        </w:rPr>
        <w:t>Published by Baishideng Publishing Group Inc. All rights reserved.</w:t>
      </w:r>
    </w:p>
    <w:p w14:paraId="147DA5E3" w14:textId="77777777" w:rsidR="009D6C1B" w:rsidRPr="002676CC" w:rsidRDefault="009D6C1B" w:rsidP="00AE09AF">
      <w:pPr>
        <w:snapToGrid w:val="0"/>
        <w:spacing w:line="360" w:lineRule="auto"/>
        <w:jc w:val="both"/>
        <w:rPr>
          <w:rFonts w:ascii="Book Antiqua" w:hAnsi="Book Antiqua" w:cs="Times New Roman"/>
          <w:b/>
        </w:rPr>
      </w:pPr>
    </w:p>
    <w:p w14:paraId="3351BAD9" w14:textId="762DBB68" w:rsidR="000D12F1" w:rsidRPr="002676CC" w:rsidRDefault="000D12F1" w:rsidP="00AE09AF">
      <w:pPr>
        <w:snapToGrid w:val="0"/>
        <w:spacing w:line="360" w:lineRule="auto"/>
        <w:jc w:val="both"/>
        <w:rPr>
          <w:rFonts w:ascii="Book Antiqua" w:hAnsi="Book Antiqua" w:cs="Times New Roman"/>
        </w:rPr>
      </w:pPr>
      <w:r w:rsidRPr="002676CC">
        <w:rPr>
          <w:rFonts w:ascii="Book Antiqua" w:hAnsi="Book Antiqua" w:cs="Times New Roman"/>
          <w:b/>
        </w:rPr>
        <w:t xml:space="preserve">Core tip: </w:t>
      </w:r>
      <w:r w:rsidRPr="002676CC">
        <w:rPr>
          <w:rFonts w:ascii="Book Antiqua" w:hAnsi="Book Antiqua" w:cs="Times New Roman"/>
        </w:rPr>
        <w:t xml:space="preserve">This case report presents a rapid development of hepatic fibrosis induced by tegafur-uracil and the usefulness of </w:t>
      </w:r>
      <w:r w:rsidR="00E603A1" w:rsidRPr="002676CC">
        <w:rPr>
          <w:rFonts w:ascii="Book Antiqua" w:hAnsi="Book Antiqua" w:cs="Times New Roman"/>
        </w:rPr>
        <w:t xml:space="preserve">a </w:t>
      </w:r>
      <w:r w:rsidRPr="002676CC">
        <w:rPr>
          <w:rFonts w:ascii="Book Antiqua" w:hAnsi="Book Antiqua" w:cs="Times New Roman"/>
        </w:rPr>
        <w:t>non-invasive assessment of hepatic fibrosis. Tegafur-uracil is often administered in patients with various cancers; therefore, when liver dysfunction progresses in patients treated with tegafur-uracil, the development of hepatic fibrosis should be considered, even for short-term administration.</w:t>
      </w:r>
    </w:p>
    <w:p w14:paraId="6179F850" w14:textId="77777777" w:rsidR="00901305" w:rsidRPr="002676CC" w:rsidRDefault="00901305" w:rsidP="00AE09AF">
      <w:pPr>
        <w:snapToGrid w:val="0"/>
        <w:spacing w:line="360" w:lineRule="auto"/>
        <w:jc w:val="both"/>
        <w:rPr>
          <w:rFonts w:ascii="Book Antiqua" w:hAnsi="Book Antiqua" w:cs="Times New Roman"/>
          <w:b/>
        </w:rPr>
      </w:pPr>
    </w:p>
    <w:p w14:paraId="1F37FAF8" w14:textId="0804A293" w:rsidR="00A6392E" w:rsidRPr="002676CC" w:rsidRDefault="00A6392E" w:rsidP="00AE09AF">
      <w:pPr>
        <w:snapToGrid w:val="0"/>
        <w:spacing w:line="360" w:lineRule="auto"/>
        <w:jc w:val="both"/>
        <w:rPr>
          <w:rFonts w:ascii="Book Antiqua" w:hAnsi="Book Antiqua" w:cs="Times New Roman"/>
        </w:rPr>
      </w:pPr>
      <w:r w:rsidRPr="002676CC">
        <w:rPr>
          <w:rFonts w:ascii="Book Antiqua" w:hAnsi="Book Antiqua" w:cs="Times New Roman"/>
        </w:rPr>
        <w:t xml:space="preserve">Honda Y, Sawada K, Hasebe T, Nakajima S, Fujiya M, Okumura T. Tegafur-uracil-induced rapid development of advanced hepatic fibrosis. </w:t>
      </w:r>
      <w:bookmarkStart w:id="23" w:name="OLE_LINK1105"/>
      <w:bookmarkStart w:id="24" w:name="OLE_LINK1107"/>
      <w:r w:rsidRPr="002676CC">
        <w:rPr>
          <w:rFonts w:ascii="Book Antiqua" w:hAnsi="Book Antiqua" w:cs="Times New Roman"/>
          <w:i/>
        </w:rPr>
        <w:t>World J Gastroenterol</w:t>
      </w:r>
      <w:r w:rsidR="00BE6D3B">
        <w:rPr>
          <w:rFonts w:ascii="Book Antiqua" w:eastAsia="SimSun" w:hAnsi="Book Antiqua" w:cs="Times New Roman" w:hint="eastAsia"/>
          <w:i/>
          <w:lang w:eastAsia="zh-CN"/>
        </w:rPr>
        <w:t xml:space="preserve"> </w:t>
      </w:r>
      <w:r w:rsidRPr="002676CC">
        <w:rPr>
          <w:rFonts w:ascii="Book Antiqua" w:hAnsi="Book Antiqua" w:cs="Times New Roman"/>
        </w:rPr>
        <w:t>2017; In press</w:t>
      </w:r>
      <w:bookmarkEnd w:id="23"/>
      <w:bookmarkEnd w:id="24"/>
    </w:p>
    <w:p w14:paraId="3FC143A4" w14:textId="77777777" w:rsidR="00A6392E" w:rsidRPr="002676CC" w:rsidRDefault="00A6392E" w:rsidP="00AE09AF">
      <w:pPr>
        <w:snapToGrid w:val="0"/>
        <w:spacing w:line="360" w:lineRule="auto"/>
        <w:jc w:val="both"/>
        <w:rPr>
          <w:rFonts w:ascii="Book Antiqua" w:hAnsi="Book Antiqua" w:cs="Times New Roman"/>
          <w:b/>
        </w:rPr>
      </w:pPr>
    </w:p>
    <w:p w14:paraId="39DB91C8" w14:textId="77777777" w:rsidR="00BE6D3B" w:rsidRDefault="00BE6D3B">
      <w:pPr>
        <w:rPr>
          <w:rFonts w:ascii="Book Antiqua" w:hAnsi="Book Antiqua" w:cs="Times New Roman"/>
          <w:b/>
        </w:rPr>
      </w:pPr>
      <w:r>
        <w:rPr>
          <w:rFonts w:ascii="Book Antiqua" w:hAnsi="Book Antiqua" w:cs="Times New Roman"/>
          <w:b/>
        </w:rPr>
        <w:br w:type="page"/>
      </w:r>
    </w:p>
    <w:p w14:paraId="744CCEC1" w14:textId="784CEAE0" w:rsidR="000D12F1" w:rsidRPr="002676CC" w:rsidRDefault="0030112C" w:rsidP="00AE09AF">
      <w:pPr>
        <w:snapToGrid w:val="0"/>
        <w:spacing w:line="360" w:lineRule="auto"/>
        <w:jc w:val="both"/>
        <w:rPr>
          <w:rFonts w:ascii="Book Antiqua" w:hAnsi="Book Antiqua" w:cs="Times New Roman"/>
          <w:b/>
        </w:rPr>
      </w:pPr>
      <w:r w:rsidRPr="002676CC">
        <w:rPr>
          <w:rFonts w:ascii="Book Antiqua" w:hAnsi="Book Antiqua" w:cs="Times New Roman"/>
          <w:b/>
        </w:rPr>
        <w:lastRenderedPageBreak/>
        <w:t>INTRODUCTION</w:t>
      </w:r>
    </w:p>
    <w:p w14:paraId="41A4BCB2" w14:textId="67B3C2DE" w:rsidR="000D12F1" w:rsidRPr="002676CC" w:rsidRDefault="000D12F1" w:rsidP="00AE09AF">
      <w:pPr>
        <w:autoSpaceDE w:val="0"/>
        <w:autoSpaceDN w:val="0"/>
        <w:adjustRightInd w:val="0"/>
        <w:snapToGrid w:val="0"/>
        <w:spacing w:line="360" w:lineRule="auto"/>
        <w:jc w:val="both"/>
        <w:rPr>
          <w:rFonts w:ascii="Book Antiqua" w:hAnsi="Book Antiqua" w:cs="Times New Roman"/>
        </w:rPr>
      </w:pPr>
      <w:r w:rsidRPr="002676CC">
        <w:rPr>
          <w:rFonts w:ascii="Book Antiqua" w:hAnsi="Book Antiqua" w:cs="Times New Roman"/>
        </w:rPr>
        <w:t>Tegafur</w:t>
      </w:r>
      <w:r w:rsidR="00A34FA5" w:rsidRPr="002676CC">
        <w:rPr>
          <w:rFonts w:ascii="Book Antiqua" w:hAnsi="Book Antiqua" w:cs="Times New Roman"/>
        </w:rPr>
        <w:t>-uracil is used worldwide</w:t>
      </w:r>
      <w:r w:rsidRPr="002676CC">
        <w:rPr>
          <w:rFonts w:ascii="Book Antiqua" w:hAnsi="Book Antiqua" w:cs="Times New Roman"/>
        </w:rPr>
        <w:t xml:space="preserve"> as a treatment for various cancers, such as those of the lung, colon, liver, and breast. </w:t>
      </w:r>
      <w:r w:rsidR="00A34FA5" w:rsidRPr="002676CC">
        <w:rPr>
          <w:rFonts w:ascii="Book Antiqua" w:hAnsi="Book Antiqua" w:cs="Times New Roman"/>
        </w:rPr>
        <w:t>The o</w:t>
      </w:r>
      <w:r w:rsidRPr="002676CC">
        <w:rPr>
          <w:rFonts w:ascii="Book Antiqua" w:hAnsi="Book Antiqua" w:cs="Times New Roman"/>
        </w:rPr>
        <w:t>ral administration of tegafur-uracil has been reported to have only minor adverse effects a</w:t>
      </w:r>
      <w:r w:rsidR="00A34FA5" w:rsidRPr="002676CC">
        <w:rPr>
          <w:rFonts w:ascii="Book Antiqua" w:hAnsi="Book Antiqua" w:cs="Times New Roman"/>
        </w:rPr>
        <w:t>nd, as such, is considered</w:t>
      </w:r>
      <w:r w:rsidRPr="002676CC">
        <w:rPr>
          <w:rFonts w:ascii="Book Antiqua" w:hAnsi="Book Antiqua" w:cs="Times New Roman"/>
        </w:rPr>
        <w:t xml:space="preserve"> suitab</w:t>
      </w:r>
      <w:r w:rsidR="00BE6D3B">
        <w:rPr>
          <w:rFonts w:ascii="Book Antiqua" w:hAnsi="Book Antiqua" w:cs="Times New Roman"/>
        </w:rPr>
        <w:t>le for long-term administration</w:t>
      </w:r>
      <w:r w:rsidR="00BE6D3B">
        <w:rPr>
          <w:rFonts w:ascii="Book Antiqua" w:hAnsi="Book Antiqua" w:cs="Times New Roman"/>
          <w:vertAlign w:val="superscript"/>
        </w:rPr>
        <w:t>[1,</w:t>
      </w:r>
      <w:r w:rsidRPr="002676CC">
        <w:rPr>
          <w:rFonts w:ascii="Book Antiqua" w:hAnsi="Book Antiqua" w:cs="Times New Roman"/>
          <w:vertAlign w:val="superscript"/>
        </w:rPr>
        <w:t>2]</w:t>
      </w:r>
      <w:r w:rsidRPr="002676CC">
        <w:rPr>
          <w:rFonts w:ascii="Book Antiqua" w:hAnsi="Book Antiqua" w:cs="Times New Roman"/>
        </w:rPr>
        <w:t>. Studies with a special focus on drug-induced liver injury (DILI) and drug safety have reported that tegafur-uracil is associated with liver injur</w:t>
      </w:r>
      <w:r w:rsidR="00A34FA5" w:rsidRPr="002676CC">
        <w:rPr>
          <w:rFonts w:ascii="Book Antiqua" w:hAnsi="Book Antiqua" w:cs="Times New Roman"/>
        </w:rPr>
        <w:t>y in 1.79% of Japanese patients. T</w:t>
      </w:r>
      <w:r w:rsidRPr="002676CC">
        <w:rPr>
          <w:rFonts w:ascii="Book Antiqua" w:hAnsi="Book Antiqua" w:cs="Times New Roman"/>
        </w:rPr>
        <w:t xml:space="preserve">he development of associated advanced hepatic fibrosis is unusual. In fact, studies have shown that advanced hepatic fibrosis develops only after </w:t>
      </w:r>
      <w:r w:rsidR="00A34FA5" w:rsidRPr="002676CC">
        <w:rPr>
          <w:rFonts w:ascii="Book Antiqua" w:hAnsi="Book Antiqua" w:cs="Times New Roman"/>
        </w:rPr>
        <w:t xml:space="preserve">the </w:t>
      </w:r>
      <w:r w:rsidRPr="002676CC">
        <w:rPr>
          <w:rFonts w:ascii="Book Antiqua" w:hAnsi="Book Antiqua" w:cs="Times New Roman"/>
        </w:rPr>
        <w:t>long-term a</w:t>
      </w:r>
      <w:r w:rsidR="00BE6D3B">
        <w:rPr>
          <w:rFonts w:ascii="Book Antiqua" w:hAnsi="Book Antiqua" w:cs="Times New Roman"/>
        </w:rPr>
        <w:t>dministration of tegafur-uracil</w:t>
      </w:r>
      <w:r w:rsidR="00BE6D3B">
        <w:rPr>
          <w:rFonts w:ascii="Book Antiqua" w:hAnsi="Book Antiqua" w:cs="Times New Roman"/>
          <w:vertAlign w:val="superscript"/>
        </w:rPr>
        <w:t>[1,</w:t>
      </w:r>
      <w:r w:rsidRPr="002676CC">
        <w:rPr>
          <w:rFonts w:ascii="Book Antiqua" w:hAnsi="Book Antiqua" w:cs="Times New Roman"/>
          <w:vertAlign w:val="superscript"/>
        </w:rPr>
        <w:t>3]</w:t>
      </w:r>
      <w:r w:rsidRPr="002676CC">
        <w:rPr>
          <w:rFonts w:ascii="Book Antiqua" w:hAnsi="Book Antiqua" w:cs="Times New Roman"/>
        </w:rPr>
        <w:t>. Here, we report a case that rapidly progressed to advanced hepatic fibrosis with portal hypertension. The patient had been treated with short-term tegafur-uracil chemotherapy, and a non-invasive assessment was useful for the diagnosis and prediction of hepatic fibrosis.</w:t>
      </w:r>
    </w:p>
    <w:p w14:paraId="67E7D8CC" w14:textId="77777777" w:rsidR="001D68E3" w:rsidRPr="002676CC" w:rsidRDefault="001D68E3" w:rsidP="00AE09AF">
      <w:pPr>
        <w:snapToGrid w:val="0"/>
        <w:spacing w:line="360" w:lineRule="auto"/>
        <w:jc w:val="both"/>
        <w:rPr>
          <w:rFonts w:ascii="Book Antiqua" w:hAnsi="Book Antiqua" w:cs="Times New Roman"/>
        </w:rPr>
      </w:pPr>
    </w:p>
    <w:p w14:paraId="4474E5AC" w14:textId="48CDACE4" w:rsidR="009C48CD" w:rsidRPr="002676CC" w:rsidRDefault="0030112C" w:rsidP="00AE09AF">
      <w:pPr>
        <w:snapToGrid w:val="0"/>
        <w:spacing w:line="360" w:lineRule="auto"/>
        <w:jc w:val="both"/>
        <w:rPr>
          <w:rFonts w:ascii="Book Antiqua" w:hAnsi="Book Antiqua" w:cs="Times New Roman"/>
          <w:b/>
        </w:rPr>
      </w:pPr>
      <w:r w:rsidRPr="002676CC">
        <w:rPr>
          <w:rFonts w:ascii="Book Antiqua" w:hAnsi="Book Antiqua" w:cs="Times New Roman"/>
          <w:b/>
        </w:rPr>
        <w:t>CASE REPORT</w:t>
      </w:r>
    </w:p>
    <w:p w14:paraId="539BCFF9" w14:textId="727762C0" w:rsidR="009C48CD" w:rsidRPr="002676CC" w:rsidRDefault="009C48CD" w:rsidP="00AE09AF">
      <w:pPr>
        <w:snapToGrid w:val="0"/>
        <w:spacing w:line="360" w:lineRule="auto"/>
        <w:jc w:val="both"/>
        <w:rPr>
          <w:rFonts w:ascii="Book Antiqua" w:hAnsi="Book Antiqua" w:cs="Times New Roman"/>
        </w:rPr>
      </w:pPr>
      <w:r w:rsidRPr="002676CC">
        <w:rPr>
          <w:rFonts w:ascii="Book Antiqua" w:hAnsi="Book Antiqua" w:cs="Times New Roman"/>
        </w:rPr>
        <w:t>A 74-year-old woman who was treated with amlodipine for hypertension for more than 10 years was admitted to our</w:t>
      </w:r>
      <w:r w:rsidR="003A4565" w:rsidRPr="002676CC">
        <w:rPr>
          <w:rFonts w:ascii="Book Antiqua" w:hAnsi="Book Antiqua" w:cs="Times New Roman"/>
        </w:rPr>
        <w:t xml:space="preserve"> hospital for abdominal distension</w:t>
      </w:r>
      <w:r w:rsidRPr="002676CC">
        <w:rPr>
          <w:rFonts w:ascii="Book Antiqua" w:hAnsi="Book Antiqua" w:cs="Times New Roman"/>
        </w:rPr>
        <w:t xml:space="preserve"> and leg edema. The patient had undergone a muscle-sparing mastectomy for breast cancer in the left breast 9 mo</w:t>
      </w:r>
      <w:r w:rsidR="00BE6D3B">
        <w:rPr>
          <w:rFonts w:ascii="Book Antiqua" w:eastAsia="SimSun" w:hAnsi="Book Antiqua" w:cs="Times New Roman" w:hint="eastAsia"/>
          <w:lang w:eastAsia="zh-CN"/>
        </w:rPr>
        <w:t xml:space="preserve"> </w:t>
      </w:r>
      <w:r w:rsidRPr="002676CC">
        <w:rPr>
          <w:rFonts w:ascii="Book Antiqua" w:hAnsi="Book Antiqua" w:cs="Times New Roman"/>
        </w:rPr>
        <w:t>prior. The histopathological examination showed stage I estrogen receptor- and progesterone receptor-negative apocrine carcinoma. The patient was therefore put on a regimen of tegafur-uracil (400 mg daily) for 8 mo. There was no history of liver disease or alcohol abus</w:t>
      </w:r>
      <w:r w:rsidR="0053778B" w:rsidRPr="002676CC">
        <w:rPr>
          <w:rFonts w:ascii="Book Antiqua" w:hAnsi="Book Antiqua" w:cs="Times New Roman"/>
        </w:rPr>
        <w:t>e, and</w:t>
      </w:r>
      <w:r w:rsidRPr="002676CC">
        <w:rPr>
          <w:rFonts w:ascii="Book Antiqua" w:hAnsi="Book Antiqua" w:cs="Times New Roman"/>
        </w:rPr>
        <w:t xml:space="preserve"> there </w:t>
      </w:r>
      <w:r w:rsidR="0053778B" w:rsidRPr="002676CC">
        <w:rPr>
          <w:rFonts w:ascii="Book Antiqua" w:hAnsi="Book Antiqua" w:cs="Times New Roman"/>
        </w:rPr>
        <w:t>was no</w:t>
      </w:r>
      <w:r w:rsidRPr="002676CC">
        <w:rPr>
          <w:rFonts w:ascii="Book Antiqua" w:hAnsi="Book Antiqua" w:cs="Times New Roman"/>
        </w:rPr>
        <w:t xml:space="preserve"> family history of liver disease. Before breast cancer surgery, </w:t>
      </w:r>
      <w:r w:rsidR="00BE6D3B" w:rsidRPr="00BE6D3B">
        <w:rPr>
          <w:rFonts w:ascii="Book Antiqua" w:hAnsi="Book Antiqua" w:cs="Times New Roman"/>
        </w:rPr>
        <w:t xml:space="preserve">computed tomography </w:t>
      </w:r>
      <w:r w:rsidR="00BE6D3B">
        <w:rPr>
          <w:rFonts w:ascii="Book Antiqua" w:eastAsia="SimSun" w:hAnsi="Book Antiqua" w:cs="Times New Roman" w:hint="eastAsia"/>
          <w:lang w:eastAsia="zh-CN"/>
        </w:rPr>
        <w:t>(</w:t>
      </w:r>
      <w:r w:rsidRPr="002676CC">
        <w:rPr>
          <w:rFonts w:ascii="Book Antiqua" w:hAnsi="Book Antiqua" w:cs="Times New Roman"/>
        </w:rPr>
        <w:t>CT</w:t>
      </w:r>
      <w:r w:rsidR="00BE6D3B">
        <w:rPr>
          <w:rFonts w:ascii="Book Antiqua" w:eastAsia="SimSun" w:hAnsi="Book Antiqua" w:cs="Times New Roman" w:hint="eastAsia"/>
          <w:lang w:eastAsia="zh-CN"/>
        </w:rPr>
        <w:t>)</w:t>
      </w:r>
      <w:r w:rsidRPr="002676CC">
        <w:rPr>
          <w:rFonts w:ascii="Book Antiqua" w:hAnsi="Book Antiqua" w:cs="Times New Roman"/>
        </w:rPr>
        <w:t xml:space="preserve"> imaging demonstrated neither chronic liver disease nor splenomegaly (Figure 1A), and a blood examination showed normal platelet counts (19.2</w:t>
      </w:r>
      <w:r w:rsidR="00BE6D3B">
        <w:rPr>
          <w:rFonts w:ascii="Book Antiqua" w:eastAsia="SimSun" w:hAnsi="Book Antiqua" w:cs="Times New Roman" w:hint="eastAsia"/>
          <w:lang w:eastAsia="zh-CN"/>
        </w:rPr>
        <w:t xml:space="preserve"> </w:t>
      </w:r>
      <w:r w:rsidRPr="002676CC">
        <w:rPr>
          <w:rFonts w:ascii="Book Antiqua" w:hAnsi="Book Antiqua" w:cs="Times New Roman"/>
        </w:rPr>
        <w:t>×</w:t>
      </w:r>
      <w:r w:rsidR="00BE6D3B">
        <w:rPr>
          <w:rFonts w:ascii="Book Antiqua" w:eastAsia="SimSun" w:hAnsi="Book Antiqua" w:cs="Times New Roman" w:hint="eastAsia"/>
          <w:lang w:eastAsia="zh-CN"/>
        </w:rPr>
        <w:t xml:space="preserve"> </w:t>
      </w:r>
      <w:r w:rsidRPr="002676CC">
        <w:rPr>
          <w:rFonts w:ascii="Book Antiqua" w:hAnsi="Book Antiqua" w:cs="Times New Roman"/>
        </w:rPr>
        <w:t>10</w:t>
      </w:r>
      <w:r w:rsidRPr="002676CC">
        <w:rPr>
          <w:rFonts w:ascii="Book Antiqua" w:hAnsi="Book Antiqua" w:cs="Times New Roman"/>
          <w:vertAlign w:val="superscript"/>
        </w:rPr>
        <w:t>4</w:t>
      </w:r>
      <w:r w:rsidRPr="002676CC">
        <w:rPr>
          <w:rFonts w:ascii="Book Antiqua" w:hAnsi="Book Antiqua" w:cs="Times New Roman"/>
        </w:rPr>
        <w:t>/μL), no coagulopathy (prothrombin time activity 104%), and no liver dysfunction (total bilirubin 0.5 mg/dL,</w:t>
      </w:r>
      <w:r w:rsidR="00E75636" w:rsidRPr="002676CC">
        <w:rPr>
          <w:rFonts w:ascii="Book Antiqua" w:hAnsi="Book Antiqua" w:cs="Times New Roman"/>
        </w:rPr>
        <w:t xml:space="preserve"> aspartate aminotransferase 22 </w:t>
      </w:r>
      <w:r w:rsidRPr="002676CC">
        <w:rPr>
          <w:rFonts w:ascii="Book Antiqua" w:hAnsi="Book Antiqua" w:cs="Times New Roman"/>
        </w:rPr>
        <w:t>U/</w:t>
      </w:r>
      <w:r w:rsidR="0056332F" w:rsidRPr="002676CC">
        <w:rPr>
          <w:rFonts w:ascii="Book Antiqua" w:hAnsi="Book Antiqua" w:cs="Times New Roman"/>
        </w:rPr>
        <w:t>L</w:t>
      </w:r>
      <w:r w:rsidR="00E75636" w:rsidRPr="002676CC">
        <w:rPr>
          <w:rFonts w:ascii="Book Antiqua" w:hAnsi="Book Antiqua" w:cs="Times New Roman"/>
        </w:rPr>
        <w:t xml:space="preserve">, alanine aminotransferase 14 </w:t>
      </w:r>
      <w:r w:rsidRPr="002676CC">
        <w:rPr>
          <w:rFonts w:ascii="Book Antiqua" w:hAnsi="Book Antiqua" w:cs="Times New Roman"/>
        </w:rPr>
        <w:t>U/L, alkaline phosphatase 320 mg/dL,</w:t>
      </w:r>
      <w:r w:rsidR="00E75636" w:rsidRPr="002676CC">
        <w:rPr>
          <w:rFonts w:ascii="Book Antiqua" w:hAnsi="Book Antiqua" w:cs="Times New Roman"/>
        </w:rPr>
        <w:t xml:space="preserve"> </w:t>
      </w:r>
      <w:r w:rsidR="00E75636" w:rsidRPr="002676CC">
        <w:rPr>
          <w:rFonts w:ascii="Book Antiqua" w:hAnsi="Book Antiqua" w:cs="Times New Roman"/>
        </w:rPr>
        <w:lastRenderedPageBreak/>
        <w:t xml:space="preserve">gamma-glutamyl transferase 24 </w:t>
      </w:r>
      <w:r w:rsidRPr="002676CC">
        <w:rPr>
          <w:rFonts w:ascii="Book Antiqua" w:hAnsi="Book Antiqua" w:cs="Times New Roman"/>
        </w:rPr>
        <w:t xml:space="preserve">U/L). Two months after </w:t>
      </w:r>
      <w:r w:rsidR="003A4565" w:rsidRPr="002676CC">
        <w:rPr>
          <w:rFonts w:ascii="Book Antiqua" w:hAnsi="Book Antiqua" w:cs="Times New Roman"/>
        </w:rPr>
        <w:t xml:space="preserve">the </w:t>
      </w:r>
      <w:r w:rsidRPr="002676CC">
        <w:rPr>
          <w:rFonts w:ascii="Book Antiqua" w:hAnsi="Book Antiqua" w:cs="Times New Roman"/>
        </w:rPr>
        <w:t>administration of tegafur</w:t>
      </w:r>
      <w:r w:rsidR="0056332F" w:rsidRPr="002676CC">
        <w:rPr>
          <w:rFonts w:ascii="Book Antiqua" w:hAnsi="Book Antiqua" w:cs="Times New Roman"/>
        </w:rPr>
        <w:t>-</w:t>
      </w:r>
      <w:r w:rsidRPr="002676CC">
        <w:rPr>
          <w:rFonts w:ascii="Book Antiqua" w:hAnsi="Book Antiqua" w:cs="Times New Roman"/>
        </w:rPr>
        <w:t>uracil, her blood examination revealed incr</w:t>
      </w:r>
      <w:r w:rsidR="003A4565" w:rsidRPr="002676CC">
        <w:rPr>
          <w:rFonts w:ascii="Book Antiqua" w:hAnsi="Book Antiqua" w:cs="Times New Roman"/>
        </w:rPr>
        <w:t>eased serum transaminase levels. S</w:t>
      </w:r>
      <w:r w:rsidRPr="002676CC">
        <w:rPr>
          <w:rFonts w:ascii="Book Antiqua" w:hAnsi="Book Antiqua" w:cs="Times New Roman"/>
        </w:rPr>
        <w:t>he was therefore prescribed ursodeoxycholic acid</w:t>
      </w:r>
      <w:r w:rsidR="00E75636" w:rsidRPr="002676CC">
        <w:rPr>
          <w:rFonts w:ascii="Book Antiqua" w:hAnsi="Book Antiqua" w:cs="Times New Roman"/>
        </w:rPr>
        <w:t xml:space="preserve"> as a </w:t>
      </w:r>
      <w:r w:rsidR="003A4565" w:rsidRPr="002676CC">
        <w:rPr>
          <w:rFonts w:ascii="Book Antiqua" w:hAnsi="Book Antiqua" w:cs="Times New Roman"/>
        </w:rPr>
        <w:t>supportive liver</w:t>
      </w:r>
      <w:r w:rsidR="00E75636" w:rsidRPr="002676CC">
        <w:rPr>
          <w:rFonts w:ascii="Book Antiqua" w:hAnsi="Book Antiqua" w:cs="Times New Roman"/>
        </w:rPr>
        <w:t xml:space="preserve"> therapy</w:t>
      </w:r>
      <w:r w:rsidR="008528FE" w:rsidRPr="002676CC">
        <w:rPr>
          <w:rFonts w:ascii="Book Antiqua" w:hAnsi="Book Antiqua" w:cs="Times New Roman"/>
        </w:rPr>
        <w:t xml:space="preserve"> because of </w:t>
      </w:r>
      <w:r w:rsidR="003A4565" w:rsidRPr="002676CC">
        <w:rPr>
          <w:rFonts w:ascii="Book Antiqua" w:hAnsi="Book Antiqua" w:cs="Times New Roman"/>
        </w:rPr>
        <w:t xml:space="preserve">a </w:t>
      </w:r>
      <w:r w:rsidR="008528FE" w:rsidRPr="002676CC">
        <w:rPr>
          <w:rFonts w:ascii="Book Antiqua" w:hAnsi="Book Antiqua" w:cs="Times New Roman"/>
        </w:rPr>
        <w:t>suspicion of drug-induced liver injury</w:t>
      </w:r>
      <w:r w:rsidR="002718D8" w:rsidRPr="002676CC">
        <w:rPr>
          <w:rFonts w:ascii="Book Antiqua" w:hAnsi="Book Antiqua" w:cs="Times New Roman"/>
        </w:rPr>
        <w:t xml:space="preserve">. However, upon admission, her </w:t>
      </w:r>
      <w:r w:rsidRPr="002676CC">
        <w:rPr>
          <w:rFonts w:ascii="Book Antiqua" w:hAnsi="Book Antiqua" w:cs="Times New Roman"/>
        </w:rPr>
        <w:t>blood examination showed low platelet counts, persistent liver dysfunction, and increased levels of fibrosis markers</w:t>
      </w:r>
      <w:r w:rsidR="009F4A84" w:rsidRPr="002676CC">
        <w:rPr>
          <w:rFonts w:ascii="Book Antiqua" w:hAnsi="Book Antiqua" w:cs="Times New Roman"/>
        </w:rPr>
        <w:t xml:space="preserve"> </w:t>
      </w:r>
      <w:r w:rsidR="00A60472" w:rsidRPr="002676CC">
        <w:rPr>
          <w:rFonts w:ascii="Book Antiqua" w:hAnsi="Book Antiqua" w:cs="Times New Roman"/>
        </w:rPr>
        <w:t xml:space="preserve">such as </w:t>
      </w:r>
      <w:r w:rsidR="009F4A84" w:rsidRPr="002676CC">
        <w:rPr>
          <w:rFonts w:ascii="Book Antiqua" w:hAnsi="Book Antiqua"/>
        </w:rPr>
        <w:t>type 4 collagen 7S and hyaluronic acid</w:t>
      </w:r>
      <w:r w:rsidRPr="002676CC">
        <w:rPr>
          <w:rFonts w:ascii="Book Antiqua" w:hAnsi="Book Antiqua" w:cs="Times New Roman"/>
        </w:rPr>
        <w:t xml:space="preserve">. The anti-hepatitis-B core (HBc) test was weakly positive; however, the HBV-DNA test was negative, suggesting a past infection (Table 1). CT </w:t>
      </w:r>
      <w:r w:rsidR="00652B0B" w:rsidRPr="002676CC">
        <w:rPr>
          <w:rFonts w:ascii="Book Antiqua" w:hAnsi="Book Antiqua" w:cs="Times New Roman"/>
        </w:rPr>
        <w:t xml:space="preserve">imaging </w:t>
      </w:r>
      <w:r w:rsidRPr="002676CC">
        <w:rPr>
          <w:rFonts w:ascii="Book Antiqua" w:hAnsi="Book Antiqua" w:cs="Times New Roman"/>
        </w:rPr>
        <w:t>revealed the presence of massive ascites and splenomegaly (Figure 1B), and upper gastrointestinal endoscopy showed grade 1 esophageal varices without red spots (Figure 1C). The magnetic resonance (MR) elastography and Virtual Touch Quantification (VTQ) values were 7.0 kPa and 2.54 m/s, respectively</w:t>
      </w:r>
      <w:r w:rsidR="007C76A1" w:rsidRPr="002676CC">
        <w:rPr>
          <w:rFonts w:ascii="Book Antiqua" w:hAnsi="Book Antiqua" w:cs="Times New Roman"/>
        </w:rPr>
        <w:t xml:space="preserve"> (Figure</w:t>
      </w:r>
      <w:r w:rsidR="004E75D8" w:rsidRPr="002676CC">
        <w:rPr>
          <w:rFonts w:ascii="Book Antiqua" w:hAnsi="Book Antiqua" w:cs="Times New Roman"/>
        </w:rPr>
        <w:t xml:space="preserve"> 2A</w:t>
      </w:r>
      <w:r w:rsidR="00BE6D3B">
        <w:rPr>
          <w:rFonts w:ascii="Book Antiqua" w:eastAsia="SimSun" w:hAnsi="Book Antiqua" w:cs="Times New Roman" w:hint="eastAsia"/>
          <w:lang w:eastAsia="zh-CN"/>
        </w:rPr>
        <w:t xml:space="preserve"> and </w:t>
      </w:r>
      <w:r w:rsidR="001209C4" w:rsidRPr="002676CC">
        <w:rPr>
          <w:rFonts w:ascii="Book Antiqua" w:hAnsi="Book Antiqua" w:cs="Times New Roman"/>
        </w:rPr>
        <w:t>B</w:t>
      </w:r>
      <w:r w:rsidR="007C76A1" w:rsidRPr="002676CC">
        <w:rPr>
          <w:rFonts w:ascii="Book Antiqua" w:hAnsi="Book Antiqua" w:cs="Times New Roman"/>
        </w:rPr>
        <w:t>)</w:t>
      </w:r>
      <w:r w:rsidRPr="002676CC">
        <w:rPr>
          <w:rFonts w:ascii="Book Antiqua" w:hAnsi="Book Antiqua" w:cs="Times New Roman"/>
        </w:rPr>
        <w:t>. These findings suggested that the patient had hepatic failure accompanied by portal hypertension and advanced hepatic fibrosis. Although her serum immunoglobulin levels were normal, she was positive for anti-nuclear antibody (ANA) (anti-centromere type) (Table 1). A liver biopsy was performed because primary biliary cholangitis (PBC) was suspected. Histopathological examination revealed spotty necrosis in zone 3 and interface hepatitis, including lymphocytes, neutrophils, and eosi</w:t>
      </w:r>
      <w:r w:rsidR="001209C4" w:rsidRPr="002676CC">
        <w:rPr>
          <w:rFonts w:ascii="Book Antiqua" w:hAnsi="Book Antiqua" w:cs="Times New Roman"/>
        </w:rPr>
        <w:t>nophils, all in zone 1 (Figure 3</w:t>
      </w:r>
      <w:r w:rsidRPr="002676CC">
        <w:rPr>
          <w:rFonts w:ascii="Book Antiqua" w:hAnsi="Book Antiqua" w:cs="Times New Roman"/>
        </w:rPr>
        <w:t>A</w:t>
      </w:r>
      <w:r w:rsidR="00BE6D3B">
        <w:rPr>
          <w:rFonts w:ascii="Book Antiqua" w:eastAsia="SimSun" w:hAnsi="Book Antiqua" w:cs="Times New Roman" w:hint="eastAsia"/>
          <w:lang w:eastAsia="zh-CN"/>
        </w:rPr>
        <w:t xml:space="preserve"> and </w:t>
      </w:r>
      <w:r w:rsidRPr="002676CC">
        <w:rPr>
          <w:rFonts w:ascii="Book Antiqua" w:hAnsi="Book Antiqua" w:cs="Times New Roman"/>
        </w:rPr>
        <w:t xml:space="preserve">B). </w:t>
      </w:r>
      <w:r w:rsidR="00652B0B" w:rsidRPr="002676CC">
        <w:rPr>
          <w:rFonts w:ascii="Book Antiqua" w:hAnsi="Book Antiqua" w:cs="Times New Roman"/>
        </w:rPr>
        <w:t xml:space="preserve">A </w:t>
      </w:r>
      <w:r w:rsidRPr="002676CC">
        <w:rPr>
          <w:rFonts w:ascii="Book Antiqua" w:hAnsi="Book Antiqua" w:cs="Times New Roman"/>
        </w:rPr>
        <w:t>Marked ballooning of hepatocytes with Ma</w:t>
      </w:r>
      <w:r w:rsidR="001209C4" w:rsidRPr="002676CC">
        <w:rPr>
          <w:rFonts w:ascii="Book Antiqua" w:hAnsi="Book Antiqua" w:cs="Times New Roman"/>
        </w:rPr>
        <w:t>llory bodies was noted (Figure 3</w:t>
      </w:r>
      <w:r w:rsidRPr="002676CC">
        <w:rPr>
          <w:rFonts w:ascii="Book Antiqua" w:hAnsi="Book Antiqua" w:cs="Times New Roman"/>
        </w:rPr>
        <w:t>C). Periportal fibrosis and bridging fibrosis with partial s</w:t>
      </w:r>
      <w:r w:rsidR="001209C4" w:rsidRPr="002676CC">
        <w:rPr>
          <w:rFonts w:ascii="Book Antiqua" w:hAnsi="Book Antiqua" w:cs="Times New Roman"/>
        </w:rPr>
        <w:t>eptation were observed (Figure 3</w:t>
      </w:r>
      <w:r w:rsidRPr="002676CC">
        <w:rPr>
          <w:rFonts w:ascii="Book Antiqua" w:hAnsi="Book Antiqua" w:cs="Times New Roman"/>
        </w:rPr>
        <w:t>D). The i</w:t>
      </w:r>
      <w:r w:rsidR="003E2D56" w:rsidRPr="002676CC">
        <w:rPr>
          <w:rFonts w:ascii="Book Antiqua" w:hAnsi="Book Antiqua" w:cs="Times New Roman"/>
        </w:rPr>
        <w:t xml:space="preserve">ntralobular bile ducts </w:t>
      </w:r>
      <w:r w:rsidRPr="002676CC">
        <w:rPr>
          <w:rFonts w:ascii="Book Antiqua" w:hAnsi="Book Antiqua" w:cs="Times New Roman"/>
        </w:rPr>
        <w:t>had partially degenerated</w:t>
      </w:r>
      <w:r w:rsidR="009F25FE" w:rsidRPr="002676CC">
        <w:rPr>
          <w:rFonts w:ascii="Book Antiqua" w:hAnsi="Book Antiqua" w:cs="Times New Roman"/>
        </w:rPr>
        <w:t>, but</w:t>
      </w:r>
      <w:r w:rsidR="00A7140C" w:rsidRPr="002676CC">
        <w:rPr>
          <w:rFonts w:ascii="Book Antiqua" w:hAnsi="Book Antiqua" w:cs="Times New Roman"/>
        </w:rPr>
        <w:t xml:space="preserve"> </w:t>
      </w:r>
      <w:r w:rsidRPr="002676CC">
        <w:rPr>
          <w:rFonts w:ascii="Book Antiqua" w:hAnsi="Book Antiqua" w:cs="Times New Roman"/>
        </w:rPr>
        <w:t xml:space="preserve">neither </w:t>
      </w:r>
      <w:r w:rsidR="00932918" w:rsidRPr="002676CC">
        <w:rPr>
          <w:rFonts w:ascii="Book Antiqua" w:hAnsi="Book Antiqua" w:cs="Times New Roman"/>
        </w:rPr>
        <w:t>chronic non-suppurative destructive cholangitis</w:t>
      </w:r>
      <w:r w:rsidRPr="002676CC">
        <w:rPr>
          <w:rFonts w:ascii="Book Antiqua" w:hAnsi="Book Antiqua" w:cs="Times New Roman"/>
        </w:rPr>
        <w:t xml:space="preserve"> nor</w:t>
      </w:r>
      <w:r w:rsidR="009702E0" w:rsidRPr="002676CC">
        <w:rPr>
          <w:rFonts w:ascii="Book Antiqua" w:hAnsi="Book Antiqua" w:cs="Times New Roman"/>
        </w:rPr>
        <w:t xml:space="preserve"> cholestasis</w:t>
      </w:r>
      <w:r w:rsidRPr="002676CC">
        <w:rPr>
          <w:rFonts w:ascii="Book Antiqua" w:hAnsi="Book Antiqua" w:cs="Times New Roman"/>
        </w:rPr>
        <w:t xml:space="preserve"> were </w:t>
      </w:r>
      <w:r w:rsidR="002C3B5C" w:rsidRPr="002676CC">
        <w:rPr>
          <w:rFonts w:ascii="Book Antiqua" w:hAnsi="Book Antiqua" w:cs="Times New Roman"/>
        </w:rPr>
        <w:t>detected</w:t>
      </w:r>
      <w:r w:rsidR="009E127D" w:rsidRPr="002676CC">
        <w:rPr>
          <w:rFonts w:ascii="Book Antiqua" w:hAnsi="Book Antiqua" w:cs="Times New Roman"/>
        </w:rPr>
        <w:t>.</w:t>
      </w:r>
      <w:r w:rsidR="00104612" w:rsidRPr="002676CC">
        <w:rPr>
          <w:rFonts w:ascii="Book Antiqua" w:hAnsi="Book Antiqua" w:cs="Times New Roman"/>
        </w:rPr>
        <w:t xml:space="preserve"> </w:t>
      </w:r>
      <w:r w:rsidR="002718D8" w:rsidRPr="002676CC">
        <w:rPr>
          <w:rFonts w:ascii="Book Antiqua" w:hAnsi="Book Antiqua" w:cs="Times New Roman"/>
        </w:rPr>
        <w:t>There was</w:t>
      </w:r>
      <w:r w:rsidR="00320FC7" w:rsidRPr="002676CC">
        <w:rPr>
          <w:rFonts w:ascii="Book Antiqua" w:hAnsi="Book Antiqua" w:cs="Times New Roman"/>
        </w:rPr>
        <w:t xml:space="preserve"> no </w:t>
      </w:r>
      <w:r w:rsidR="002718D8" w:rsidRPr="002676CC">
        <w:rPr>
          <w:rFonts w:ascii="Book Antiqua" w:hAnsi="Book Antiqua" w:cs="Times New Roman"/>
        </w:rPr>
        <w:t>pathological copper or</w:t>
      </w:r>
      <w:r w:rsidR="00320FC7" w:rsidRPr="002676CC">
        <w:rPr>
          <w:rFonts w:ascii="Book Antiqua" w:hAnsi="Book Antiqua" w:cs="Times New Roman"/>
        </w:rPr>
        <w:t xml:space="preserve"> iron accumulation. </w:t>
      </w:r>
      <w:r w:rsidRPr="002676CC">
        <w:rPr>
          <w:rFonts w:ascii="Book Antiqua" w:hAnsi="Book Antiqua" w:cs="Times New Roman"/>
        </w:rPr>
        <w:t xml:space="preserve">Therefore, the patient was diagnosed with tegafur-uracil–induced liver injury with </w:t>
      </w:r>
      <w:r w:rsidR="002718D8" w:rsidRPr="002676CC">
        <w:rPr>
          <w:rFonts w:ascii="Book Antiqua" w:hAnsi="Book Antiqua" w:cs="Times New Roman"/>
        </w:rPr>
        <w:t xml:space="preserve">a </w:t>
      </w:r>
      <w:r w:rsidRPr="002676CC">
        <w:rPr>
          <w:rFonts w:ascii="Book Antiqua" w:hAnsi="Book Antiqua" w:cs="Times New Roman"/>
        </w:rPr>
        <w:t>rapid development of advanced hepatic fibrosis. Discontinuation of tegafur-uracil combined with</w:t>
      </w:r>
      <w:r w:rsidR="002718D8" w:rsidRPr="002676CC">
        <w:rPr>
          <w:rFonts w:ascii="Book Antiqua" w:hAnsi="Book Antiqua" w:cs="Times New Roman"/>
        </w:rPr>
        <w:t xml:space="preserve"> conservative treatment, including</w:t>
      </w:r>
      <w:r w:rsidRPr="002676CC">
        <w:rPr>
          <w:rFonts w:ascii="Book Antiqua" w:hAnsi="Book Antiqua" w:cs="Times New Roman"/>
        </w:rPr>
        <w:t xml:space="preserve"> a diuretic, immediately improved the patient’s serum transam</w:t>
      </w:r>
      <w:r w:rsidR="00267120" w:rsidRPr="002676CC">
        <w:rPr>
          <w:rFonts w:ascii="Book Antiqua" w:hAnsi="Book Antiqua" w:cs="Times New Roman"/>
        </w:rPr>
        <w:t>inase levels and</w:t>
      </w:r>
      <w:r w:rsidRPr="002676CC">
        <w:rPr>
          <w:rFonts w:ascii="Book Antiqua" w:hAnsi="Book Antiqua" w:cs="Times New Roman"/>
        </w:rPr>
        <w:t xml:space="preserve"> prothrombin ac</w:t>
      </w:r>
      <w:r w:rsidR="00E75636" w:rsidRPr="002676CC">
        <w:rPr>
          <w:rFonts w:ascii="Book Antiqua" w:hAnsi="Book Antiqua" w:cs="Times New Roman"/>
        </w:rPr>
        <w:t>tivity. The massive ascites was</w:t>
      </w:r>
      <w:r w:rsidRPr="002676CC">
        <w:rPr>
          <w:rFonts w:ascii="Book Antiqua" w:hAnsi="Book Antiqua" w:cs="Times New Roman"/>
        </w:rPr>
        <w:t xml:space="preserve"> </w:t>
      </w:r>
      <w:r w:rsidR="004D6B38" w:rsidRPr="002676CC">
        <w:rPr>
          <w:rFonts w:ascii="Book Antiqua" w:hAnsi="Book Antiqua" w:cs="Times New Roman"/>
        </w:rPr>
        <w:t xml:space="preserve">improved after 1 </w:t>
      </w:r>
      <w:r w:rsidR="006F089E" w:rsidRPr="002676CC">
        <w:rPr>
          <w:rFonts w:ascii="Book Antiqua" w:hAnsi="Book Antiqua" w:cs="Times New Roman"/>
          <w:noProof/>
          <w:lang w:eastAsia="zh-CN"/>
        </w:rPr>
        <w:lastRenderedPageBreak/>
        <w:drawing>
          <wp:anchor distT="0" distB="0" distL="114300" distR="114300" simplePos="0" relativeHeight="251663360" behindDoc="0" locked="0" layoutInCell="1" allowOverlap="1" wp14:anchorId="7DE27D8A" wp14:editId="2D99B9EA">
            <wp:simplePos x="0" y="0"/>
            <wp:positionH relativeFrom="column">
              <wp:posOffset>-1003935</wp:posOffset>
            </wp:positionH>
            <wp:positionV relativeFrom="paragraph">
              <wp:posOffset>110496350</wp:posOffset>
            </wp:positionV>
            <wp:extent cx="7372350" cy="5528945"/>
            <wp:effectExtent l="0" t="0" r="0" b="0"/>
            <wp:wrapNone/>
            <wp:docPr id="6" name="図 6" descr="C:\Users\AMU\Desktop\WJG revision\Figure rev\スライド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U\Desktop\WJG revision\Figure rev\スライド4.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2350" cy="552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B38" w:rsidRPr="002676CC">
        <w:rPr>
          <w:rFonts w:ascii="Book Antiqua" w:hAnsi="Book Antiqua" w:cs="Times New Roman"/>
        </w:rPr>
        <w:t>month (Figure 4</w:t>
      </w:r>
      <w:r w:rsidRPr="002676CC">
        <w:rPr>
          <w:rFonts w:ascii="Book Antiqua" w:hAnsi="Book Antiqua" w:cs="Times New Roman"/>
        </w:rPr>
        <w:t xml:space="preserve">). Thirteen months after drug discontinuation, the patient’s type IV collagen 7S and hyaluronic acid levels </w:t>
      </w:r>
      <w:r w:rsidR="00FF1B4A" w:rsidRPr="002676CC">
        <w:rPr>
          <w:rFonts w:ascii="Book Antiqua" w:hAnsi="Book Antiqua" w:cs="Times New Roman"/>
        </w:rPr>
        <w:t>were improved</w:t>
      </w:r>
      <w:r w:rsidRPr="002676CC">
        <w:rPr>
          <w:rFonts w:ascii="Book Antiqua" w:hAnsi="Book Antiqua" w:cs="Times New Roman"/>
        </w:rPr>
        <w:t xml:space="preserve"> </w:t>
      </w:r>
      <w:r w:rsidR="008708B7" w:rsidRPr="002676CC">
        <w:rPr>
          <w:rFonts w:ascii="Book Antiqua" w:hAnsi="Book Antiqua" w:cs="Times New Roman"/>
        </w:rPr>
        <w:t>from</w:t>
      </w:r>
      <w:r w:rsidR="00BE6D3B">
        <w:rPr>
          <w:rFonts w:ascii="Book Antiqua" w:eastAsia="SimSun" w:hAnsi="Book Antiqua" w:cs="Times New Roman" w:hint="eastAsia"/>
          <w:lang w:eastAsia="zh-CN"/>
        </w:rPr>
        <w:t xml:space="preserve"> </w:t>
      </w:r>
      <w:r w:rsidR="008708B7" w:rsidRPr="002676CC">
        <w:rPr>
          <w:rFonts w:ascii="Book Antiqua" w:hAnsi="Book Antiqua" w:cs="Times New Roman"/>
        </w:rPr>
        <w:t>16 ng/mL to</w:t>
      </w:r>
      <w:r w:rsidR="00FF1B4A" w:rsidRPr="002676CC">
        <w:rPr>
          <w:rFonts w:ascii="Book Antiqua" w:hAnsi="Book Antiqua" w:cs="Times New Roman"/>
        </w:rPr>
        <w:t xml:space="preserve"> </w:t>
      </w:r>
      <w:r w:rsidRPr="002676CC">
        <w:rPr>
          <w:rFonts w:ascii="Book Antiqua" w:hAnsi="Book Antiqua" w:cs="Times New Roman"/>
        </w:rPr>
        <w:t>6.5 ng/mL and</w:t>
      </w:r>
      <w:r w:rsidR="00FF1B4A" w:rsidRPr="002676CC">
        <w:rPr>
          <w:rFonts w:ascii="Book Antiqua" w:hAnsi="Book Antiqua" w:cs="Times New Roman"/>
        </w:rPr>
        <w:t xml:space="preserve"> </w:t>
      </w:r>
      <w:r w:rsidR="008708B7" w:rsidRPr="002676CC">
        <w:rPr>
          <w:rFonts w:ascii="Book Antiqua" w:hAnsi="Book Antiqua" w:cs="Times New Roman"/>
        </w:rPr>
        <w:t>from 653.4 ng/mL to</w:t>
      </w:r>
      <w:r w:rsidRPr="002676CC">
        <w:rPr>
          <w:rFonts w:ascii="Book Antiqua" w:hAnsi="Book Antiqua" w:cs="Times New Roman"/>
        </w:rPr>
        <w:t xml:space="preserve"> 112.2 ng/mL, respectively, suggesting</w:t>
      </w:r>
      <w:r w:rsidR="002718D8" w:rsidRPr="002676CC">
        <w:rPr>
          <w:rFonts w:ascii="Book Antiqua" w:hAnsi="Book Antiqua" w:cs="Times New Roman"/>
        </w:rPr>
        <w:t xml:space="preserve"> an</w:t>
      </w:r>
      <w:r w:rsidRPr="002676CC">
        <w:rPr>
          <w:rFonts w:ascii="Book Antiqua" w:hAnsi="Book Antiqua" w:cs="Times New Roman"/>
        </w:rPr>
        <w:t xml:space="preserve"> alleviation of hepatic fibrosis.</w:t>
      </w:r>
    </w:p>
    <w:p w14:paraId="1B867128" w14:textId="77777777" w:rsidR="00563461" w:rsidRPr="00BE6D3B" w:rsidRDefault="00563461" w:rsidP="00AE09AF">
      <w:pPr>
        <w:snapToGrid w:val="0"/>
        <w:spacing w:line="360" w:lineRule="auto"/>
        <w:ind w:firstLine="840"/>
        <w:jc w:val="both"/>
        <w:rPr>
          <w:rFonts w:ascii="Book Antiqua" w:hAnsi="Book Antiqua" w:cs="Times New Roman"/>
        </w:rPr>
      </w:pPr>
    </w:p>
    <w:p w14:paraId="0FAFBC03" w14:textId="3E38C763" w:rsidR="0056332F" w:rsidRPr="002676CC" w:rsidRDefault="0030112C" w:rsidP="00AE09AF">
      <w:pPr>
        <w:snapToGrid w:val="0"/>
        <w:spacing w:line="360" w:lineRule="auto"/>
        <w:jc w:val="both"/>
        <w:rPr>
          <w:rFonts w:ascii="Book Antiqua" w:hAnsi="Book Antiqua" w:cs="Times New Roman"/>
          <w:b/>
        </w:rPr>
      </w:pPr>
      <w:r w:rsidRPr="002676CC">
        <w:rPr>
          <w:rFonts w:ascii="Book Antiqua" w:hAnsi="Book Antiqua" w:cs="Times New Roman"/>
          <w:b/>
        </w:rPr>
        <w:t>DISCUSSION</w:t>
      </w:r>
    </w:p>
    <w:p w14:paraId="63CC8692" w14:textId="43FBB882" w:rsidR="0056332F" w:rsidRPr="002676CC" w:rsidRDefault="0056332F" w:rsidP="00AE09AF">
      <w:pPr>
        <w:shd w:val="clear" w:color="auto" w:fill="FFFFFF"/>
        <w:snapToGrid w:val="0"/>
        <w:spacing w:line="360" w:lineRule="auto"/>
        <w:jc w:val="both"/>
        <w:rPr>
          <w:rFonts w:ascii="Book Antiqua" w:hAnsi="Book Antiqua" w:cs="Times New Roman"/>
        </w:rPr>
      </w:pPr>
      <w:r w:rsidRPr="002676CC">
        <w:rPr>
          <w:rFonts w:ascii="Book Antiqua" w:hAnsi="Book Antiqua" w:cs="Times New Roman"/>
        </w:rPr>
        <w:t>Only five cases of tegafur-uracil–induced hepatic fibrosis with portal hypertension have b</w:t>
      </w:r>
      <w:r w:rsidR="00BE6D3B">
        <w:rPr>
          <w:rFonts w:ascii="Book Antiqua" w:hAnsi="Book Antiqua" w:cs="Times New Roman"/>
        </w:rPr>
        <w:t>een described in the literature</w:t>
      </w:r>
      <w:r w:rsidRPr="002676CC">
        <w:rPr>
          <w:rFonts w:ascii="Book Antiqua" w:hAnsi="Book Antiqua" w:cs="Times New Roman"/>
          <w:vertAlign w:val="superscript"/>
        </w:rPr>
        <w:t>[1,</w:t>
      </w:r>
      <w:r w:rsidR="00BE6D3B">
        <w:rPr>
          <w:rFonts w:ascii="Book Antiqua" w:hAnsi="Book Antiqua" w:cs="Times New Roman"/>
          <w:vertAlign w:val="superscript"/>
        </w:rPr>
        <w:t>3,</w:t>
      </w:r>
      <w:r w:rsidRPr="002676CC">
        <w:rPr>
          <w:rFonts w:ascii="Book Antiqua" w:hAnsi="Book Antiqua" w:cs="Times New Roman"/>
          <w:vertAlign w:val="superscript"/>
        </w:rPr>
        <w:t>4]</w:t>
      </w:r>
      <w:r w:rsidRPr="002676CC">
        <w:rPr>
          <w:rFonts w:ascii="Book Antiqua" w:hAnsi="Book Antiqua" w:cs="Times New Roman"/>
        </w:rPr>
        <w:t xml:space="preserve"> (Table 2). These patients were treated with tegafur-uracil over a long period (23</w:t>
      </w:r>
      <w:r w:rsidR="00BE6D3B">
        <w:rPr>
          <w:rFonts w:ascii="Book Antiqua" w:eastAsia="SimSun" w:hAnsi="Book Antiqua" w:cs="Times New Roman" w:hint="eastAsia"/>
          <w:lang w:eastAsia="zh-CN"/>
        </w:rPr>
        <w:t>-</w:t>
      </w:r>
      <w:r w:rsidRPr="002676CC">
        <w:rPr>
          <w:rFonts w:ascii="Book Antiqua" w:hAnsi="Book Antiqua" w:cs="Times New Roman"/>
        </w:rPr>
        <w:t>54 mo; mean 39.6 mo), and their pathological findings showed periportal fibrosis and bridging fibrosis following liver biopsy. In our case, massive ascites, esophageal varices, and splenomegaly appeared 8 m</w:t>
      </w:r>
      <w:r w:rsidR="006B4082" w:rsidRPr="002676CC">
        <w:rPr>
          <w:rFonts w:ascii="Book Antiqua" w:hAnsi="Book Antiqua" w:cs="Times New Roman"/>
        </w:rPr>
        <w:t>onths after drug administration.</w:t>
      </w:r>
      <w:r w:rsidRPr="002676CC">
        <w:rPr>
          <w:rFonts w:ascii="Book Antiqua" w:hAnsi="Book Antiqua" w:cs="Times New Roman"/>
        </w:rPr>
        <w:t xml:space="preserve"> </w:t>
      </w:r>
      <w:r w:rsidR="006B4082" w:rsidRPr="002676CC">
        <w:rPr>
          <w:rFonts w:ascii="Book Antiqua" w:hAnsi="Book Antiqua" w:cs="Times New Roman"/>
        </w:rPr>
        <w:t>H</w:t>
      </w:r>
      <w:r w:rsidR="006B4082" w:rsidRPr="002676CC">
        <w:rPr>
          <w:rFonts w:ascii="Book Antiqua" w:hAnsi="Book Antiqua"/>
        </w:rPr>
        <w:t>epatic fibrosis has been previously described in patients treated with tegafur-uracil over 23</w:t>
      </w:r>
      <w:r w:rsidR="00BE6D3B">
        <w:rPr>
          <w:rFonts w:ascii="Book Antiqua" w:eastAsia="SimSun" w:hAnsi="Book Antiqua" w:hint="eastAsia"/>
          <w:lang w:eastAsia="zh-CN"/>
        </w:rPr>
        <w:t>-</w:t>
      </w:r>
      <w:r w:rsidR="006B4082" w:rsidRPr="002676CC">
        <w:rPr>
          <w:rFonts w:ascii="Book Antiqua" w:hAnsi="Book Antiqua"/>
        </w:rPr>
        <w:t xml:space="preserve">54 mo, but the present case developed liver fibrosis only 8 months after the administration of this medication, </w:t>
      </w:r>
      <w:r w:rsidR="00E21A82" w:rsidRPr="002676CC">
        <w:rPr>
          <w:rFonts w:ascii="Book Antiqua" w:hAnsi="Book Antiqua" w:cs="Times New Roman"/>
        </w:rPr>
        <w:t xml:space="preserve">which </w:t>
      </w:r>
      <w:r w:rsidRPr="002676CC">
        <w:rPr>
          <w:rFonts w:ascii="Book Antiqua" w:hAnsi="Book Antiqua" w:cs="Times New Roman"/>
        </w:rPr>
        <w:t>sugges</w:t>
      </w:r>
      <w:r w:rsidR="00E21A82" w:rsidRPr="002676CC">
        <w:rPr>
          <w:rFonts w:ascii="Book Antiqua" w:hAnsi="Book Antiqua" w:cs="Times New Roman"/>
        </w:rPr>
        <w:t>ted</w:t>
      </w:r>
      <w:r w:rsidRPr="002676CC">
        <w:rPr>
          <w:rFonts w:ascii="Book Antiqua" w:hAnsi="Book Antiqua" w:cs="Times New Roman"/>
        </w:rPr>
        <w:t xml:space="preserve"> that </w:t>
      </w:r>
      <w:r w:rsidR="006B4082" w:rsidRPr="002676CC">
        <w:rPr>
          <w:rFonts w:ascii="Book Antiqua" w:hAnsi="Book Antiqua" w:cs="Times New Roman"/>
        </w:rPr>
        <w:t xml:space="preserve">a relatively </w:t>
      </w:r>
      <w:r w:rsidRPr="002676CC">
        <w:rPr>
          <w:rFonts w:ascii="Book Antiqua" w:hAnsi="Book Antiqua" w:cs="Times New Roman"/>
        </w:rPr>
        <w:t>short-term treatment with tegafur-uracil induced advanced hepatic fibrosis with portal hypertension. We initially suspected tegafur-uracil–induced liver dysfunction on the basis of previous chronic liver disease. In particular, because anti-centromere type ANA is a significant risk factor for the development of portal hy</w:t>
      </w:r>
      <w:r w:rsidR="00BE6D3B">
        <w:rPr>
          <w:rFonts w:ascii="Book Antiqua" w:hAnsi="Book Antiqua" w:cs="Times New Roman"/>
        </w:rPr>
        <w:t>pertension in patients with PBC</w:t>
      </w:r>
      <w:r w:rsidR="00BE6D3B">
        <w:rPr>
          <w:rFonts w:ascii="Book Antiqua" w:hAnsi="Book Antiqua" w:cs="Times New Roman"/>
          <w:vertAlign w:val="superscript"/>
        </w:rPr>
        <w:t>[5,</w:t>
      </w:r>
      <w:r w:rsidRPr="002676CC">
        <w:rPr>
          <w:rFonts w:ascii="Book Antiqua" w:hAnsi="Book Antiqua" w:cs="Times New Roman"/>
          <w:vertAlign w:val="superscript"/>
        </w:rPr>
        <w:t>6]</w:t>
      </w:r>
      <w:r w:rsidR="00E21A82" w:rsidRPr="002676CC">
        <w:rPr>
          <w:rFonts w:ascii="Book Antiqua" w:hAnsi="Book Antiqua" w:cs="Times New Roman"/>
        </w:rPr>
        <w:t xml:space="preserve">, we suspected </w:t>
      </w:r>
      <w:r w:rsidRPr="002676CC">
        <w:rPr>
          <w:rFonts w:ascii="Book Antiqua" w:hAnsi="Book Antiqua" w:cs="Times New Roman"/>
        </w:rPr>
        <w:t>PBC</w:t>
      </w:r>
      <w:r w:rsidR="00E21A82" w:rsidRPr="002676CC">
        <w:rPr>
          <w:rFonts w:ascii="Book Antiqua" w:hAnsi="Book Antiqua" w:cs="Times New Roman"/>
        </w:rPr>
        <w:t xml:space="preserve"> in this patient, and</w:t>
      </w:r>
      <w:r w:rsidRPr="002676CC">
        <w:rPr>
          <w:rFonts w:ascii="Book Antiqua" w:hAnsi="Book Antiqua" w:cs="Times New Roman"/>
        </w:rPr>
        <w:t xml:space="preserve"> a liver biopsy was performed. Histopathological examination revealed </w:t>
      </w:r>
      <w:r w:rsidR="00652B0B" w:rsidRPr="002676CC">
        <w:rPr>
          <w:rFonts w:ascii="Book Antiqua" w:hAnsi="Book Antiqua" w:cs="Times New Roman"/>
        </w:rPr>
        <w:t>the</w:t>
      </w:r>
      <w:r w:rsidR="00E21A82" w:rsidRPr="002676CC">
        <w:rPr>
          <w:rFonts w:ascii="Book Antiqua" w:hAnsi="Book Antiqua" w:cs="Times New Roman"/>
        </w:rPr>
        <w:t xml:space="preserve"> </w:t>
      </w:r>
      <w:r w:rsidRPr="002676CC">
        <w:rPr>
          <w:rFonts w:ascii="Book Antiqua" w:hAnsi="Book Antiqua" w:cs="Times New Roman"/>
        </w:rPr>
        <w:t>marked ballooning</w:t>
      </w:r>
      <w:r w:rsidR="00E21A82" w:rsidRPr="002676CC">
        <w:rPr>
          <w:rFonts w:ascii="Book Antiqua" w:hAnsi="Book Antiqua" w:cs="Times New Roman"/>
        </w:rPr>
        <w:t xml:space="preserve"> of </w:t>
      </w:r>
      <w:r w:rsidRPr="002676CC">
        <w:rPr>
          <w:rFonts w:ascii="Book Antiqua" w:hAnsi="Book Antiqua" w:cs="Times New Roman"/>
        </w:rPr>
        <w:t xml:space="preserve">hepatocytes and infiltration of neutrophils and eosinophils. However, contrary to our expectations, features consistent with PBC were not observed. In addition, the patient did not have a history of chronic liver disease or alcohol abuse, and a previous CT </w:t>
      </w:r>
      <w:r w:rsidR="00652B0B" w:rsidRPr="002676CC">
        <w:rPr>
          <w:rFonts w:ascii="Book Antiqua" w:hAnsi="Book Antiqua" w:cs="Times New Roman"/>
        </w:rPr>
        <w:t>imaging</w:t>
      </w:r>
      <w:r w:rsidR="00E21A82" w:rsidRPr="002676CC">
        <w:rPr>
          <w:rFonts w:ascii="Book Antiqua" w:hAnsi="Book Antiqua" w:cs="Times New Roman"/>
        </w:rPr>
        <w:t xml:space="preserve"> </w:t>
      </w:r>
      <w:r w:rsidRPr="002676CC">
        <w:rPr>
          <w:rFonts w:ascii="Book Antiqua" w:hAnsi="Book Antiqua" w:cs="Times New Roman"/>
        </w:rPr>
        <w:t>did not show chronic liver disease or splenomegaly. It is difficult to diagnose atypical PBC, even if historical analysis is performed; however, PBC usually develops slowly without an acute onset or acut</w:t>
      </w:r>
      <w:r w:rsidR="00BE6D3B">
        <w:rPr>
          <w:rFonts w:ascii="Book Antiqua" w:hAnsi="Book Antiqua" w:cs="Times New Roman"/>
        </w:rPr>
        <w:t>e exacerbation</w:t>
      </w:r>
      <w:r w:rsidR="00BE6D3B">
        <w:rPr>
          <w:rFonts w:ascii="Book Antiqua" w:hAnsi="Book Antiqua" w:cs="Times New Roman"/>
          <w:vertAlign w:val="superscript"/>
        </w:rPr>
        <w:t>[7,</w:t>
      </w:r>
      <w:r w:rsidRPr="002676CC">
        <w:rPr>
          <w:rFonts w:ascii="Book Antiqua" w:hAnsi="Book Antiqua" w:cs="Times New Roman"/>
          <w:vertAlign w:val="superscript"/>
        </w:rPr>
        <w:t>8]</w:t>
      </w:r>
      <w:r w:rsidR="00E21A82" w:rsidRPr="002676CC">
        <w:rPr>
          <w:rFonts w:ascii="Book Antiqua" w:hAnsi="Book Antiqua" w:cs="Times New Roman"/>
        </w:rPr>
        <w:t>. The clinical course necessitated the</w:t>
      </w:r>
      <w:r w:rsidRPr="002676CC">
        <w:rPr>
          <w:rFonts w:ascii="Book Antiqua" w:hAnsi="Book Antiqua" w:cs="Times New Roman"/>
        </w:rPr>
        <w:t xml:space="preserve"> discontinuation of tegafur</w:t>
      </w:r>
      <w:r w:rsidR="004112C8" w:rsidRPr="002676CC">
        <w:rPr>
          <w:rFonts w:ascii="Book Antiqua" w:hAnsi="Book Antiqua" w:cs="Times New Roman"/>
        </w:rPr>
        <w:t>-</w:t>
      </w:r>
      <w:r w:rsidRPr="002676CC">
        <w:rPr>
          <w:rFonts w:ascii="Book Antiqua" w:hAnsi="Book Antiqua" w:cs="Times New Roman"/>
        </w:rPr>
        <w:t>uracil</w:t>
      </w:r>
      <w:r w:rsidR="00E21A82" w:rsidRPr="002676CC">
        <w:rPr>
          <w:rFonts w:ascii="Book Antiqua" w:hAnsi="Book Antiqua" w:cs="Times New Roman"/>
        </w:rPr>
        <w:t xml:space="preserve"> therapy. T</w:t>
      </w:r>
      <w:r w:rsidRPr="002676CC">
        <w:rPr>
          <w:rFonts w:ascii="Book Antiqua" w:hAnsi="Book Antiqua" w:cs="Times New Roman"/>
        </w:rPr>
        <w:t xml:space="preserve">his treatment plan improved the </w:t>
      </w:r>
      <w:r w:rsidRPr="002676CC">
        <w:rPr>
          <w:rFonts w:ascii="Book Antiqua" w:hAnsi="Book Antiqua" w:cs="Times New Roman"/>
        </w:rPr>
        <w:lastRenderedPageBreak/>
        <w:t>patient’s liver dysfunction. Therefore, it appeared that advanced hepatic fibrosis was induced by the short-term administration of tegafur-uracil.</w:t>
      </w:r>
    </w:p>
    <w:p w14:paraId="385373D2" w14:textId="5DD66D14" w:rsidR="0056332F" w:rsidRPr="002676CC" w:rsidRDefault="0056332F" w:rsidP="00BE6D3B">
      <w:pPr>
        <w:autoSpaceDE w:val="0"/>
        <w:autoSpaceDN w:val="0"/>
        <w:adjustRightInd w:val="0"/>
        <w:snapToGrid w:val="0"/>
        <w:spacing w:line="360" w:lineRule="auto"/>
        <w:ind w:firstLineChars="100" w:firstLine="240"/>
        <w:jc w:val="both"/>
        <w:rPr>
          <w:rFonts w:ascii="Book Antiqua" w:hAnsi="Book Antiqua" w:cs="Times New Roman"/>
          <w:strike/>
        </w:rPr>
      </w:pPr>
      <w:r w:rsidRPr="002676CC">
        <w:rPr>
          <w:rFonts w:ascii="Book Antiqua" w:hAnsi="Book Antiqua" w:cs="Times New Roman"/>
        </w:rPr>
        <w:t>Autoimmunity is related to liver injury induced by some drugs, such as herbal products, minocycline, diclofenac, stati</w:t>
      </w:r>
      <w:r w:rsidR="00BE6D3B">
        <w:rPr>
          <w:rFonts w:ascii="Book Antiqua" w:hAnsi="Book Antiqua" w:cs="Times New Roman"/>
        </w:rPr>
        <w:t>ns, and other biological agents</w:t>
      </w:r>
      <w:r w:rsidR="00BE6D3B">
        <w:rPr>
          <w:rFonts w:ascii="Book Antiqua" w:hAnsi="Book Antiqua" w:cs="Times New Roman"/>
          <w:vertAlign w:val="superscript"/>
        </w:rPr>
        <w:t>[9,</w:t>
      </w:r>
      <w:r w:rsidRPr="002676CC">
        <w:rPr>
          <w:rFonts w:ascii="Book Antiqua" w:hAnsi="Book Antiqua" w:cs="Times New Roman"/>
          <w:vertAlign w:val="superscript"/>
        </w:rPr>
        <w:t>10]</w:t>
      </w:r>
      <w:r w:rsidRPr="002676CC">
        <w:rPr>
          <w:rFonts w:ascii="Book Antiqua" w:hAnsi="Book Antiqua" w:cs="Times New Roman"/>
        </w:rPr>
        <w:t xml:space="preserve">. In our case, the mechanism underlying the rapid development </w:t>
      </w:r>
      <w:r w:rsidR="00F20A27" w:rsidRPr="002676CC">
        <w:rPr>
          <w:rFonts w:ascii="Book Antiqua" w:hAnsi="Book Antiqua" w:cs="Times New Roman"/>
        </w:rPr>
        <w:t>of hepatic fibrosis was unclear. H</w:t>
      </w:r>
      <w:r w:rsidRPr="002676CC">
        <w:rPr>
          <w:rFonts w:ascii="Book Antiqua" w:hAnsi="Book Antiqua" w:cs="Times New Roman"/>
        </w:rPr>
        <w:t>owever, certain mechanisms that underlie autoimmune reactions may have been associated with the rapid progression of fibrosis.</w:t>
      </w:r>
    </w:p>
    <w:p w14:paraId="748EFE87" w14:textId="1DD01D2F" w:rsidR="0056332F" w:rsidRPr="002676CC" w:rsidRDefault="0056332F" w:rsidP="00BE6D3B">
      <w:pPr>
        <w:autoSpaceDE w:val="0"/>
        <w:autoSpaceDN w:val="0"/>
        <w:adjustRightInd w:val="0"/>
        <w:snapToGrid w:val="0"/>
        <w:spacing w:line="360" w:lineRule="auto"/>
        <w:ind w:firstLineChars="100" w:firstLine="240"/>
        <w:jc w:val="both"/>
        <w:rPr>
          <w:rFonts w:ascii="Book Antiqua" w:hAnsi="Book Antiqua" w:cs="Times New Roman"/>
          <w:strike/>
        </w:rPr>
      </w:pPr>
      <w:r w:rsidRPr="002676CC">
        <w:rPr>
          <w:rFonts w:ascii="Book Antiqua" w:hAnsi="Book Antiqua" w:cs="Times New Roman"/>
        </w:rPr>
        <w:t>Recent</w:t>
      </w:r>
      <w:r w:rsidR="00F20A27" w:rsidRPr="002676CC">
        <w:rPr>
          <w:rFonts w:ascii="Book Antiqua" w:hAnsi="Book Antiqua" w:cs="Times New Roman"/>
        </w:rPr>
        <w:t xml:space="preserve"> studies have suggested that </w:t>
      </w:r>
      <w:r w:rsidRPr="002676CC">
        <w:rPr>
          <w:rFonts w:ascii="Book Antiqua" w:hAnsi="Book Antiqua" w:cs="Times New Roman"/>
        </w:rPr>
        <w:t>non-invasive assessment</w:t>
      </w:r>
      <w:r w:rsidR="00F20A27" w:rsidRPr="002676CC">
        <w:rPr>
          <w:rFonts w:ascii="Book Antiqua" w:hAnsi="Book Antiqua" w:cs="Times New Roman"/>
        </w:rPr>
        <w:t>s</w:t>
      </w:r>
      <w:r w:rsidRPr="002676CC">
        <w:rPr>
          <w:rFonts w:ascii="Book Antiqua" w:hAnsi="Book Antiqua" w:cs="Times New Roman"/>
        </w:rPr>
        <w:t xml:space="preserve"> of liver fibrosis, including approaches that </w:t>
      </w:r>
      <w:r w:rsidR="00BE6D3B">
        <w:rPr>
          <w:rFonts w:ascii="Book Antiqua" w:hAnsi="Book Antiqua" w:cs="Times New Roman"/>
        </w:rPr>
        <w:t>use MR elastography</w:t>
      </w:r>
      <w:r w:rsidR="00BE6D3B">
        <w:rPr>
          <w:rFonts w:ascii="Book Antiqua" w:hAnsi="Book Antiqua" w:cs="Times New Roman"/>
          <w:vertAlign w:val="superscript"/>
        </w:rPr>
        <w:t>[11,</w:t>
      </w:r>
      <w:r w:rsidRPr="002676CC">
        <w:rPr>
          <w:rFonts w:ascii="Book Antiqua" w:hAnsi="Book Antiqua" w:cs="Times New Roman"/>
          <w:vertAlign w:val="superscript"/>
        </w:rPr>
        <w:t>12]</w:t>
      </w:r>
      <w:r w:rsidR="00BE6D3B">
        <w:rPr>
          <w:rFonts w:ascii="Book Antiqua" w:hAnsi="Book Antiqua" w:cs="Times New Roman"/>
        </w:rPr>
        <w:t xml:space="preserve"> and VTQ</w:t>
      </w:r>
      <w:r w:rsidRPr="002676CC">
        <w:rPr>
          <w:rFonts w:ascii="Book Antiqua" w:hAnsi="Book Antiqua" w:cs="Times New Roman"/>
          <w:vertAlign w:val="superscript"/>
        </w:rPr>
        <w:t>[13-15]</w:t>
      </w:r>
      <w:r w:rsidR="00F20A27" w:rsidRPr="002676CC">
        <w:rPr>
          <w:rFonts w:ascii="Book Antiqua" w:hAnsi="Book Antiqua" w:cs="Times New Roman"/>
        </w:rPr>
        <w:t>, are</w:t>
      </w:r>
      <w:r w:rsidRPr="002676CC">
        <w:rPr>
          <w:rFonts w:ascii="Book Antiqua" w:hAnsi="Book Antiqua" w:cs="Times New Roman"/>
        </w:rPr>
        <w:t xml:space="preserve"> useful for predicting hepatic fibrosis in patients with liver disease, particularly </w:t>
      </w:r>
      <w:r w:rsidR="00F20A27" w:rsidRPr="002676CC">
        <w:rPr>
          <w:rFonts w:ascii="Book Antiqua" w:hAnsi="Book Antiqua" w:cs="Times New Roman"/>
        </w:rPr>
        <w:t xml:space="preserve">in </w:t>
      </w:r>
      <w:r w:rsidRPr="002676CC">
        <w:rPr>
          <w:rFonts w:ascii="Book Antiqua" w:hAnsi="Book Antiqua" w:cs="Times New Roman"/>
        </w:rPr>
        <w:t xml:space="preserve">those with chronic hepatitis C. Suo </w:t>
      </w:r>
      <w:r w:rsidRPr="00BE6D3B">
        <w:rPr>
          <w:rFonts w:ascii="Book Antiqua" w:hAnsi="Book Antiqua" w:cs="Times New Roman"/>
          <w:i/>
        </w:rPr>
        <w:t>et al</w:t>
      </w:r>
      <w:r w:rsidR="00BE6D3B">
        <w:rPr>
          <w:rFonts w:ascii="Book Antiqua" w:hAnsi="Book Antiqua" w:cs="Times New Roman"/>
          <w:vertAlign w:val="superscript"/>
        </w:rPr>
        <w:t>[1,</w:t>
      </w:r>
      <w:r w:rsidR="00BE6D3B" w:rsidRPr="002676CC">
        <w:rPr>
          <w:rFonts w:ascii="Book Antiqua" w:hAnsi="Book Antiqua" w:cs="Times New Roman"/>
          <w:vertAlign w:val="superscript"/>
        </w:rPr>
        <w:t>4]</w:t>
      </w:r>
      <w:r w:rsidR="00BE6D3B">
        <w:rPr>
          <w:rFonts w:ascii="Book Antiqua" w:eastAsia="SimSun" w:hAnsi="Book Antiqua" w:cs="Times New Roman" w:hint="eastAsia"/>
          <w:lang w:eastAsia="zh-CN"/>
        </w:rPr>
        <w:t xml:space="preserve"> </w:t>
      </w:r>
      <w:r w:rsidRPr="002676CC">
        <w:rPr>
          <w:rFonts w:ascii="Book Antiqua" w:hAnsi="Book Antiqua" w:cs="Times New Roman"/>
        </w:rPr>
        <w:t xml:space="preserve">reported that hepatic fibrosis without elevated transaminase levels could be induced by </w:t>
      </w:r>
      <w:r w:rsidR="00F20A27" w:rsidRPr="002676CC">
        <w:rPr>
          <w:rFonts w:ascii="Book Antiqua" w:hAnsi="Book Antiqua" w:cs="Times New Roman"/>
        </w:rPr>
        <w:t xml:space="preserve">the </w:t>
      </w:r>
      <w:r w:rsidRPr="002676CC">
        <w:rPr>
          <w:rFonts w:ascii="Book Antiqua" w:hAnsi="Book Antiqua" w:cs="Times New Roman"/>
        </w:rPr>
        <w:t>long-term oral administration of tegafur-uracil and that certain serum fibrosis markers, such as type IV collagen 7S, were useful for the diagnosis of tegafur-</w:t>
      </w:r>
      <w:r w:rsidR="00BE6D3B">
        <w:rPr>
          <w:rFonts w:ascii="Book Antiqua" w:hAnsi="Book Antiqua" w:cs="Times New Roman"/>
        </w:rPr>
        <w:t>uracil–induced hepatic fibrosis</w:t>
      </w:r>
      <w:r w:rsidR="00BE6D3B">
        <w:rPr>
          <w:rFonts w:ascii="Book Antiqua" w:hAnsi="Book Antiqua" w:cs="Times New Roman"/>
          <w:vertAlign w:val="superscript"/>
        </w:rPr>
        <w:t>[1,</w:t>
      </w:r>
      <w:r w:rsidRPr="002676CC">
        <w:rPr>
          <w:rFonts w:ascii="Book Antiqua" w:hAnsi="Book Antiqua" w:cs="Times New Roman"/>
          <w:vertAlign w:val="superscript"/>
        </w:rPr>
        <w:t>4]</w:t>
      </w:r>
      <w:r w:rsidRPr="002676CC">
        <w:rPr>
          <w:rFonts w:ascii="Book Antiqua" w:hAnsi="Book Antiqua" w:cs="Times New Roman"/>
        </w:rPr>
        <w:t>. In our case, serum fibrosis markers, MR elastography, and VTQ indicated the presence of advanced hepatic fibrosis. Histopathological findings from liver biopsy specimens supported the fi</w:t>
      </w:r>
      <w:r w:rsidR="00F20A27" w:rsidRPr="002676CC">
        <w:rPr>
          <w:rFonts w:ascii="Book Antiqua" w:hAnsi="Book Antiqua" w:cs="Times New Roman"/>
        </w:rPr>
        <w:t>ndings obtained using the above</w:t>
      </w:r>
      <w:r w:rsidRPr="002676CC">
        <w:rPr>
          <w:rFonts w:ascii="Book Antiqua" w:hAnsi="Book Antiqua" w:cs="Times New Roman"/>
        </w:rPr>
        <w:t>mentioned techniques. These data suggest that non-invasive approaches may be useful in diagnosing hepatic fibrosis in patients with DILI.</w:t>
      </w:r>
    </w:p>
    <w:p w14:paraId="2CC76693" w14:textId="4C915B14" w:rsidR="0056332F" w:rsidRPr="002676CC" w:rsidRDefault="0056332F" w:rsidP="00BE6D3B">
      <w:pPr>
        <w:snapToGrid w:val="0"/>
        <w:spacing w:line="360" w:lineRule="auto"/>
        <w:ind w:firstLineChars="100" w:firstLine="240"/>
        <w:jc w:val="both"/>
        <w:rPr>
          <w:rFonts w:ascii="Book Antiqua" w:hAnsi="Book Antiqua" w:cs="Times New Roman"/>
        </w:rPr>
      </w:pPr>
      <w:r w:rsidRPr="002676CC">
        <w:rPr>
          <w:rFonts w:ascii="Book Antiqua" w:hAnsi="Book Antiqua" w:cs="Times New Roman"/>
        </w:rPr>
        <w:t>In conclusion, our case suggests that short-term treatment with tegafur-uracil may lead to the rapid development of hepatic fibrosis with portal hypertension. Tegafur-uracil can occasionally induce liver injury, which may develop into advanced hepatic fibrosis with portal</w:t>
      </w:r>
      <w:r w:rsidR="00F20A27" w:rsidRPr="002676CC">
        <w:rPr>
          <w:rFonts w:ascii="Book Antiqua" w:hAnsi="Book Antiqua" w:cs="Times New Roman"/>
        </w:rPr>
        <w:t xml:space="preserve"> hypertension. H</w:t>
      </w:r>
      <w:r w:rsidRPr="002676CC">
        <w:rPr>
          <w:rFonts w:ascii="Book Antiqua" w:hAnsi="Book Antiqua" w:cs="Times New Roman"/>
        </w:rPr>
        <w:t xml:space="preserve">owever, hepatic fibrosis is not </w:t>
      </w:r>
      <w:r w:rsidR="00282A68" w:rsidRPr="002676CC">
        <w:rPr>
          <w:rFonts w:ascii="Book Antiqua" w:hAnsi="Book Antiqua" w:cs="Times New Roman"/>
        </w:rPr>
        <w:t>evaluated</w:t>
      </w:r>
      <w:r w:rsidRPr="002676CC">
        <w:rPr>
          <w:rFonts w:ascii="Book Antiqua" w:hAnsi="Book Antiqua" w:cs="Times New Roman"/>
        </w:rPr>
        <w:t xml:space="preserve"> in many cases. Thus, when liver dysfunction progresses in patients who are treated with tegafur-uracil even for short periods, oncologists should consider hepatic fibrosis and perform a non-invasive assessment </w:t>
      </w:r>
      <w:r w:rsidR="00F20A27" w:rsidRPr="002676CC">
        <w:rPr>
          <w:rFonts w:ascii="Book Antiqua" w:hAnsi="Book Antiqua" w:cs="Times New Roman"/>
        </w:rPr>
        <w:t>to rule out</w:t>
      </w:r>
      <w:r w:rsidRPr="002676CC">
        <w:rPr>
          <w:rFonts w:ascii="Book Antiqua" w:hAnsi="Book Antiqua" w:cs="Times New Roman"/>
        </w:rPr>
        <w:t xml:space="preserve"> this possibility.</w:t>
      </w:r>
    </w:p>
    <w:p w14:paraId="78B6CDAC" w14:textId="77777777" w:rsidR="00254D69" w:rsidRPr="002676CC" w:rsidRDefault="00254D69" w:rsidP="00AE09AF">
      <w:pPr>
        <w:snapToGrid w:val="0"/>
        <w:spacing w:line="360" w:lineRule="auto"/>
        <w:jc w:val="both"/>
        <w:rPr>
          <w:rFonts w:ascii="Book Antiqua" w:hAnsi="Book Antiqua" w:cs="Times New Roman"/>
        </w:rPr>
      </w:pPr>
    </w:p>
    <w:p w14:paraId="17FD2923" w14:textId="77777777" w:rsidR="00254D69" w:rsidRPr="002676CC" w:rsidRDefault="00254D69" w:rsidP="00AE09AF">
      <w:pPr>
        <w:snapToGrid w:val="0"/>
        <w:spacing w:line="360" w:lineRule="auto"/>
        <w:jc w:val="both"/>
        <w:rPr>
          <w:rFonts w:ascii="Book Antiqua" w:hAnsi="Book Antiqua" w:cs="Times New Roman"/>
          <w:b/>
        </w:rPr>
      </w:pPr>
      <w:r w:rsidRPr="002676CC">
        <w:rPr>
          <w:rFonts w:ascii="Book Antiqua" w:hAnsi="Book Antiqua" w:cs="Times New Roman"/>
          <w:b/>
        </w:rPr>
        <w:t>COMMENTS</w:t>
      </w:r>
    </w:p>
    <w:p w14:paraId="661FDBAF" w14:textId="77777777" w:rsidR="002759FC" w:rsidRPr="002676CC" w:rsidRDefault="002759FC" w:rsidP="00AE09AF">
      <w:pPr>
        <w:snapToGrid w:val="0"/>
        <w:spacing w:line="360" w:lineRule="auto"/>
        <w:jc w:val="both"/>
        <w:rPr>
          <w:rFonts w:ascii="Book Antiqua" w:hAnsi="Book Antiqua" w:cs="Times New Roman"/>
          <w:b/>
          <w:i/>
        </w:rPr>
      </w:pPr>
      <w:r w:rsidRPr="002676CC">
        <w:rPr>
          <w:rFonts w:ascii="Book Antiqua" w:hAnsi="Book Antiqua" w:cs="Times New Roman"/>
          <w:b/>
          <w:i/>
        </w:rPr>
        <w:lastRenderedPageBreak/>
        <w:t>Case characteristics</w:t>
      </w:r>
    </w:p>
    <w:p w14:paraId="6F3BBCB6" w14:textId="1257269E" w:rsidR="002759FC" w:rsidRPr="002676CC" w:rsidRDefault="002759FC" w:rsidP="00AE09AF">
      <w:pPr>
        <w:snapToGrid w:val="0"/>
        <w:spacing w:line="360" w:lineRule="auto"/>
        <w:jc w:val="both"/>
        <w:rPr>
          <w:rFonts w:ascii="Book Antiqua" w:hAnsi="Book Antiqua" w:cs="Times New Roman"/>
        </w:rPr>
      </w:pPr>
      <w:r w:rsidRPr="002676CC">
        <w:rPr>
          <w:rFonts w:ascii="Book Antiqua" w:hAnsi="Book Antiqua" w:cs="Times New Roman"/>
        </w:rPr>
        <w:t>A 74-year-old Japanese woman who was treated with tegafur-uracil for 8 mo</w:t>
      </w:r>
      <w:r w:rsidR="00BE6D3B">
        <w:rPr>
          <w:rFonts w:ascii="Book Antiqua" w:eastAsia="SimSun" w:hAnsi="Book Antiqua" w:cs="Times New Roman" w:hint="eastAsia"/>
          <w:lang w:eastAsia="zh-CN"/>
        </w:rPr>
        <w:t xml:space="preserve"> </w:t>
      </w:r>
      <w:r w:rsidRPr="002676CC">
        <w:rPr>
          <w:rFonts w:ascii="Book Antiqua" w:hAnsi="Book Antiqua" w:cs="Times New Roman"/>
        </w:rPr>
        <w:t>after breast cancer surgery p</w:t>
      </w:r>
      <w:r w:rsidR="00EB2D43" w:rsidRPr="002676CC">
        <w:rPr>
          <w:rFonts w:ascii="Book Antiqua" w:hAnsi="Book Antiqua" w:cs="Times New Roman"/>
        </w:rPr>
        <w:t>resented with abdominal distension</w:t>
      </w:r>
      <w:r w:rsidRPr="002676CC">
        <w:rPr>
          <w:rFonts w:ascii="Book Antiqua" w:hAnsi="Book Antiqua" w:cs="Times New Roman"/>
        </w:rPr>
        <w:t xml:space="preserve"> and leg edema.</w:t>
      </w:r>
    </w:p>
    <w:p w14:paraId="61C380C9" w14:textId="77777777" w:rsidR="00725D97" w:rsidRPr="002676CC" w:rsidRDefault="00725D97" w:rsidP="00AE09AF">
      <w:pPr>
        <w:snapToGrid w:val="0"/>
        <w:spacing w:line="360" w:lineRule="auto"/>
        <w:jc w:val="both"/>
        <w:rPr>
          <w:rFonts w:ascii="Book Antiqua" w:hAnsi="Book Antiqua" w:cs="Times New Roman"/>
        </w:rPr>
      </w:pPr>
    </w:p>
    <w:p w14:paraId="243083CD" w14:textId="77777777" w:rsidR="00ED32E7" w:rsidRPr="002676CC" w:rsidRDefault="00ED32E7" w:rsidP="00AE09AF">
      <w:pPr>
        <w:snapToGrid w:val="0"/>
        <w:spacing w:line="360" w:lineRule="auto"/>
        <w:jc w:val="both"/>
        <w:rPr>
          <w:rFonts w:ascii="Book Antiqua" w:hAnsi="Book Antiqua" w:cs="Times New Roman"/>
          <w:b/>
          <w:i/>
        </w:rPr>
      </w:pPr>
      <w:r w:rsidRPr="002676CC">
        <w:rPr>
          <w:rFonts w:ascii="Book Antiqua" w:hAnsi="Book Antiqua" w:cs="Times New Roman"/>
          <w:b/>
          <w:i/>
        </w:rPr>
        <w:t>Clinical diagnosis</w:t>
      </w:r>
    </w:p>
    <w:p w14:paraId="743D0EB6" w14:textId="77777777" w:rsidR="005E2FAB" w:rsidRPr="002676CC" w:rsidRDefault="005E2FAB" w:rsidP="00AE09AF">
      <w:pPr>
        <w:snapToGrid w:val="0"/>
        <w:spacing w:line="360" w:lineRule="auto"/>
        <w:jc w:val="both"/>
        <w:rPr>
          <w:rFonts w:ascii="Book Antiqua" w:hAnsi="Book Antiqua" w:cs="Times New Roman"/>
        </w:rPr>
      </w:pPr>
      <w:r w:rsidRPr="002676CC">
        <w:rPr>
          <w:rFonts w:ascii="Book Antiqua" w:hAnsi="Book Antiqua" w:cs="Times New Roman"/>
        </w:rPr>
        <w:t>Massive ascites and leg edema.</w:t>
      </w:r>
    </w:p>
    <w:p w14:paraId="656A41A5" w14:textId="77777777" w:rsidR="00ED32E7" w:rsidRPr="002676CC" w:rsidRDefault="005E2FAB" w:rsidP="00AE09AF">
      <w:pPr>
        <w:snapToGrid w:val="0"/>
        <w:spacing w:line="360" w:lineRule="auto"/>
        <w:jc w:val="both"/>
        <w:rPr>
          <w:rFonts w:ascii="Book Antiqua" w:hAnsi="Book Antiqua" w:cs="Times New Roman"/>
        </w:rPr>
      </w:pPr>
      <w:r w:rsidRPr="002676CC">
        <w:rPr>
          <w:rFonts w:ascii="Book Antiqua" w:hAnsi="Book Antiqua" w:cs="Times New Roman"/>
        </w:rPr>
        <w:t>.</w:t>
      </w:r>
    </w:p>
    <w:p w14:paraId="38653594" w14:textId="77777777" w:rsidR="00ED32E7" w:rsidRPr="002676CC" w:rsidRDefault="00ED32E7" w:rsidP="00AE09AF">
      <w:pPr>
        <w:snapToGrid w:val="0"/>
        <w:spacing w:line="360" w:lineRule="auto"/>
        <w:jc w:val="both"/>
        <w:rPr>
          <w:rFonts w:ascii="Book Antiqua" w:hAnsi="Book Antiqua" w:cs="Times New Roman"/>
          <w:b/>
          <w:i/>
        </w:rPr>
      </w:pPr>
      <w:r w:rsidRPr="002676CC">
        <w:rPr>
          <w:rFonts w:ascii="Book Antiqua" w:hAnsi="Book Antiqua" w:cs="Times New Roman"/>
          <w:b/>
          <w:i/>
        </w:rPr>
        <w:t>Differential diagnosis</w:t>
      </w:r>
    </w:p>
    <w:p w14:paraId="1DC5320E" w14:textId="77777777" w:rsidR="00ED32E7" w:rsidRPr="002676CC" w:rsidRDefault="005E2FAB" w:rsidP="00AE09AF">
      <w:pPr>
        <w:snapToGrid w:val="0"/>
        <w:spacing w:line="360" w:lineRule="auto"/>
        <w:jc w:val="both"/>
        <w:rPr>
          <w:rFonts w:ascii="Book Antiqua" w:hAnsi="Book Antiqua" w:cs="Times New Roman"/>
        </w:rPr>
      </w:pPr>
      <w:r w:rsidRPr="002676CC">
        <w:rPr>
          <w:rFonts w:ascii="Book Antiqua" w:hAnsi="Book Antiqua" w:cs="Times New Roman"/>
        </w:rPr>
        <w:t>Primary biliary cholangitis</w:t>
      </w:r>
      <w:r w:rsidR="00831A0F" w:rsidRPr="002676CC">
        <w:rPr>
          <w:rFonts w:ascii="Book Antiqua" w:hAnsi="Book Antiqua" w:cs="Times New Roman"/>
        </w:rPr>
        <w:t>.</w:t>
      </w:r>
    </w:p>
    <w:p w14:paraId="311DFAE9" w14:textId="77777777" w:rsidR="005E2FAB" w:rsidRPr="002676CC" w:rsidRDefault="005E2FAB" w:rsidP="00AE09AF">
      <w:pPr>
        <w:snapToGrid w:val="0"/>
        <w:spacing w:line="360" w:lineRule="auto"/>
        <w:jc w:val="both"/>
        <w:rPr>
          <w:rFonts w:ascii="Book Antiqua" w:hAnsi="Book Antiqua" w:cs="Times New Roman"/>
        </w:rPr>
      </w:pPr>
    </w:p>
    <w:p w14:paraId="662F7C7B" w14:textId="77777777" w:rsidR="000327AE" w:rsidRPr="002676CC" w:rsidRDefault="000327AE" w:rsidP="00AE09AF">
      <w:pPr>
        <w:snapToGrid w:val="0"/>
        <w:spacing w:line="360" w:lineRule="auto"/>
        <w:jc w:val="both"/>
        <w:rPr>
          <w:rFonts w:ascii="Book Antiqua" w:hAnsi="Book Antiqua" w:cs="Times New Roman"/>
          <w:b/>
          <w:i/>
        </w:rPr>
      </w:pPr>
      <w:r w:rsidRPr="002676CC">
        <w:rPr>
          <w:rFonts w:ascii="Book Antiqua" w:hAnsi="Book Antiqua" w:cs="Times New Roman"/>
          <w:b/>
          <w:i/>
        </w:rPr>
        <w:t>Laboratory diagnosis</w:t>
      </w:r>
    </w:p>
    <w:p w14:paraId="46C77198" w14:textId="77777777" w:rsidR="000327AE" w:rsidRPr="002676CC" w:rsidRDefault="00204379" w:rsidP="00AE09AF">
      <w:pPr>
        <w:snapToGrid w:val="0"/>
        <w:spacing w:line="360" w:lineRule="auto"/>
        <w:jc w:val="both"/>
        <w:rPr>
          <w:rFonts w:ascii="Book Antiqua" w:hAnsi="Book Antiqua" w:cs="Times New Roman"/>
        </w:rPr>
      </w:pPr>
      <w:r w:rsidRPr="002676CC">
        <w:rPr>
          <w:rFonts w:ascii="Book Antiqua" w:hAnsi="Book Antiqua" w:cs="Times New Roman"/>
        </w:rPr>
        <w:t>Laboratory examination revealed low platelet counts, liver dysfunction, and high hepatic fibrosis markers</w:t>
      </w:r>
      <w:r w:rsidR="00EB7189" w:rsidRPr="002676CC">
        <w:rPr>
          <w:rFonts w:ascii="Book Antiqua" w:hAnsi="Book Antiqua" w:cs="Times New Roman"/>
        </w:rPr>
        <w:t xml:space="preserve"> such as </w:t>
      </w:r>
      <w:r w:rsidR="00EB7189" w:rsidRPr="002676CC">
        <w:rPr>
          <w:rFonts w:ascii="Book Antiqua" w:hAnsi="Book Antiqua"/>
        </w:rPr>
        <w:t>type 4 collagen 7S and hyaluronic acid</w:t>
      </w:r>
      <w:r w:rsidR="00EB7189" w:rsidRPr="002676CC">
        <w:rPr>
          <w:rFonts w:ascii="Book Antiqua" w:hAnsi="Book Antiqua" w:cs="Times New Roman"/>
        </w:rPr>
        <w:t>.</w:t>
      </w:r>
    </w:p>
    <w:p w14:paraId="6C5DB82C" w14:textId="77777777" w:rsidR="00EB7189" w:rsidRPr="002676CC" w:rsidRDefault="00EB7189" w:rsidP="00AE09AF">
      <w:pPr>
        <w:snapToGrid w:val="0"/>
        <w:spacing w:line="360" w:lineRule="auto"/>
        <w:jc w:val="both"/>
        <w:rPr>
          <w:rFonts w:ascii="Book Antiqua" w:hAnsi="Book Antiqua" w:cs="Times New Roman"/>
        </w:rPr>
      </w:pPr>
    </w:p>
    <w:p w14:paraId="626F55A9" w14:textId="77777777" w:rsidR="00ED32E7" w:rsidRPr="002676CC" w:rsidRDefault="00ED32E7" w:rsidP="00AE09AF">
      <w:pPr>
        <w:snapToGrid w:val="0"/>
        <w:spacing w:line="360" w:lineRule="auto"/>
        <w:jc w:val="both"/>
        <w:rPr>
          <w:rFonts w:ascii="Book Antiqua" w:hAnsi="Book Antiqua" w:cs="Times New Roman"/>
          <w:b/>
          <w:i/>
        </w:rPr>
      </w:pPr>
      <w:r w:rsidRPr="002676CC">
        <w:rPr>
          <w:rFonts w:ascii="Book Antiqua" w:hAnsi="Book Antiqua" w:cs="Times New Roman"/>
          <w:b/>
          <w:i/>
        </w:rPr>
        <w:t>Imaging diagnosis</w:t>
      </w:r>
    </w:p>
    <w:p w14:paraId="643620F7" w14:textId="6CF14265" w:rsidR="00204379" w:rsidRPr="002676CC" w:rsidRDefault="001F5666" w:rsidP="00AE09AF">
      <w:pPr>
        <w:snapToGrid w:val="0"/>
        <w:spacing w:line="360" w:lineRule="auto"/>
        <w:jc w:val="both"/>
        <w:rPr>
          <w:rFonts w:ascii="Book Antiqua" w:hAnsi="Book Antiqua" w:cs="Times New Roman"/>
        </w:rPr>
      </w:pPr>
      <w:r w:rsidRPr="002676CC">
        <w:rPr>
          <w:rFonts w:ascii="Book Antiqua" w:hAnsi="Book Antiqua" w:cs="Times New Roman"/>
        </w:rPr>
        <w:t>CT</w:t>
      </w:r>
      <w:r w:rsidR="008472E5" w:rsidRPr="002676CC">
        <w:rPr>
          <w:rFonts w:ascii="Book Antiqua" w:hAnsi="Book Antiqua" w:cs="Times New Roman"/>
        </w:rPr>
        <w:t xml:space="preserve"> </w:t>
      </w:r>
      <w:r w:rsidR="00652B0B" w:rsidRPr="002676CC">
        <w:rPr>
          <w:rFonts w:ascii="Book Antiqua" w:hAnsi="Book Antiqua" w:cs="Times New Roman"/>
        </w:rPr>
        <w:t xml:space="preserve">imaging </w:t>
      </w:r>
      <w:r w:rsidR="008472E5" w:rsidRPr="002676CC">
        <w:rPr>
          <w:rFonts w:ascii="Book Antiqua" w:hAnsi="Book Antiqua" w:cs="Times New Roman"/>
        </w:rPr>
        <w:t>revealed m</w:t>
      </w:r>
      <w:r w:rsidRPr="002676CC">
        <w:rPr>
          <w:rFonts w:ascii="Book Antiqua" w:hAnsi="Book Antiqua" w:cs="Times New Roman"/>
        </w:rPr>
        <w:t>a</w:t>
      </w:r>
      <w:r w:rsidR="002D6495" w:rsidRPr="002676CC">
        <w:rPr>
          <w:rFonts w:ascii="Book Antiqua" w:hAnsi="Book Antiqua" w:cs="Times New Roman"/>
        </w:rPr>
        <w:t>ssive ascites and splenomegaly</w:t>
      </w:r>
      <w:r w:rsidR="00E47DA2" w:rsidRPr="002676CC">
        <w:rPr>
          <w:rFonts w:ascii="Book Antiqua" w:hAnsi="Book Antiqua" w:cs="Times New Roman"/>
        </w:rPr>
        <w:t>, and</w:t>
      </w:r>
      <w:r w:rsidR="004910F3" w:rsidRPr="002676CC">
        <w:rPr>
          <w:rFonts w:ascii="Book Antiqua" w:hAnsi="Book Antiqua" w:cs="Times New Roman"/>
        </w:rPr>
        <w:t xml:space="preserve"> </w:t>
      </w:r>
      <w:r w:rsidR="00E47DA2" w:rsidRPr="002676CC">
        <w:rPr>
          <w:rFonts w:ascii="Book Antiqua" w:hAnsi="Book Antiqua" w:cs="Times New Roman"/>
        </w:rPr>
        <w:t xml:space="preserve">both of </w:t>
      </w:r>
      <w:r w:rsidR="00652B0B" w:rsidRPr="002676CC">
        <w:rPr>
          <w:rFonts w:ascii="Book Antiqua" w:hAnsi="Book Antiqua" w:cs="Times New Roman"/>
        </w:rPr>
        <w:t xml:space="preserve">MR </w:t>
      </w:r>
      <w:r w:rsidR="00997D4F" w:rsidRPr="002676CC">
        <w:rPr>
          <w:rFonts w:ascii="Book Antiqua" w:hAnsi="Book Antiqua" w:cs="Times New Roman"/>
        </w:rPr>
        <w:t>elastography and V</w:t>
      </w:r>
      <w:r w:rsidR="00652B0B" w:rsidRPr="002676CC">
        <w:rPr>
          <w:rFonts w:ascii="Book Antiqua" w:hAnsi="Book Antiqua" w:cs="Times New Roman"/>
        </w:rPr>
        <w:t>TQ</w:t>
      </w:r>
      <w:r w:rsidR="009064D5" w:rsidRPr="002676CC">
        <w:rPr>
          <w:rFonts w:ascii="Book Antiqua" w:hAnsi="Book Antiqua" w:cs="Times New Roman"/>
        </w:rPr>
        <w:t xml:space="preserve"> indicated advanced hepatic fibrosis.</w:t>
      </w:r>
    </w:p>
    <w:p w14:paraId="0B9B8524" w14:textId="77777777" w:rsidR="004B06DC" w:rsidRPr="002676CC" w:rsidRDefault="004B06DC" w:rsidP="00AE09AF">
      <w:pPr>
        <w:snapToGrid w:val="0"/>
        <w:spacing w:line="360" w:lineRule="auto"/>
        <w:jc w:val="both"/>
        <w:rPr>
          <w:rFonts w:ascii="Book Antiqua" w:hAnsi="Book Antiqua" w:cs="Times New Roman"/>
          <w:b/>
        </w:rPr>
      </w:pPr>
    </w:p>
    <w:p w14:paraId="684F6EA6" w14:textId="77777777" w:rsidR="002759FC" w:rsidRPr="002676CC" w:rsidRDefault="002759FC" w:rsidP="00AE09AF">
      <w:pPr>
        <w:snapToGrid w:val="0"/>
        <w:spacing w:line="360" w:lineRule="auto"/>
        <w:jc w:val="both"/>
        <w:rPr>
          <w:rFonts w:ascii="Book Antiqua" w:hAnsi="Book Antiqua" w:cs="Times New Roman"/>
          <w:b/>
          <w:i/>
        </w:rPr>
      </w:pPr>
      <w:r w:rsidRPr="002676CC">
        <w:rPr>
          <w:rFonts w:ascii="Book Antiqua" w:hAnsi="Book Antiqua" w:cs="Times New Roman"/>
          <w:b/>
          <w:i/>
        </w:rPr>
        <w:t>Pathological diagnosis</w:t>
      </w:r>
    </w:p>
    <w:p w14:paraId="4A54B577" w14:textId="1F3435E5" w:rsidR="002759FC" w:rsidRPr="002676CC" w:rsidRDefault="008360E2" w:rsidP="00AE09AF">
      <w:pPr>
        <w:snapToGrid w:val="0"/>
        <w:spacing w:line="360" w:lineRule="auto"/>
        <w:jc w:val="both"/>
        <w:rPr>
          <w:rFonts w:ascii="Book Antiqua" w:hAnsi="Book Antiqua" w:cs="Times New Roman"/>
        </w:rPr>
      </w:pPr>
      <w:r w:rsidRPr="002676CC">
        <w:rPr>
          <w:rFonts w:ascii="Book Antiqua" w:hAnsi="Book Antiqua" w:cs="Times New Roman"/>
        </w:rPr>
        <w:t>P</w:t>
      </w:r>
      <w:r w:rsidR="002759FC" w:rsidRPr="002676CC">
        <w:rPr>
          <w:rFonts w:ascii="Book Antiqua" w:hAnsi="Book Antiqua" w:cs="Times New Roman"/>
        </w:rPr>
        <w:t>athological examination reveale</w:t>
      </w:r>
      <w:r w:rsidR="002D6495" w:rsidRPr="002676CC">
        <w:rPr>
          <w:rFonts w:ascii="Book Antiqua" w:hAnsi="Book Antiqua" w:cs="Times New Roman"/>
        </w:rPr>
        <w:t xml:space="preserve">d </w:t>
      </w:r>
      <w:r w:rsidR="002759FC" w:rsidRPr="002676CC">
        <w:rPr>
          <w:rFonts w:ascii="Book Antiqua" w:hAnsi="Book Antiqua" w:cs="Times New Roman"/>
        </w:rPr>
        <w:t>b</w:t>
      </w:r>
      <w:r w:rsidR="002D6495" w:rsidRPr="002676CC">
        <w:rPr>
          <w:rFonts w:ascii="Book Antiqua" w:hAnsi="Book Antiqua" w:cs="Times New Roman"/>
        </w:rPr>
        <w:t>ridging fibrosis with septation, suggesting</w:t>
      </w:r>
      <w:r w:rsidR="002759FC" w:rsidRPr="002676CC">
        <w:rPr>
          <w:rFonts w:ascii="Book Antiqua" w:hAnsi="Book Antiqua" w:cs="Times New Roman"/>
        </w:rPr>
        <w:t xml:space="preserve"> advanced </w:t>
      </w:r>
      <w:r w:rsidR="002D6495" w:rsidRPr="002676CC">
        <w:rPr>
          <w:rFonts w:ascii="Book Antiqua" w:hAnsi="Book Antiqua" w:cs="Times New Roman"/>
        </w:rPr>
        <w:t xml:space="preserve">hepatic </w:t>
      </w:r>
      <w:r w:rsidR="002759FC" w:rsidRPr="002676CC">
        <w:rPr>
          <w:rFonts w:ascii="Book Antiqua" w:hAnsi="Book Antiqua" w:cs="Times New Roman"/>
        </w:rPr>
        <w:t>fibrosis.</w:t>
      </w:r>
    </w:p>
    <w:p w14:paraId="2EC263EF" w14:textId="77777777" w:rsidR="008472E5" w:rsidRPr="002676CC" w:rsidRDefault="008472E5" w:rsidP="00AE09AF">
      <w:pPr>
        <w:snapToGrid w:val="0"/>
        <w:spacing w:line="360" w:lineRule="auto"/>
        <w:jc w:val="both"/>
        <w:rPr>
          <w:rFonts w:ascii="Book Antiqua" w:hAnsi="Book Antiqua" w:cs="Times New Roman"/>
        </w:rPr>
      </w:pPr>
    </w:p>
    <w:p w14:paraId="72808929" w14:textId="77777777" w:rsidR="00ED32E7" w:rsidRPr="002676CC" w:rsidRDefault="00ED32E7" w:rsidP="00AE09AF">
      <w:pPr>
        <w:snapToGrid w:val="0"/>
        <w:spacing w:line="360" w:lineRule="auto"/>
        <w:jc w:val="both"/>
        <w:rPr>
          <w:rFonts w:ascii="Book Antiqua" w:hAnsi="Book Antiqua" w:cs="Times New Roman"/>
          <w:b/>
          <w:i/>
        </w:rPr>
      </w:pPr>
      <w:r w:rsidRPr="002676CC">
        <w:rPr>
          <w:rFonts w:ascii="Book Antiqua" w:hAnsi="Book Antiqua" w:cs="Times New Roman"/>
          <w:b/>
          <w:i/>
        </w:rPr>
        <w:t>Treatment</w:t>
      </w:r>
    </w:p>
    <w:p w14:paraId="481AD2B8" w14:textId="77777777" w:rsidR="00831A0F" w:rsidRPr="002676CC" w:rsidRDefault="00831A0F" w:rsidP="00AE09AF">
      <w:pPr>
        <w:snapToGrid w:val="0"/>
        <w:spacing w:line="360" w:lineRule="auto"/>
        <w:jc w:val="both"/>
        <w:rPr>
          <w:rFonts w:ascii="Book Antiqua" w:hAnsi="Book Antiqua" w:cs="Times New Roman"/>
        </w:rPr>
      </w:pPr>
      <w:r w:rsidRPr="002676CC">
        <w:rPr>
          <w:rFonts w:ascii="Book Antiqua" w:hAnsi="Book Antiqua" w:cs="Times New Roman"/>
        </w:rPr>
        <w:t>Discontinuation of tegafur-uracil combined with conservative treatment.</w:t>
      </w:r>
    </w:p>
    <w:p w14:paraId="4812BB2E" w14:textId="77777777" w:rsidR="00831A0F" w:rsidRPr="002676CC" w:rsidRDefault="00831A0F" w:rsidP="00AE09AF">
      <w:pPr>
        <w:snapToGrid w:val="0"/>
        <w:spacing w:line="360" w:lineRule="auto"/>
        <w:jc w:val="both"/>
        <w:rPr>
          <w:rFonts w:ascii="Book Antiqua" w:hAnsi="Book Antiqua" w:cs="Times New Roman"/>
        </w:rPr>
      </w:pPr>
    </w:p>
    <w:p w14:paraId="11A3A17D" w14:textId="77777777" w:rsidR="002759FC" w:rsidRPr="002676CC" w:rsidRDefault="002759FC" w:rsidP="00AE09AF">
      <w:pPr>
        <w:snapToGrid w:val="0"/>
        <w:spacing w:line="360" w:lineRule="auto"/>
        <w:jc w:val="both"/>
        <w:rPr>
          <w:rFonts w:ascii="Book Antiqua" w:hAnsi="Book Antiqua" w:cs="Times New Roman"/>
          <w:b/>
          <w:i/>
        </w:rPr>
      </w:pPr>
      <w:r w:rsidRPr="002676CC">
        <w:rPr>
          <w:rFonts w:ascii="Book Antiqua" w:hAnsi="Book Antiqua" w:cs="Times New Roman"/>
          <w:b/>
          <w:i/>
        </w:rPr>
        <w:t>Related reports</w:t>
      </w:r>
    </w:p>
    <w:p w14:paraId="4D7700B7" w14:textId="725A8CD4" w:rsidR="002759FC" w:rsidRPr="002676CC" w:rsidRDefault="002759FC" w:rsidP="00AE09AF">
      <w:pPr>
        <w:snapToGrid w:val="0"/>
        <w:spacing w:line="360" w:lineRule="auto"/>
        <w:jc w:val="both"/>
        <w:rPr>
          <w:rFonts w:ascii="Book Antiqua" w:hAnsi="Book Antiqua" w:cs="Times New Roman"/>
        </w:rPr>
      </w:pPr>
      <w:r w:rsidRPr="002676CC">
        <w:rPr>
          <w:rFonts w:ascii="Book Antiqua" w:hAnsi="Book Antiqua" w:cs="Times New Roman"/>
        </w:rPr>
        <w:t>Some studies have shown the development of hepatic fib</w:t>
      </w:r>
      <w:r w:rsidR="008360E2" w:rsidRPr="002676CC">
        <w:rPr>
          <w:rFonts w:ascii="Book Antiqua" w:hAnsi="Book Antiqua" w:cs="Times New Roman"/>
        </w:rPr>
        <w:t>rosis induced by tegafur-uracil. H</w:t>
      </w:r>
      <w:r w:rsidRPr="002676CC">
        <w:rPr>
          <w:rFonts w:ascii="Book Antiqua" w:hAnsi="Book Antiqua" w:cs="Times New Roman"/>
        </w:rPr>
        <w:t xml:space="preserve">owever, all </w:t>
      </w:r>
      <w:r w:rsidR="008360E2" w:rsidRPr="002676CC">
        <w:rPr>
          <w:rFonts w:ascii="Book Antiqua" w:hAnsi="Book Antiqua" w:cs="Times New Roman"/>
        </w:rPr>
        <w:t>of the</w:t>
      </w:r>
      <w:r w:rsidRPr="002676CC">
        <w:rPr>
          <w:rFonts w:ascii="Book Antiqua" w:hAnsi="Book Antiqua" w:cs="Times New Roman"/>
        </w:rPr>
        <w:t xml:space="preserve"> previously described patients had been treated with tegafur-uracil </w:t>
      </w:r>
      <w:r w:rsidR="008360E2" w:rsidRPr="002676CC">
        <w:rPr>
          <w:rFonts w:ascii="Book Antiqua" w:hAnsi="Book Antiqua" w:cs="Times New Roman"/>
        </w:rPr>
        <w:t>for</w:t>
      </w:r>
      <w:r w:rsidRPr="002676CC">
        <w:rPr>
          <w:rFonts w:ascii="Book Antiqua" w:hAnsi="Book Antiqua" w:cs="Times New Roman"/>
        </w:rPr>
        <w:t xml:space="preserve"> a long period of time.</w:t>
      </w:r>
    </w:p>
    <w:p w14:paraId="6963512F" w14:textId="77777777" w:rsidR="004B6F33" w:rsidRPr="002676CC" w:rsidRDefault="004B6F33" w:rsidP="00AE09AF">
      <w:pPr>
        <w:snapToGrid w:val="0"/>
        <w:spacing w:line="360" w:lineRule="auto"/>
        <w:jc w:val="both"/>
        <w:rPr>
          <w:rFonts w:ascii="Book Antiqua" w:hAnsi="Book Antiqua" w:cs="Times New Roman"/>
        </w:rPr>
      </w:pPr>
    </w:p>
    <w:p w14:paraId="222E56B6" w14:textId="77777777" w:rsidR="002759FC" w:rsidRPr="002676CC" w:rsidRDefault="002759FC" w:rsidP="00AE09AF">
      <w:pPr>
        <w:snapToGrid w:val="0"/>
        <w:spacing w:line="360" w:lineRule="auto"/>
        <w:jc w:val="both"/>
        <w:rPr>
          <w:rFonts w:ascii="Book Antiqua" w:hAnsi="Book Antiqua" w:cs="Times New Roman"/>
          <w:b/>
          <w:i/>
        </w:rPr>
      </w:pPr>
      <w:r w:rsidRPr="002676CC">
        <w:rPr>
          <w:rFonts w:ascii="Book Antiqua" w:hAnsi="Book Antiqua" w:cs="Times New Roman"/>
          <w:b/>
          <w:i/>
        </w:rPr>
        <w:lastRenderedPageBreak/>
        <w:t>Term explanation</w:t>
      </w:r>
    </w:p>
    <w:p w14:paraId="66C14767" w14:textId="105B7335" w:rsidR="002759FC" w:rsidRPr="002676CC" w:rsidRDefault="002759FC" w:rsidP="00AE09AF">
      <w:pPr>
        <w:snapToGrid w:val="0"/>
        <w:spacing w:line="360" w:lineRule="auto"/>
        <w:jc w:val="both"/>
        <w:rPr>
          <w:rFonts w:ascii="Book Antiqua" w:hAnsi="Book Antiqua" w:cs="Times New Roman"/>
        </w:rPr>
      </w:pPr>
      <w:r w:rsidRPr="002676CC">
        <w:rPr>
          <w:rFonts w:ascii="Book Antiqua" w:hAnsi="Book Antiqua" w:cs="Times New Roman"/>
        </w:rPr>
        <w:t>Tegafur-uracil has minor adverse effects and is associated with liver injury in only 1.79% of Japanese patients</w:t>
      </w:r>
      <w:r w:rsidR="008360E2" w:rsidRPr="002676CC">
        <w:rPr>
          <w:rFonts w:ascii="Book Antiqua" w:hAnsi="Book Antiqua" w:cs="Times New Roman"/>
        </w:rPr>
        <w:t>. T</w:t>
      </w:r>
      <w:r w:rsidRPr="002676CC">
        <w:rPr>
          <w:rFonts w:ascii="Book Antiqua" w:hAnsi="Book Antiqua" w:cs="Times New Roman"/>
        </w:rPr>
        <w:t>egafur-uracil-induced hepatic fibrosis is rare.</w:t>
      </w:r>
    </w:p>
    <w:p w14:paraId="1FDD189B" w14:textId="77777777" w:rsidR="004B6F33" w:rsidRPr="002676CC" w:rsidRDefault="004B6F33" w:rsidP="00AE09AF">
      <w:pPr>
        <w:snapToGrid w:val="0"/>
        <w:spacing w:line="360" w:lineRule="auto"/>
        <w:jc w:val="both"/>
        <w:rPr>
          <w:rFonts w:ascii="Book Antiqua" w:hAnsi="Book Antiqua" w:cs="Times New Roman"/>
        </w:rPr>
      </w:pPr>
    </w:p>
    <w:p w14:paraId="0005B227" w14:textId="77777777" w:rsidR="00405BD4" w:rsidRPr="002676CC" w:rsidRDefault="00405BD4" w:rsidP="00AE09AF">
      <w:pPr>
        <w:snapToGrid w:val="0"/>
        <w:spacing w:line="360" w:lineRule="auto"/>
        <w:jc w:val="both"/>
        <w:rPr>
          <w:rFonts w:ascii="Book Antiqua" w:hAnsi="Book Antiqua" w:cs="Times New Roman"/>
          <w:b/>
          <w:i/>
        </w:rPr>
      </w:pPr>
      <w:r w:rsidRPr="002676CC">
        <w:rPr>
          <w:rFonts w:ascii="Book Antiqua" w:hAnsi="Book Antiqua" w:cs="Times New Roman"/>
          <w:b/>
          <w:i/>
        </w:rPr>
        <w:t>Experiences and lesson</w:t>
      </w:r>
    </w:p>
    <w:p w14:paraId="75902C5A" w14:textId="5BEBF511" w:rsidR="00405BD4" w:rsidRPr="002676CC" w:rsidRDefault="00405BD4" w:rsidP="00AE09AF">
      <w:pPr>
        <w:snapToGrid w:val="0"/>
        <w:spacing w:line="360" w:lineRule="auto"/>
        <w:jc w:val="both"/>
        <w:rPr>
          <w:rFonts w:ascii="Book Antiqua" w:hAnsi="Book Antiqua" w:cs="Times New Roman"/>
        </w:rPr>
      </w:pPr>
      <w:r w:rsidRPr="002676CC">
        <w:rPr>
          <w:rFonts w:ascii="Book Antiqua" w:hAnsi="Book Antiqua" w:cs="Times New Roman"/>
        </w:rPr>
        <w:t>The present case suggests that tegafur-uracil may lead to the rapid development of hepatic fibrosis with portal hypertens</w:t>
      </w:r>
      <w:r w:rsidR="00652B0B" w:rsidRPr="002676CC">
        <w:rPr>
          <w:rFonts w:ascii="Book Antiqua" w:hAnsi="Book Antiqua" w:cs="Times New Roman"/>
        </w:rPr>
        <w:t>ion, even when administered for</w:t>
      </w:r>
      <w:r w:rsidRPr="002676CC">
        <w:rPr>
          <w:rFonts w:ascii="Book Antiqua" w:hAnsi="Book Antiqua" w:cs="Times New Roman"/>
        </w:rPr>
        <w:t xml:space="preserve"> a short period of time.</w:t>
      </w:r>
    </w:p>
    <w:p w14:paraId="26ED0ACB" w14:textId="18C50C7B" w:rsidR="00402CE0" w:rsidRPr="002676CC" w:rsidRDefault="00402CE0" w:rsidP="00AE09AF">
      <w:pPr>
        <w:snapToGrid w:val="0"/>
        <w:spacing w:line="360" w:lineRule="auto"/>
        <w:jc w:val="both"/>
        <w:rPr>
          <w:rFonts w:ascii="Book Antiqua" w:hAnsi="Book Antiqua" w:cs="Times New Roman"/>
        </w:rPr>
      </w:pPr>
    </w:p>
    <w:p w14:paraId="5A7C90BE" w14:textId="467C80CD" w:rsidR="00402CE0" w:rsidRPr="002676CC" w:rsidRDefault="00402CE0" w:rsidP="00AE09AF">
      <w:pPr>
        <w:snapToGrid w:val="0"/>
        <w:spacing w:line="360" w:lineRule="auto"/>
        <w:jc w:val="both"/>
        <w:rPr>
          <w:rFonts w:ascii="Book Antiqua" w:hAnsi="Book Antiqua" w:cs="Times New Roman"/>
          <w:b/>
          <w:i/>
        </w:rPr>
      </w:pPr>
      <w:r w:rsidRPr="002676CC">
        <w:rPr>
          <w:rFonts w:ascii="Book Antiqua" w:hAnsi="Book Antiqua" w:cs="Times New Roman"/>
          <w:b/>
          <w:i/>
        </w:rPr>
        <w:t>Peer-review</w:t>
      </w:r>
    </w:p>
    <w:p w14:paraId="38BF2A43" w14:textId="27EDC32A" w:rsidR="008E7C06" w:rsidRDefault="00BE6D3B" w:rsidP="00AE09AF">
      <w:pPr>
        <w:snapToGrid w:val="0"/>
        <w:spacing w:line="360" w:lineRule="auto"/>
        <w:jc w:val="both"/>
        <w:rPr>
          <w:rFonts w:ascii="Book Antiqua" w:eastAsia="SimSun" w:hAnsi="Book Antiqua" w:cs="Times New Roman"/>
          <w:lang w:eastAsia="zh-CN"/>
        </w:rPr>
      </w:pPr>
      <w:r w:rsidRPr="00BE6D3B">
        <w:rPr>
          <w:rFonts w:ascii="Book Antiqua" w:hAnsi="Book Antiqua" w:cs="Times New Roman"/>
        </w:rPr>
        <w:t>This is a well written case report. The case is rare and unusual in view of the rapid progression of the fibrosis</w:t>
      </w:r>
      <w:r>
        <w:rPr>
          <w:rFonts w:ascii="Book Antiqua" w:eastAsia="SimSun" w:hAnsi="Book Antiqua" w:cs="Times New Roman" w:hint="eastAsia"/>
          <w:lang w:eastAsia="zh-CN"/>
        </w:rPr>
        <w:t>.</w:t>
      </w:r>
    </w:p>
    <w:p w14:paraId="6764F68D" w14:textId="77777777" w:rsidR="008E7C06" w:rsidRDefault="008E7C06">
      <w:pPr>
        <w:rPr>
          <w:rFonts w:ascii="Book Antiqua" w:eastAsia="SimSun" w:hAnsi="Book Antiqua" w:cs="Times New Roman"/>
          <w:lang w:eastAsia="zh-CN"/>
        </w:rPr>
      </w:pPr>
      <w:r>
        <w:rPr>
          <w:rFonts w:ascii="Book Antiqua" w:eastAsia="SimSun" w:hAnsi="Book Antiqua" w:cs="Times New Roman"/>
          <w:lang w:eastAsia="zh-CN"/>
        </w:rPr>
        <w:br w:type="page"/>
      </w:r>
    </w:p>
    <w:p w14:paraId="465AE41B" w14:textId="45895598" w:rsidR="008E7C06" w:rsidRPr="008E7C06" w:rsidRDefault="008E7C06" w:rsidP="00AE09AF">
      <w:pPr>
        <w:snapToGrid w:val="0"/>
        <w:spacing w:line="360" w:lineRule="auto"/>
        <w:jc w:val="both"/>
        <w:rPr>
          <w:rFonts w:ascii="Book Antiqua" w:eastAsia="SimSun" w:hAnsi="Book Antiqua" w:cs="Times New Roman"/>
          <w:b/>
          <w:lang w:eastAsia="zh-CN"/>
        </w:rPr>
      </w:pPr>
      <w:r w:rsidRPr="008E7C06">
        <w:rPr>
          <w:rFonts w:ascii="Book Antiqua" w:eastAsia="SimSun" w:hAnsi="Book Antiqua" w:cs="Times New Roman" w:hint="eastAsia"/>
          <w:b/>
          <w:lang w:eastAsia="zh-CN"/>
        </w:rPr>
        <w:lastRenderedPageBreak/>
        <w:t>REFERENCES</w:t>
      </w:r>
    </w:p>
    <w:p w14:paraId="1D3CB9E8"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 </w:t>
      </w:r>
      <w:r w:rsidRPr="008E7C06">
        <w:rPr>
          <w:rFonts w:ascii="Book Antiqua" w:eastAsia="SimSun" w:hAnsi="Book Antiqua" w:cs="Times New Roman"/>
          <w:b/>
          <w:kern w:val="2"/>
          <w:lang w:eastAsia="zh-CN"/>
        </w:rPr>
        <w:t>Suou T</w:t>
      </w:r>
      <w:r w:rsidRPr="008E7C06">
        <w:rPr>
          <w:rFonts w:ascii="Book Antiqua" w:eastAsia="SimSun" w:hAnsi="Book Antiqua" w:cs="Times New Roman"/>
          <w:kern w:val="2"/>
          <w:lang w:eastAsia="zh-CN"/>
        </w:rPr>
        <w:t xml:space="preserve">, Tanaka K, Okano J, Shiota G, Horie Y, Horie Y, Kawasaki H. A case with hepatic fibrosis showing ascites and esophageal varices induced by oral UFT(R) administration. </w:t>
      </w:r>
      <w:r w:rsidRPr="008E7C06">
        <w:rPr>
          <w:rFonts w:ascii="Book Antiqua" w:eastAsia="SimSun" w:hAnsi="Book Antiqua" w:cs="Times New Roman"/>
          <w:i/>
          <w:kern w:val="2"/>
          <w:lang w:eastAsia="zh-CN"/>
        </w:rPr>
        <w:t>Hepatol Res</w:t>
      </w:r>
      <w:r w:rsidRPr="008E7C06">
        <w:rPr>
          <w:rFonts w:ascii="Book Antiqua" w:eastAsia="SimSun" w:hAnsi="Book Antiqua" w:cs="Times New Roman"/>
          <w:kern w:val="2"/>
          <w:lang w:eastAsia="zh-CN"/>
        </w:rPr>
        <w:t xml:space="preserve"> 2002; </w:t>
      </w:r>
      <w:r w:rsidRPr="008E7C06">
        <w:rPr>
          <w:rFonts w:ascii="Book Antiqua" w:eastAsia="SimSun" w:hAnsi="Book Antiqua" w:cs="Times New Roman"/>
          <w:b/>
          <w:kern w:val="2"/>
          <w:lang w:eastAsia="zh-CN"/>
        </w:rPr>
        <w:t>22</w:t>
      </w:r>
      <w:r w:rsidRPr="008E7C06">
        <w:rPr>
          <w:rFonts w:ascii="Book Antiqua" w:eastAsia="SimSun" w:hAnsi="Book Antiqua" w:cs="Times New Roman"/>
          <w:kern w:val="2"/>
          <w:lang w:eastAsia="zh-CN"/>
        </w:rPr>
        <w:t>: 161-165 [PMID: 11818256]</w:t>
      </w:r>
    </w:p>
    <w:p w14:paraId="3DB4C555"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2 </w:t>
      </w:r>
      <w:r w:rsidRPr="008E7C06">
        <w:rPr>
          <w:rFonts w:ascii="Book Antiqua" w:eastAsia="SimSun" w:hAnsi="Book Antiqua" w:cs="Times New Roman"/>
          <w:b/>
          <w:kern w:val="2"/>
          <w:lang w:eastAsia="zh-CN"/>
        </w:rPr>
        <w:t>Palmeri S</w:t>
      </w:r>
      <w:r w:rsidRPr="008E7C06">
        <w:rPr>
          <w:rFonts w:ascii="Book Antiqua" w:eastAsia="SimSun" w:hAnsi="Book Antiqua" w:cs="Times New Roman"/>
          <w:kern w:val="2"/>
          <w:lang w:eastAsia="zh-CN"/>
        </w:rPr>
        <w:t xml:space="preserve">, Gebbia V, Russo A, Armata MG, Gebbia N, Rausa L. Oral tegafur in the treatment of gastrointestinal tract cancers: a phase II study. </w:t>
      </w:r>
      <w:r w:rsidRPr="008E7C06">
        <w:rPr>
          <w:rFonts w:ascii="Book Antiqua" w:eastAsia="SimSun" w:hAnsi="Book Antiqua" w:cs="Times New Roman"/>
          <w:i/>
          <w:kern w:val="2"/>
          <w:lang w:eastAsia="zh-CN"/>
        </w:rPr>
        <w:t>Br J Cancer</w:t>
      </w:r>
      <w:r w:rsidRPr="008E7C06">
        <w:rPr>
          <w:rFonts w:ascii="Book Antiqua" w:eastAsia="SimSun" w:hAnsi="Book Antiqua" w:cs="Times New Roman"/>
          <w:kern w:val="2"/>
          <w:lang w:eastAsia="zh-CN"/>
        </w:rPr>
        <w:t xml:space="preserve"> 1990; </w:t>
      </w:r>
      <w:r w:rsidRPr="008E7C06">
        <w:rPr>
          <w:rFonts w:ascii="Book Antiqua" w:eastAsia="SimSun" w:hAnsi="Book Antiqua" w:cs="Times New Roman"/>
          <w:b/>
          <w:kern w:val="2"/>
          <w:lang w:eastAsia="zh-CN"/>
        </w:rPr>
        <w:t>61</w:t>
      </w:r>
      <w:r w:rsidRPr="008E7C06">
        <w:rPr>
          <w:rFonts w:ascii="Book Antiqua" w:eastAsia="SimSun" w:hAnsi="Book Antiqua" w:cs="Times New Roman"/>
          <w:kern w:val="2"/>
          <w:lang w:eastAsia="zh-CN"/>
        </w:rPr>
        <w:t>: 475-478 [PMID: 2109630]</w:t>
      </w:r>
    </w:p>
    <w:p w14:paraId="5B0335BA"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3 </w:t>
      </w:r>
      <w:r w:rsidRPr="008E7C06">
        <w:rPr>
          <w:rFonts w:ascii="Book Antiqua" w:eastAsia="SimSun" w:hAnsi="Book Antiqua" w:cs="Times New Roman"/>
          <w:b/>
          <w:kern w:val="2"/>
          <w:lang w:eastAsia="zh-CN"/>
        </w:rPr>
        <w:t>Kobayashi F</w:t>
      </w:r>
      <w:r w:rsidRPr="008E7C06">
        <w:rPr>
          <w:rFonts w:ascii="Book Antiqua" w:eastAsia="SimSun" w:hAnsi="Book Antiqua" w:cs="Times New Roman"/>
          <w:kern w:val="2"/>
          <w:lang w:eastAsia="zh-CN"/>
        </w:rPr>
        <w:t xml:space="preserve">, Ikeda T, Sakamoto N, Kurosaki M, Tozuka S, Sakamoto S, Fukuma T, Marumo F, Sato C. Severe chronic active hepatitis induced by UFTR containing tegafur and uracil. </w:t>
      </w:r>
      <w:r w:rsidRPr="008E7C06">
        <w:rPr>
          <w:rFonts w:ascii="Book Antiqua" w:eastAsia="SimSun" w:hAnsi="Book Antiqua" w:cs="Times New Roman"/>
          <w:i/>
          <w:kern w:val="2"/>
          <w:lang w:eastAsia="zh-CN"/>
        </w:rPr>
        <w:t>Dig Dis Sci</w:t>
      </w:r>
      <w:r w:rsidRPr="008E7C06">
        <w:rPr>
          <w:rFonts w:ascii="Book Antiqua" w:eastAsia="SimSun" w:hAnsi="Book Antiqua" w:cs="Times New Roman"/>
          <w:kern w:val="2"/>
          <w:lang w:eastAsia="zh-CN"/>
        </w:rPr>
        <w:t xml:space="preserve"> 1995; </w:t>
      </w:r>
      <w:r w:rsidRPr="008E7C06">
        <w:rPr>
          <w:rFonts w:ascii="Book Antiqua" w:eastAsia="SimSun" w:hAnsi="Book Antiqua" w:cs="Times New Roman"/>
          <w:b/>
          <w:kern w:val="2"/>
          <w:lang w:eastAsia="zh-CN"/>
        </w:rPr>
        <w:t>40</w:t>
      </w:r>
      <w:r w:rsidRPr="008E7C06">
        <w:rPr>
          <w:rFonts w:ascii="Book Antiqua" w:eastAsia="SimSun" w:hAnsi="Book Antiqua" w:cs="Times New Roman"/>
          <w:kern w:val="2"/>
          <w:lang w:eastAsia="zh-CN"/>
        </w:rPr>
        <w:t>: 2434-2437 [PMID: 7587827]</w:t>
      </w:r>
    </w:p>
    <w:p w14:paraId="25311755"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4 </w:t>
      </w:r>
      <w:r w:rsidRPr="008E7C06">
        <w:rPr>
          <w:rFonts w:ascii="Book Antiqua" w:eastAsia="SimSun" w:hAnsi="Book Antiqua" w:cs="Times New Roman"/>
          <w:b/>
          <w:kern w:val="2"/>
          <w:lang w:eastAsia="zh-CN"/>
        </w:rPr>
        <w:t>Suou T</w:t>
      </w:r>
      <w:r w:rsidRPr="008E7C06">
        <w:rPr>
          <w:rFonts w:ascii="Book Antiqua" w:eastAsia="SimSun" w:hAnsi="Book Antiqua" w:cs="Times New Roman"/>
          <w:kern w:val="2"/>
          <w:lang w:eastAsia="zh-CN"/>
        </w:rPr>
        <w:t xml:space="preserve">, Maruyama S, Nakamura H, Kishimoto Y, Abe J, Tanida O, Yamada S, Kawasaki H. Increase in serum 7S domain of type IV collagen and N-terminal propeptide of type III procollagen levels with normal serum transaminase levels after long-term oral administration of Tegaful-Uracil. </w:t>
      </w:r>
      <w:r w:rsidRPr="008E7C06">
        <w:rPr>
          <w:rFonts w:ascii="Book Antiqua" w:eastAsia="SimSun" w:hAnsi="Book Antiqua" w:cs="Times New Roman"/>
          <w:i/>
          <w:kern w:val="2"/>
          <w:lang w:eastAsia="zh-CN"/>
        </w:rPr>
        <w:t>Hepatol Res</w:t>
      </w:r>
      <w:r w:rsidRPr="008E7C06">
        <w:rPr>
          <w:rFonts w:ascii="Book Antiqua" w:eastAsia="SimSun" w:hAnsi="Book Antiqua" w:cs="Times New Roman"/>
          <w:kern w:val="2"/>
          <w:lang w:eastAsia="zh-CN"/>
        </w:rPr>
        <w:t xml:space="preserve"> 2002; </w:t>
      </w:r>
      <w:r w:rsidRPr="008E7C06">
        <w:rPr>
          <w:rFonts w:ascii="Book Antiqua" w:eastAsia="SimSun" w:hAnsi="Book Antiqua" w:cs="Times New Roman"/>
          <w:b/>
          <w:kern w:val="2"/>
          <w:lang w:eastAsia="zh-CN"/>
        </w:rPr>
        <w:t>24</w:t>
      </w:r>
      <w:r w:rsidRPr="008E7C06">
        <w:rPr>
          <w:rFonts w:ascii="Book Antiqua" w:eastAsia="SimSun" w:hAnsi="Book Antiqua" w:cs="Times New Roman"/>
          <w:kern w:val="2"/>
          <w:lang w:eastAsia="zh-CN"/>
        </w:rPr>
        <w:t>: 184 [PMID: 12270748]</w:t>
      </w:r>
    </w:p>
    <w:p w14:paraId="6758EDE5"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5 </w:t>
      </w:r>
      <w:r w:rsidRPr="008E7C06">
        <w:rPr>
          <w:rFonts w:ascii="Book Antiqua" w:eastAsia="SimSun" w:hAnsi="Book Antiqua" w:cs="Times New Roman"/>
          <w:b/>
          <w:kern w:val="2"/>
          <w:lang w:eastAsia="zh-CN"/>
        </w:rPr>
        <w:t>Nakamura M</w:t>
      </w:r>
      <w:r w:rsidRPr="008E7C06">
        <w:rPr>
          <w:rFonts w:ascii="Book Antiqua" w:eastAsia="SimSun" w:hAnsi="Book Antiqua" w:cs="Times New Roman"/>
          <w:kern w:val="2"/>
          <w:lang w:eastAsia="zh-CN"/>
        </w:rPr>
        <w:t xml:space="preserve">, Kondo H, Mori T, Komori A, Matsuyama M, Ito M, Takii Y, Koyabu M, Yokoyama T, Migita K, Daikoku M, Abiru S, Yatsuhashi H, Takezaki E, Masaki N, Sugi K, Honda K, Adachi H, Nishi H, Watanabe Y, Nakamura Y, Shimada M, Komatsu T, Saito A, Saoshiro T, Harada H, Sodeyama T, Hayashi S, Masumoto A, Sando T, Yamamoto T, Sakai H, Kobayashi M, Muro T, Koga M, Shums Z, Norman GL, Ishibashi H. Anti-gp210 and anti-centromere antibodies are different risk factors for the progression of primary biliary cirrhosis. </w:t>
      </w:r>
      <w:r w:rsidRPr="008E7C06">
        <w:rPr>
          <w:rFonts w:ascii="Book Antiqua" w:eastAsia="SimSun" w:hAnsi="Book Antiqua" w:cs="Times New Roman"/>
          <w:i/>
          <w:kern w:val="2"/>
          <w:lang w:eastAsia="zh-CN"/>
        </w:rPr>
        <w:t>Hepatology</w:t>
      </w:r>
      <w:r w:rsidRPr="008E7C06">
        <w:rPr>
          <w:rFonts w:ascii="Book Antiqua" w:eastAsia="SimSun" w:hAnsi="Book Antiqua" w:cs="Times New Roman"/>
          <w:kern w:val="2"/>
          <w:lang w:eastAsia="zh-CN"/>
        </w:rPr>
        <w:t xml:space="preserve"> 2007; </w:t>
      </w:r>
      <w:r w:rsidRPr="008E7C06">
        <w:rPr>
          <w:rFonts w:ascii="Book Antiqua" w:eastAsia="SimSun" w:hAnsi="Book Antiqua" w:cs="Times New Roman"/>
          <w:b/>
          <w:kern w:val="2"/>
          <w:lang w:eastAsia="zh-CN"/>
        </w:rPr>
        <w:t>45</w:t>
      </w:r>
      <w:r w:rsidRPr="008E7C06">
        <w:rPr>
          <w:rFonts w:ascii="Book Antiqua" w:eastAsia="SimSun" w:hAnsi="Book Antiqua" w:cs="Times New Roman"/>
          <w:kern w:val="2"/>
          <w:lang w:eastAsia="zh-CN"/>
        </w:rPr>
        <w:t>: 118-127 [PMID: 17187436 DOI: 10.1002/hep.21472]</w:t>
      </w:r>
    </w:p>
    <w:p w14:paraId="59AB581C"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6 </w:t>
      </w:r>
      <w:r w:rsidRPr="008E7C06">
        <w:rPr>
          <w:rFonts w:ascii="Book Antiqua" w:eastAsia="SimSun" w:hAnsi="Book Antiqua" w:cs="Times New Roman"/>
          <w:b/>
          <w:kern w:val="2"/>
          <w:lang w:eastAsia="zh-CN"/>
        </w:rPr>
        <w:t>Ishibashi H</w:t>
      </w:r>
      <w:r w:rsidRPr="008E7C06">
        <w:rPr>
          <w:rFonts w:ascii="Book Antiqua" w:eastAsia="SimSun" w:hAnsi="Book Antiqua" w:cs="Times New Roman"/>
          <w:kern w:val="2"/>
          <w:lang w:eastAsia="zh-CN"/>
        </w:rPr>
        <w:t xml:space="preserve">, Komori A, Shimoda S, Ambrosini YM, Gershwin ME, Nakamura M. Risk factors and prediction of long-term outcome in primary biliary cirrhosis. </w:t>
      </w:r>
      <w:r w:rsidRPr="008E7C06">
        <w:rPr>
          <w:rFonts w:ascii="Book Antiqua" w:eastAsia="SimSun" w:hAnsi="Book Antiqua" w:cs="Times New Roman"/>
          <w:i/>
          <w:kern w:val="2"/>
          <w:lang w:eastAsia="zh-CN"/>
        </w:rPr>
        <w:t>Intern Med</w:t>
      </w:r>
      <w:r w:rsidRPr="008E7C06">
        <w:rPr>
          <w:rFonts w:ascii="Book Antiqua" w:eastAsia="SimSun" w:hAnsi="Book Antiqua" w:cs="Times New Roman"/>
          <w:kern w:val="2"/>
          <w:lang w:eastAsia="zh-CN"/>
        </w:rPr>
        <w:t xml:space="preserve"> 2011; </w:t>
      </w:r>
      <w:r w:rsidRPr="008E7C06">
        <w:rPr>
          <w:rFonts w:ascii="Book Antiqua" w:eastAsia="SimSun" w:hAnsi="Book Antiqua" w:cs="Times New Roman"/>
          <w:b/>
          <w:kern w:val="2"/>
          <w:lang w:eastAsia="zh-CN"/>
        </w:rPr>
        <w:t>50</w:t>
      </w:r>
      <w:r w:rsidRPr="008E7C06">
        <w:rPr>
          <w:rFonts w:ascii="Book Antiqua" w:eastAsia="SimSun" w:hAnsi="Book Antiqua" w:cs="Times New Roman"/>
          <w:kern w:val="2"/>
          <w:lang w:eastAsia="zh-CN"/>
        </w:rPr>
        <w:t>: 1-10 [PMID: 21212566]</w:t>
      </w:r>
    </w:p>
    <w:p w14:paraId="1D6015EC"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7 </w:t>
      </w:r>
      <w:r w:rsidRPr="008E7C06">
        <w:rPr>
          <w:rFonts w:ascii="Book Antiqua" w:eastAsia="SimSun" w:hAnsi="Book Antiqua" w:cs="Times New Roman"/>
          <w:b/>
          <w:kern w:val="2"/>
          <w:lang w:eastAsia="zh-CN"/>
        </w:rPr>
        <w:t>Kaplan MM</w:t>
      </w:r>
      <w:r w:rsidRPr="008E7C06">
        <w:rPr>
          <w:rFonts w:ascii="Book Antiqua" w:eastAsia="SimSun" w:hAnsi="Book Antiqua" w:cs="Times New Roman"/>
          <w:kern w:val="2"/>
          <w:lang w:eastAsia="zh-CN"/>
        </w:rPr>
        <w:t xml:space="preserve">. Primary biliary cirrhosis. </w:t>
      </w:r>
      <w:r w:rsidRPr="008E7C06">
        <w:rPr>
          <w:rFonts w:ascii="Book Antiqua" w:eastAsia="SimSun" w:hAnsi="Book Antiqua" w:cs="Times New Roman"/>
          <w:i/>
          <w:kern w:val="2"/>
          <w:lang w:eastAsia="zh-CN"/>
        </w:rPr>
        <w:t>N Engl J Med</w:t>
      </w:r>
      <w:r w:rsidRPr="008E7C06">
        <w:rPr>
          <w:rFonts w:ascii="Book Antiqua" w:eastAsia="SimSun" w:hAnsi="Book Antiqua" w:cs="Times New Roman"/>
          <w:kern w:val="2"/>
          <w:lang w:eastAsia="zh-CN"/>
        </w:rPr>
        <w:t xml:space="preserve"> 1996; </w:t>
      </w:r>
      <w:r w:rsidRPr="008E7C06">
        <w:rPr>
          <w:rFonts w:ascii="Book Antiqua" w:eastAsia="SimSun" w:hAnsi="Book Antiqua" w:cs="Times New Roman"/>
          <w:b/>
          <w:kern w:val="2"/>
          <w:lang w:eastAsia="zh-CN"/>
        </w:rPr>
        <w:t>335</w:t>
      </w:r>
      <w:r w:rsidRPr="008E7C06">
        <w:rPr>
          <w:rFonts w:ascii="Book Antiqua" w:eastAsia="SimSun" w:hAnsi="Book Antiqua" w:cs="Times New Roman"/>
          <w:kern w:val="2"/>
          <w:lang w:eastAsia="zh-CN"/>
        </w:rPr>
        <w:t>: 1570-1580 [PMID: 8900092 DOI: 10.1056/NEJM199611213352107]</w:t>
      </w:r>
    </w:p>
    <w:p w14:paraId="0A35B9DB"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lastRenderedPageBreak/>
        <w:t xml:space="preserve">8 </w:t>
      </w:r>
      <w:r w:rsidRPr="008E7C06">
        <w:rPr>
          <w:rFonts w:ascii="Book Antiqua" w:eastAsia="SimSun" w:hAnsi="Book Antiqua" w:cs="Times New Roman"/>
          <w:b/>
          <w:kern w:val="2"/>
          <w:lang w:eastAsia="zh-CN"/>
        </w:rPr>
        <w:t>Neuberger J</w:t>
      </w:r>
      <w:r w:rsidRPr="008E7C06">
        <w:rPr>
          <w:rFonts w:ascii="Book Antiqua" w:eastAsia="SimSun" w:hAnsi="Book Antiqua" w:cs="Times New Roman"/>
          <w:kern w:val="2"/>
          <w:lang w:eastAsia="zh-CN"/>
        </w:rPr>
        <w:t xml:space="preserve">. Primary biliary cirrhosis. </w:t>
      </w:r>
      <w:r w:rsidRPr="008E7C06">
        <w:rPr>
          <w:rFonts w:ascii="Book Antiqua" w:eastAsia="SimSun" w:hAnsi="Book Antiqua" w:cs="Times New Roman"/>
          <w:i/>
          <w:kern w:val="2"/>
          <w:lang w:eastAsia="zh-CN"/>
        </w:rPr>
        <w:t>Lancet</w:t>
      </w:r>
      <w:r w:rsidRPr="008E7C06">
        <w:rPr>
          <w:rFonts w:ascii="Book Antiqua" w:eastAsia="SimSun" w:hAnsi="Book Antiqua" w:cs="Times New Roman"/>
          <w:kern w:val="2"/>
          <w:lang w:eastAsia="zh-CN"/>
        </w:rPr>
        <w:t xml:space="preserve"> 1997; </w:t>
      </w:r>
      <w:r w:rsidRPr="008E7C06">
        <w:rPr>
          <w:rFonts w:ascii="Book Antiqua" w:eastAsia="SimSun" w:hAnsi="Book Antiqua" w:cs="Times New Roman"/>
          <w:b/>
          <w:kern w:val="2"/>
          <w:lang w:eastAsia="zh-CN"/>
        </w:rPr>
        <w:t>350</w:t>
      </w:r>
      <w:r w:rsidRPr="008E7C06">
        <w:rPr>
          <w:rFonts w:ascii="Book Antiqua" w:eastAsia="SimSun" w:hAnsi="Book Antiqua" w:cs="Times New Roman"/>
          <w:kern w:val="2"/>
          <w:lang w:eastAsia="zh-CN"/>
        </w:rPr>
        <w:t>: 875-879 [PMID: 9310614 DOI: 10.1016/S0140-6736(97)05419-6]</w:t>
      </w:r>
    </w:p>
    <w:p w14:paraId="4A27C619"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9 </w:t>
      </w:r>
      <w:r w:rsidRPr="008E7C06">
        <w:rPr>
          <w:rFonts w:ascii="Book Antiqua" w:eastAsia="SimSun" w:hAnsi="Book Antiqua" w:cs="Times New Roman"/>
          <w:b/>
          <w:kern w:val="2"/>
          <w:lang w:eastAsia="zh-CN"/>
        </w:rPr>
        <w:t>Ortega-Alonso A</w:t>
      </w:r>
      <w:r w:rsidRPr="008E7C06">
        <w:rPr>
          <w:rFonts w:ascii="Book Antiqua" w:eastAsia="SimSun" w:hAnsi="Book Antiqua" w:cs="Times New Roman"/>
          <w:kern w:val="2"/>
          <w:lang w:eastAsia="zh-CN"/>
        </w:rPr>
        <w:t>, Stephens C, Lucena MI, Andrade RJ. Case Characterization,</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kern w:val="2"/>
          <w:lang w:eastAsia="zh-CN"/>
        </w:rPr>
        <w:t xml:space="preserve">Clinical Features and Risk Factors in Drug-Induced Liver Injury. </w:t>
      </w:r>
      <w:r w:rsidRPr="008E7C06">
        <w:rPr>
          <w:rFonts w:ascii="Book Antiqua" w:eastAsia="SimSun" w:hAnsi="Book Antiqua" w:cs="Times New Roman"/>
          <w:i/>
          <w:kern w:val="2"/>
          <w:lang w:eastAsia="zh-CN"/>
        </w:rPr>
        <w:t>Int J Mol Sci</w:t>
      </w:r>
      <w:r w:rsidRPr="008E7C06">
        <w:rPr>
          <w:rFonts w:ascii="Book Antiqua" w:eastAsia="SimSun" w:hAnsi="Book Antiqua" w:cs="Times New Roman"/>
          <w:kern w:val="2"/>
          <w:lang w:eastAsia="zh-CN"/>
        </w:rPr>
        <w:t xml:space="preserve"> 2016; </w:t>
      </w:r>
      <w:r w:rsidRPr="008E7C06">
        <w:rPr>
          <w:rFonts w:ascii="Book Antiqua" w:eastAsia="SimSun" w:hAnsi="Book Antiqua" w:cs="Times New Roman"/>
          <w:b/>
          <w:kern w:val="2"/>
          <w:lang w:eastAsia="zh-CN"/>
        </w:rPr>
        <w:t>17</w:t>
      </w:r>
      <w:r w:rsidRPr="008E7C06">
        <w:rPr>
          <w:rFonts w:ascii="Book Antiqua" w:eastAsia="SimSun" w:hAnsi="Book Antiqua" w:cs="Times New Roman"/>
          <w:kern w:val="2"/>
          <w:lang w:eastAsia="zh-CN"/>
        </w:rPr>
        <w:t>:  [PMID: 27187363 DOI: 10.3390/ijms17050714]</w:t>
      </w:r>
    </w:p>
    <w:p w14:paraId="72E7881E"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10 </w:t>
      </w:r>
      <w:r w:rsidRPr="008E7C06">
        <w:rPr>
          <w:rFonts w:ascii="Book Antiqua" w:eastAsia="SimSun" w:hAnsi="Book Antiqua" w:cs="Times New Roman"/>
          <w:b/>
          <w:kern w:val="2"/>
          <w:lang w:eastAsia="zh-CN"/>
        </w:rPr>
        <w:t>deLemos AS</w:t>
      </w:r>
      <w:r w:rsidRPr="008E7C06">
        <w:rPr>
          <w:rFonts w:ascii="Book Antiqua" w:eastAsia="SimSun" w:hAnsi="Book Antiqua" w:cs="Times New Roman"/>
          <w:kern w:val="2"/>
          <w:lang w:eastAsia="zh-CN"/>
        </w:rPr>
        <w:t xml:space="preserve">, Foureau DM, Jacobs C, Ahrens W, Russo MW, Bonkovsky HL. Drug-induced liver injury with autoimmune features. </w:t>
      </w:r>
      <w:r w:rsidRPr="008E7C06">
        <w:rPr>
          <w:rFonts w:ascii="Book Antiqua" w:eastAsia="SimSun" w:hAnsi="Book Antiqua" w:cs="Times New Roman"/>
          <w:i/>
          <w:kern w:val="2"/>
          <w:lang w:eastAsia="zh-CN"/>
        </w:rPr>
        <w:t>Semin Liver Dis</w:t>
      </w:r>
      <w:r w:rsidRPr="008E7C06">
        <w:rPr>
          <w:rFonts w:ascii="Book Antiqua" w:eastAsia="SimSun" w:hAnsi="Book Antiqua" w:cs="Times New Roman"/>
          <w:kern w:val="2"/>
          <w:lang w:eastAsia="zh-CN"/>
        </w:rPr>
        <w:t xml:space="preserve"> 2014; </w:t>
      </w:r>
      <w:r w:rsidRPr="008E7C06">
        <w:rPr>
          <w:rFonts w:ascii="Book Antiqua" w:eastAsia="SimSun" w:hAnsi="Book Antiqua" w:cs="Times New Roman"/>
          <w:b/>
          <w:kern w:val="2"/>
          <w:lang w:eastAsia="zh-CN"/>
        </w:rPr>
        <w:t>34</w:t>
      </w:r>
      <w:r w:rsidRPr="008E7C06">
        <w:rPr>
          <w:rFonts w:ascii="Book Antiqua" w:eastAsia="SimSun" w:hAnsi="Book Antiqua" w:cs="Times New Roman"/>
          <w:kern w:val="2"/>
          <w:lang w:eastAsia="zh-CN"/>
        </w:rPr>
        <w:t>: 194-204 [PMID: 24879983 DOI: 10.1055/s-0034-1375959]</w:t>
      </w:r>
    </w:p>
    <w:p w14:paraId="375DDB56"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11 </w:t>
      </w:r>
      <w:r w:rsidRPr="008E7C06">
        <w:rPr>
          <w:rFonts w:ascii="Book Antiqua" w:eastAsia="SimSun" w:hAnsi="Book Antiqua" w:cs="Times New Roman"/>
          <w:b/>
          <w:kern w:val="2"/>
          <w:lang w:eastAsia="zh-CN"/>
        </w:rPr>
        <w:t>Shire NJ</w:t>
      </w:r>
      <w:r w:rsidRPr="008E7C06">
        <w:rPr>
          <w:rFonts w:ascii="Book Antiqua" w:eastAsia="SimSun" w:hAnsi="Book Antiqua" w:cs="Times New Roman"/>
          <w:kern w:val="2"/>
          <w:lang w:eastAsia="zh-CN"/>
        </w:rPr>
        <w:t xml:space="preserve">, Yin M, Chen J, Railkar RA, Fox-Bosetti S, Johnson SM, Beals CR, Dardzinski BJ, Sanderson SO, Talwalkar JA, Ehman RL. Test-retest repeatability of MR elastography for noninvasive liver fibrosis assessment in hepatitis C. </w:t>
      </w:r>
      <w:r w:rsidRPr="008E7C06">
        <w:rPr>
          <w:rFonts w:ascii="Book Antiqua" w:eastAsia="SimSun" w:hAnsi="Book Antiqua" w:cs="Times New Roman"/>
          <w:i/>
          <w:kern w:val="2"/>
          <w:lang w:eastAsia="zh-CN"/>
        </w:rPr>
        <w:t>J Magn Reson Imaging</w:t>
      </w:r>
      <w:r w:rsidRPr="008E7C06">
        <w:rPr>
          <w:rFonts w:ascii="Book Antiqua" w:eastAsia="SimSun" w:hAnsi="Book Antiqua" w:cs="Times New Roman"/>
          <w:kern w:val="2"/>
          <w:lang w:eastAsia="zh-CN"/>
        </w:rPr>
        <w:t xml:space="preserve"> 2011; </w:t>
      </w:r>
      <w:r w:rsidRPr="008E7C06">
        <w:rPr>
          <w:rFonts w:ascii="Book Antiqua" w:eastAsia="SimSun" w:hAnsi="Book Antiqua" w:cs="Times New Roman"/>
          <w:b/>
          <w:kern w:val="2"/>
          <w:lang w:eastAsia="zh-CN"/>
        </w:rPr>
        <w:t>34</w:t>
      </w:r>
      <w:r w:rsidRPr="008E7C06">
        <w:rPr>
          <w:rFonts w:ascii="Book Antiqua" w:eastAsia="SimSun" w:hAnsi="Book Antiqua" w:cs="Times New Roman"/>
          <w:kern w:val="2"/>
          <w:lang w:eastAsia="zh-CN"/>
        </w:rPr>
        <w:t>: 947-955 [PMID: 21751289 DOI: 10.1002/jmri.22716]</w:t>
      </w:r>
    </w:p>
    <w:p w14:paraId="26B4566C"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12 </w:t>
      </w:r>
      <w:r w:rsidRPr="008E7C06">
        <w:rPr>
          <w:rFonts w:ascii="Book Antiqua" w:eastAsia="SimSun" w:hAnsi="Book Antiqua" w:cs="Times New Roman"/>
          <w:b/>
          <w:kern w:val="2"/>
          <w:lang w:eastAsia="zh-CN"/>
        </w:rPr>
        <w:t>Motosugi U</w:t>
      </w:r>
      <w:r w:rsidRPr="008E7C06">
        <w:rPr>
          <w:rFonts w:ascii="Book Antiqua" w:eastAsia="SimSun" w:hAnsi="Book Antiqua" w:cs="Times New Roman"/>
          <w:kern w:val="2"/>
          <w:lang w:eastAsia="zh-CN"/>
        </w:rPr>
        <w:t xml:space="preserve">, Ichikawa T, Sano K, Sou H, Muhi A, Koshiishi T, Ehman RL, Araki T. Magnetic resonance elastography of the liver: preliminary results and estimation of inter-rater reliability. </w:t>
      </w:r>
      <w:r w:rsidRPr="008E7C06">
        <w:rPr>
          <w:rFonts w:ascii="Book Antiqua" w:eastAsia="SimSun" w:hAnsi="Book Antiqua" w:cs="Times New Roman"/>
          <w:i/>
          <w:kern w:val="2"/>
          <w:lang w:eastAsia="zh-CN"/>
        </w:rPr>
        <w:t>Jpn J Radiol</w:t>
      </w:r>
      <w:r w:rsidRPr="008E7C06">
        <w:rPr>
          <w:rFonts w:ascii="Book Antiqua" w:eastAsia="SimSun" w:hAnsi="Book Antiqua" w:cs="Times New Roman"/>
          <w:kern w:val="2"/>
          <w:lang w:eastAsia="zh-CN"/>
        </w:rPr>
        <w:t xml:space="preserve"> 2010; </w:t>
      </w:r>
      <w:r w:rsidRPr="008E7C06">
        <w:rPr>
          <w:rFonts w:ascii="Book Antiqua" w:eastAsia="SimSun" w:hAnsi="Book Antiqua" w:cs="Times New Roman"/>
          <w:b/>
          <w:kern w:val="2"/>
          <w:lang w:eastAsia="zh-CN"/>
        </w:rPr>
        <w:t>28</w:t>
      </w:r>
      <w:r w:rsidRPr="008E7C06">
        <w:rPr>
          <w:rFonts w:ascii="Book Antiqua" w:eastAsia="SimSun" w:hAnsi="Book Antiqua" w:cs="Times New Roman"/>
          <w:kern w:val="2"/>
          <w:lang w:eastAsia="zh-CN"/>
        </w:rPr>
        <w:t>: 623-627 [PMID: 20972864 DOI: 10.1007/s11604-010-0478-1]</w:t>
      </w:r>
    </w:p>
    <w:p w14:paraId="6F644174"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13 </w:t>
      </w:r>
      <w:r w:rsidRPr="008E7C06">
        <w:rPr>
          <w:rFonts w:ascii="Book Antiqua" w:eastAsia="SimSun" w:hAnsi="Book Antiqua" w:cs="Times New Roman"/>
          <w:b/>
          <w:kern w:val="2"/>
          <w:lang w:eastAsia="zh-CN"/>
        </w:rPr>
        <w:t>Friedrich-Rust M</w:t>
      </w:r>
      <w:r w:rsidRPr="008E7C06">
        <w:rPr>
          <w:rFonts w:ascii="Book Antiqua" w:eastAsia="SimSun" w:hAnsi="Book Antiqua" w:cs="Times New Roman"/>
          <w:kern w:val="2"/>
          <w:lang w:eastAsia="zh-CN"/>
        </w:rPr>
        <w:t xml:space="preserve">, Nierhoff J, Lupsor M, Sporea I, Fierbinteanu-Braticevici C, Strobel D, Takahashi H, Yoneda M, Suda T, Zeuzem S, Herrmann E. Performance of Acoustic Radiation Force Impulse imaging for the staging of liver fibrosis: a pooled meta-analysis. </w:t>
      </w:r>
      <w:r w:rsidRPr="008E7C06">
        <w:rPr>
          <w:rFonts w:ascii="Book Antiqua" w:eastAsia="SimSun" w:hAnsi="Book Antiqua" w:cs="Times New Roman"/>
          <w:i/>
          <w:kern w:val="2"/>
          <w:lang w:eastAsia="zh-CN"/>
        </w:rPr>
        <w:t>J Viral Hepat</w:t>
      </w:r>
      <w:r w:rsidRPr="008E7C06">
        <w:rPr>
          <w:rFonts w:ascii="Book Antiqua" w:eastAsia="SimSun" w:hAnsi="Book Antiqua" w:cs="Times New Roman"/>
          <w:kern w:val="2"/>
          <w:lang w:eastAsia="zh-CN"/>
        </w:rPr>
        <w:t xml:space="preserve"> 2012; </w:t>
      </w:r>
      <w:r w:rsidRPr="008E7C06">
        <w:rPr>
          <w:rFonts w:ascii="Book Antiqua" w:eastAsia="SimSun" w:hAnsi="Book Antiqua" w:cs="Times New Roman"/>
          <w:b/>
          <w:kern w:val="2"/>
          <w:lang w:eastAsia="zh-CN"/>
        </w:rPr>
        <w:t>19</w:t>
      </w:r>
      <w:r w:rsidRPr="008E7C06">
        <w:rPr>
          <w:rFonts w:ascii="Book Antiqua" w:eastAsia="SimSun" w:hAnsi="Book Antiqua" w:cs="Times New Roman"/>
          <w:kern w:val="2"/>
          <w:lang w:eastAsia="zh-CN"/>
        </w:rPr>
        <w:t>: e212-e219 [PMID: 22239521 DOI: 10.1111/j.1365-2893.2011.01537.x]</w:t>
      </w:r>
    </w:p>
    <w:p w14:paraId="742FDF45"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14 </w:t>
      </w:r>
      <w:r w:rsidRPr="008E7C06">
        <w:rPr>
          <w:rFonts w:ascii="Book Antiqua" w:eastAsia="SimSun" w:hAnsi="Book Antiqua" w:cs="Times New Roman"/>
          <w:b/>
          <w:kern w:val="2"/>
          <w:lang w:eastAsia="zh-CN"/>
        </w:rPr>
        <w:t>Kircheis G</w:t>
      </w:r>
      <w:r w:rsidRPr="008E7C06">
        <w:rPr>
          <w:rFonts w:ascii="Book Antiqua" w:eastAsia="SimSun" w:hAnsi="Book Antiqua" w:cs="Times New Roman"/>
          <w:kern w:val="2"/>
          <w:lang w:eastAsia="zh-CN"/>
        </w:rPr>
        <w:t>, Sagir A, Vogt C, Vom Dahl S, Kubitz R, Häussinger D. Evaluation of acoustic radiation force impulse imaging for determination of liver stiffness using</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kern w:val="2"/>
          <w:lang w:eastAsia="zh-CN"/>
        </w:rPr>
        <w:t xml:space="preserve">transient elastography as a reference. </w:t>
      </w:r>
      <w:r w:rsidRPr="008E7C06">
        <w:rPr>
          <w:rFonts w:ascii="Book Antiqua" w:eastAsia="SimSun" w:hAnsi="Book Antiqua" w:cs="Times New Roman"/>
          <w:i/>
          <w:kern w:val="2"/>
          <w:lang w:eastAsia="zh-CN"/>
        </w:rPr>
        <w:t>World J Gastroenterol</w:t>
      </w:r>
      <w:r w:rsidRPr="008E7C06">
        <w:rPr>
          <w:rFonts w:ascii="Book Antiqua" w:eastAsia="SimSun" w:hAnsi="Book Antiqua" w:cs="Times New Roman"/>
          <w:kern w:val="2"/>
          <w:lang w:eastAsia="zh-CN"/>
        </w:rPr>
        <w:t xml:space="preserve"> 2012; </w:t>
      </w:r>
      <w:r w:rsidRPr="008E7C06">
        <w:rPr>
          <w:rFonts w:ascii="Book Antiqua" w:eastAsia="SimSun" w:hAnsi="Book Antiqua" w:cs="Times New Roman"/>
          <w:b/>
          <w:kern w:val="2"/>
          <w:lang w:eastAsia="zh-CN"/>
        </w:rPr>
        <w:t>18</w:t>
      </w:r>
      <w:r w:rsidRPr="008E7C06">
        <w:rPr>
          <w:rFonts w:ascii="Book Antiqua" w:eastAsia="SimSun" w:hAnsi="Book Antiqua" w:cs="Times New Roman"/>
          <w:kern w:val="2"/>
          <w:lang w:eastAsia="zh-CN"/>
        </w:rPr>
        <w:t>: 1077-1084 [PMID: 22416182 DOI: 10.3748/wjg.v18.i10.1077]</w:t>
      </w:r>
    </w:p>
    <w:p w14:paraId="6B955C11"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Times New Roman"/>
          <w:kern w:val="2"/>
          <w:lang w:eastAsia="zh-CN"/>
        </w:rPr>
        <w:t xml:space="preserve">15 </w:t>
      </w:r>
      <w:r w:rsidRPr="008E7C06">
        <w:rPr>
          <w:rFonts w:ascii="Book Antiqua" w:eastAsia="SimSun" w:hAnsi="Book Antiqua" w:cs="Times New Roman"/>
          <w:b/>
          <w:kern w:val="2"/>
          <w:lang w:eastAsia="zh-CN"/>
        </w:rPr>
        <w:t>Nightingale K</w:t>
      </w:r>
      <w:r w:rsidRPr="008E7C06">
        <w:rPr>
          <w:rFonts w:ascii="Book Antiqua" w:eastAsia="SimSun" w:hAnsi="Book Antiqua" w:cs="Times New Roman"/>
          <w:kern w:val="2"/>
          <w:lang w:eastAsia="zh-CN"/>
        </w:rPr>
        <w:t>. Acoustic Radiation Force Impulse (ARFI) Imaging: a Review.</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i/>
          <w:kern w:val="2"/>
          <w:lang w:eastAsia="zh-CN"/>
        </w:rPr>
        <w:t>Curr Med</w:t>
      </w:r>
      <w:r w:rsidRPr="008E7C06">
        <w:rPr>
          <w:rFonts w:ascii="Book Antiqua" w:eastAsia="SimSun" w:hAnsi="Book Antiqua" w:cs="Times New Roman" w:hint="eastAsia"/>
          <w:i/>
          <w:kern w:val="2"/>
          <w:lang w:eastAsia="zh-CN"/>
        </w:rPr>
        <w:t xml:space="preserve"> </w:t>
      </w:r>
      <w:r w:rsidRPr="008E7C06">
        <w:rPr>
          <w:rFonts w:ascii="Book Antiqua" w:eastAsia="SimSun" w:hAnsi="Book Antiqua" w:cs="Times New Roman"/>
          <w:i/>
          <w:kern w:val="2"/>
          <w:lang w:eastAsia="zh-CN"/>
        </w:rPr>
        <w:t>Imaging Rev</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kern w:val="2"/>
          <w:lang w:eastAsia="zh-CN"/>
        </w:rPr>
        <w:t>2011;</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b/>
          <w:kern w:val="2"/>
          <w:lang w:eastAsia="zh-CN"/>
        </w:rPr>
        <w:t>7</w:t>
      </w:r>
      <w:r w:rsidRPr="008E7C06">
        <w:rPr>
          <w:rFonts w:ascii="Book Antiqua" w:eastAsia="SimSun" w:hAnsi="Book Antiqua" w:cs="Times New Roman"/>
          <w:kern w:val="2"/>
          <w:lang w:eastAsia="zh-CN"/>
        </w:rPr>
        <w:t>:</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kern w:val="2"/>
          <w:lang w:eastAsia="zh-CN"/>
        </w:rPr>
        <w:t>328-339 [PMID:</w:t>
      </w:r>
      <w:r w:rsidRPr="008E7C06">
        <w:rPr>
          <w:rFonts w:ascii="Book Antiqua" w:eastAsia="SimSun" w:hAnsi="Book Antiqua" w:cs="Times New Roman" w:hint="eastAsia"/>
          <w:kern w:val="2"/>
          <w:lang w:eastAsia="zh-CN"/>
        </w:rPr>
        <w:t xml:space="preserve"> </w:t>
      </w:r>
      <w:r w:rsidRPr="008E7C06">
        <w:rPr>
          <w:rFonts w:ascii="Book Antiqua" w:eastAsia="SimSun" w:hAnsi="Book Antiqua" w:cs="Times New Roman"/>
          <w:kern w:val="2"/>
          <w:lang w:eastAsia="zh-CN"/>
        </w:rPr>
        <w:t>22545033 DOI: 10.2174/157340511798038657]</w:t>
      </w:r>
    </w:p>
    <w:p w14:paraId="5BF9D7B5" w14:textId="77777777" w:rsidR="008E7C06" w:rsidRPr="008E7C06" w:rsidRDefault="008E7C06" w:rsidP="008E7C06">
      <w:pPr>
        <w:wordWrap w:val="0"/>
        <w:snapToGrid w:val="0"/>
        <w:spacing w:line="360" w:lineRule="auto"/>
        <w:jc w:val="right"/>
        <w:rPr>
          <w:rFonts w:ascii="Book Antiqua" w:eastAsia="SimSun" w:hAnsi="Book Antiqua" w:cs="Times New Roman"/>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8E7C06">
        <w:rPr>
          <w:rFonts w:ascii="Book Antiqua" w:eastAsia="SimSun" w:hAnsi="Book Antiqua" w:cs="Times New Roman"/>
          <w:b/>
          <w:bCs/>
          <w:lang w:eastAsia="zh-CN"/>
        </w:rPr>
        <w:lastRenderedPageBreak/>
        <w:t>P-Reviewer:</w:t>
      </w:r>
      <w:r w:rsidRPr="008E7C06">
        <w:rPr>
          <w:rFonts w:ascii="Book Antiqua" w:eastAsia="SimSun" w:hAnsi="Book Antiqua" w:cs="Times New Roman" w:hint="eastAsia"/>
          <w:b/>
          <w:bCs/>
          <w:lang w:eastAsia="zh-CN"/>
        </w:rPr>
        <w:t xml:space="preserve"> </w:t>
      </w:r>
      <w:r w:rsidRPr="008E7C06">
        <w:rPr>
          <w:rFonts w:ascii="Book Antiqua" w:eastAsia="SimSun" w:hAnsi="Book Antiqua" w:cs="Times New Roman"/>
          <w:bCs/>
          <w:lang w:eastAsia="zh-CN"/>
        </w:rPr>
        <w:t>Buechler</w:t>
      </w:r>
      <w:r w:rsidRPr="008E7C06">
        <w:rPr>
          <w:rFonts w:ascii="Book Antiqua" w:eastAsia="SimSun" w:hAnsi="Book Antiqua" w:cs="Times New Roman" w:hint="eastAsia"/>
          <w:bCs/>
          <w:lang w:eastAsia="zh-CN"/>
        </w:rPr>
        <w:t xml:space="preserve"> </w:t>
      </w:r>
      <w:r w:rsidRPr="008E7C06">
        <w:rPr>
          <w:rFonts w:ascii="Book Antiqua" w:eastAsia="SimSun" w:hAnsi="Book Antiqua" w:cs="Times New Roman"/>
          <w:bCs/>
          <w:lang w:eastAsia="zh-CN"/>
        </w:rPr>
        <w:t>C</w:t>
      </w:r>
      <w:r w:rsidRPr="008E7C06">
        <w:rPr>
          <w:rFonts w:ascii="Book Antiqua" w:eastAsia="SimSun" w:hAnsi="Book Antiqua" w:cs="Times New Roman" w:hint="eastAsia"/>
          <w:bCs/>
          <w:lang w:eastAsia="zh-CN"/>
        </w:rPr>
        <w:t xml:space="preserve">, </w:t>
      </w:r>
      <w:r w:rsidRPr="008E7C06">
        <w:rPr>
          <w:rFonts w:ascii="Book Antiqua" w:eastAsia="SimSun" w:hAnsi="Book Antiqua" w:cs="Times New Roman"/>
          <w:bCs/>
          <w:lang w:eastAsia="zh-CN"/>
        </w:rPr>
        <w:t>Snyder</w:t>
      </w:r>
      <w:r w:rsidRPr="008E7C06">
        <w:rPr>
          <w:rFonts w:ascii="Book Antiqua" w:eastAsia="SimSun" w:hAnsi="Book Antiqua" w:cs="Times New Roman" w:hint="eastAsia"/>
          <w:bCs/>
          <w:lang w:eastAsia="zh-CN"/>
        </w:rPr>
        <w:t xml:space="preserve"> </w:t>
      </w:r>
      <w:r w:rsidRPr="008E7C06">
        <w:rPr>
          <w:rFonts w:ascii="Book Antiqua" w:eastAsia="SimSun" w:hAnsi="Book Antiqua" w:cs="Times New Roman"/>
          <w:bCs/>
          <w:lang w:eastAsia="zh-CN"/>
        </w:rPr>
        <w:t>N</w:t>
      </w:r>
      <w:r w:rsidRPr="008E7C06">
        <w:rPr>
          <w:rFonts w:ascii="Book Antiqua" w:eastAsia="SimSun" w:hAnsi="Book Antiqua" w:cs="Times New Roman" w:hint="eastAsia"/>
          <w:b/>
          <w:bCs/>
          <w:lang w:eastAsia="zh-CN"/>
        </w:rPr>
        <w:t xml:space="preserve"> </w:t>
      </w:r>
      <w:r w:rsidRPr="008E7C06">
        <w:rPr>
          <w:rFonts w:ascii="Book Antiqua" w:eastAsia="SimSun" w:hAnsi="Book Antiqua" w:cs="Times New Roman"/>
          <w:b/>
          <w:bCs/>
          <w:lang w:eastAsia="zh-CN"/>
        </w:rPr>
        <w:t>S-Editor:</w:t>
      </w:r>
      <w:r w:rsidRPr="008E7C06">
        <w:rPr>
          <w:rFonts w:ascii="Book Antiqua" w:eastAsia="SimSun" w:hAnsi="Book Antiqua" w:cs="Times New Roman" w:hint="eastAsia"/>
          <w:lang w:eastAsia="zh-CN"/>
        </w:rPr>
        <w:t xml:space="preserve"> Gong ZM</w:t>
      </w:r>
    </w:p>
    <w:p w14:paraId="1AD52B60" w14:textId="77777777" w:rsidR="008E7C06" w:rsidRPr="008E7C06" w:rsidRDefault="008E7C06" w:rsidP="008E7C06">
      <w:pPr>
        <w:snapToGrid w:val="0"/>
        <w:spacing w:line="360" w:lineRule="auto"/>
        <w:jc w:val="right"/>
        <w:rPr>
          <w:rFonts w:ascii="Book Antiqua" w:eastAsia="SimSun" w:hAnsi="Book Antiqua" w:cs="Times New Roman"/>
          <w:b/>
          <w:bCs/>
          <w:lang w:eastAsia="zh-CN"/>
        </w:rPr>
      </w:pPr>
      <w:r w:rsidRPr="008E7C06">
        <w:rPr>
          <w:rFonts w:ascii="Book Antiqua" w:eastAsia="SimSun" w:hAnsi="Book Antiqua" w:cs="Times New Roman"/>
          <w:b/>
          <w:bCs/>
          <w:lang w:eastAsia="zh-CN"/>
        </w:rPr>
        <w:t>L-Editor:</w:t>
      </w:r>
      <w:r w:rsidRPr="008E7C06">
        <w:rPr>
          <w:rFonts w:ascii="Book Antiqua" w:eastAsia="SimSun" w:hAnsi="Book Antiqua" w:cs="Times New Roman"/>
          <w:lang w:eastAsia="zh-CN"/>
        </w:rPr>
        <w:t xml:space="preserve"> </w:t>
      </w:r>
      <w:r w:rsidRPr="008E7C06">
        <w:rPr>
          <w:rFonts w:ascii="Book Antiqua" w:eastAsia="SimSun" w:hAnsi="Book Antiqua" w:cs="Times New Roman"/>
          <w:b/>
          <w:bCs/>
          <w:lang w:eastAsia="zh-CN"/>
        </w:rPr>
        <w:t>E-Editor:</w:t>
      </w:r>
    </w:p>
    <w:p w14:paraId="7EEDB592" w14:textId="77777777" w:rsidR="008E7C06" w:rsidRPr="008E7C06" w:rsidRDefault="008E7C06" w:rsidP="008E7C06">
      <w:pPr>
        <w:shd w:val="clear" w:color="auto" w:fill="FFFFFF"/>
        <w:snapToGrid w:val="0"/>
        <w:spacing w:line="360" w:lineRule="auto"/>
        <w:jc w:val="both"/>
        <w:rPr>
          <w:rFonts w:ascii="Book Antiqua" w:eastAsia="SimSun" w:hAnsi="Book Antiqua" w:cs="Helvetica"/>
          <w:b/>
          <w:lang w:eastAsia="zh-CN"/>
        </w:rPr>
      </w:pPr>
      <w:bookmarkStart w:id="130" w:name="OLE_LINK880"/>
      <w:bookmarkStart w:id="131" w:name="OLE_LINK88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8E7C06">
        <w:rPr>
          <w:rFonts w:ascii="Book Antiqua" w:eastAsia="SimSun" w:hAnsi="Book Antiqua" w:cs="Helvetica"/>
          <w:b/>
          <w:lang w:eastAsia="zh-CN"/>
        </w:rPr>
        <w:t xml:space="preserve">Specialty type: </w:t>
      </w:r>
      <w:r w:rsidRPr="008E7C06">
        <w:rPr>
          <w:rFonts w:ascii="Book Antiqua" w:eastAsia="SimSun" w:hAnsi="Book Antiqua" w:cs="Helvetica"/>
          <w:lang w:eastAsia="zh-CN"/>
        </w:rPr>
        <w:t>Gastroenterology and</w:t>
      </w:r>
      <w:r w:rsidRPr="008E7C06">
        <w:rPr>
          <w:rFonts w:ascii="Book Antiqua" w:eastAsia="SimSun" w:hAnsi="Book Antiqua" w:cs="Helvetica" w:hint="eastAsia"/>
          <w:lang w:eastAsia="zh-CN"/>
        </w:rPr>
        <w:t xml:space="preserve"> </w:t>
      </w:r>
      <w:r w:rsidRPr="008E7C06">
        <w:rPr>
          <w:rFonts w:ascii="Book Antiqua" w:eastAsia="SimSun" w:hAnsi="Book Antiqua" w:cs="Helvetica"/>
          <w:lang w:eastAsia="zh-CN"/>
        </w:rPr>
        <w:t>hepatology</w:t>
      </w:r>
    </w:p>
    <w:p w14:paraId="005BAEFC" w14:textId="77777777" w:rsidR="008E7C06" w:rsidRPr="008E7C06" w:rsidRDefault="008E7C06" w:rsidP="008E7C06">
      <w:pPr>
        <w:shd w:val="clear" w:color="auto" w:fill="FFFFFF"/>
        <w:snapToGrid w:val="0"/>
        <w:spacing w:line="360" w:lineRule="auto"/>
        <w:jc w:val="both"/>
        <w:rPr>
          <w:rFonts w:ascii="Book Antiqua" w:eastAsia="SimSun" w:hAnsi="Book Antiqua" w:cs="Helvetica"/>
          <w:b/>
          <w:lang w:eastAsia="zh-CN"/>
        </w:rPr>
      </w:pPr>
      <w:r w:rsidRPr="008E7C06">
        <w:rPr>
          <w:rFonts w:ascii="Book Antiqua" w:eastAsia="SimSun" w:hAnsi="Book Antiqua" w:cs="Helvetica"/>
          <w:b/>
          <w:lang w:eastAsia="zh-CN"/>
        </w:rPr>
        <w:t xml:space="preserve">Country of origin: </w:t>
      </w:r>
      <w:r w:rsidRPr="008E7C06">
        <w:rPr>
          <w:rFonts w:ascii="Book Antiqua" w:eastAsia="SimSun" w:hAnsi="Book Antiqua" w:cs="Helvetica"/>
          <w:lang w:val="en-CA" w:eastAsia="zh-CN"/>
        </w:rPr>
        <w:t>Japan</w:t>
      </w:r>
    </w:p>
    <w:p w14:paraId="5854A049" w14:textId="77777777" w:rsidR="008E7C06" w:rsidRPr="008E7C06" w:rsidRDefault="008E7C06" w:rsidP="008E7C06">
      <w:pPr>
        <w:shd w:val="clear" w:color="auto" w:fill="FFFFFF"/>
        <w:snapToGrid w:val="0"/>
        <w:spacing w:line="360" w:lineRule="auto"/>
        <w:jc w:val="both"/>
        <w:rPr>
          <w:rFonts w:ascii="Book Antiqua" w:eastAsia="SimSun" w:hAnsi="Book Antiqua" w:cs="Helvetica"/>
          <w:b/>
          <w:lang w:eastAsia="zh-CN"/>
        </w:rPr>
      </w:pPr>
      <w:r w:rsidRPr="008E7C06">
        <w:rPr>
          <w:rFonts w:ascii="Book Antiqua" w:eastAsia="SimSun" w:hAnsi="Book Antiqua" w:cs="Helvetica"/>
          <w:b/>
          <w:lang w:eastAsia="zh-CN"/>
        </w:rPr>
        <w:t>Peer-review report classification</w:t>
      </w:r>
    </w:p>
    <w:p w14:paraId="4195E6D7" w14:textId="77777777" w:rsidR="008E7C06" w:rsidRPr="008E7C06" w:rsidRDefault="008E7C06" w:rsidP="008E7C06">
      <w:pPr>
        <w:shd w:val="clear" w:color="auto" w:fill="FFFFFF"/>
        <w:snapToGrid w:val="0"/>
        <w:spacing w:line="360" w:lineRule="auto"/>
        <w:jc w:val="both"/>
        <w:rPr>
          <w:rFonts w:ascii="Book Antiqua" w:eastAsia="SimSun" w:hAnsi="Book Antiqua" w:cs="Helvetica"/>
          <w:lang w:eastAsia="zh-CN"/>
        </w:rPr>
      </w:pPr>
      <w:r w:rsidRPr="008E7C06">
        <w:rPr>
          <w:rFonts w:ascii="Book Antiqua" w:eastAsia="SimSun" w:hAnsi="Book Antiqua" w:cs="Helvetica"/>
          <w:lang w:eastAsia="zh-CN"/>
        </w:rPr>
        <w:t xml:space="preserve">Grade A (Excellent): </w:t>
      </w:r>
      <w:r w:rsidRPr="008E7C06">
        <w:rPr>
          <w:rFonts w:ascii="Book Antiqua" w:eastAsia="SimSun" w:hAnsi="Book Antiqua" w:cs="Helvetica" w:hint="eastAsia"/>
          <w:lang w:eastAsia="zh-CN"/>
        </w:rPr>
        <w:t>0</w:t>
      </w:r>
    </w:p>
    <w:p w14:paraId="2EC5918F" w14:textId="77777777" w:rsidR="008E7C06" w:rsidRPr="008E7C06" w:rsidRDefault="008E7C06" w:rsidP="008E7C06">
      <w:pPr>
        <w:shd w:val="clear" w:color="auto" w:fill="FFFFFF"/>
        <w:snapToGrid w:val="0"/>
        <w:spacing w:line="360" w:lineRule="auto"/>
        <w:jc w:val="both"/>
        <w:rPr>
          <w:rFonts w:ascii="Book Antiqua" w:eastAsia="SimSun" w:hAnsi="Book Antiqua" w:cs="Helvetica"/>
          <w:lang w:eastAsia="zh-CN"/>
        </w:rPr>
      </w:pPr>
      <w:r w:rsidRPr="008E7C06">
        <w:rPr>
          <w:rFonts w:ascii="Book Antiqua" w:eastAsia="SimSun" w:hAnsi="Book Antiqua" w:cs="Helvetica"/>
          <w:lang w:eastAsia="zh-CN"/>
        </w:rPr>
        <w:t xml:space="preserve">Grade B (Very good): </w:t>
      </w:r>
      <w:r w:rsidRPr="008E7C06">
        <w:rPr>
          <w:rFonts w:ascii="Book Antiqua" w:eastAsia="SimSun" w:hAnsi="Book Antiqua" w:cs="Helvetica" w:hint="eastAsia"/>
          <w:lang w:eastAsia="zh-CN"/>
        </w:rPr>
        <w:t>B, B</w:t>
      </w:r>
    </w:p>
    <w:p w14:paraId="6C6DF16A" w14:textId="77777777" w:rsidR="008E7C06" w:rsidRPr="008E7C06" w:rsidRDefault="008E7C06" w:rsidP="008E7C06">
      <w:pPr>
        <w:shd w:val="clear" w:color="auto" w:fill="FFFFFF"/>
        <w:snapToGrid w:val="0"/>
        <w:spacing w:line="360" w:lineRule="auto"/>
        <w:jc w:val="both"/>
        <w:rPr>
          <w:rFonts w:ascii="Book Antiqua" w:eastAsia="SimSun" w:hAnsi="Book Antiqua" w:cs="Helvetica"/>
          <w:lang w:eastAsia="zh-CN"/>
        </w:rPr>
      </w:pPr>
      <w:r w:rsidRPr="008E7C06">
        <w:rPr>
          <w:rFonts w:ascii="Book Antiqua" w:eastAsia="SimSun" w:hAnsi="Book Antiqua" w:cs="Helvetica"/>
          <w:lang w:eastAsia="zh-CN"/>
        </w:rPr>
        <w:t xml:space="preserve">Grade C (Good): </w:t>
      </w:r>
      <w:r w:rsidRPr="008E7C06">
        <w:rPr>
          <w:rFonts w:ascii="Book Antiqua" w:eastAsia="SimSun" w:hAnsi="Book Antiqua" w:cs="Helvetica" w:hint="eastAsia"/>
          <w:lang w:eastAsia="zh-CN"/>
        </w:rPr>
        <w:t>0</w:t>
      </w:r>
    </w:p>
    <w:p w14:paraId="50D360E0" w14:textId="77777777" w:rsidR="008E7C06" w:rsidRPr="008E7C06" w:rsidRDefault="008E7C06" w:rsidP="008E7C06">
      <w:pPr>
        <w:shd w:val="clear" w:color="auto" w:fill="FFFFFF"/>
        <w:snapToGrid w:val="0"/>
        <w:spacing w:line="360" w:lineRule="auto"/>
        <w:jc w:val="both"/>
        <w:rPr>
          <w:rFonts w:ascii="Book Antiqua" w:eastAsia="SimSun" w:hAnsi="Book Antiqua" w:cs="Helvetica"/>
          <w:lang w:eastAsia="zh-CN"/>
        </w:rPr>
      </w:pPr>
      <w:r w:rsidRPr="008E7C06">
        <w:rPr>
          <w:rFonts w:ascii="Book Antiqua" w:eastAsia="SimSun" w:hAnsi="Book Antiqua" w:cs="Helvetica"/>
          <w:lang w:eastAsia="zh-CN"/>
        </w:rPr>
        <w:t xml:space="preserve">Grade D (Fair): </w:t>
      </w:r>
      <w:r w:rsidRPr="008E7C06">
        <w:rPr>
          <w:rFonts w:ascii="Book Antiqua" w:eastAsia="SimSun" w:hAnsi="Book Antiqua" w:cs="Helvetica" w:hint="eastAsia"/>
          <w:lang w:eastAsia="zh-CN"/>
        </w:rPr>
        <w:t>0</w:t>
      </w:r>
    </w:p>
    <w:p w14:paraId="58384478" w14:textId="77777777" w:rsidR="008E7C06" w:rsidRPr="008E7C06" w:rsidRDefault="008E7C06" w:rsidP="008E7C06">
      <w:pPr>
        <w:widowControl w:val="0"/>
        <w:snapToGrid w:val="0"/>
        <w:spacing w:line="360" w:lineRule="auto"/>
        <w:jc w:val="both"/>
        <w:rPr>
          <w:rFonts w:ascii="Book Antiqua" w:eastAsia="SimSun" w:hAnsi="Book Antiqua" w:cs="Times New Roman"/>
          <w:kern w:val="2"/>
          <w:lang w:eastAsia="zh-CN"/>
        </w:rPr>
      </w:pPr>
      <w:r w:rsidRPr="008E7C06">
        <w:rPr>
          <w:rFonts w:ascii="Book Antiqua" w:eastAsia="SimSun" w:hAnsi="Book Antiqua" w:cs="Helvetica"/>
          <w:lang w:eastAsia="zh-CN"/>
        </w:rPr>
        <w:t xml:space="preserve">Grade E (Poor): </w:t>
      </w:r>
      <w:r w:rsidRPr="008E7C06">
        <w:rPr>
          <w:rFonts w:ascii="Book Antiqua" w:eastAsia="SimSun" w:hAnsi="Book Antiqua" w:cs="Helvetica" w:hint="eastAsia"/>
          <w:lang w:eastAsia="zh-CN"/>
        </w:rPr>
        <w:t>0</w:t>
      </w:r>
      <w:bookmarkEnd w:id="130"/>
      <w:bookmarkEnd w:id="131"/>
    </w:p>
    <w:p w14:paraId="27536653" w14:textId="77777777" w:rsidR="008E7C06" w:rsidRDefault="008E7C06" w:rsidP="00AE09AF">
      <w:pPr>
        <w:snapToGrid w:val="0"/>
        <w:spacing w:line="360" w:lineRule="auto"/>
        <w:jc w:val="both"/>
        <w:rPr>
          <w:rFonts w:ascii="Book Antiqua" w:eastAsia="SimSun" w:hAnsi="Book Antiqua" w:cs="Times New Roman"/>
          <w:lang w:eastAsia="zh-CN"/>
        </w:rPr>
      </w:pPr>
    </w:p>
    <w:p w14:paraId="6EA1E339" w14:textId="724CA5B0" w:rsidR="00402CE0" w:rsidRPr="00BE6D3B" w:rsidRDefault="008E7C06" w:rsidP="008E7C06">
      <w:pPr>
        <w:rPr>
          <w:rFonts w:ascii="Book Antiqua" w:eastAsia="SimSun" w:hAnsi="Book Antiqua" w:cs="Times New Roman"/>
          <w:lang w:eastAsia="zh-CN"/>
        </w:rPr>
        <w:sectPr w:rsidR="00402CE0" w:rsidRPr="00BE6D3B">
          <w:pgSz w:w="11906" w:h="16838"/>
          <w:pgMar w:top="1985" w:right="1701" w:bottom="1701" w:left="1701" w:header="851" w:footer="992" w:gutter="0"/>
          <w:cols w:space="425"/>
          <w:docGrid w:type="lines" w:linePitch="360"/>
        </w:sectPr>
      </w:pPr>
      <w:r>
        <w:rPr>
          <w:rFonts w:ascii="Book Antiqua" w:eastAsia="SimSun" w:hAnsi="Book Antiqua" w:cs="Times New Roman"/>
          <w:lang w:eastAsia="zh-CN"/>
        </w:rPr>
        <w:br w:type="page"/>
      </w:r>
    </w:p>
    <w:p w14:paraId="2215021F" w14:textId="42ED12FA" w:rsidR="008E7C06" w:rsidRPr="000B250B" w:rsidRDefault="000B250B" w:rsidP="00AE09AF">
      <w:pPr>
        <w:snapToGrid w:val="0"/>
        <w:spacing w:line="360" w:lineRule="auto"/>
        <w:jc w:val="both"/>
        <w:rPr>
          <w:rFonts w:ascii="Book Antiqua" w:eastAsia="SimSun" w:hAnsi="Book Antiqua" w:cs="Times New Roman"/>
          <w:lang w:eastAsia="zh-CN"/>
        </w:rPr>
      </w:pPr>
      <w:r w:rsidRPr="002676CC">
        <w:rPr>
          <w:rFonts w:ascii="Book Antiqua" w:hAnsi="Book Antiqua"/>
          <w:b/>
        </w:rPr>
        <w:lastRenderedPageBreak/>
        <w:t>Table 1</w:t>
      </w:r>
      <w:r>
        <w:rPr>
          <w:rFonts w:ascii="Book Antiqua" w:eastAsia="SimSun" w:hAnsi="Book Antiqua" w:hint="eastAsia"/>
          <w:b/>
          <w:lang w:eastAsia="zh-CN"/>
        </w:rPr>
        <w:t xml:space="preserve"> </w:t>
      </w:r>
      <w:r w:rsidRPr="002676CC">
        <w:rPr>
          <w:rFonts w:ascii="Book Antiqua" w:hAnsi="Book Antiqua"/>
          <w:b/>
        </w:rPr>
        <w:t>Laboratory data on admission</w:t>
      </w:r>
    </w:p>
    <w:tbl>
      <w:tblPr>
        <w:tblpPr w:leftFromText="180" w:rightFromText="180" w:vertAnchor="page" w:horzAnchor="margin" w:tblpXSpec="center" w:tblpY="2637"/>
        <w:tblW w:w="10022" w:type="dxa"/>
        <w:tblBorders>
          <w:top w:val="single" w:sz="4" w:space="0" w:color="auto"/>
          <w:bottom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1"/>
        <w:gridCol w:w="1640"/>
        <w:gridCol w:w="992"/>
        <w:gridCol w:w="1843"/>
        <w:gridCol w:w="2693"/>
        <w:gridCol w:w="1843"/>
      </w:tblGrid>
      <w:tr w:rsidR="000B250B" w:rsidRPr="002676CC" w14:paraId="02169CBC" w14:textId="77777777" w:rsidTr="00C952FE">
        <w:trPr>
          <w:trHeight w:val="315"/>
        </w:trPr>
        <w:tc>
          <w:tcPr>
            <w:tcW w:w="1011" w:type="dxa"/>
            <w:shd w:val="clear" w:color="auto" w:fill="auto"/>
            <w:noWrap/>
            <w:vAlign w:val="center"/>
            <w:hideMark/>
          </w:tcPr>
          <w:p w14:paraId="17B9E44F"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WBC</w:t>
            </w:r>
          </w:p>
        </w:tc>
        <w:tc>
          <w:tcPr>
            <w:tcW w:w="1640" w:type="dxa"/>
            <w:shd w:val="clear" w:color="auto" w:fill="auto"/>
            <w:noWrap/>
            <w:vAlign w:val="center"/>
            <w:hideMark/>
          </w:tcPr>
          <w:p w14:paraId="11F293D3" w14:textId="400DFCBB" w:rsidR="000B250B" w:rsidRPr="002676CC" w:rsidRDefault="000B250B" w:rsidP="00C952FE">
            <w:pPr>
              <w:snapToGrid w:val="0"/>
              <w:spacing w:line="360" w:lineRule="auto"/>
              <w:jc w:val="center"/>
              <w:rPr>
                <w:rFonts w:ascii="Book Antiqua" w:hAnsi="Book Antiqua"/>
              </w:rPr>
            </w:pPr>
            <w:r w:rsidRPr="002676CC">
              <w:rPr>
                <w:rFonts w:ascii="Book Antiqua" w:hAnsi="Book Antiqua"/>
              </w:rPr>
              <w:t>5750/µL</w:t>
            </w:r>
          </w:p>
        </w:tc>
        <w:tc>
          <w:tcPr>
            <w:tcW w:w="992" w:type="dxa"/>
            <w:shd w:val="clear" w:color="auto" w:fill="auto"/>
            <w:noWrap/>
            <w:vAlign w:val="center"/>
            <w:hideMark/>
          </w:tcPr>
          <w:p w14:paraId="221DBF59"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ALP</w:t>
            </w:r>
          </w:p>
        </w:tc>
        <w:tc>
          <w:tcPr>
            <w:tcW w:w="1843" w:type="dxa"/>
            <w:shd w:val="clear" w:color="auto" w:fill="auto"/>
            <w:noWrap/>
            <w:vAlign w:val="center"/>
            <w:hideMark/>
          </w:tcPr>
          <w:p w14:paraId="164B99B6" w14:textId="2598BD20" w:rsidR="000B250B" w:rsidRPr="002676CC" w:rsidRDefault="000B250B" w:rsidP="00C952FE">
            <w:pPr>
              <w:snapToGrid w:val="0"/>
              <w:spacing w:line="360" w:lineRule="auto"/>
              <w:jc w:val="center"/>
              <w:rPr>
                <w:rFonts w:ascii="Book Antiqua" w:hAnsi="Book Antiqua"/>
              </w:rPr>
            </w:pPr>
            <w:r w:rsidRPr="002676CC">
              <w:rPr>
                <w:rFonts w:ascii="Book Antiqua" w:hAnsi="Book Antiqua"/>
              </w:rPr>
              <w:t>670</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6D54A212" w14:textId="77777777" w:rsidR="000B250B" w:rsidRPr="002676CC" w:rsidRDefault="000B250B" w:rsidP="00C952FE">
            <w:pPr>
              <w:snapToGrid w:val="0"/>
              <w:spacing w:line="360" w:lineRule="auto"/>
              <w:jc w:val="center"/>
              <w:rPr>
                <w:rFonts w:ascii="Book Antiqua" w:hAnsi="Book Antiqua"/>
              </w:rPr>
            </w:pPr>
            <w:r w:rsidRPr="000B250B">
              <w:rPr>
                <w:rFonts w:ascii="Book Antiqua" w:hAnsi="Book Antiqua"/>
                <w:caps/>
              </w:rPr>
              <w:t>t</w:t>
            </w:r>
            <w:r w:rsidRPr="002676CC">
              <w:rPr>
                <w:rFonts w:ascii="Book Antiqua" w:hAnsi="Book Antiqua"/>
              </w:rPr>
              <w:t>ype 4 collagen 7S</w:t>
            </w:r>
          </w:p>
        </w:tc>
        <w:tc>
          <w:tcPr>
            <w:tcW w:w="1843" w:type="dxa"/>
            <w:shd w:val="clear" w:color="auto" w:fill="auto"/>
            <w:noWrap/>
            <w:vAlign w:val="center"/>
            <w:hideMark/>
          </w:tcPr>
          <w:p w14:paraId="756A45C9" w14:textId="54E9F686"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16</w:t>
            </w:r>
            <w:r>
              <w:rPr>
                <w:rFonts w:ascii="Book Antiqua" w:eastAsia="SimSun" w:hAnsi="Book Antiqua" w:hint="eastAsia"/>
                <w:lang w:eastAsia="zh-CN"/>
              </w:rPr>
              <w:t xml:space="preserve"> </w:t>
            </w:r>
            <w:r w:rsidRPr="002676CC">
              <w:rPr>
                <w:rFonts w:ascii="Book Antiqua" w:hAnsi="Book Antiqua"/>
              </w:rPr>
              <w:t>ng/mL</w:t>
            </w:r>
          </w:p>
        </w:tc>
      </w:tr>
      <w:tr w:rsidR="000B250B" w:rsidRPr="002676CC" w14:paraId="30DF67F4" w14:textId="77777777" w:rsidTr="00C952FE">
        <w:trPr>
          <w:trHeight w:val="375"/>
        </w:trPr>
        <w:tc>
          <w:tcPr>
            <w:tcW w:w="1011" w:type="dxa"/>
            <w:shd w:val="clear" w:color="auto" w:fill="auto"/>
            <w:noWrap/>
            <w:vAlign w:val="center"/>
            <w:hideMark/>
          </w:tcPr>
          <w:p w14:paraId="38878B66"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RBC</w:t>
            </w:r>
          </w:p>
        </w:tc>
        <w:tc>
          <w:tcPr>
            <w:tcW w:w="1640" w:type="dxa"/>
            <w:shd w:val="clear" w:color="auto" w:fill="auto"/>
            <w:noWrap/>
            <w:vAlign w:val="center"/>
            <w:hideMark/>
          </w:tcPr>
          <w:p w14:paraId="49CC7EE2" w14:textId="5069CBC2" w:rsidR="000B250B" w:rsidRPr="002676CC" w:rsidRDefault="000B250B" w:rsidP="00C952FE">
            <w:pPr>
              <w:snapToGrid w:val="0"/>
              <w:spacing w:line="360" w:lineRule="auto"/>
              <w:jc w:val="center"/>
              <w:rPr>
                <w:rFonts w:ascii="Book Antiqua" w:hAnsi="Book Antiqua"/>
              </w:rPr>
            </w:pPr>
            <w:r w:rsidRPr="002676CC">
              <w:rPr>
                <w:rFonts w:ascii="Book Antiqua" w:hAnsi="Book Antiqua"/>
              </w:rPr>
              <w:t>2.99</w:t>
            </w:r>
            <w:r>
              <w:rPr>
                <w:rFonts w:ascii="Book Antiqua" w:eastAsia="SimSun" w:hAnsi="Book Antiqua" w:hint="eastAsia"/>
                <w:lang w:eastAsia="zh-CN"/>
              </w:rPr>
              <w:t xml:space="preserve"> </w:t>
            </w:r>
            <w:r w:rsidRPr="00BE5FF4">
              <w:rPr>
                <w:rFonts w:ascii="Book Antiqua" w:eastAsia="Microsoft YaHei" w:hAnsi="Book Antiqua"/>
                <w:color w:val="333333"/>
                <w:kern w:val="36"/>
              </w:rPr>
              <w:t>×</w:t>
            </w:r>
            <w:r>
              <w:rPr>
                <w:rFonts w:ascii="Book Antiqua" w:eastAsia="Microsoft YaHei" w:hAnsi="Book Antiqua" w:hint="eastAsia"/>
                <w:color w:val="333333"/>
                <w:kern w:val="36"/>
                <w:lang w:eastAsia="zh-CN"/>
              </w:rPr>
              <w:t xml:space="preserve"> </w:t>
            </w:r>
            <w:r w:rsidRPr="002676CC">
              <w:rPr>
                <w:rFonts w:ascii="Book Antiqua" w:hAnsi="Book Antiqua"/>
              </w:rPr>
              <w:t>10</w:t>
            </w:r>
            <w:r w:rsidRPr="002676CC">
              <w:rPr>
                <w:rFonts w:ascii="Book Antiqua" w:hAnsi="Book Antiqua"/>
                <w:vertAlign w:val="superscript"/>
              </w:rPr>
              <w:t>6</w:t>
            </w:r>
            <w:r w:rsidRPr="002676CC">
              <w:rPr>
                <w:rFonts w:ascii="Book Antiqua" w:hAnsi="Book Antiqua"/>
              </w:rPr>
              <w:t>/µL</w:t>
            </w:r>
          </w:p>
        </w:tc>
        <w:tc>
          <w:tcPr>
            <w:tcW w:w="992" w:type="dxa"/>
            <w:shd w:val="clear" w:color="auto" w:fill="auto"/>
            <w:noWrap/>
            <w:vAlign w:val="center"/>
            <w:hideMark/>
          </w:tcPr>
          <w:p w14:paraId="452C8DC0"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LDH</w:t>
            </w:r>
          </w:p>
        </w:tc>
        <w:tc>
          <w:tcPr>
            <w:tcW w:w="1843" w:type="dxa"/>
            <w:shd w:val="clear" w:color="auto" w:fill="auto"/>
            <w:noWrap/>
            <w:vAlign w:val="center"/>
            <w:hideMark/>
          </w:tcPr>
          <w:p w14:paraId="0E96A308" w14:textId="610B5015" w:rsidR="000B250B" w:rsidRPr="002676CC" w:rsidRDefault="000B250B" w:rsidP="00C952FE">
            <w:pPr>
              <w:snapToGrid w:val="0"/>
              <w:spacing w:line="360" w:lineRule="auto"/>
              <w:jc w:val="center"/>
              <w:rPr>
                <w:rFonts w:ascii="Book Antiqua" w:hAnsi="Book Antiqua"/>
              </w:rPr>
            </w:pPr>
            <w:r w:rsidRPr="002676CC">
              <w:rPr>
                <w:rFonts w:ascii="Book Antiqua" w:hAnsi="Book Antiqua"/>
              </w:rPr>
              <w:t>386</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43F91417"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Hyaluronic acid</w:t>
            </w:r>
          </w:p>
        </w:tc>
        <w:tc>
          <w:tcPr>
            <w:tcW w:w="1843" w:type="dxa"/>
            <w:shd w:val="clear" w:color="auto" w:fill="auto"/>
            <w:noWrap/>
            <w:vAlign w:val="center"/>
            <w:hideMark/>
          </w:tcPr>
          <w:p w14:paraId="0B20AE61" w14:textId="468FA109" w:rsidR="000B250B" w:rsidRPr="002676CC" w:rsidRDefault="000B250B" w:rsidP="00C952FE">
            <w:pPr>
              <w:snapToGrid w:val="0"/>
              <w:spacing w:line="360" w:lineRule="auto"/>
              <w:jc w:val="center"/>
              <w:rPr>
                <w:rFonts w:ascii="Book Antiqua" w:hAnsi="Book Antiqua"/>
              </w:rPr>
            </w:pPr>
            <w:r w:rsidRPr="002676CC">
              <w:rPr>
                <w:rFonts w:ascii="Book Antiqua" w:hAnsi="Book Antiqua"/>
              </w:rPr>
              <w:t>653.4</w:t>
            </w:r>
            <w:r>
              <w:rPr>
                <w:rFonts w:ascii="Book Antiqua" w:eastAsia="SimSun" w:hAnsi="Book Antiqua" w:hint="eastAsia"/>
                <w:lang w:eastAsia="zh-CN"/>
              </w:rPr>
              <w:t xml:space="preserve"> </w:t>
            </w:r>
            <w:r w:rsidRPr="002676CC">
              <w:rPr>
                <w:rFonts w:ascii="Book Antiqua" w:hAnsi="Book Antiqua"/>
              </w:rPr>
              <w:t>ng/mL</w:t>
            </w:r>
          </w:p>
        </w:tc>
      </w:tr>
      <w:tr w:rsidR="000B250B" w:rsidRPr="002676CC" w14:paraId="3FBE61D4" w14:textId="77777777" w:rsidTr="00C952FE">
        <w:trPr>
          <w:trHeight w:val="315"/>
        </w:trPr>
        <w:tc>
          <w:tcPr>
            <w:tcW w:w="1011" w:type="dxa"/>
            <w:shd w:val="clear" w:color="auto" w:fill="auto"/>
            <w:noWrap/>
            <w:vAlign w:val="center"/>
            <w:hideMark/>
          </w:tcPr>
          <w:p w14:paraId="05A3B869"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Hb</w:t>
            </w:r>
          </w:p>
        </w:tc>
        <w:tc>
          <w:tcPr>
            <w:tcW w:w="1640" w:type="dxa"/>
            <w:shd w:val="clear" w:color="auto" w:fill="auto"/>
            <w:noWrap/>
            <w:vAlign w:val="center"/>
            <w:hideMark/>
          </w:tcPr>
          <w:p w14:paraId="431F7BDF" w14:textId="287B6F1B"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11.7</w:t>
            </w:r>
            <w:r>
              <w:rPr>
                <w:rFonts w:ascii="Book Antiqua" w:eastAsia="SimSun" w:hAnsi="Book Antiqua" w:hint="eastAsia"/>
                <w:lang w:eastAsia="zh-CN"/>
              </w:rPr>
              <w:t xml:space="preserve"> </w:t>
            </w:r>
            <w:r w:rsidRPr="002676CC">
              <w:rPr>
                <w:rFonts w:ascii="Book Antiqua" w:hAnsi="Book Antiqua"/>
              </w:rPr>
              <w:t>g/dL</w:t>
            </w:r>
          </w:p>
        </w:tc>
        <w:tc>
          <w:tcPr>
            <w:tcW w:w="992" w:type="dxa"/>
            <w:shd w:val="clear" w:color="auto" w:fill="auto"/>
            <w:noWrap/>
            <w:vAlign w:val="center"/>
            <w:hideMark/>
          </w:tcPr>
          <w:p w14:paraId="29DFF068"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γGTP</w:t>
            </w:r>
          </w:p>
        </w:tc>
        <w:tc>
          <w:tcPr>
            <w:tcW w:w="1843" w:type="dxa"/>
            <w:shd w:val="clear" w:color="auto" w:fill="auto"/>
            <w:noWrap/>
            <w:vAlign w:val="center"/>
            <w:hideMark/>
          </w:tcPr>
          <w:p w14:paraId="6EB1EE11" w14:textId="66F80FCB" w:rsidR="000B250B" w:rsidRPr="002676CC" w:rsidRDefault="000B250B" w:rsidP="00C952FE">
            <w:pPr>
              <w:snapToGrid w:val="0"/>
              <w:spacing w:line="360" w:lineRule="auto"/>
              <w:jc w:val="center"/>
              <w:rPr>
                <w:rFonts w:ascii="Book Antiqua" w:hAnsi="Book Antiqua"/>
              </w:rPr>
            </w:pPr>
            <w:r w:rsidRPr="002676CC">
              <w:rPr>
                <w:rFonts w:ascii="Book Antiqua" w:hAnsi="Book Antiqua"/>
              </w:rPr>
              <w:t>97</w:t>
            </w:r>
            <w:r>
              <w:rPr>
                <w:rFonts w:ascii="Book Antiqua" w:eastAsia="SimSun" w:hAnsi="Book Antiqua" w:hint="eastAsia"/>
                <w:lang w:eastAsia="zh-CN"/>
              </w:rPr>
              <w:t xml:space="preserve"> </w:t>
            </w:r>
            <w:r w:rsidRPr="002676CC">
              <w:rPr>
                <w:rFonts w:ascii="Book Antiqua" w:hAnsi="Book Antiqua"/>
              </w:rPr>
              <w:t>U/L</w:t>
            </w:r>
          </w:p>
        </w:tc>
        <w:tc>
          <w:tcPr>
            <w:tcW w:w="2693" w:type="dxa"/>
            <w:shd w:val="clear" w:color="auto" w:fill="auto"/>
            <w:noWrap/>
            <w:vAlign w:val="center"/>
            <w:hideMark/>
          </w:tcPr>
          <w:p w14:paraId="3B06E588" w14:textId="77777777" w:rsidR="000B250B" w:rsidRPr="002676CC" w:rsidRDefault="000B250B" w:rsidP="00C952FE">
            <w:pPr>
              <w:snapToGrid w:val="0"/>
              <w:spacing w:line="360" w:lineRule="auto"/>
              <w:jc w:val="center"/>
              <w:rPr>
                <w:rFonts w:ascii="Book Antiqua" w:hAnsi="Book Antiqua"/>
              </w:rPr>
            </w:pPr>
          </w:p>
        </w:tc>
        <w:tc>
          <w:tcPr>
            <w:tcW w:w="1843" w:type="dxa"/>
            <w:shd w:val="clear" w:color="auto" w:fill="auto"/>
            <w:noWrap/>
            <w:vAlign w:val="center"/>
            <w:hideMark/>
          </w:tcPr>
          <w:p w14:paraId="2E90C821" w14:textId="77777777" w:rsidR="000B250B" w:rsidRPr="002676CC" w:rsidRDefault="000B250B" w:rsidP="00C952FE">
            <w:pPr>
              <w:snapToGrid w:val="0"/>
              <w:spacing w:line="360" w:lineRule="auto"/>
              <w:jc w:val="center"/>
              <w:rPr>
                <w:rFonts w:ascii="Book Antiqua" w:hAnsi="Book Antiqua"/>
              </w:rPr>
            </w:pPr>
          </w:p>
        </w:tc>
      </w:tr>
      <w:tr w:rsidR="000B250B" w:rsidRPr="002676CC" w14:paraId="1A7120DC" w14:textId="77777777" w:rsidTr="00C952FE">
        <w:trPr>
          <w:trHeight w:val="375"/>
        </w:trPr>
        <w:tc>
          <w:tcPr>
            <w:tcW w:w="1011" w:type="dxa"/>
            <w:shd w:val="clear" w:color="auto" w:fill="auto"/>
            <w:noWrap/>
            <w:vAlign w:val="center"/>
            <w:hideMark/>
          </w:tcPr>
          <w:p w14:paraId="05BBC5D4"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PLT</w:t>
            </w:r>
          </w:p>
        </w:tc>
        <w:tc>
          <w:tcPr>
            <w:tcW w:w="1640" w:type="dxa"/>
            <w:shd w:val="clear" w:color="auto" w:fill="auto"/>
            <w:noWrap/>
            <w:vAlign w:val="center"/>
            <w:hideMark/>
          </w:tcPr>
          <w:p w14:paraId="322C3EF8" w14:textId="776D4432" w:rsidR="000B250B" w:rsidRPr="002676CC" w:rsidRDefault="000B250B" w:rsidP="00C952FE">
            <w:pPr>
              <w:snapToGrid w:val="0"/>
              <w:spacing w:line="360" w:lineRule="auto"/>
              <w:jc w:val="center"/>
              <w:rPr>
                <w:rFonts w:ascii="Book Antiqua" w:hAnsi="Book Antiqua"/>
              </w:rPr>
            </w:pPr>
            <w:r w:rsidRPr="002676CC">
              <w:rPr>
                <w:rFonts w:ascii="Book Antiqua" w:hAnsi="Book Antiqua"/>
              </w:rPr>
              <w:t>5.3</w:t>
            </w:r>
            <w:r>
              <w:rPr>
                <w:rFonts w:ascii="Book Antiqua" w:eastAsia="SimSun" w:hAnsi="Book Antiqua" w:hint="eastAsia"/>
                <w:lang w:eastAsia="zh-CN"/>
              </w:rPr>
              <w:t xml:space="preserve"> </w:t>
            </w:r>
            <w:r w:rsidRPr="00BE5FF4">
              <w:rPr>
                <w:rFonts w:ascii="Book Antiqua" w:eastAsia="Microsoft YaHei" w:hAnsi="Book Antiqua"/>
                <w:color w:val="333333"/>
                <w:kern w:val="36"/>
              </w:rPr>
              <w:t>×</w:t>
            </w:r>
            <w:r>
              <w:rPr>
                <w:rFonts w:ascii="Book Antiqua" w:eastAsia="Microsoft YaHei" w:hAnsi="Book Antiqua" w:hint="eastAsia"/>
                <w:color w:val="333333"/>
                <w:kern w:val="36"/>
                <w:lang w:eastAsia="zh-CN"/>
              </w:rPr>
              <w:t xml:space="preserve"> </w:t>
            </w:r>
            <w:r w:rsidRPr="002676CC">
              <w:rPr>
                <w:rFonts w:ascii="Book Antiqua" w:hAnsi="Book Antiqua"/>
              </w:rPr>
              <w:t>10</w:t>
            </w:r>
            <w:r w:rsidRPr="002676CC">
              <w:rPr>
                <w:rFonts w:ascii="Book Antiqua" w:hAnsi="Book Antiqua"/>
                <w:vertAlign w:val="superscript"/>
              </w:rPr>
              <w:t>6</w:t>
            </w:r>
            <w:r w:rsidRPr="002676CC">
              <w:rPr>
                <w:rFonts w:ascii="Book Antiqua" w:hAnsi="Book Antiqua"/>
              </w:rPr>
              <w:t>/µL</w:t>
            </w:r>
          </w:p>
        </w:tc>
        <w:tc>
          <w:tcPr>
            <w:tcW w:w="992" w:type="dxa"/>
            <w:shd w:val="clear" w:color="auto" w:fill="auto"/>
            <w:noWrap/>
            <w:vAlign w:val="center"/>
            <w:hideMark/>
          </w:tcPr>
          <w:p w14:paraId="66788343"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ChE</w:t>
            </w:r>
          </w:p>
        </w:tc>
        <w:tc>
          <w:tcPr>
            <w:tcW w:w="1843" w:type="dxa"/>
            <w:shd w:val="clear" w:color="auto" w:fill="auto"/>
            <w:noWrap/>
            <w:vAlign w:val="center"/>
            <w:hideMark/>
          </w:tcPr>
          <w:p w14:paraId="06247C43" w14:textId="552DAC5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68</w:t>
            </w:r>
            <w:r>
              <w:rPr>
                <w:rFonts w:ascii="Book Antiqua" w:eastAsia="SimSun" w:hAnsi="Book Antiqua" w:hint="eastAsia"/>
                <w:lang w:eastAsia="zh-CN"/>
              </w:rPr>
              <w:t xml:space="preserve"> </w:t>
            </w:r>
            <w:r w:rsidRPr="002676CC">
              <w:rPr>
                <w:rFonts w:ascii="Book Antiqua" w:hAnsi="Book Antiqua"/>
              </w:rPr>
              <w:t>U/L</w:t>
            </w:r>
          </w:p>
        </w:tc>
        <w:tc>
          <w:tcPr>
            <w:tcW w:w="2693" w:type="dxa"/>
            <w:shd w:val="clear" w:color="auto" w:fill="auto"/>
            <w:noWrap/>
            <w:vAlign w:val="center"/>
            <w:hideMark/>
          </w:tcPr>
          <w:p w14:paraId="40BFC339"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ANA</w:t>
            </w:r>
          </w:p>
        </w:tc>
        <w:tc>
          <w:tcPr>
            <w:tcW w:w="1843" w:type="dxa"/>
            <w:shd w:val="clear" w:color="auto" w:fill="auto"/>
            <w:noWrap/>
            <w:vAlign w:val="center"/>
            <w:hideMark/>
          </w:tcPr>
          <w:p w14:paraId="0423E899" w14:textId="11050A11" w:rsidR="000B250B" w:rsidRPr="002676CC" w:rsidRDefault="000B250B" w:rsidP="00C952FE">
            <w:pPr>
              <w:snapToGrid w:val="0"/>
              <w:spacing w:line="360" w:lineRule="auto"/>
              <w:jc w:val="center"/>
              <w:rPr>
                <w:rFonts w:ascii="Book Antiqua" w:hAnsi="Book Antiqua"/>
              </w:rPr>
            </w:pPr>
            <w:r w:rsidRPr="00BE5FF4">
              <w:rPr>
                <w:rFonts w:ascii="Book Antiqua" w:eastAsia="Microsoft YaHei" w:hAnsi="Book Antiqua"/>
                <w:color w:val="333333"/>
                <w:kern w:val="36"/>
              </w:rPr>
              <w:t>×</w:t>
            </w:r>
            <w:r>
              <w:rPr>
                <w:rFonts w:ascii="Book Antiqua" w:eastAsia="SimSun" w:hAnsi="Book Antiqua" w:hint="eastAsia"/>
                <w:lang w:eastAsia="zh-CN"/>
              </w:rPr>
              <w:t xml:space="preserve"> </w:t>
            </w:r>
            <w:r w:rsidRPr="002676CC">
              <w:rPr>
                <w:rFonts w:ascii="Book Antiqua" w:hAnsi="Book Antiqua"/>
              </w:rPr>
              <w:t>1280</w:t>
            </w:r>
          </w:p>
        </w:tc>
      </w:tr>
      <w:tr w:rsidR="000B250B" w:rsidRPr="002676CC" w14:paraId="79B889FA" w14:textId="77777777" w:rsidTr="00C952FE">
        <w:trPr>
          <w:trHeight w:val="420"/>
        </w:trPr>
        <w:tc>
          <w:tcPr>
            <w:tcW w:w="1011" w:type="dxa"/>
            <w:shd w:val="clear" w:color="auto" w:fill="auto"/>
            <w:noWrap/>
            <w:vAlign w:val="center"/>
            <w:hideMark/>
          </w:tcPr>
          <w:p w14:paraId="010647CE" w14:textId="77777777" w:rsidR="000B250B" w:rsidRPr="002676CC" w:rsidRDefault="000B250B" w:rsidP="000B250B">
            <w:pPr>
              <w:snapToGrid w:val="0"/>
              <w:spacing w:line="360" w:lineRule="auto"/>
              <w:jc w:val="both"/>
              <w:rPr>
                <w:rFonts w:ascii="Book Antiqua" w:hAnsi="Book Antiqua"/>
              </w:rPr>
            </w:pPr>
          </w:p>
        </w:tc>
        <w:tc>
          <w:tcPr>
            <w:tcW w:w="1640" w:type="dxa"/>
            <w:shd w:val="clear" w:color="auto" w:fill="auto"/>
            <w:noWrap/>
            <w:vAlign w:val="center"/>
            <w:hideMark/>
          </w:tcPr>
          <w:p w14:paraId="5B563335" w14:textId="77777777" w:rsidR="000B250B" w:rsidRPr="002676CC" w:rsidRDefault="000B250B" w:rsidP="00C952FE">
            <w:pPr>
              <w:snapToGrid w:val="0"/>
              <w:spacing w:line="360" w:lineRule="auto"/>
              <w:jc w:val="center"/>
              <w:rPr>
                <w:rFonts w:ascii="Book Antiqua" w:hAnsi="Book Antiqua"/>
              </w:rPr>
            </w:pPr>
          </w:p>
        </w:tc>
        <w:tc>
          <w:tcPr>
            <w:tcW w:w="992" w:type="dxa"/>
            <w:shd w:val="clear" w:color="auto" w:fill="auto"/>
            <w:noWrap/>
            <w:vAlign w:val="center"/>
            <w:hideMark/>
          </w:tcPr>
          <w:p w14:paraId="14F76654"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T. Cho</w:t>
            </w:r>
          </w:p>
        </w:tc>
        <w:tc>
          <w:tcPr>
            <w:tcW w:w="1843" w:type="dxa"/>
            <w:shd w:val="clear" w:color="auto" w:fill="auto"/>
            <w:noWrap/>
            <w:vAlign w:val="center"/>
            <w:hideMark/>
          </w:tcPr>
          <w:p w14:paraId="69CB6832" w14:textId="6DBC7F43"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120</w:t>
            </w:r>
            <w:r>
              <w:rPr>
                <w:rFonts w:ascii="Book Antiqua" w:eastAsia="SimSun" w:hAnsi="Book Antiqua" w:hint="eastAsia"/>
                <w:lang w:eastAsia="zh-CN"/>
              </w:rPr>
              <w:t xml:space="preserve"> </w:t>
            </w:r>
            <w:r w:rsidRPr="002676CC">
              <w:rPr>
                <w:rFonts w:ascii="Book Antiqua" w:hAnsi="Book Antiqua"/>
              </w:rPr>
              <w:t>g/dL</w:t>
            </w:r>
          </w:p>
        </w:tc>
        <w:tc>
          <w:tcPr>
            <w:tcW w:w="2693" w:type="dxa"/>
            <w:shd w:val="clear" w:color="auto" w:fill="auto"/>
            <w:noWrap/>
            <w:vAlign w:val="center"/>
            <w:hideMark/>
          </w:tcPr>
          <w:p w14:paraId="3B692CE4"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(anti-centromere type)</w:t>
            </w:r>
          </w:p>
        </w:tc>
        <w:tc>
          <w:tcPr>
            <w:tcW w:w="1843" w:type="dxa"/>
            <w:shd w:val="clear" w:color="auto" w:fill="auto"/>
            <w:noWrap/>
            <w:vAlign w:val="center"/>
            <w:hideMark/>
          </w:tcPr>
          <w:p w14:paraId="150D8FDB" w14:textId="77777777" w:rsidR="000B250B" w:rsidRPr="002676CC" w:rsidRDefault="000B250B" w:rsidP="00C952FE">
            <w:pPr>
              <w:snapToGrid w:val="0"/>
              <w:spacing w:line="360" w:lineRule="auto"/>
              <w:jc w:val="center"/>
              <w:rPr>
                <w:rFonts w:ascii="Book Antiqua" w:hAnsi="Book Antiqua"/>
              </w:rPr>
            </w:pPr>
          </w:p>
        </w:tc>
      </w:tr>
      <w:tr w:rsidR="000B250B" w:rsidRPr="002676CC" w14:paraId="02D4FEBD" w14:textId="77777777" w:rsidTr="00C952FE">
        <w:trPr>
          <w:trHeight w:val="315"/>
        </w:trPr>
        <w:tc>
          <w:tcPr>
            <w:tcW w:w="1011" w:type="dxa"/>
            <w:shd w:val="clear" w:color="auto" w:fill="auto"/>
            <w:noWrap/>
            <w:vAlign w:val="center"/>
            <w:hideMark/>
          </w:tcPr>
          <w:p w14:paraId="379245D7"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PT%</w:t>
            </w:r>
          </w:p>
        </w:tc>
        <w:tc>
          <w:tcPr>
            <w:tcW w:w="1640" w:type="dxa"/>
            <w:shd w:val="clear" w:color="auto" w:fill="auto"/>
            <w:noWrap/>
            <w:vAlign w:val="center"/>
            <w:hideMark/>
          </w:tcPr>
          <w:p w14:paraId="42784B43" w14:textId="08C27F6E" w:rsidR="000B250B" w:rsidRPr="002676CC" w:rsidRDefault="000B250B" w:rsidP="00C952FE">
            <w:pPr>
              <w:snapToGrid w:val="0"/>
              <w:spacing w:line="360" w:lineRule="auto"/>
              <w:jc w:val="center"/>
              <w:rPr>
                <w:rFonts w:ascii="Book Antiqua" w:hAnsi="Book Antiqua"/>
              </w:rPr>
            </w:pPr>
            <w:r w:rsidRPr="002676CC">
              <w:rPr>
                <w:rFonts w:ascii="Book Antiqua" w:hAnsi="Book Antiqua"/>
              </w:rPr>
              <w:t>40%</w:t>
            </w:r>
          </w:p>
        </w:tc>
        <w:tc>
          <w:tcPr>
            <w:tcW w:w="992" w:type="dxa"/>
            <w:shd w:val="clear" w:color="auto" w:fill="auto"/>
            <w:noWrap/>
            <w:vAlign w:val="center"/>
            <w:hideMark/>
          </w:tcPr>
          <w:p w14:paraId="1BEC2249"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BUN</w:t>
            </w:r>
          </w:p>
        </w:tc>
        <w:tc>
          <w:tcPr>
            <w:tcW w:w="1843" w:type="dxa"/>
            <w:shd w:val="clear" w:color="auto" w:fill="auto"/>
            <w:noWrap/>
            <w:vAlign w:val="center"/>
            <w:hideMark/>
          </w:tcPr>
          <w:p w14:paraId="13F1F785" w14:textId="4CD85CE6"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18.6</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44B16256"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AMA</w:t>
            </w:r>
          </w:p>
        </w:tc>
        <w:tc>
          <w:tcPr>
            <w:tcW w:w="1843" w:type="dxa"/>
            <w:shd w:val="clear" w:color="auto" w:fill="auto"/>
            <w:noWrap/>
            <w:vAlign w:val="center"/>
            <w:hideMark/>
          </w:tcPr>
          <w:p w14:paraId="4967E32B" w14:textId="24E1932D" w:rsidR="000B250B" w:rsidRPr="002676CC" w:rsidRDefault="000B250B" w:rsidP="00C952FE">
            <w:pPr>
              <w:snapToGrid w:val="0"/>
              <w:spacing w:line="360" w:lineRule="auto"/>
              <w:jc w:val="center"/>
              <w:rPr>
                <w:rFonts w:ascii="Book Antiqua" w:hAnsi="Book Antiqua"/>
              </w:rPr>
            </w:pPr>
            <w:r w:rsidRPr="002676CC">
              <w:rPr>
                <w:rFonts w:ascii="Book Antiqua" w:hAnsi="Book Antiqua"/>
              </w:rPr>
              <w:t>(-)</w:t>
            </w:r>
          </w:p>
        </w:tc>
      </w:tr>
      <w:tr w:rsidR="000B250B" w:rsidRPr="002676CC" w14:paraId="6A3432C9" w14:textId="77777777" w:rsidTr="00C952FE">
        <w:trPr>
          <w:trHeight w:val="315"/>
        </w:trPr>
        <w:tc>
          <w:tcPr>
            <w:tcW w:w="1011" w:type="dxa"/>
            <w:shd w:val="clear" w:color="auto" w:fill="auto"/>
            <w:noWrap/>
            <w:vAlign w:val="center"/>
            <w:hideMark/>
          </w:tcPr>
          <w:p w14:paraId="403D4804"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PT-INR</w:t>
            </w:r>
          </w:p>
        </w:tc>
        <w:tc>
          <w:tcPr>
            <w:tcW w:w="1640" w:type="dxa"/>
            <w:shd w:val="clear" w:color="auto" w:fill="auto"/>
            <w:noWrap/>
            <w:vAlign w:val="center"/>
            <w:hideMark/>
          </w:tcPr>
          <w:p w14:paraId="5327825F" w14:textId="66BE8600"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1.63</w:t>
            </w:r>
          </w:p>
        </w:tc>
        <w:tc>
          <w:tcPr>
            <w:tcW w:w="992" w:type="dxa"/>
            <w:shd w:val="clear" w:color="auto" w:fill="auto"/>
            <w:noWrap/>
            <w:vAlign w:val="center"/>
            <w:hideMark/>
          </w:tcPr>
          <w:p w14:paraId="2DC14D6E"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Cre</w:t>
            </w:r>
          </w:p>
        </w:tc>
        <w:tc>
          <w:tcPr>
            <w:tcW w:w="1843" w:type="dxa"/>
            <w:shd w:val="clear" w:color="auto" w:fill="auto"/>
            <w:noWrap/>
            <w:vAlign w:val="center"/>
            <w:hideMark/>
          </w:tcPr>
          <w:p w14:paraId="635AF3CD" w14:textId="79927C05" w:rsidR="000B250B" w:rsidRPr="002676CC" w:rsidRDefault="000B250B" w:rsidP="00C952FE">
            <w:pPr>
              <w:snapToGrid w:val="0"/>
              <w:spacing w:line="360" w:lineRule="auto"/>
              <w:jc w:val="center"/>
              <w:rPr>
                <w:rFonts w:ascii="Book Antiqua" w:hAnsi="Book Antiqua"/>
              </w:rPr>
            </w:pPr>
            <w:r w:rsidRPr="002676CC">
              <w:rPr>
                <w:rFonts w:ascii="Book Antiqua" w:hAnsi="Book Antiqua"/>
              </w:rPr>
              <w:t>0.65</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3347E573"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ASMA</w:t>
            </w:r>
          </w:p>
        </w:tc>
        <w:tc>
          <w:tcPr>
            <w:tcW w:w="1843" w:type="dxa"/>
            <w:shd w:val="clear" w:color="auto" w:fill="auto"/>
            <w:noWrap/>
            <w:vAlign w:val="center"/>
            <w:hideMark/>
          </w:tcPr>
          <w:p w14:paraId="1FED3EFA" w14:textId="6C6C963B" w:rsidR="000B250B" w:rsidRPr="002676CC" w:rsidRDefault="000B250B" w:rsidP="00C952FE">
            <w:pPr>
              <w:snapToGrid w:val="0"/>
              <w:spacing w:line="360" w:lineRule="auto"/>
              <w:jc w:val="center"/>
              <w:rPr>
                <w:rFonts w:ascii="Book Antiqua" w:hAnsi="Book Antiqua"/>
              </w:rPr>
            </w:pPr>
            <w:r w:rsidRPr="002676CC">
              <w:rPr>
                <w:rFonts w:ascii="Book Antiqua" w:hAnsi="Book Antiqua"/>
              </w:rPr>
              <w:t>(-)</w:t>
            </w:r>
          </w:p>
        </w:tc>
      </w:tr>
      <w:tr w:rsidR="000B250B" w:rsidRPr="002676CC" w14:paraId="11800BD9" w14:textId="77777777" w:rsidTr="00C952FE">
        <w:trPr>
          <w:trHeight w:val="315"/>
        </w:trPr>
        <w:tc>
          <w:tcPr>
            <w:tcW w:w="1011" w:type="dxa"/>
            <w:shd w:val="clear" w:color="auto" w:fill="auto"/>
            <w:noWrap/>
            <w:vAlign w:val="center"/>
            <w:hideMark/>
          </w:tcPr>
          <w:p w14:paraId="6F8D3AFC" w14:textId="77777777" w:rsidR="000B250B" w:rsidRPr="002676CC" w:rsidRDefault="000B250B" w:rsidP="000B250B">
            <w:pPr>
              <w:snapToGrid w:val="0"/>
              <w:spacing w:line="360" w:lineRule="auto"/>
              <w:jc w:val="both"/>
              <w:rPr>
                <w:rFonts w:ascii="Book Antiqua" w:hAnsi="Book Antiqua"/>
              </w:rPr>
            </w:pPr>
          </w:p>
        </w:tc>
        <w:tc>
          <w:tcPr>
            <w:tcW w:w="1640" w:type="dxa"/>
            <w:shd w:val="clear" w:color="auto" w:fill="auto"/>
            <w:noWrap/>
            <w:vAlign w:val="center"/>
            <w:hideMark/>
          </w:tcPr>
          <w:p w14:paraId="21168867" w14:textId="77777777" w:rsidR="000B250B" w:rsidRPr="002676CC" w:rsidRDefault="000B250B" w:rsidP="00C952FE">
            <w:pPr>
              <w:snapToGrid w:val="0"/>
              <w:spacing w:line="360" w:lineRule="auto"/>
              <w:jc w:val="center"/>
              <w:rPr>
                <w:rFonts w:ascii="Book Antiqua" w:hAnsi="Book Antiqua"/>
              </w:rPr>
            </w:pPr>
          </w:p>
        </w:tc>
        <w:tc>
          <w:tcPr>
            <w:tcW w:w="992" w:type="dxa"/>
            <w:shd w:val="clear" w:color="auto" w:fill="auto"/>
            <w:noWrap/>
            <w:vAlign w:val="center"/>
            <w:hideMark/>
          </w:tcPr>
          <w:p w14:paraId="787BAB2F"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Na</w:t>
            </w:r>
          </w:p>
        </w:tc>
        <w:tc>
          <w:tcPr>
            <w:tcW w:w="1843" w:type="dxa"/>
            <w:shd w:val="clear" w:color="auto" w:fill="auto"/>
            <w:noWrap/>
            <w:vAlign w:val="center"/>
            <w:hideMark/>
          </w:tcPr>
          <w:p w14:paraId="66C6F2A0" w14:textId="6C2CAD74"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140</w:t>
            </w:r>
            <w:r>
              <w:rPr>
                <w:rFonts w:ascii="Book Antiqua" w:eastAsia="SimSun" w:hAnsi="Book Antiqua" w:hint="eastAsia"/>
                <w:lang w:eastAsia="zh-CN"/>
              </w:rPr>
              <w:t xml:space="preserve"> </w:t>
            </w:r>
            <w:r w:rsidRPr="002676CC">
              <w:rPr>
                <w:rFonts w:ascii="Book Antiqua" w:hAnsi="Book Antiqua"/>
              </w:rPr>
              <w:t>mEq/L</w:t>
            </w:r>
          </w:p>
        </w:tc>
        <w:tc>
          <w:tcPr>
            <w:tcW w:w="2693" w:type="dxa"/>
            <w:shd w:val="clear" w:color="auto" w:fill="auto"/>
            <w:noWrap/>
            <w:vAlign w:val="center"/>
            <w:hideMark/>
          </w:tcPr>
          <w:p w14:paraId="7956C155" w14:textId="77777777" w:rsidR="000B250B" w:rsidRPr="002676CC" w:rsidRDefault="000B250B" w:rsidP="00C952FE">
            <w:pPr>
              <w:snapToGrid w:val="0"/>
              <w:spacing w:line="360" w:lineRule="auto"/>
              <w:jc w:val="center"/>
              <w:rPr>
                <w:rFonts w:ascii="Book Antiqua" w:hAnsi="Book Antiqua"/>
              </w:rPr>
            </w:pPr>
          </w:p>
        </w:tc>
        <w:tc>
          <w:tcPr>
            <w:tcW w:w="1843" w:type="dxa"/>
            <w:shd w:val="clear" w:color="auto" w:fill="auto"/>
            <w:noWrap/>
            <w:vAlign w:val="center"/>
            <w:hideMark/>
          </w:tcPr>
          <w:p w14:paraId="15D8ABF7" w14:textId="77777777" w:rsidR="000B250B" w:rsidRPr="002676CC" w:rsidRDefault="000B250B" w:rsidP="00C952FE">
            <w:pPr>
              <w:snapToGrid w:val="0"/>
              <w:spacing w:line="360" w:lineRule="auto"/>
              <w:jc w:val="center"/>
              <w:rPr>
                <w:rFonts w:ascii="Book Antiqua" w:hAnsi="Book Antiqua"/>
              </w:rPr>
            </w:pPr>
          </w:p>
        </w:tc>
      </w:tr>
      <w:tr w:rsidR="000B250B" w:rsidRPr="002676CC" w14:paraId="20AE0B8B" w14:textId="77777777" w:rsidTr="00C952FE">
        <w:trPr>
          <w:trHeight w:val="315"/>
        </w:trPr>
        <w:tc>
          <w:tcPr>
            <w:tcW w:w="1011" w:type="dxa"/>
            <w:shd w:val="clear" w:color="auto" w:fill="auto"/>
            <w:noWrap/>
            <w:vAlign w:val="center"/>
            <w:hideMark/>
          </w:tcPr>
          <w:p w14:paraId="785349A9"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T.P.</w:t>
            </w:r>
          </w:p>
        </w:tc>
        <w:tc>
          <w:tcPr>
            <w:tcW w:w="1640" w:type="dxa"/>
            <w:shd w:val="clear" w:color="auto" w:fill="auto"/>
            <w:noWrap/>
            <w:vAlign w:val="center"/>
            <w:hideMark/>
          </w:tcPr>
          <w:p w14:paraId="1754A431" w14:textId="65918770" w:rsidR="000B250B" w:rsidRPr="002676CC" w:rsidRDefault="000B250B" w:rsidP="00C952FE">
            <w:pPr>
              <w:snapToGrid w:val="0"/>
              <w:spacing w:line="360" w:lineRule="auto"/>
              <w:jc w:val="center"/>
              <w:rPr>
                <w:rFonts w:ascii="Book Antiqua" w:hAnsi="Book Antiqua"/>
              </w:rPr>
            </w:pPr>
            <w:r w:rsidRPr="002676CC">
              <w:rPr>
                <w:rFonts w:ascii="Book Antiqua" w:hAnsi="Book Antiqua"/>
              </w:rPr>
              <w:t>6.1</w:t>
            </w:r>
            <w:r>
              <w:rPr>
                <w:rFonts w:ascii="Book Antiqua" w:eastAsia="SimSun" w:hAnsi="Book Antiqua" w:hint="eastAsia"/>
                <w:lang w:eastAsia="zh-CN"/>
              </w:rPr>
              <w:t xml:space="preserve"> </w:t>
            </w:r>
            <w:r w:rsidRPr="002676CC">
              <w:rPr>
                <w:rFonts w:ascii="Book Antiqua" w:hAnsi="Book Antiqua"/>
              </w:rPr>
              <w:t>g/dL</w:t>
            </w:r>
          </w:p>
        </w:tc>
        <w:tc>
          <w:tcPr>
            <w:tcW w:w="992" w:type="dxa"/>
            <w:shd w:val="clear" w:color="auto" w:fill="auto"/>
            <w:noWrap/>
            <w:vAlign w:val="center"/>
            <w:hideMark/>
          </w:tcPr>
          <w:p w14:paraId="252BA9B2"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K</w:t>
            </w:r>
          </w:p>
        </w:tc>
        <w:tc>
          <w:tcPr>
            <w:tcW w:w="1843" w:type="dxa"/>
            <w:shd w:val="clear" w:color="auto" w:fill="auto"/>
            <w:noWrap/>
            <w:vAlign w:val="center"/>
            <w:hideMark/>
          </w:tcPr>
          <w:p w14:paraId="52E0856C" w14:textId="55ECC150" w:rsidR="000B250B" w:rsidRPr="002676CC" w:rsidRDefault="000B250B" w:rsidP="00C952FE">
            <w:pPr>
              <w:snapToGrid w:val="0"/>
              <w:spacing w:line="360" w:lineRule="auto"/>
              <w:jc w:val="center"/>
              <w:rPr>
                <w:rFonts w:ascii="Book Antiqua" w:hAnsi="Book Antiqua"/>
              </w:rPr>
            </w:pPr>
            <w:r w:rsidRPr="002676CC">
              <w:rPr>
                <w:rFonts w:ascii="Book Antiqua" w:hAnsi="Book Antiqua"/>
              </w:rPr>
              <w:t>3.9</w:t>
            </w:r>
            <w:r>
              <w:rPr>
                <w:rFonts w:ascii="Book Antiqua" w:eastAsia="SimSun" w:hAnsi="Book Antiqua" w:hint="eastAsia"/>
                <w:lang w:eastAsia="zh-CN"/>
              </w:rPr>
              <w:t xml:space="preserve"> </w:t>
            </w:r>
            <w:r w:rsidRPr="002676CC">
              <w:rPr>
                <w:rFonts w:ascii="Book Antiqua" w:hAnsi="Book Antiqua"/>
              </w:rPr>
              <w:t>mEq/L</w:t>
            </w:r>
          </w:p>
        </w:tc>
        <w:tc>
          <w:tcPr>
            <w:tcW w:w="2693" w:type="dxa"/>
            <w:shd w:val="clear" w:color="auto" w:fill="auto"/>
            <w:noWrap/>
            <w:vAlign w:val="center"/>
            <w:hideMark/>
          </w:tcPr>
          <w:p w14:paraId="0A6B5C2D"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HBs Ag</w:t>
            </w:r>
          </w:p>
        </w:tc>
        <w:tc>
          <w:tcPr>
            <w:tcW w:w="1843" w:type="dxa"/>
            <w:shd w:val="clear" w:color="auto" w:fill="auto"/>
            <w:noWrap/>
            <w:vAlign w:val="center"/>
            <w:hideMark/>
          </w:tcPr>
          <w:p w14:paraId="687EE1BA" w14:textId="1CB9EE6D" w:rsidR="000B250B" w:rsidRPr="002676CC" w:rsidRDefault="000B250B" w:rsidP="00C952FE">
            <w:pPr>
              <w:snapToGrid w:val="0"/>
              <w:spacing w:line="360" w:lineRule="auto"/>
              <w:jc w:val="center"/>
              <w:rPr>
                <w:rFonts w:ascii="Book Antiqua" w:hAnsi="Book Antiqua"/>
              </w:rPr>
            </w:pPr>
            <w:r w:rsidRPr="002676CC">
              <w:rPr>
                <w:rFonts w:ascii="Book Antiqua" w:hAnsi="Book Antiqua"/>
              </w:rPr>
              <w:t>(-)</w:t>
            </w:r>
          </w:p>
        </w:tc>
      </w:tr>
      <w:tr w:rsidR="000B250B" w:rsidRPr="002676CC" w14:paraId="7829BEEC" w14:textId="77777777" w:rsidTr="00C952FE">
        <w:trPr>
          <w:trHeight w:val="315"/>
        </w:trPr>
        <w:tc>
          <w:tcPr>
            <w:tcW w:w="1011" w:type="dxa"/>
            <w:shd w:val="clear" w:color="auto" w:fill="auto"/>
            <w:noWrap/>
            <w:vAlign w:val="center"/>
            <w:hideMark/>
          </w:tcPr>
          <w:p w14:paraId="4FFD9DF9"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Alb</w:t>
            </w:r>
          </w:p>
        </w:tc>
        <w:tc>
          <w:tcPr>
            <w:tcW w:w="1640" w:type="dxa"/>
            <w:shd w:val="clear" w:color="auto" w:fill="auto"/>
            <w:noWrap/>
            <w:vAlign w:val="center"/>
            <w:hideMark/>
          </w:tcPr>
          <w:p w14:paraId="1FC157D0" w14:textId="54D25041" w:rsidR="000B250B" w:rsidRPr="002676CC" w:rsidRDefault="000B250B" w:rsidP="00C952FE">
            <w:pPr>
              <w:snapToGrid w:val="0"/>
              <w:spacing w:line="360" w:lineRule="auto"/>
              <w:jc w:val="center"/>
              <w:rPr>
                <w:rFonts w:ascii="Book Antiqua" w:hAnsi="Book Antiqua"/>
              </w:rPr>
            </w:pPr>
            <w:r w:rsidRPr="002676CC">
              <w:rPr>
                <w:rFonts w:ascii="Book Antiqua" w:hAnsi="Book Antiqua"/>
              </w:rPr>
              <w:t>2.9</w:t>
            </w:r>
            <w:r>
              <w:rPr>
                <w:rFonts w:ascii="Book Antiqua" w:eastAsia="SimSun" w:hAnsi="Book Antiqua" w:hint="eastAsia"/>
                <w:lang w:eastAsia="zh-CN"/>
              </w:rPr>
              <w:t xml:space="preserve"> </w:t>
            </w:r>
            <w:r w:rsidRPr="002676CC">
              <w:rPr>
                <w:rFonts w:ascii="Book Antiqua" w:hAnsi="Book Antiqua"/>
              </w:rPr>
              <w:t>g/dL</w:t>
            </w:r>
          </w:p>
        </w:tc>
        <w:tc>
          <w:tcPr>
            <w:tcW w:w="992" w:type="dxa"/>
            <w:shd w:val="clear" w:color="auto" w:fill="auto"/>
            <w:noWrap/>
            <w:vAlign w:val="center"/>
            <w:hideMark/>
          </w:tcPr>
          <w:p w14:paraId="575294B6"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Cl</w:t>
            </w:r>
          </w:p>
        </w:tc>
        <w:tc>
          <w:tcPr>
            <w:tcW w:w="1843" w:type="dxa"/>
            <w:shd w:val="clear" w:color="auto" w:fill="auto"/>
            <w:noWrap/>
            <w:vAlign w:val="center"/>
            <w:hideMark/>
          </w:tcPr>
          <w:p w14:paraId="631101CD" w14:textId="57EC499F"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105</w:t>
            </w:r>
            <w:r>
              <w:rPr>
                <w:rFonts w:ascii="Book Antiqua" w:eastAsia="SimSun" w:hAnsi="Book Antiqua" w:hint="eastAsia"/>
                <w:lang w:eastAsia="zh-CN"/>
              </w:rPr>
              <w:t xml:space="preserve"> </w:t>
            </w:r>
            <w:r w:rsidRPr="002676CC">
              <w:rPr>
                <w:rFonts w:ascii="Book Antiqua" w:hAnsi="Book Antiqua"/>
              </w:rPr>
              <w:t>mEq/L</w:t>
            </w:r>
          </w:p>
        </w:tc>
        <w:tc>
          <w:tcPr>
            <w:tcW w:w="2693" w:type="dxa"/>
            <w:shd w:val="clear" w:color="auto" w:fill="auto"/>
            <w:noWrap/>
            <w:vAlign w:val="center"/>
            <w:hideMark/>
          </w:tcPr>
          <w:p w14:paraId="1E7EF5FC"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HBc Ab</w:t>
            </w:r>
          </w:p>
        </w:tc>
        <w:tc>
          <w:tcPr>
            <w:tcW w:w="1843" w:type="dxa"/>
            <w:shd w:val="clear" w:color="auto" w:fill="auto"/>
            <w:noWrap/>
            <w:vAlign w:val="center"/>
            <w:hideMark/>
          </w:tcPr>
          <w:p w14:paraId="715752F4" w14:textId="0C6DF188" w:rsidR="000B250B" w:rsidRPr="002676CC" w:rsidRDefault="000B250B" w:rsidP="00C952FE">
            <w:pPr>
              <w:snapToGrid w:val="0"/>
              <w:spacing w:line="360" w:lineRule="auto"/>
              <w:jc w:val="center"/>
              <w:rPr>
                <w:rFonts w:ascii="Book Antiqua" w:hAnsi="Book Antiqua"/>
              </w:rPr>
            </w:pPr>
            <w:r w:rsidRPr="002676CC">
              <w:rPr>
                <w:rFonts w:ascii="Book Antiqua" w:hAnsi="Book Antiqua"/>
              </w:rPr>
              <w:t>9.36</w:t>
            </w:r>
            <w:r>
              <w:rPr>
                <w:rFonts w:ascii="Book Antiqua" w:eastAsia="SimSun" w:hAnsi="Book Antiqua" w:hint="eastAsia"/>
                <w:lang w:eastAsia="zh-CN"/>
              </w:rPr>
              <w:t xml:space="preserve"> </w:t>
            </w:r>
            <w:r w:rsidRPr="002676CC">
              <w:rPr>
                <w:rFonts w:ascii="Book Antiqua" w:hAnsi="Book Antiqua"/>
              </w:rPr>
              <w:t>S/CO</w:t>
            </w:r>
          </w:p>
        </w:tc>
      </w:tr>
      <w:tr w:rsidR="000B250B" w:rsidRPr="002676CC" w14:paraId="33921F21" w14:textId="77777777" w:rsidTr="00C952FE">
        <w:trPr>
          <w:trHeight w:val="315"/>
        </w:trPr>
        <w:tc>
          <w:tcPr>
            <w:tcW w:w="1011" w:type="dxa"/>
            <w:shd w:val="clear" w:color="auto" w:fill="auto"/>
            <w:noWrap/>
            <w:vAlign w:val="center"/>
            <w:hideMark/>
          </w:tcPr>
          <w:p w14:paraId="748E649C"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T. Bil</w:t>
            </w:r>
          </w:p>
        </w:tc>
        <w:tc>
          <w:tcPr>
            <w:tcW w:w="1640" w:type="dxa"/>
            <w:shd w:val="clear" w:color="auto" w:fill="auto"/>
            <w:noWrap/>
            <w:vAlign w:val="center"/>
            <w:hideMark/>
          </w:tcPr>
          <w:p w14:paraId="19F2ED68" w14:textId="55B425EB"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1.7</w:t>
            </w:r>
            <w:r>
              <w:rPr>
                <w:rFonts w:ascii="Book Antiqua" w:eastAsia="SimSun" w:hAnsi="Book Antiqua" w:hint="eastAsia"/>
                <w:lang w:eastAsia="zh-CN"/>
              </w:rPr>
              <w:t xml:space="preserve"> </w:t>
            </w:r>
            <w:r w:rsidRPr="002676CC">
              <w:rPr>
                <w:rFonts w:ascii="Book Antiqua" w:hAnsi="Book Antiqua"/>
              </w:rPr>
              <w:t>mg/dL</w:t>
            </w:r>
          </w:p>
        </w:tc>
        <w:tc>
          <w:tcPr>
            <w:tcW w:w="992" w:type="dxa"/>
            <w:shd w:val="clear" w:color="auto" w:fill="auto"/>
            <w:noWrap/>
            <w:vAlign w:val="center"/>
            <w:hideMark/>
          </w:tcPr>
          <w:p w14:paraId="178A60FC"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NH3</w:t>
            </w:r>
          </w:p>
        </w:tc>
        <w:tc>
          <w:tcPr>
            <w:tcW w:w="1843" w:type="dxa"/>
            <w:shd w:val="clear" w:color="auto" w:fill="auto"/>
            <w:noWrap/>
            <w:vAlign w:val="center"/>
            <w:hideMark/>
          </w:tcPr>
          <w:p w14:paraId="4297648E" w14:textId="75963808" w:rsidR="000B250B" w:rsidRPr="002676CC" w:rsidRDefault="000B250B" w:rsidP="00C952FE">
            <w:pPr>
              <w:snapToGrid w:val="0"/>
              <w:spacing w:line="360" w:lineRule="auto"/>
              <w:jc w:val="center"/>
              <w:rPr>
                <w:rFonts w:ascii="Book Antiqua" w:hAnsi="Book Antiqua"/>
              </w:rPr>
            </w:pPr>
            <w:r w:rsidRPr="002676CC">
              <w:rPr>
                <w:rFonts w:ascii="Book Antiqua" w:hAnsi="Book Antiqua"/>
              </w:rPr>
              <w:t>44</w:t>
            </w:r>
            <w:r>
              <w:rPr>
                <w:rFonts w:ascii="Book Antiqua" w:eastAsia="SimSun" w:hAnsi="Book Antiqua" w:hint="eastAsia"/>
                <w:lang w:eastAsia="zh-CN"/>
              </w:rPr>
              <w:t xml:space="preserve"> </w:t>
            </w:r>
            <w:r w:rsidRPr="002676CC">
              <w:rPr>
                <w:rFonts w:ascii="Book Antiqua" w:hAnsi="Book Antiqua"/>
              </w:rPr>
              <w:t>µg/dL</w:t>
            </w:r>
          </w:p>
        </w:tc>
        <w:tc>
          <w:tcPr>
            <w:tcW w:w="2693" w:type="dxa"/>
            <w:shd w:val="clear" w:color="auto" w:fill="auto"/>
            <w:noWrap/>
            <w:vAlign w:val="center"/>
            <w:hideMark/>
          </w:tcPr>
          <w:p w14:paraId="44F96371"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HBV DNA</w:t>
            </w:r>
          </w:p>
        </w:tc>
        <w:tc>
          <w:tcPr>
            <w:tcW w:w="1843" w:type="dxa"/>
            <w:shd w:val="clear" w:color="auto" w:fill="auto"/>
            <w:noWrap/>
            <w:vAlign w:val="center"/>
            <w:hideMark/>
          </w:tcPr>
          <w:p w14:paraId="04B2F2B3" w14:textId="44CD3D54" w:rsidR="000B250B" w:rsidRPr="002676CC" w:rsidRDefault="000B250B" w:rsidP="00C952FE">
            <w:pPr>
              <w:snapToGrid w:val="0"/>
              <w:spacing w:line="360" w:lineRule="auto"/>
              <w:jc w:val="center"/>
              <w:rPr>
                <w:rFonts w:ascii="Book Antiqua" w:hAnsi="Book Antiqua"/>
              </w:rPr>
            </w:pPr>
            <w:r w:rsidRPr="002676CC">
              <w:rPr>
                <w:rFonts w:ascii="Book Antiqua" w:hAnsi="Book Antiqua"/>
              </w:rPr>
              <w:t>(-)</w:t>
            </w:r>
          </w:p>
        </w:tc>
      </w:tr>
      <w:tr w:rsidR="000B250B" w:rsidRPr="002676CC" w14:paraId="7809995B" w14:textId="77777777" w:rsidTr="00C952FE">
        <w:trPr>
          <w:trHeight w:val="315"/>
        </w:trPr>
        <w:tc>
          <w:tcPr>
            <w:tcW w:w="1011" w:type="dxa"/>
            <w:shd w:val="clear" w:color="auto" w:fill="auto"/>
            <w:noWrap/>
            <w:vAlign w:val="center"/>
            <w:hideMark/>
          </w:tcPr>
          <w:p w14:paraId="07C0FD5F"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D. Bil</w:t>
            </w:r>
          </w:p>
        </w:tc>
        <w:tc>
          <w:tcPr>
            <w:tcW w:w="1640" w:type="dxa"/>
            <w:shd w:val="clear" w:color="auto" w:fill="auto"/>
            <w:noWrap/>
            <w:vAlign w:val="center"/>
            <w:hideMark/>
          </w:tcPr>
          <w:p w14:paraId="4A7154CD" w14:textId="2C642995" w:rsidR="000B250B" w:rsidRPr="002676CC" w:rsidRDefault="000B250B" w:rsidP="00C952FE">
            <w:pPr>
              <w:snapToGrid w:val="0"/>
              <w:spacing w:line="360" w:lineRule="auto"/>
              <w:jc w:val="center"/>
              <w:rPr>
                <w:rFonts w:ascii="Book Antiqua" w:hAnsi="Book Antiqua"/>
              </w:rPr>
            </w:pPr>
            <w:r w:rsidRPr="002676CC">
              <w:rPr>
                <w:rFonts w:ascii="Book Antiqua" w:hAnsi="Book Antiqua"/>
              </w:rPr>
              <w:t>0.8</w:t>
            </w:r>
            <w:r>
              <w:rPr>
                <w:rFonts w:ascii="Book Antiqua" w:eastAsia="SimSun" w:hAnsi="Book Antiqua" w:hint="eastAsia"/>
                <w:lang w:eastAsia="zh-CN"/>
              </w:rPr>
              <w:t xml:space="preserve"> </w:t>
            </w:r>
            <w:r w:rsidRPr="002676CC">
              <w:rPr>
                <w:rFonts w:ascii="Book Antiqua" w:hAnsi="Book Antiqua"/>
              </w:rPr>
              <w:t>mg/dL</w:t>
            </w:r>
          </w:p>
        </w:tc>
        <w:tc>
          <w:tcPr>
            <w:tcW w:w="992" w:type="dxa"/>
            <w:shd w:val="clear" w:color="auto" w:fill="auto"/>
            <w:noWrap/>
            <w:vAlign w:val="center"/>
            <w:hideMark/>
          </w:tcPr>
          <w:p w14:paraId="78CF267E"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IgG</w:t>
            </w:r>
          </w:p>
        </w:tc>
        <w:tc>
          <w:tcPr>
            <w:tcW w:w="1843" w:type="dxa"/>
            <w:shd w:val="clear" w:color="auto" w:fill="auto"/>
            <w:noWrap/>
            <w:vAlign w:val="center"/>
            <w:hideMark/>
          </w:tcPr>
          <w:p w14:paraId="54FF7A12" w14:textId="4E6DC138"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1591.2</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67FAD6F5"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HCV Ab</w:t>
            </w:r>
          </w:p>
        </w:tc>
        <w:tc>
          <w:tcPr>
            <w:tcW w:w="1843" w:type="dxa"/>
            <w:shd w:val="clear" w:color="auto" w:fill="auto"/>
            <w:noWrap/>
            <w:vAlign w:val="center"/>
            <w:hideMark/>
          </w:tcPr>
          <w:p w14:paraId="5A1ED0DB" w14:textId="50810A8D" w:rsidR="000B250B" w:rsidRPr="002676CC" w:rsidRDefault="000B250B" w:rsidP="00C952FE">
            <w:pPr>
              <w:snapToGrid w:val="0"/>
              <w:spacing w:line="360" w:lineRule="auto"/>
              <w:jc w:val="center"/>
              <w:rPr>
                <w:rFonts w:ascii="Book Antiqua" w:hAnsi="Book Antiqua"/>
              </w:rPr>
            </w:pPr>
            <w:r w:rsidRPr="002676CC">
              <w:rPr>
                <w:rFonts w:ascii="Book Antiqua" w:hAnsi="Book Antiqua"/>
              </w:rPr>
              <w:t>(-)</w:t>
            </w:r>
          </w:p>
        </w:tc>
      </w:tr>
      <w:tr w:rsidR="000B250B" w:rsidRPr="002676CC" w14:paraId="5C2E235B" w14:textId="77777777" w:rsidTr="00C952FE">
        <w:trPr>
          <w:trHeight w:val="315"/>
        </w:trPr>
        <w:tc>
          <w:tcPr>
            <w:tcW w:w="1011" w:type="dxa"/>
            <w:shd w:val="clear" w:color="auto" w:fill="auto"/>
            <w:noWrap/>
            <w:vAlign w:val="center"/>
            <w:hideMark/>
          </w:tcPr>
          <w:p w14:paraId="234D3112"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AST</w:t>
            </w:r>
          </w:p>
        </w:tc>
        <w:tc>
          <w:tcPr>
            <w:tcW w:w="1640" w:type="dxa"/>
            <w:shd w:val="clear" w:color="auto" w:fill="auto"/>
            <w:noWrap/>
            <w:vAlign w:val="center"/>
            <w:hideMark/>
          </w:tcPr>
          <w:p w14:paraId="7E975AD8" w14:textId="139FF9F3"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130</w:t>
            </w:r>
            <w:r>
              <w:rPr>
                <w:rFonts w:ascii="Book Antiqua" w:eastAsia="SimSun" w:hAnsi="Book Antiqua" w:hint="eastAsia"/>
                <w:lang w:eastAsia="zh-CN"/>
              </w:rPr>
              <w:t xml:space="preserve"> </w:t>
            </w:r>
            <w:r w:rsidRPr="002676CC">
              <w:rPr>
                <w:rFonts w:ascii="Book Antiqua" w:hAnsi="Book Antiqua"/>
              </w:rPr>
              <w:t>U/L</w:t>
            </w:r>
          </w:p>
        </w:tc>
        <w:tc>
          <w:tcPr>
            <w:tcW w:w="992" w:type="dxa"/>
            <w:shd w:val="clear" w:color="auto" w:fill="auto"/>
            <w:noWrap/>
            <w:vAlign w:val="center"/>
            <w:hideMark/>
          </w:tcPr>
          <w:p w14:paraId="0F850356"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IgA</w:t>
            </w:r>
          </w:p>
        </w:tc>
        <w:tc>
          <w:tcPr>
            <w:tcW w:w="1843" w:type="dxa"/>
            <w:shd w:val="clear" w:color="auto" w:fill="auto"/>
            <w:noWrap/>
            <w:vAlign w:val="center"/>
            <w:hideMark/>
          </w:tcPr>
          <w:p w14:paraId="61FEDF40" w14:textId="22E3AA7F" w:rsidR="000B250B" w:rsidRPr="002676CC" w:rsidRDefault="000B250B" w:rsidP="00C952FE">
            <w:pPr>
              <w:snapToGrid w:val="0"/>
              <w:spacing w:line="360" w:lineRule="auto"/>
              <w:jc w:val="center"/>
              <w:rPr>
                <w:rFonts w:ascii="Book Antiqua" w:hAnsi="Book Antiqua"/>
              </w:rPr>
            </w:pPr>
            <w:r w:rsidRPr="002676CC">
              <w:rPr>
                <w:rFonts w:ascii="Book Antiqua" w:hAnsi="Book Antiqua"/>
              </w:rPr>
              <w:t>636.4</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09C794C3" w14:textId="77777777" w:rsidR="000B250B" w:rsidRPr="002676CC" w:rsidRDefault="000B250B" w:rsidP="00C952FE">
            <w:pPr>
              <w:snapToGrid w:val="0"/>
              <w:spacing w:line="360" w:lineRule="auto"/>
              <w:jc w:val="center"/>
              <w:rPr>
                <w:rFonts w:ascii="Book Antiqua" w:hAnsi="Book Antiqua"/>
              </w:rPr>
            </w:pPr>
          </w:p>
        </w:tc>
        <w:tc>
          <w:tcPr>
            <w:tcW w:w="1843" w:type="dxa"/>
            <w:shd w:val="clear" w:color="auto" w:fill="auto"/>
            <w:noWrap/>
            <w:vAlign w:val="center"/>
            <w:hideMark/>
          </w:tcPr>
          <w:p w14:paraId="24390643" w14:textId="77777777" w:rsidR="000B250B" w:rsidRPr="002676CC" w:rsidRDefault="000B250B" w:rsidP="00C952FE">
            <w:pPr>
              <w:snapToGrid w:val="0"/>
              <w:spacing w:line="360" w:lineRule="auto"/>
              <w:jc w:val="center"/>
              <w:rPr>
                <w:rFonts w:ascii="Book Antiqua" w:hAnsi="Book Antiqua"/>
              </w:rPr>
            </w:pPr>
          </w:p>
        </w:tc>
      </w:tr>
      <w:tr w:rsidR="000B250B" w:rsidRPr="002676CC" w14:paraId="7F597894" w14:textId="77777777" w:rsidTr="00C952FE">
        <w:trPr>
          <w:trHeight w:val="258"/>
        </w:trPr>
        <w:tc>
          <w:tcPr>
            <w:tcW w:w="1011" w:type="dxa"/>
            <w:shd w:val="clear" w:color="auto" w:fill="auto"/>
            <w:noWrap/>
            <w:vAlign w:val="center"/>
            <w:hideMark/>
          </w:tcPr>
          <w:p w14:paraId="710F4581" w14:textId="77777777" w:rsidR="000B250B" w:rsidRPr="002676CC" w:rsidRDefault="000B250B" w:rsidP="000B250B">
            <w:pPr>
              <w:snapToGrid w:val="0"/>
              <w:spacing w:line="360" w:lineRule="auto"/>
              <w:jc w:val="both"/>
              <w:rPr>
                <w:rFonts w:ascii="Book Antiqua" w:hAnsi="Book Antiqua"/>
              </w:rPr>
            </w:pPr>
            <w:r w:rsidRPr="002676CC">
              <w:rPr>
                <w:rFonts w:ascii="Book Antiqua" w:hAnsi="Book Antiqua"/>
              </w:rPr>
              <w:t>ALT</w:t>
            </w:r>
          </w:p>
        </w:tc>
        <w:tc>
          <w:tcPr>
            <w:tcW w:w="1640" w:type="dxa"/>
            <w:shd w:val="clear" w:color="auto" w:fill="auto"/>
            <w:noWrap/>
            <w:vAlign w:val="center"/>
            <w:hideMark/>
          </w:tcPr>
          <w:p w14:paraId="45524ED7" w14:textId="28E544D9" w:rsidR="000B250B" w:rsidRPr="002676CC" w:rsidRDefault="000B250B" w:rsidP="00C952FE">
            <w:pPr>
              <w:snapToGrid w:val="0"/>
              <w:spacing w:line="360" w:lineRule="auto"/>
              <w:jc w:val="center"/>
              <w:rPr>
                <w:rFonts w:ascii="Book Antiqua" w:hAnsi="Book Antiqua"/>
              </w:rPr>
            </w:pPr>
            <w:r w:rsidRPr="002676CC">
              <w:rPr>
                <w:rFonts w:ascii="Book Antiqua" w:hAnsi="Book Antiqua"/>
              </w:rPr>
              <w:t>80</w:t>
            </w:r>
            <w:r>
              <w:rPr>
                <w:rFonts w:ascii="Book Antiqua" w:eastAsia="SimSun" w:hAnsi="Book Antiqua" w:hint="eastAsia"/>
                <w:lang w:eastAsia="zh-CN"/>
              </w:rPr>
              <w:t xml:space="preserve"> </w:t>
            </w:r>
            <w:r w:rsidRPr="002676CC">
              <w:rPr>
                <w:rFonts w:ascii="Book Antiqua" w:hAnsi="Book Antiqua"/>
              </w:rPr>
              <w:t>U/L</w:t>
            </w:r>
          </w:p>
        </w:tc>
        <w:tc>
          <w:tcPr>
            <w:tcW w:w="992" w:type="dxa"/>
            <w:shd w:val="clear" w:color="auto" w:fill="auto"/>
            <w:noWrap/>
            <w:vAlign w:val="center"/>
            <w:hideMark/>
          </w:tcPr>
          <w:p w14:paraId="01A76EB1" w14:textId="77777777" w:rsidR="000B250B" w:rsidRPr="002676CC" w:rsidRDefault="000B250B" w:rsidP="00C952FE">
            <w:pPr>
              <w:snapToGrid w:val="0"/>
              <w:spacing w:line="360" w:lineRule="auto"/>
              <w:jc w:val="center"/>
              <w:rPr>
                <w:rFonts w:ascii="Book Antiqua" w:hAnsi="Book Antiqua"/>
              </w:rPr>
            </w:pPr>
            <w:r w:rsidRPr="002676CC">
              <w:rPr>
                <w:rFonts w:ascii="Book Antiqua" w:hAnsi="Book Antiqua"/>
              </w:rPr>
              <w:t>IgM</w:t>
            </w:r>
          </w:p>
        </w:tc>
        <w:tc>
          <w:tcPr>
            <w:tcW w:w="1843" w:type="dxa"/>
            <w:shd w:val="clear" w:color="auto" w:fill="auto"/>
            <w:noWrap/>
            <w:vAlign w:val="center"/>
            <w:hideMark/>
          </w:tcPr>
          <w:p w14:paraId="46520E0B" w14:textId="5F74635A" w:rsidR="000B250B" w:rsidRPr="002676CC" w:rsidRDefault="000B250B" w:rsidP="00C952FE">
            <w:pPr>
              <w:snapToGrid w:val="0"/>
              <w:spacing w:line="360" w:lineRule="auto"/>
              <w:jc w:val="center"/>
              <w:rPr>
                <w:rFonts w:ascii="Book Antiqua" w:hAnsi="Book Antiqua"/>
              </w:rPr>
            </w:pPr>
            <w:r w:rsidRPr="002676CC">
              <w:rPr>
                <w:rFonts w:ascii="Book Antiqua" w:hAnsi="Book Antiqua"/>
              </w:rPr>
              <w:t>107.4</w:t>
            </w:r>
            <w:r>
              <w:rPr>
                <w:rFonts w:ascii="Book Antiqua" w:eastAsia="SimSun" w:hAnsi="Book Antiqua" w:hint="eastAsia"/>
                <w:lang w:eastAsia="zh-CN"/>
              </w:rPr>
              <w:t xml:space="preserve"> </w:t>
            </w:r>
            <w:r w:rsidRPr="002676CC">
              <w:rPr>
                <w:rFonts w:ascii="Book Antiqua" w:hAnsi="Book Antiqua"/>
              </w:rPr>
              <w:t>mg/dL</w:t>
            </w:r>
          </w:p>
        </w:tc>
        <w:tc>
          <w:tcPr>
            <w:tcW w:w="2693" w:type="dxa"/>
            <w:shd w:val="clear" w:color="auto" w:fill="auto"/>
            <w:noWrap/>
            <w:vAlign w:val="center"/>
            <w:hideMark/>
          </w:tcPr>
          <w:p w14:paraId="54F19114" w14:textId="2B91C263" w:rsidR="000B250B" w:rsidRPr="002676CC" w:rsidRDefault="000B250B" w:rsidP="00C952FE">
            <w:pPr>
              <w:snapToGrid w:val="0"/>
              <w:spacing w:line="360" w:lineRule="auto"/>
              <w:jc w:val="center"/>
              <w:rPr>
                <w:rFonts w:ascii="Book Antiqua" w:hAnsi="Book Antiqua"/>
              </w:rPr>
            </w:pPr>
          </w:p>
        </w:tc>
        <w:tc>
          <w:tcPr>
            <w:tcW w:w="1843" w:type="dxa"/>
            <w:shd w:val="clear" w:color="auto" w:fill="auto"/>
            <w:noWrap/>
            <w:vAlign w:val="center"/>
            <w:hideMark/>
          </w:tcPr>
          <w:p w14:paraId="01565BC8" w14:textId="1EA6439B" w:rsidR="000B250B" w:rsidRPr="00C952FE" w:rsidRDefault="000B250B" w:rsidP="00C952FE">
            <w:pPr>
              <w:snapToGrid w:val="0"/>
              <w:spacing w:line="360" w:lineRule="auto"/>
              <w:rPr>
                <w:rFonts w:ascii="Book Antiqua" w:eastAsia="SimSun" w:hAnsi="Book Antiqua"/>
                <w:lang w:eastAsia="zh-CN"/>
              </w:rPr>
            </w:pPr>
          </w:p>
        </w:tc>
      </w:tr>
    </w:tbl>
    <w:p w14:paraId="6A53A3A8" w14:textId="6B7C5F88" w:rsidR="000B250B" w:rsidRPr="00C952FE" w:rsidRDefault="000B250B" w:rsidP="000B250B">
      <w:pPr>
        <w:snapToGrid w:val="0"/>
        <w:spacing w:line="360" w:lineRule="auto"/>
        <w:jc w:val="both"/>
        <w:rPr>
          <w:rFonts w:ascii="Book Antiqua" w:eastAsia="SimSun" w:hAnsi="Book Antiqua" w:cs="Times New Roman"/>
          <w:lang w:eastAsia="zh-CN"/>
        </w:rPr>
      </w:pPr>
      <w:r w:rsidRPr="002676CC">
        <w:rPr>
          <w:rFonts w:ascii="Book Antiqua" w:hAnsi="Book Antiqua"/>
        </w:rPr>
        <w:t xml:space="preserve">WBC: </w:t>
      </w:r>
      <w:r w:rsidRPr="000B250B">
        <w:rPr>
          <w:rFonts w:ascii="Book Antiqua" w:hAnsi="Book Antiqua"/>
          <w:caps/>
        </w:rPr>
        <w:t>w</w:t>
      </w:r>
      <w:r w:rsidRPr="002676CC">
        <w:rPr>
          <w:rFonts w:ascii="Book Antiqua" w:hAnsi="Book Antiqua"/>
        </w:rPr>
        <w:t xml:space="preserve">hite blood cell count; RBC: </w:t>
      </w:r>
      <w:r w:rsidRPr="000B250B">
        <w:rPr>
          <w:rFonts w:ascii="Book Antiqua" w:hAnsi="Book Antiqua"/>
          <w:caps/>
        </w:rPr>
        <w:t>r</w:t>
      </w:r>
      <w:r w:rsidRPr="002676CC">
        <w:rPr>
          <w:rFonts w:ascii="Book Antiqua" w:hAnsi="Book Antiqua"/>
        </w:rPr>
        <w:t xml:space="preserve">ed blood cell count; Hb: </w:t>
      </w:r>
      <w:r w:rsidRPr="000B250B">
        <w:rPr>
          <w:rFonts w:ascii="Book Antiqua" w:hAnsi="Book Antiqua"/>
          <w:caps/>
        </w:rPr>
        <w:t>h</w:t>
      </w:r>
      <w:r w:rsidRPr="002676CC">
        <w:rPr>
          <w:rFonts w:ascii="Book Antiqua" w:hAnsi="Book Antiqua"/>
        </w:rPr>
        <w:t xml:space="preserve">emoglobin; PLT </w:t>
      </w:r>
      <w:r w:rsidRPr="000B250B">
        <w:rPr>
          <w:rFonts w:ascii="Book Antiqua" w:hAnsi="Book Antiqua"/>
          <w:caps/>
        </w:rPr>
        <w:t>p</w:t>
      </w:r>
      <w:r w:rsidRPr="002676CC">
        <w:rPr>
          <w:rFonts w:ascii="Book Antiqua" w:hAnsi="Book Antiqua"/>
        </w:rPr>
        <w:t xml:space="preserve">latelet count; PT%: </w:t>
      </w:r>
      <w:r w:rsidRPr="000B250B">
        <w:rPr>
          <w:rFonts w:ascii="Book Antiqua" w:hAnsi="Book Antiqua"/>
          <w:caps/>
        </w:rPr>
        <w:t>p</w:t>
      </w:r>
      <w:r w:rsidRPr="002676CC">
        <w:rPr>
          <w:rFonts w:ascii="Book Antiqua" w:hAnsi="Book Antiqua"/>
        </w:rPr>
        <w:t xml:space="preserve">rothrombin time; PT-INR: </w:t>
      </w:r>
      <w:r w:rsidRPr="000B250B">
        <w:rPr>
          <w:rFonts w:ascii="Book Antiqua" w:hAnsi="Book Antiqua"/>
          <w:caps/>
        </w:rPr>
        <w:t>p</w:t>
      </w:r>
      <w:r w:rsidRPr="002676CC">
        <w:rPr>
          <w:rFonts w:ascii="Book Antiqua" w:hAnsi="Book Antiqua"/>
        </w:rPr>
        <w:t xml:space="preserve">rothrombin time-international normalized ratio; T.P.: </w:t>
      </w:r>
      <w:r w:rsidRPr="000B250B">
        <w:rPr>
          <w:rFonts w:ascii="Book Antiqua" w:hAnsi="Book Antiqua"/>
          <w:caps/>
        </w:rPr>
        <w:t>t</w:t>
      </w:r>
      <w:r w:rsidRPr="002676CC">
        <w:rPr>
          <w:rFonts w:ascii="Book Antiqua" w:hAnsi="Book Antiqua"/>
        </w:rPr>
        <w:t xml:space="preserve">otal protein; Alb: </w:t>
      </w:r>
      <w:r w:rsidRPr="000B250B">
        <w:rPr>
          <w:rFonts w:ascii="Book Antiqua" w:hAnsi="Book Antiqua"/>
          <w:caps/>
        </w:rPr>
        <w:t>a</w:t>
      </w:r>
      <w:r w:rsidRPr="002676CC">
        <w:rPr>
          <w:rFonts w:ascii="Book Antiqua" w:hAnsi="Book Antiqua"/>
        </w:rPr>
        <w:t xml:space="preserve">lbumin; T.Bil: </w:t>
      </w:r>
      <w:r w:rsidRPr="000B250B">
        <w:rPr>
          <w:rFonts w:ascii="Book Antiqua" w:hAnsi="Book Antiqua"/>
          <w:caps/>
        </w:rPr>
        <w:t>t</w:t>
      </w:r>
      <w:r w:rsidRPr="002676CC">
        <w:rPr>
          <w:rFonts w:ascii="Book Antiqua" w:hAnsi="Book Antiqua"/>
        </w:rPr>
        <w:t xml:space="preserve">otal bilirubin; D.Bil: </w:t>
      </w:r>
      <w:r w:rsidRPr="000B250B">
        <w:rPr>
          <w:rFonts w:ascii="Book Antiqua" w:hAnsi="Book Antiqua"/>
          <w:caps/>
        </w:rPr>
        <w:t>d</w:t>
      </w:r>
      <w:r w:rsidRPr="002676CC">
        <w:rPr>
          <w:rFonts w:ascii="Book Antiqua" w:hAnsi="Book Antiqua"/>
        </w:rPr>
        <w:t xml:space="preserve">irect bilirubin; AST: </w:t>
      </w:r>
      <w:r w:rsidRPr="000B250B">
        <w:rPr>
          <w:rFonts w:ascii="Book Antiqua" w:hAnsi="Book Antiqua"/>
          <w:caps/>
        </w:rPr>
        <w:t>a</w:t>
      </w:r>
      <w:r w:rsidRPr="002676CC">
        <w:rPr>
          <w:rFonts w:ascii="Book Antiqua" w:hAnsi="Book Antiqua"/>
        </w:rPr>
        <w:t xml:space="preserve">spartate aminotransferase; ALT: </w:t>
      </w:r>
      <w:r w:rsidRPr="000B250B">
        <w:rPr>
          <w:rFonts w:ascii="Book Antiqua" w:hAnsi="Book Antiqua"/>
          <w:caps/>
        </w:rPr>
        <w:t>a</w:t>
      </w:r>
      <w:r w:rsidRPr="002676CC">
        <w:rPr>
          <w:rFonts w:ascii="Book Antiqua" w:hAnsi="Book Antiqua"/>
        </w:rPr>
        <w:t xml:space="preserve">lanine aminotransferase; ALP: </w:t>
      </w:r>
      <w:r w:rsidRPr="000B250B">
        <w:rPr>
          <w:rFonts w:ascii="Book Antiqua" w:hAnsi="Book Antiqua"/>
          <w:caps/>
        </w:rPr>
        <w:t>a</w:t>
      </w:r>
      <w:r w:rsidRPr="002676CC">
        <w:rPr>
          <w:rFonts w:ascii="Book Antiqua" w:hAnsi="Book Antiqua"/>
        </w:rPr>
        <w:t>lkaline phosphatase; LDH:</w:t>
      </w:r>
      <w:r w:rsidRPr="000B250B">
        <w:rPr>
          <w:rFonts w:ascii="Book Antiqua" w:hAnsi="Book Antiqua"/>
          <w:caps/>
        </w:rPr>
        <w:t xml:space="preserve"> l</w:t>
      </w:r>
      <w:r w:rsidRPr="002676CC">
        <w:rPr>
          <w:rFonts w:ascii="Book Antiqua" w:hAnsi="Book Antiqua"/>
        </w:rPr>
        <w:t xml:space="preserve">actate dehydrogenase; γGTP: </w:t>
      </w:r>
      <w:r w:rsidRPr="000B250B">
        <w:rPr>
          <w:rFonts w:ascii="Book Antiqua" w:hAnsi="Book Antiqua" w:cs="Times New Roman"/>
          <w:caps/>
        </w:rPr>
        <w:t>g</w:t>
      </w:r>
      <w:r w:rsidRPr="002676CC">
        <w:rPr>
          <w:rFonts w:ascii="Book Antiqua" w:hAnsi="Book Antiqua" w:cs="Times New Roman"/>
        </w:rPr>
        <w:t>amma-glutamyl transferase</w:t>
      </w:r>
      <w:r w:rsidRPr="002676CC">
        <w:rPr>
          <w:rFonts w:ascii="Book Antiqua" w:hAnsi="Book Antiqua"/>
        </w:rPr>
        <w:t xml:space="preserve">; ChE: </w:t>
      </w:r>
      <w:r w:rsidRPr="000B250B">
        <w:rPr>
          <w:rFonts w:ascii="Book Antiqua" w:hAnsi="Book Antiqua"/>
          <w:caps/>
        </w:rPr>
        <w:t>c</w:t>
      </w:r>
      <w:r w:rsidRPr="002676CC">
        <w:rPr>
          <w:rFonts w:ascii="Book Antiqua" w:hAnsi="Book Antiqua"/>
        </w:rPr>
        <w:t xml:space="preserve">holinesterase; T.Cho: </w:t>
      </w:r>
      <w:r w:rsidRPr="000B250B">
        <w:rPr>
          <w:rFonts w:ascii="Book Antiqua" w:hAnsi="Book Antiqua"/>
          <w:caps/>
        </w:rPr>
        <w:t>t</w:t>
      </w:r>
      <w:r w:rsidRPr="002676CC">
        <w:rPr>
          <w:rFonts w:ascii="Book Antiqua" w:hAnsi="Book Antiqua"/>
        </w:rPr>
        <w:t xml:space="preserve">otal cholesterol; BUN: </w:t>
      </w:r>
      <w:r w:rsidRPr="000B250B">
        <w:rPr>
          <w:rFonts w:ascii="Book Antiqua" w:hAnsi="Book Antiqua"/>
          <w:caps/>
        </w:rPr>
        <w:t>b</w:t>
      </w:r>
      <w:r w:rsidRPr="002676CC">
        <w:rPr>
          <w:rFonts w:ascii="Book Antiqua" w:hAnsi="Book Antiqua"/>
        </w:rPr>
        <w:t xml:space="preserve">lood urea nitrogen; Cre: </w:t>
      </w:r>
      <w:r w:rsidRPr="000B250B">
        <w:rPr>
          <w:rFonts w:ascii="Book Antiqua" w:hAnsi="Book Antiqua"/>
          <w:caps/>
        </w:rPr>
        <w:t>c</w:t>
      </w:r>
      <w:r w:rsidRPr="002676CC">
        <w:rPr>
          <w:rFonts w:ascii="Book Antiqua" w:hAnsi="Book Antiqua"/>
        </w:rPr>
        <w:t xml:space="preserve">reatinine; NH3: </w:t>
      </w:r>
      <w:r w:rsidRPr="000B250B">
        <w:rPr>
          <w:rFonts w:ascii="Book Antiqua" w:hAnsi="Book Antiqua"/>
          <w:caps/>
        </w:rPr>
        <w:t>a</w:t>
      </w:r>
      <w:r w:rsidRPr="002676CC">
        <w:rPr>
          <w:rFonts w:ascii="Book Antiqua" w:hAnsi="Book Antiqua"/>
        </w:rPr>
        <w:t xml:space="preserve">mmonia; IgG: </w:t>
      </w:r>
      <w:r w:rsidRPr="000B250B">
        <w:rPr>
          <w:rFonts w:ascii="Book Antiqua" w:hAnsi="Book Antiqua"/>
          <w:caps/>
        </w:rPr>
        <w:t>i</w:t>
      </w:r>
      <w:r w:rsidRPr="002676CC">
        <w:rPr>
          <w:rFonts w:ascii="Book Antiqua" w:hAnsi="Book Antiqua"/>
        </w:rPr>
        <w:t xml:space="preserve">mmunoglobulin G; IgA: </w:t>
      </w:r>
      <w:r w:rsidRPr="000B250B">
        <w:rPr>
          <w:rFonts w:ascii="Book Antiqua" w:hAnsi="Book Antiqua"/>
          <w:caps/>
        </w:rPr>
        <w:t>i</w:t>
      </w:r>
      <w:r w:rsidRPr="002676CC">
        <w:rPr>
          <w:rFonts w:ascii="Book Antiqua" w:hAnsi="Book Antiqua"/>
        </w:rPr>
        <w:t xml:space="preserve">mmunoglobulin A; IgM: </w:t>
      </w:r>
      <w:r w:rsidRPr="000B250B">
        <w:rPr>
          <w:rFonts w:ascii="Book Antiqua" w:hAnsi="Book Antiqua"/>
          <w:caps/>
        </w:rPr>
        <w:t>i</w:t>
      </w:r>
      <w:r w:rsidRPr="002676CC">
        <w:rPr>
          <w:rFonts w:ascii="Book Antiqua" w:hAnsi="Book Antiqua"/>
        </w:rPr>
        <w:t xml:space="preserve">mmunoglobulin M; ANA: </w:t>
      </w:r>
      <w:r w:rsidRPr="000B250B">
        <w:rPr>
          <w:rFonts w:ascii="Book Antiqua" w:hAnsi="Book Antiqua"/>
          <w:caps/>
        </w:rPr>
        <w:t>a</w:t>
      </w:r>
      <w:r w:rsidRPr="002676CC">
        <w:rPr>
          <w:rFonts w:ascii="Book Antiqua" w:hAnsi="Book Antiqua"/>
        </w:rPr>
        <w:t xml:space="preserve">nti-nuclear antibody; AMA: </w:t>
      </w:r>
      <w:r w:rsidRPr="000B250B">
        <w:rPr>
          <w:rFonts w:ascii="Book Antiqua" w:hAnsi="Book Antiqua"/>
          <w:caps/>
        </w:rPr>
        <w:t>a</w:t>
      </w:r>
      <w:r w:rsidRPr="002676CC">
        <w:rPr>
          <w:rFonts w:ascii="Book Antiqua" w:hAnsi="Book Antiqua"/>
        </w:rPr>
        <w:t xml:space="preserve">nti-mitochondrial antibody; ASMA: </w:t>
      </w:r>
      <w:r w:rsidRPr="000B250B">
        <w:rPr>
          <w:rFonts w:ascii="Book Antiqua" w:hAnsi="Book Antiqua"/>
          <w:caps/>
        </w:rPr>
        <w:t>a</w:t>
      </w:r>
      <w:r w:rsidRPr="002676CC">
        <w:rPr>
          <w:rFonts w:ascii="Book Antiqua" w:hAnsi="Book Antiqua"/>
        </w:rPr>
        <w:t>nti-smooth muscle antibody</w:t>
      </w:r>
      <w:r>
        <w:rPr>
          <w:rFonts w:ascii="Book Antiqua" w:hAnsi="Book Antiqua"/>
        </w:rPr>
        <w:t>; HBs</w:t>
      </w:r>
      <w:r w:rsidRPr="002676CC">
        <w:rPr>
          <w:rFonts w:ascii="Book Antiqua" w:hAnsi="Book Antiqua"/>
        </w:rPr>
        <w:t xml:space="preserve">Ag; </w:t>
      </w:r>
      <w:r w:rsidRPr="000B250B">
        <w:rPr>
          <w:rFonts w:ascii="Book Antiqua" w:hAnsi="Book Antiqua"/>
          <w:caps/>
        </w:rPr>
        <w:t>h</w:t>
      </w:r>
      <w:r>
        <w:rPr>
          <w:rFonts w:ascii="Book Antiqua" w:hAnsi="Book Antiqua"/>
        </w:rPr>
        <w:t>epatitis B surface antigen; HBc</w:t>
      </w:r>
      <w:r w:rsidRPr="002676CC">
        <w:rPr>
          <w:rFonts w:ascii="Book Antiqua" w:hAnsi="Book Antiqua"/>
        </w:rPr>
        <w:t xml:space="preserve">Ab: </w:t>
      </w:r>
      <w:r w:rsidRPr="000B250B">
        <w:rPr>
          <w:rFonts w:ascii="Book Antiqua" w:hAnsi="Book Antiqua"/>
          <w:caps/>
        </w:rPr>
        <w:t>h</w:t>
      </w:r>
      <w:r w:rsidRPr="002676CC">
        <w:rPr>
          <w:rFonts w:ascii="Book Antiqua" w:hAnsi="Book Antiqua"/>
        </w:rPr>
        <w:t xml:space="preserve">epatitis B core antibody; HBV: </w:t>
      </w:r>
      <w:r w:rsidRPr="000B250B">
        <w:rPr>
          <w:rFonts w:ascii="Book Antiqua" w:hAnsi="Book Antiqua"/>
          <w:caps/>
        </w:rPr>
        <w:t>h</w:t>
      </w:r>
      <w:r w:rsidRPr="002676CC">
        <w:rPr>
          <w:rFonts w:ascii="Book Antiqua" w:hAnsi="Book Antiqua"/>
        </w:rPr>
        <w:t xml:space="preserve">epatitis B virus; HCV Ab: </w:t>
      </w:r>
      <w:r w:rsidRPr="000B250B">
        <w:rPr>
          <w:rFonts w:ascii="Book Antiqua" w:hAnsi="Book Antiqua"/>
          <w:caps/>
        </w:rPr>
        <w:t>h</w:t>
      </w:r>
      <w:r w:rsidRPr="002676CC">
        <w:rPr>
          <w:rFonts w:ascii="Book Antiqua" w:hAnsi="Book Antiqua"/>
        </w:rPr>
        <w:t>epatitis C virus antibody</w:t>
      </w:r>
      <w:r w:rsidR="00C952FE">
        <w:rPr>
          <w:rFonts w:ascii="Book Antiqua" w:eastAsia="SimSun" w:hAnsi="Book Antiqua" w:hint="eastAsia"/>
          <w:lang w:eastAsia="zh-CN"/>
        </w:rPr>
        <w:t>.</w:t>
      </w:r>
    </w:p>
    <w:p w14:paraId="08176160" w14:textId="278D9131" w:rsidR="00232AC3" w:rsidRPr="002676CC" w:rsidRDefault="000B250B" w:rsidP="000B250B">
      <w:pPr>
        <w:rPr>
          <w:rFonts w:ascii="Book Antiqua" w:hAnsi="Book Antiqua" w:cs="Times New Roman"/>
        </w:rPr>
      </w:pPr>
      <w:r>
        <w:rPr>
          <w:rFonts w:ascii="Book Antiqua" w:hAnsi="Book Antiqua" w:cs="Times New Roman"/>
        </w:rPr>
        <w:t xml:space="preserve"> </w:t>
      </w:r>
      <w:r w:rsidR="008E7C06">
        <w:rPr>
          <w:rFonts w:ascii="Book Antiqua" w:hAnsi="Book Antiqua" w:cs="Times New Roman"/>
        </w:rPr>
        <w:br w:type="page"/>
      </w:r>
      <w:r w:rsidR="00052AD0" w:rsidRPr="002676CC">
        <w:rPr>
          <w:rFonts w:ascii="Book Antiqua" w:hAnsi="Book Antiqua"/>
          <w:b/>
        </w:rPr>
        <w:lastRenderedPageBreak/>
        <w:t>Table 2 Tegafur-uracil-induced hepatic fibrosis</w:t>
      </w:r>
    </w:p>
    <w:tbl>
      <w:tblPr>
        <w:tblW w:w="11334" w:type="dxa"/>
        <w:tblInd w:w="-1406"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986"/>
        <w:gridCol w:w="850"/>
        <w:gridCol w:w="585"/>
        <w:gridCol w:w="1400"/>
        <w:gridCol w:w="1198"/>
        <w:gridCol w:w="1920"/>
        <w:gridCol w:w="1985"/>
        <w:gridCol w:w="2410"/>
      </w:tblGrid>
      <w:tr w:rsidR="001B4E3F" w:rsidRPr="002676CC" w14:paraId="15B7B830" w14:textId="77777777" w:rsidTr="001B4E3F">
        <w:trPr>
          <w:trHeight w:val="979"/>
        </w:trPr>
        <w:tc>
          <w:tcPr>
            <w:tcW w:w="986" w:type="dxa"/>
            <w:tcBorders>
              <w:top w:val="single" w:sz="4" w:space="0" w:color="auto"/>
              <w:bottom w:val="single" w:sz="4" w:space="0" w:color="auto"/>
              <w:right w:val="nil"/>
            </w:tcBorders>
            <w:shd w:val="clear" w:color="auto" w:fill="auto"/>
            <w:noWrap/>
            <w:vAlign w:val="center"/>
            <w:hideMark/>
          </w:tcPr>
          <w:p w14:paraId="3AD3AF22" w14:textId="31E9DD26" w:rsidR="00052AD0" w:rsidRPr="0060183D" w:rsidRDefault="00052AD0" w:rsidP="00052AD0">
            <w:pPr>
              <w:snapToGrid w:val="0"/>
              <w:spacing w:line="360" w:lineRule="auto"/>
              <w:jc w:val="both"/>
              <w:rPr>
                <w:rFonts w:ascii="Book Antiqua" w:hAnsi="Book Antiqua"/>
                <w:b/>
              </w:rPr>
            </w:pPr>
            <w:r w:rsidRPr="0060183D">
              <w:rPr>
                <w:rFonts w:ascii="Book Antiqua" w:hAnsi="Book Antiqua"/>
                <w:b/>
              </w:rPr>
              <w:t xml:space="preserve">　</w:t>
            </w:r>
            <w:r w:rsidRPr="0060183D">
              <w:rPr>
                <w:rFonts w:ascii="Book Antiqua" w:eastAsia="SimSun" w:hAnsi="Book Antiqua" w:hint="eastAsia"/>
                <w:b/>
                <w:lang w:eastAsia="zh-CN"/>
              </w:rPr>
              <w:t>Cases</w:t>
            </w:r>
          </w:p>
        </w:tc>
        <w:tc>
          <w:tcPr>
            <w:tcW w:w="850" w:type="dxa"/>
            <w:tcBorders>
              <w:top w:val="single" w:sz="4" w:space="0" w:color="auto"/>
              <w:left w:val="nil"/>
              <w:bottom w:val="single" w:sz="4" w:space="0" w:color="auto"/>
              <w:right w:val="nil"/>
            </w:tcBorders>
            <w:shd w:val="clear" w:color="auto" w:fill="auto"/>
            <w:noWrap/>
            <w:vAlign w:val="center"/>
            <w:hideMark/>
          </w:tcPr>
          <w:p w14:paraId="65F26D10" w14:textId="5852BB57"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Age</w:t>
            </w:r>
            <w:r w:rsidRPr="0060183D">
              <w:rPr>
                <w:rFonts w:ascii="Book Antiqua" w:eastAsia="SimSun" w:hAnsi="Book Antiqua" w:hint="eastAsia"/>
                <w:b/>
                <w:lang w:eastAsia="zh-CN"/>
              </w:rPr>
              <w:t xml:space="preserve"> </w:t>
            </w:r>
            <w:r w:rsidRPr="0060183D">
              <w:rPr>
                <w:rFonts w:ascii="Book Antiqua" w:hAnsi="Book Antiqua"/>
                <w:b/>
              </w:rPr>
              <w:t>(yr)</w:t>
            </w:r>
          </w:p>
        </w:tc>
        <w:tc>
          <w:tcPr>
            <w:tcW w:w="585" w:type="dxa"/>
            <w:tcBorders>
              <w:top w:val="single" w:sz="4" w:space="0" w:color="auto"/>
              <w:left w:val="nil"/>
              <w:bottom w:val="single" w:sz="4" w:space="0" w:color="auto"/>
              <w:right w:val="nil"/>
            </w:tcBorders>
            <w:shd w:val="clear" w:color="auto" w:fill="auto"/>
            <w:noWrap/>
            <w:vAlign w:val="center"/>
            <w:hideMark/>
          </w:tcPr>
          <w:p w14:paraId="204EE41E" w14:textId="77777777"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Sex</w:t>
            </w:r>
          </w:p>
        </w:tc>
        <w:tc>
          <w:tcPr>
            <w:tcW w:w="1400" w:type="dxa"/>
            <w:tcBorders>
              <w:top w:val="single" w:sz="4" w:space="0" w:color="auto"/>
              <w:left w:val="nil"/>
              <w:bottom w:val="single" w:sz="4" w:space="0" w:color="auto"/>
              <w:right w:val="nil"/>
            </w:tcBorders>
            <w:shd w:val="clear" w:color="auto" w:fill="auto"/>
            <w:noWrap/>
            <w:vAlign w:val="center"/>
            <w:hideMark/>
          </w:tcPr>
          <w:p w14:paraId="0D921C8E" w14:textId="48072E88"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Daily dose</w:t>
            </w:r>
            <w:r w:rsidRPr="0060183D">
              <w:rPr>
                <w:rFonts w:ascii="Book Antiqua" w:eastAsia="SimSun" w:hAnsi="Book Antiqua" w:hint="eastAsia"/>
                <w:b/>
                <w:lang w:eastAsia="zh-CN"/>
              </w:rPr>
              <w:t xml:space="preserve"> </w:t>
            </w:r>
            <w:r w:rsidRPr="0060183D">
              <w:rPr>
                <w:rFonts w:ascii="Book Antiqua" w:hAnsi="Book Antiqua"/>
                <w:b/>
              </w:rPr>
              <w:t>(mg)</w:t>
            </w:r>
          </w:p>
        </w:tc>
        <w:tc>
          <w:tcPr>
            <w:tcW w:w="1198" w:type="dxa"/>
            <w:tcBorders>
              <w:top w:val="single" w:sz="4" w:space="0" w:color="auto"/>
              <w:left w:val="nil"/>
              <w:bottom w:val="single" w:sz="4" w:space="0" w:color="auto"/>
              <w:right w:val="nil"/>
            </w:tcBorders>
            <w:shd w:val="clear" w:color="auto" w:fill="auto"/>
            <w:noWrap/>
            <w:vAlign w:val="center"/>
            <w:hideMark/>
          </w:tcPr>
          <w:p w14:paraId="395E3C44" w14:textId="67BA249F"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Duration</w:t>
            </w:r>
            <w:r w:rsidRPr="0060183D">
              <w:rPr>
                <w:rFonts w:ascii="Book Antiqua" w:eastAsia="SimSun" w:hAnsi="Book Antiqua" w:hint="eastAsia"/>
                <w:b/>
                <w:lang w:eastAsia="zh-CN"/>
              </w:rPr>
              <w:t xml:space="preserve"> </w:t>
            </w:r>
            <w:r w:rsidRPr="0060183D">
              <w:rPr>
                <w:rFonts w:ascii="Book Antiqua" w:hAnsi="Book Antiqua"/>
                <w:b/>
              </w:rPr>
              <w:t>(mo)</w:t>
            </w:r>
          </w:p>
        </w:tc>
        <w:tc>
          <w:tcPr>
            <w:tcW w:w="1920" w:type="dxa"/>
            <w:tcBorders>
              <w:top w:val="single" w:sz="4" w:space="0" w:color="auto"/>
              <w:left w:val="nil"/>
              <w:bottom w:val="single" w:sz="4" w:space="0" w:color="auto"/>
              <w:right w:val="nil"/>
            </w:tcBorders>
            <w:shd w:val="clear" w:color="auto" w:fill="auto"/>
            <w:noWrap/>
            <w:vAlign w:val="center"/>
            <w:hideMark/>
          </w:tcPr>
          <w:p w14:paraId="6F3ADDE2" w14:textId="55CDAEAE" w:rsidR="00052AD0" w:rsidRPr="0060183D" w:rsidRDefault="00052AD0" w:rsidP="00052AD0">
            <w:pPr>
              <w:snapToGrid w:val="0"/>
              <w:spacing w:line="360" w:lineRule="auto"/>
              <w:jc w:val="center"/>
              <w:rPr>
                <w:rFonts w:ascii="Book Antiqua" w:eastAsia="SimSun" w:hAnsi="Book Antiqua"/>
                <w:b/>
                <w:lang w:eastAsia="zh-CN"/>
              </w:rPr>
            </w:pPr>
            <w:r w:rsidRPr="0060183D">
              <w:rPr>
                <w:rFonts w:ascii="Book Antiqua" w:hAnsi="Book Antiqua"/>
                <w:b/>
              </w:rPr>
              <w:t>Type 4</w:t>
            </w:r>
            <w:r w:rsidRPr="0060183D">
              <w:rPr>
                <w:rFonts w:ascii="Book Antiqua" w:eastAsia="SimSun" w:hAnsi="Book Antiqua" w:hint="eastAsia"/>
                <w:b/>
                <w:lang w:eastAsia="zh-CN"/>
              </w:rPr>
              <w:t xml:space="preserve"> </w:t>
            </w:r>
            <w:r w:rsidRPr="0060183D">
              <w:rPr>
                <w:rFonts w:ascii="Book Antiqua" w:hAnsi="Book Antiqua"/>
                <w:b/>
              </w:rPr>
              <w:t>collagen 7S</w:t>
            </w:r>
            <w:r w:rsidRPr="0060183D">
              <w:rPr>
                <w:rFonts w:ascii="Book Antiqua" w:eastAsia="SimSun" w:hAnsi="Book Antiqua" w:hint="eastAsia"/>
                <w:b/>
                <w:lang w:eastAsia="zh-CN"/>
              </w:rPr>
              <w:t xml:space="preserve"> </w:t>
            </w:r>
            <w:r w:rsidRPr="0060183D">
              <w:rPr>
                <w:rFonts w:ascii="Book Antiqua" w:hAnsi="Book Antiqua"/>
                <w:b/>
              </w:rPr>
              <w:t>(ng/mL)</w:t>
            </w:r>
          </w:p>
        </w:tc>
        <w:tc>
          <w:tcPr>
            <w:tcW w:w="1985" w:type="dxa"/>
            <w:tcBorders>
              <w:top w:val="single" w:sz="4" w:space="0" w:color="auto"/>
              <w:left w:val="nil"/>
              <w:bottom w:val="single" w:sz="4" w:space="0" w:color="auto"/>
              <w:right w:val="nil"/>
            </w:tcBorders>
            <w:shd w:val="clear" w:color="auto" w:fill="auto"/>
            <w:noWrap/>
            <w:vAlign w:val="center"/>
            <w:hideMark/>
          </w:tcPr>
          <w:p w14:paraId="405F177F" w14:textId="66D81413"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Hepatic</w:t>
            </w:r>
            <w:r w:rsidRPr="0060183D">
              <w:rPr>
                <w:rFonts w:ascii="Book Antiqua" w:eastAsia="SimSun" w:hAnsi="Book Antiqua" w:hint="eastAsia"/>
                <w:b/>
                <w:lang w:eastAsia="zh-CN"/>
              </w:rPr>
              <w:t xml:space="preserve"> </w:t>
            </w:r>
            <w:r w:rsidRPr="0060183D">
              <w:rPr>
                <w:rFonts w:ascii="Book Antiqua" w:hAnsi="Book Antiqua"/>
                <w:b/>
              </w:rPr>
              <w:t>fibrosis</w:t>
            </w:r>
          </w:p>
        </w:tc>
        <w:tc>
          <w:tcPr>
            <w:tcW w:w="2410" w:type="dxa"/>
            <w:tcBorders>
              <w:top w:val="single" w:sz="4" w:space="0" w:color="auto"/>
              <w:left w:val="nil"/>
              <w:bottom w:val="single" w:sz="4" w:space="0" w:color="auto"/>
            </w:tcBorders>
            <w:shd w:val="clear" w:color="auto" w:fill="auto"/>
            <w:noWrap/>
            <w:vAlign w:val="center"/>
            <w:hideMark/>
          </w:tcPr>
          <w:p w14:paraId="1B15284C" w14:textId="29BDBFC3" w:rsidR="00052AD0" w:rsidRPr="0060183D" w:rsidRDefault="00052AD0" w:rsidP="00052AD0">
            <w:pPr>
              <w:snapToGrid w:val="0"/>
              <w:spacing w:line="360" w:lineRule="auto"/>
              <w:jc w:val="center"/>
              <w:rPr>
                <w:rFonts w:ascii="Book Antiqua" w:hAnsi="Book Antiqua"/>
                <w:b/>
              </w:rPr>
            </w:pPr>
            <w:r w:rsidRPr="0060183D">
              <w:rPr>
                <w:rFonts w:ascii="Book Antiqua" w:hAnsi="Book Antiqua"/>
                <w:b/>
              </w:rPr>
              <w:t>Portal</w:t>
            </w:r>
            <w:r w:rsidRPr="0060183D">
              <w:rPr>
                <w:rFonts w:ascii="Book Antiqua" w:eastAsia="SimSun" w:hAnsi="Book Antiqua" w:hint="eastAsia"/>
                <w:b/>
                <w:lang w:eastAsia="zh-CN"/>
              </w:rPr>
              <w:t xml:space="preserve"> </w:t>
            </w:r>
            <w:r w:rsidRPr="0060183D">
              <w:rPr>
                <w:rFonts w:ascii="Book Antiqua" w:hAnsi="Book Antiqua"/>
                <w:b/>
              </w:rPr>
              <w:t>hypertension</w:t>
            </w:r>
          </w:p>
        </w:tc>
      </w:tr>
      <w:tr w:rsidR="001B4E3F" w:rsidRPr="002676CC" w14:paraId="21352005" w14:textId="77777777" w:rsidTr="001B4E3F">
        <w:trPr>
          <w:trHeight w:val="375"/>
        </w:trPr>
        <w:tc>
          <w:tcPr>
            <w:tcW w:w="986" w:type="dxa"/>
            <w:tcBorders>
              <w:top w:val="single" w:sz="4" w:space="0" w:color="auto"/>
              <w:right w:val="nil"/>
            </w:tcBorders>
            <w:shd w:val="clear" w:color="auto" w:fill="auto"/>
            <w:noWrap/>
            <w:vAlign w:val="center"/>
            <w:hideMark/>
          </w:tcPr>
          <w:p w14:paraId="673656F1" w14:textId="045F864D" w:rsidR="00FC6DCB" w:rsidRPr="002676CC" w:rsidRDefault="00C132C0" w:rsidP="00AE09AF">
            <w:pPr>
              <w:snapToGrid w:val="0"/>
              <w:spacing w:line="360" w:lineRule="auto"/>
              <w:jc w:val="both"/>
              <w:rPr>
                <w:rFonts w:ascii="Book Antiqua" w:hAnsi="Book Antiqua"/>
              </w:rPr>
            </w:pPr>
            <w:r>
              <w:rPr>
                <w:rFonts w:ascii="Book Antiqua" w:hAnsi="Book Antiqua"/>
              </w:rPr>
              <w:t>1</w:t>
            </w:r>
            <w:r w:rsidR="00FC6DCB" w:rsidRPr="002676CC">
              <w:rPr>
                <w:rFonts w:ascii="Book Antiqua" w:hAnsi="Book Antiqua"/>
                <w:vertAlign w:val="superscript"/>
              </w:rPr>
              <w:t>[1]</w:t>
            </w:r>
          </w:p>
        </w:tc>
        <w:tc>
          <w:tcPr>
            <w:tcW w:w="850" w:type="dxa"/>
            <w:tcBorders>
              <w:top w:val="single" w:sz="4" w:space="0" w:color="auto"/>
              <w:left w:val="nil"/>
              <w:right w:val="nil"/>
            </w:tcBorders>
            <w:shd w:val="clear" w:color="auto" w:fill="auto"/>
            <w:noWrap/>
            <w:vAlign w:val="center"/>
            <w:hideMark/>
          </w:tcPr>
          <w:p w14:paraId="2AB236D1"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81</w:t>
            </w:r>
          </w:p>
        </w:tc>
        <w:tc>
          <w:tcPr>
            <w:tcW w:w="585" w:type="dxa"/>
            <w:tcBorders>
              <w:top w:val="single" w:sz="4" w:space="0" w:color="auto"/>
              <w:left w:val="nil"/>
              <w:right w:val="nil"/>
            </w:tcBorders>
            <w:shd w:val="clear" w:color="auto" w:fill="auto"/>
            <w:noWrap/>
            <w:vAlign w:val="center"/>
            <w:hideMark/>
          </w:tcPr>
          <w:p w14:paraId="11EDAC8C"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M</w:t>
            </w:r>
          </w:p>
        </w:tc>
        <w:tc>
          <w:tcPr>
            <w:tcW w:w="1400" w:type="dxa"/>
            <w:tcBorders>
              <w:top w:val="single" w:sz="4" w:space="0" w:color="auto"/>
              <w:left w:val="nil"/>
              <w:right w:val="nil"/>
            </w:tcBorders>
            <w:shd w:val="clear" w:color="auto" w:fill="auto"/>
            <w:noWrap/>
            <w:vAlign w:val="center"/>
            <w:hideMark/>
          </w:tcPr>
          <w:p w14:paraId="6601284F"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400</w:t>
            </w:r>
          </w:p>
        </w:tc>
        <w:tc>
          <w:tcPr>
            <w:tcW w:w="1198" w:type="dxa"/>
            <w:tcBorders>
              <w:top w:val="single" w:sz="4" w:space="0" w:color="auto"/>
              <w:left w:val="nil"/>
              <w:right w:val="nil"/>
            </w:tcBorders>
            <w:shd w:val="clear" w:color="auto" w:fill="auto"/>
            <w:noWrap/>
            <w:vAlign w:val="center"/>
            <w:hideMark/>
          </w:tcPr>
          <w:p w14:paraId="55745A68"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48</w:t>
            </w:r>
          </w:p>
        </w:tc>
        <w:tc>
          <w:tcPr>
            <w:tcW w:w="1920" w:type="dxa"/>
            <w:tcBorders>
              <w:top w:val="single" w:sz="4" w:space="0" w:color="auto"/>
              <w:left w:val="nil"/>
              <w:right w:val="nil"/>
            </w:tcBorders>
            <w:shd w:val="clear" w:color="auto" w:fill="auto"/>
            <w:noWrap/>
            <w:vAlign w:val="center"/>
            <w:hideMark/>
          </w:tcPr>
          <w:p w14:paraId="6BBD1D59"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12</w:t>
            </w:r>
          </w:p>
        </w:tc>
        <w:tc>
          <w:tcPr>
            <w:tcW w:w="1985" w:type="dxa"/>
            <w:tcBorders>
              <w:top w:val="single" w:sz="4" w:space="0" w:color="auto"/>
              <w:left w:val="nil"/>
              <w:right w:val="nil"/>
            </w:tcBorders>
            <w:shd w:val="clear" w:color="auto" w:fill="auto"/>
            <w:noWrap/>
            <w:vAlign w:val="center"/>
            <w:hideMark/>
          </w:tcPr>
          <w:p w14:paraId="511BC9CE" w14:textId="77777777" w:rsidR="00FC6DCB" w:rsidRPr="002676CC" w:rsidRDefault="00FC6DCB" w:rsidP="00052AD0">
            <w:pPr>
              <w:snapToGrid w:val="0"/>
              <w:spacing w:line="360" w:lineRule="auto"/>
              <w:jc w:val="center"/>
              <w:rPr>
                <w:rFonts w:ascii="Book Antiqua" w:hAnsi="Book Antiqua"/>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tc>
        <w:tc>
          <w:tcPr>
            <w:tcW w:w="2410" w:type="dxa"/>
            <w:tcBorders>
              <w:top w:val="single" w:sz="4" w:space="0" w:color="auto"/>
              <w:left w:val="nil"/>
            </w:tcBorders>
            <w:shd w:val="clear" w:color="auto" w:fill="auto"/>
            <w:noWrap/>
            <w:vAlign w:val="center"/>
            <w:hideMark/>
          </w:tcPr>
          <w:p w14:paraId="0B87E28C" w14:textId="77777777" w:rsidR="00FC6DCB" w:rsidRDefault="00940508" w:rsidP="00052AD0">
            <w:pPr>
              <w:snapToGrid w:val="0"/>
              <w:spacing w:line="360" w:lineRule="auto"/>
              <w:jc w:val="center"/>
              <w:rPr>
                <w:rFonts w:ascii="Book Antiqua" w:eastAsia="SimSun" w:hAnsi="Book Antiqua"/>
                <w:lang w:eastAsia="zh-CN"/>
              </w:rPr>
            </w:pPr>
            <w:r w:rsidRPr="002676CC">
              <w:rPr>
                <w:rFonts w:ascii="Book Antiqua" w:hAnsi="Book Antiqua"/>
              </w:rPr>
              <w:t>Esophageal varic</w:t>
            </w:r>
            <w:r w:rsidR="00FC6DCB" w:rsidRPr="002676CC">
              <w:rPr>
                <w:rFonts w:ascii="Book Antiqua" w:hAnsi="Book Antiqua"/>
              </w:rPr>
              <w:t>es</w:t>
            </w:r>
          </w:p>
          <w:p w14:paraId="3219C206" w14:textId="770AC5F9" w:rsidR="0060183D" w:rsidRPr="0060183D" w:rsidRDefault="0060183D" w:rsidP="00052AD0">
            <w:pPr>
              <w:snapToGrid w:val="0"/>
              <w:spacing w:line="360" w:lineRule="auto"/>
              <w:jc w:val="center"/>
              <w:rPr>
                <w:rFonts w:ascii="Book Antiqua" w:eastAsia="SimSun" w:hAnsi="Book Antiqua"/>
                <w:lang w:eastAsia="zh-CN"/>
              </w:rPr>
            </w:pPr>
            <w:r w:rsidRPr="002676CC">
              <w:rPr>
                <w:rFonts w:ascii="Book Antiqua" w:hAnsi="Book Antiqua"/>
              </w:rPr>
              <w:t>Ascites</w:t>
            </w:r>
          </w:p>
        </w:tc>
      </w:tr>
      <w:tr w:rsidR="001B4E3F" w:rsidRPr="002676CC" w14:paraId="48CED6D2" w14:textId="77777777" w:rsidTr="001B4E3F">
        <w:trPr>
          <w:trHeight w:val="375"/>
        </w:trPr>
        <w:tc>
          <w:tcPr>
            <w:tcW w:w="986" w:type="dxa"/>
            <w:tcBorders>
              <w:right w:val="nil"/>
            </w:tcBorders>
            <w:shd w:val="clear" w:color="auto" w:fill="auto"/>
            <w:noWrap/>
            <w:vAlign w:val="center"/>
            <w:hideMark/>
          </w:tcPr>
          <w:p w14:paraId="532F9AA5" w14:textId="7D720F38" w:rsidR="00FC6DCB" w:rsidRPr="002676CC" w:rsidRDefault="00C132C0" w:rsidP="00AE09AF">
            <w:pPr>
              <w:snapToGrid w:val="0"/>
              <w:spacing w:line="360" w:lineRule="auto"/>
              <w:jc w:val="both"/>
              <w:rPr>
                <w:rFonts w:ascii="Book Antiqua" w:hAnsi="Book Antiqua"/>
              </w:rPr>
            </w:pPr>
            <w:r>
              <w:rPr>
                <w:rFonts w:ascii="Book Antiqua" w:hAnsi="Book Antiqua"/>
              </w:rPr>
              <w:t>2</w:t>
            </w:r>
            <w:r w:rsidR="00FC6DCB" w:rsidRPr="002676CC">
              <w:rPr>
                <w:rFonts w:ascii="Book Antiqua" w:hAnsi="Book Antiqua"/>
                <w:vertAlign w:val="superscript"/>
              </w:rPr>
              <w:t>[3]</w:t>
            </w:r>
          </w:p>
        </w:tc>
        <w:tc>
          <w:tcPr>
            <w:tcW w:w="850" w:type="dxa"/>
            <w:tcBorders>
              <w:left w:val="nil"/>
              <w:right w:val="nil"/>
            </w:tcBorders>
            <w:shd w:val="clear" w:color="auto" w:fill="auto"/>
            <w:noWrap/>
            <w:vAlign w:val="center"/>
            <w:hideMark/>
          </w:tcPr>
          <w:p w14:paraId="644C9C2F"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76</w:t>
            </w:r>
          </w:p>
        </w:tc>
        <w:tc>
          <w:tcPr>
            <w:tcW w:w="585" w:type="dxa"/>
            <w:tcBorders>
              <w:left w:val="nil"/>
              <w:right w:val="nil"/>
            </w:tcBorders>
            <w:shd w:val="clear" w:color="auto" w:fill="auto"/>
            <w:noWrap/>
            <w:vAlign w:val="center"/>
            <w:hideMark/>
          </w:tcPr>
          <w:p w14:paraId="6A1094A8"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F</w:t>
            </w:r>
          </w:p>
        </w:tc>
        <w:tc>
          <w:tcPr>
            <w:tcW w:w="1400" w:type="dxa"/>
            <w:tcBorders>
              <w:left w:val="nil"/>
              <w:right w:val="nil"/>
            </w:tcBorders>
            <w:shd w:val="clear" w:color="auto" w:fill="auto"/>
            <w:noWrap/>
            <w:vAlign w:val="center"/>
            <w:hideMark/>
          </w:tcPr>
          <w:p w14:paraId="1923EC37"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NA</w:t>
            </w:r>
          </w:p>
        </w:tc>
        <w:tc>
          <w:tcPr>
            <w:tcW w:w="1198" w:type="dxa"/>
            <w:tcBorders>
              <w:left w:val="nil"/>
              <w:right w:val="nil"/>
            </w:tcBorders>
            <w:shd w:val="clear" w:color="auto" w:fill="auto"/>
            <w:noWrap/>
            <w:vAlign w:val="center"/>
            <w:hideMark/>
          </w:tcPr>
          <w:p w14:paraId="1229C523"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24</w:t>
            </w:r>
          </w:p>
        </w:tc>
        <w:tc>
          <w:tcPr>
            <w:tcW w:w="1920" w:type="dxa"/>
            <w:tcBorders>
              <w:left w:val="nil"/>
              <w:right w:val="nil"/>
            </w:tcBorders>
            <w:shd w:val="clear" w:color="auto" w:fill="auto"/>
            <w:noWrap/>
            <w:vAlign w:val="center"/>
            <w:hideMark/>
          </w:tcPr>
          <w:p w14:paraId="677C8A4F"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NA</w:t>
            </w:r>
          </w:p>
        </w:tc>
        <w:tc>
          <w:tcPr>
            <w:tcW w:w="1985" w:type="dxa"/>
            <w:tcBorders>
              <w:left w:val="nil"/>
              <w:right w:val="nil"/>
            </w:tcBorders>
            <w:shd w:val="clear" w:color="auto" w:fill="auto"/>
            <w:noWrap/>
            <w:vAlign w:val="center"/>
            <w:hideMark/>
          </w:tcPr>
          <w:p w14:paraId="2FD2D430" w14:textId="77777777" w:rsidR="00FC6DCB" w:rsidRPr="002676CC" w:rsidRDefault="00FC6DCB" w:rsidP="00052AD0">
            <w:pPr>
              <w:snapToGrid w:val="0"/>
              <w:spacing w:line="360" w:lineRule="auto"/>
              <w:jc w:val="center"/>
              <w:rPr>
                <w:rFonts w:ascii="Book Antiqua" w:hAnsi="Book Antiqua"/>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tc>
        <w:tc>
          <w:tcPr>
            <w:tcW w:w="2410" w:type="dxa"/>
            <w:tcBorders>
              <w:left w:val="nil"/>
            </w:tcBorders>
            <w:shd w:val="clear" w:color="auto" w:fill="auto"/>
            <w:noWrap/>
            <w:vAlign w:val="center"/>
            <w:hideMark/>
          </w:tcPr>
          <w:p w14:paraId="462306F6"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Ascites</w:t>
            </w:r>
          </w:p>
        </w:tc>
      </w:tr>
      <w:tr w:rsidR="001B4E3F" w:rsidRPr="002676CC" w14:paraId="3C695C5A" w14:textId="77777777" w:rsidTr="001B4E3F">
        <w:trPr>
          <w:trHeight w:val="375"/>
        </w:trPr>
        <w:tc>
          <w:tcPr>
            <w:tcW w:w="986" w:type="dxa"/>
            <w:tcBorders>
              <w:right w:val="nil"/>
            </w:tcBorders>
            <w:shd w:val="clear" w:color="auto" w:fill="auto"/>
            <w:noWrap/>
            <w:vAlign w:val="center"/>
            <w:hideMark/>
          </w:tcPr>
          <w:p w14:paraId="42140CC2" w14:textId="01B67AC0" w:rsidR="00FC6DCB" w:rsidRPr="002676CC" w:rsidRDefault="00C132C0" w:rsidP="00AE09AF">
            <w:pPr>
              <w:snapToGrid w:val="0"/>
              <w:spacing w:line="360" w:lineRule="auto"/>
              <w:jc w:val="both"/>
              <w:rPr>
                <w:rFonts w:ascii="Book Antiqua" w:hAnsi="Book Antiqua"/>
              </w:rPr>
            </w:pPr>
            <w:r>
              <w:rPr>
                <w:rFonts w:ascii="Book Antiqua" w:hAnsi="Book Antiqua"/>
              </w:rPr>
              <w:t>3</w:t>
            </w:r>
            <w:r w:rsidR="00FC6DCB" w:rsidRPr="002676CC">
              <w:rPr>
                <w:rFonts w:ascii="Book Antiqua" w:hAnsi="Book Antiqua"/>
                <w:vertAlign w:val="superscript"/>
              </w:rPr>
              <w:t>[4]</w:t>
            </w:r>
          </w:p>
        </w:tc>
        <w:tc>
          <w:tcPr>
            <w:tcW w:w="850" w:type="dxa"/>
            <w:tcBorders>
              <w:left w:val="nil"/>
              <w:right w:val="nil"/>
            </w:tcBorders>
            <w:shd w:val="clear" w:color="auto" w:fill="auto"/>
            <w:noWrap/>
            <w:vAlign w:val="center"/>
            <w:hideMark/>
          </w:tcPr>
          <w:p w14:paraId="163A397C"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82</w:t>
            </w:r>
          </w:p>
        </w:tc>
        <w:tc>
          <w:tcPr>
            <w:tcW w:w="585" w:type="dxa"/>
            <w:tcBorders>
              <w:left w:val="nil"/>
              <w:right w:val="nil"/>
            </w:tcBorders>
            <w:shd w:val="clear" w:color="auto" w:fill="auto"/>
            <w:noWrap/>
            <w:vAlign w:val="center"/>
            <w:hideMark/>
          </w:tcPr>
          <w:p w14:paraId="52BBF6B4"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M</w:t>
            </w:r>
          </w:p>
        </w:tc>
        <w:tc>
          <w:tcPr>
            <w:tcW w:w="1400" w:type="dxa"/>
            <w:tcBorders>
              <w:left w:val="nil"/>
              <w:right w:val="nil"/>
            </w:tcBorders>
            <w:shd w:val="clear" w:color="auto" w:fill="auto"/>
            <w:noWrap/>
            <w:vAlign w:val="center"/>
            <w:hideMark/>
          </w:tcPr>
          <w:p w14:paraId="0FF43B20"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300</w:t>
            </w:r>
          </w:p>
        </w:tc>
        <w:tc>
          <w:tcPr>
            <w:tcW w:w="1198" w:type="dxa"/>
            <w:tcBorders>
              <w:left w:val="nil"/>
              <w:right w:val="nil"/>
            </w:tcBorders>
            <w:shd w:val="clear" w:color="auto" w:fill="auto"/>
            <w:noWrap/>
            <w:vAlign w:val="center"/>
            <w:hideMark/>
          </w:tcPr>
          <w:p w14:paraId="278CE509"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48</w:t>
            </w:r>
          </w:p>
        </w:tc>
        <w:tc>
          <w:tcPr>
            <w:tcW w:w="1920" w:type="dxa"/>
            <w:tcBorders>
              <w:left w:val="nil"/>
              <w:right w:val="nil"/>
            </w:tcBorders>
            <w:shd w:val="clear" w:color="auto" w:fill="auto"/>
            <w:noWrap/>
            <w:vAlign w:val="center"/>
            <w:hideMark/>
          </w:tcPr>
          <w:p w14:paraId="633B5CC4"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12</w:t>
            </w:r>
          </w:p>
        </w:tc>
        <w:tc>
          <w:tcPr>
            <w:tcW w:w="1985" w:type="dxa"/>
            <w:tcBorders>
              <w:left w:val="nil"/>
              <w:right w:val="nil"/>
            </w:tcBorders>
            <w:shd w:val="clear" w:color="auto" w:fill="auto"/>
            <w:noWrap/>
            <w:vAlign w:val="center"/>
            <w:hideMark/>
          </w:tcPr>
          <w:p w14:paraId="7762A484" w14:textId="77777777" w:rsidR="00FC6DCB" w:rsidRPr="002676CC" w:rsidRDefault="00FC6DCB" w:rsidP="00052AD0">
            <w:pPr>
              <w:snapToGrid w:val="0"/>
              <w:spacing w:line="360" w:lineRule="auto"/>
              <w:jc w:val="center"/>
              <w:rPr>
                <w:rFonts w:ascii="Book Antiqua" w:hAnsi="Book Antiqua"/>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tc>
        <w:tc>
          <w:tcPr>
            <w:tcW w:w="2410" w:type="dxa"/>
            <w:tcBorders>
              <w:left w:val="nil"/>
            </w:tcBorders>
            <w:shd w:val="clear" w:color="auto" w:fill="auto"/>
            <w:noWrap/>
            <w:vAlign w:val="center"/>
            <w:hideMark/>
          </w:tcPr>
          <w:p w14:paraId="1E4E4993"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NA</w:t>
            </w:r>
          </w:p>
        </w:tc>
      </w:tr>
      <w:tr w:rsidR="001B4E3F" w:rsidRPr="002676CC" w14:paraId="261EA232" w14:textId="77777777" w:rsidTr="001B4E3F">
        <w:trPr>
          <w:trHeight w:val="375"/>
        </w:trPr>
        <w:tc>
          <w:tcPr>
            <w:tcW w:w="986" w:type="dxa"/>
            <w:tcBorders>
              <w:right w:val="nil"/>
            </w:tcBorders>
            <w:shd w:val="clear" w:color="auto" w:fill="auto"/>
            <w:noWrap/>
            <w:vAlign w:val="center"/>
            <w:hideMark/>
          </w:tcPr>
          <w:p w14:paraId="3108BB44" w14:textId="37D8DD38" w:rsidR="00FC6DCB" w:rsidRPr="002676CC" w:rsidRDefault="00C132C0" w:rsidP="00AE09AF">
            <w:pPr>
              <w:snapToGrid w:val="0"/>
              <w:spacing w:line="360" w:lineRule="auto"/>
              <w:jc w:val="both"/>
              <w:rPr>
                <w:rFonts w:ascii="Book Antiqua" w:hAnsi="Book Antiqua"/>
              </w:rPr>
            </w:pPr>
            <w:r>
              <w:rPr>
                <w:rFonts w:ascii="Book Antiqua" w:hAnsi="Book Antiqua"/>
              </w:rPr>
              <w:t>4</w:t>
            </w:r>
            <w:r w:rsidR="00FC6DCB" w:rsidRPr="002676CC">
              <w:rPr>
                <w:rFonts w:ascii="Book Antiqua" w:hAnsi="Book Antiqua"/>
                <w:vertAlign w:val="superscript"/>
              </w:rPr>
              <w:t>[4]</w:t>
            </w:r>
          </w:p>
        </w:tc>
        <w:tc>
          <w:tcPr>
            <w:tcW w:w="850" w:type="dxa"/>
            <w:tcBorders>
              <w:left w:val="nil"/>
              <w:right w:val="nil"/>
            </w:tcBorders>
            <w:shd w:val="clear" w:color="auto" w:fill="auto"/>
            <w:noWrap/>
            <w:vAlign w:val="center"/>
            <w:hideMark/>
          </w:tcPr>
          <w:p w14:paraId="3704FFFD"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73</w:t>
            </w:r>
          </w:p>
        </w:tc>
        <w:tc>
          <w:tcPr>
            <w:tcW w:w="585" w:type="dxa"/>
            <w:tcBorders>
              <w:left w:val="nil"/>
              <w:right w:val="nil"/>
            </w:tcBorders>
            <w:shd w:val="clear" w:color="auto" w:fill="auto"/>
            <w:noWrap/>
            <w:vAlign w:val="center"/>
            <w:hideMark/>
          </w:tcPr>
          <w:p w14:paraId="55DD500B"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M</w:t>
            </w:r>
          </w:p>
        </w:tc>
        <w:tc>
          <w:tcPr>
            <w:tcW w:w="1400" w:type="dxa"/>
            <w:tcBorders>
              <w:left w:val="nil"/>
              <w:right w:val="nil"/>
            </w:tcBorders>
            <w:shd w:val="clear" w:color="auto" w:fill="auto"/>
            <w:noWrap/>
            <w:vAlign w:val="center"/>
            <w:hideMark/>
          </w:tcPr>
          <w:p w14:paraId="2654AC9C"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300</w:t>
            </w:r>
          </w:p>
        </w:tc>
        <w:tc>
          <w:tcPr>
            <w:tcW w:w="1198" w:type="dxa"/>
            <w:tcBorders>
              <w:left w:val="nil"/>
              <w:right w:val="nil"/>
            </w:tcBorders>
            <w:shd w:val="clear" w:color="auto" w:fill="auto"/>
            <w:noWrap/>
            <w:vAlign w:val="center"/>
            <w:hideMark/>
          </w:tcPr>
          <w:p w14:paraId="196EA4C1"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23</w:t>
            </w:r>
          </w:p>
        </w:tc>
        <w:tc>
          <w:tcPr>
            <w:tcW w:w="1920" w:type="dxa"/>
            <w:tcBorders>
              <w:left w:val="nil"/>
              <w:right w:val="nil"/>
            </w:tcBorders>
            <w:shd w:val="clear" w:color="auto" w:fill="auto"/>
            <w:noWrap/>
            <w:vAlign w:val="center"/>
            <w:hideMark/>
          </w:tcPr>
          <w:p w14:paraId="44B34FE9"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11</w:t>
            </w:r>
          </w:p>
        </w:tc>
        <w:tc>
          <w:tcPr>
            <w:tcW w:w="1985" w:type="dxa"/>
            <w:tcBorders>
              <w:left w:val="nil"/>
              <w:right w:val="nil"/>
            </w:tcBorders>
            <w:shd w:val="clear" w:color="auto" w:fill="auto"/>
            <w:noWrap/>
            <w:vAlign w:val="center"/>
            <w:hideMark/>
          </w:tcPr>
          <w:p w14:paraId="2E0D88A5" w14:textId="77777777" w:rsidR="00FC6DCB" w:rsidRPr="002676CC" w:rsidRDefault="00FC6DCB" w:rsidP="00052AD0">
            <w:pPr>
              <w:snapToGrid w:val="0"/>
              <w:spacing w:line="360" w:lineRule="auto"/>
              <w:jc w:val="center"/>
              <w:rPr>
                <w:rFonts w:ascii="Book Antiqua" w:hAnsi="Book Antiqua"/>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tc>
        <w:tc>
          <w:tcPr>
            <w:tcW w:w="2410" w:type="dxa"/>
            <w:tcBorders>
              <w:left w:val="nil"/>
            </w:tcBorders>
            <w:shd w:val="clear" w:color="auto" w:fill="auto"/>
            <w:noWrap/>
            <w:vAlign w:val="center"/>
            <w:hideMark/>
          </w:tcPr>
          <w:p w14:paraId="583FE41A"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NA</w:t>
            </w:r>
          </w:p>
        </w:tc>
      </w:tr>
      <w:tr w:rsidR="001B4E3F" w:rsidRPr="002676CC" w14:paraId="2AF0B7F7" w14:textId="77777777" w:rsidTr="001B4E3F">
        <w:trPr>
          <w:trHeight w:val="375"/>
        </w:trPr>
        <w:tc>
          <w:tcPr>
            <w:tcW w:w="986" w:type="dxa"/>
            <w:tcBorders>
              <w:right w:val="nil"/>
            </w:tcBorders>
            <w:shd w:val="clear" w:color="auto" w:fill="auto"/>
            <w:noWrap/>
            <w:vAlign w:val="center"/>
            <w:hideMark/>
          </w:tcPr>
          <w:p w14:paraId="00412F76" w14:textId="6F70F320" w:rsidR="00FC6DCB" w:rsidRPr="002676CC" w:rsidRDefault="00C132C0" w:rsidP="00AE09AF">
            <w:pPr>
              <w:snapToGrid w:val="0"/>
              <w:spacing w:line="360" w:lineRule="auto"/>
              <w:jc w:val="both"/>
              <w:rPr>
                <w:rFonts w:ascii="Book Antiqua" w:hAnsi="Book Antiqua"/>
              </w:rPr>
            </w:pPr>
            <w:r>
              <w:rPr>
                <w:rFonts w:ascii="Book Antiqua" w:hAnsi="Book Antiqua"/>
              </w:rPr>
              <w:t>5</w:t>
            </w:r>
            <w:r w:rsidR="00FC6DCB" w:rsidRPr="002676CC">
              <w:rPr>
                <w:rFonts w:ascii="Book Antiqua" w:hAnsi="Book Antiqua"/>
                <w:vertAlign w:val="superscript"/>
              </w:rPr>
              <w:t>[4]</w:t>
            </w:r>
          </w:p>
        </w:tc>
        <w:tc>
          <w:tcPr>
            <w:tcW w:w="850" w:type="dxa"/>
            <w:tcBorders>
              <w:left w:val="nil"/>
              <w:right w:val="nil"/>
            </w:tcBorders>
            <w:shd w:val="clear" w:color="auto" w:fill="auto"/>
            <w:noWrap/>
            <w:vAlign w:val="center"/>
            <w:hideMark/>
          </w:tcPr>
          <w:p w14:paraId="5FC6666E"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68</w:t>
            </w:r>
          </w:p>
        </w:tc>
        <w:tc>
          <w:tcPr>
            <w:tcW w:w="585" w:type="dxa"/>
            <w:tcBorders>
              <w:left w:val="nil"/>
              <w:right w:val="nil"/>
            </w:tcBorders>
            <w:shd w:val="clear" w:color="auto" w:fill="auto"/>
            <w:noWrap/>
            <w:vAlign w:val="center"/>
            <w:hideMark/>
          </w:tcPr>
          <w:p w14:paraId="59547C60"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F</w:t>
            </w:r>
          </w:p>
        </w:tc>
        <w:tc>
          <w:tcPr>
            <w:tcW w:w="1400" w:type="dxa"/>
            <w:tcBorders>
              <w:left w:val="nil"/>
              <w:right w:val="nil"/>
            </w:tcBorders>
            <w:shd w:val="clear" w:color="auto" w:fill="auto"/>
            <w:noWrap/>
            <w:vAlign w:val="center"/>
            <w:hideMark/>
          </w:tcPr>
          <w:p w14:paraId="1934651D"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400</w:t>
            </w:r>
          </w:p>
        </w:tc>
        <w:tc>
          <w:tcPr>
            <w:tcW w:w="1198" w:type="dxa"/>
            <w:tcBorders>
              <w:left w:val="nil"/>
              <w:right w:val="nil"/>
            </w:tcBorders>
            <w:shd w:val="clear" w:color="auto" w:fill="auto"/>
            <w:noWrap/>
            <w:vAlign w:val="center"/>
            <w:hideMark/>
          </w:tcPr>
          <w:p w14:paraId="0A17D524"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55</w:t>
            </w:r>
          </w:p>
        </w:tc>
        <w:tc>
          <w:tcPr>
            <w:tcW w:w="1920" w:type="dxa"/>
            <w:tcBorders>
              <w:left w:val="nil"/>
              <w:right w:val="nil"/>
            </w:tcBorders>
            <w:shd w:val="clear" w:color="auto" w:fill="auto"/>
            <w:noWrap/>
            <w:vAlign w:val="center"/>
            <w:hideMark/>
          </w:tcPr>
          <w:p w14:paraId="4F58841E"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12</w:t>
            </w:r>
          </w:p>
        </w:tc>
        <w:tc>
          <w:tcPr>
            <w:tcW w:w="1985" w:type="dxa"/>
            <w:tcBorders>
              <w:left w:val="nil"/>
              <w:right w:val="nil"/>
            </w:tcBorders>
            <w:shd w:val="clear" w:color="auto" w:fill="auto"/>
            <w:noWrap/>
            <w:vAlign w:val="center"/>
            <w:hideMark/>
          </w:tcPr>
          <w:p w14:paraId="11D15C07" w14:textId="77777777" w:rsidR="00FC6DCB" w:rsidRPr="002676CC" w:rsidRDefault="00FC6DCB" w:rsidP="00052AD0">
            <w:pPr>
              <w:snapToGrid w:val="0"/>
              <w:spacing w:line="360" w:lineRule="auto"/>
              <w:jc w:val="center"/>
              <w:rPr>
                <w:rFonts w:ascii="Book Antiqua" w:hAnsi="Book Antiqua"/>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tc>
        <w:tc>
          <w:tcPr>
            <w:tcW w:w="2410" w:type="dxa"/>
            <w:tcBorders>
              <w:left w:val="nil"/>
            </w:tcBorders>
            <w:shd w:val="clear" w:color="auto" w:fill="auto"/>
            <w:noWrap/>
            <w:vAlign w:val="center"/>
            <w:hideMark/>
          </w:tcPr>
          <w:p w14:paraId="27C425F4"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NA</w:t>
            </w:r>
          </w:p>
        </w:tc>
      </w:tr>
      <w:tr w:rsidR="001B4E3F" w:rsidRPr="002676CC" w14:paraId="2BAFAE8C" w14:textId="77777777" w:rsidTr="001B4E3F">
        <w:trPr>
          <w:trHeight w:val="315"/>
        </w:trPr>
        <w:tc>
          <w:tcPr>
            <w:tcW w:w="986" w:type="dxa"/>
            <w:tcBorders>
              <w:bottom w:val="single" w:sz="4" w:space="0" w:color="auto"/>
              <w:right w:val="nil"/>
            </w:tcBorders>
            <w:shd w:val="clear" w:color="auto" w:fill="auto"/>
            <w:noWrap/>
            <w:vAlign w:val="center"/>
            <w:hideMark/>
          </w:tcPr>
          <w:p w14:paraId="6FCE4CA7" w14:textId="77777777" w:rsidR="00FC6DCB" w:rsidRPr="002676CC" w:rsidRDefault="00FC6DCB" w:rsidP="00AE09AF">
            <w:pPr>
              <w:snapToGrid w:val="0"/>
              <w:spacing w:line="360" w:lineRule="auto"/>
              <w:jc w:val="both"/>
              <w:rPr>
                <w:rFonts w:ascii="Book Antiqua" w:hAnsi="Book Antiqua"/>
              </w:rPr>
            </w:pPr>
            <w:r w:rsidRPr="0060183D">
              <w:rPr>
                <w:rFonts w:ascii="Book Antiqua" w:hAnsi="Book Antiqua"/>
                <w:caps/>
              </w:rPr>
              <w:t>o</w:t>
            </w:r>
            <w:r w:rsidRPr="002676CC">
              <w:rPr>
                <w:rFonts w:ascii="Book Antiqua" w:hAnsi="Book Antiqua"/>
              </w:rPr>
              <w:t>ur case</w:t>
            </w:r>
          </w:p>
        </w:tc>
        <w:tc>
          <w:tcPr>
            <w:tcW w:w="850" w:type="dxa"/>
            <w:tcBorders>
              <w:left w:val="nil"/>
              <w:bottom w:val="single" w:sz="4" w:space="0" w:color="auto"/>
              <w:right w:val="nil"/>
            </w:tcBorders>
            <w:shd w:val="clear" w:color="auto" w:fill="auto"/>
            <w:noWrap/>
            <w:vAlign w:val="center"/>
            <w:hideMark/>
          </w:tcPr>
          <w:p w14:paraId="585F9F46"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74</w:t>
            </w:r>
          </w:p>
        </w:tc>
        <w:tc>
          <w:tcPr>
            <w:tcW w:w="585" w:type="dxa"/>
            <w:tcBorders>
              <w:left w:val="nil"/>
              <w:bottom w:val="single" w:sz="4" w:space="0" w:color="auto"/>
              <w:right w:val="nil"/>
            </w:tcBorders>
            <w:shd w:val="clear" w:color="auto" w:fill="auto"/>
            <w:noWrap/>
            <w:vAlign w:val="center"/>
            <w:hideMark/>
          </w:tcPr>
          <w:p w14:paraId="676E1CF7"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F</w:t>
            </w:r>
          </w:p>
        </w:tc>
        <w:tc>
          <w:tcPr>
            <w:tcW w:w="1400" w:type="dxa"/>
            <w:tcBorders>
              <w:left w:val="nil"/>
              <w:bottom w:val="single" w:sz="4" w:space="0" w:color="auto"/>
              <w:right w:val="nil"/>
            </w:tcBorders>
            <w:shd w:val="clear" w:color="auto" w:fill="auto"/>
            <w:noWrap/>
            <w:vAlign w:val="center"/>
            <w:hideMark/>
          </w:tcPr>
          <w:p w14:paraId="065A1616"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400</w:t>
            </w:r>
          </w:p>
        </w:tc>
        <w:tc>
          <w:tcPr>
            <w:tcW w:w="1198" w:type="dxa"/>
            <w:tcBorders>
              <w:left w:val="nil"/>
              <w:bottom w:val="single" w:sz="4" w:space="0" w:color="auto"/>
              <w:right w:val="nil"/>
            </w:tcBorders>
            <w:shd w:val="clear" w:color="auto" w:fill="auto"/>
            <w:noWrap/>
            <w:vAlign w:val="center"/>
            <w:hideMark/>
          </w:tcPr>
          <w:p w14:paraId="490E021D"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8</w:t>
            </w:r>
          </w:p>
        </w:tc>
        <w:tc>
          <w:tcPr>
            <w:tcW w:w="1920" w:type="dxa"/>
            <w:tcBorders>
              <w:left w:val="nil"/>
              <w:bottom w:val="single" w:sz="4" w:space="0" w:color="auto"/>
              <w:right w:val="nil"/>
            </w:tcBorders>
            <w:shd w:val="clear" w:color="auto" w:fill="auto"/>
            <w:noWrap/>
            <w:vAlign w:val="center"/>
            <w:hideMark/>
          </w:tcPr>
          <w:p w14:paraId="3973EE40" w14:textId="77777777" w:rsidR="00FC6DCB" w:rsidRPr="002676CC" w:rsidRDefault="00FC6DCB" w:rsidP="00052AD0">
            <w:pPr>
              <w:snapToGrid w:val="0"/>
              <w:spacing w:line="360" w:lineRule="auto"/>
              <w:jc w:val="center"/>
              <w:rPr>
                <w:rFonts w:ascii="Book Antiqua" w:hAnsi="Book Antiqua"/>
              </w:rPr>
            </w:pPr>
            <w:r w:rsidRPr="002676CC">
              <w:rPr>
                <w:rFonts w:ascii="Book Antiqua" w:hAnsi="Book Antiqua"/>
              </w:rPr>
              <w:t>16</w:t>
            </w:r>
          </w:p>
        </w:tc>
        <w:tc>
          <w:tcPr>
            <w:tcW w:w="1985" w:type="dxa"/>
            <w:tcBorders>
              <w:left w:val="nil"/>
              <w:bottom w:val="single" w:sz="4" w:space="0" w:color="auto"/>
              <w:right w:val="nil"/>
            </w:tcBorders>
            <w:shd w:val="clear" w:color="auto" w:fill="auto"/>
            <w:noWrap/>
            <w:vAlign w:val="center"/>
            <w:hideMark/>
          </w:tcPr>
          <w:p w14:paraId="6491A1B5" w14:textId="77777777" w:rsidR="00FC6DCB" w:rsidRDefault="00FC6DCB" w:rsidP="00052AD0">
            <w:pPr>
              <w:snapToGrid w:val="0"/>
              <w:spacing w:line="360" w:lineRule="auto"/>
              <w:jc w:val="center"/>
              <w:rPr>
                <w:rFonts w:ascii="Book Antiqua" w:eastAsia="SimSun" w:hAnsi="Book Antiqua"/>
                <w:lang w:eastAsia="zh-CN"/>
              </w:rPr>
            </w:pPr>
            <w:r w:rsidRPr="0060183D">
              <w:rPr>
                <w:rFonts w:ascii="Book Antiqua" w:hAnsi="Book Antiqua"/>
                <w:caps/>
              </w:rPr>
              <w:t>b</w:t>
            </w:r>
            <w:r w:rsidRPr="002676CC">
              <w:rPr>
                <w:rFonts w:ascii="Book Antiqua" w:hAnsi="Book Antiqua"/>
              </w:rPr>
              <w:t>ri</w:t>
            </w:r>
            <w:r w:rsidR="00940508" w:rsidRPr="002676CC">
              <w:rPr>
                <w:rFonts w:ascii="Book Antiqua" w:hAnsi="Book Antiqua"/>
              </w:rPr>
              <w:t>d</w:t>
            </w:r>
            <w:r w:rsidRPr="002676CC">
              <w:rPr>
                <w:rFonts w:ascii="Book Antiqua" w:hAnsi="Book Antiqua"/>
              </w:rPr>
              <w:t>ging fibrosis</w:t>
            </w:r>
          </w:p>
          <w:p w14:paraId="2F87CD51" w14:textId="41F59ADC" w:rsidR="0060183D" w:rsidRPr="0060183D" w:rsidRDefault="0060183D" w:rsidP="00052AD0">
            <w:pPr>
              <w:snapToGrid w:val="0"/>
              <w:spacing w:line="360" w:lineRule="auto"/>
              <w:jc w:val="center"/>
              <w:rPr>
                <w:rFonts w:ascii="Book Antiqua" w:eastAsia="SimSun" w:hAnsi="Book Antiqua"/>
                <w:lang w:eastAsia="zh-CN"/>
              </w:rPr>
            </w:pPr>
            <w:r w:rsidRPr="0060183D">
              <w:rPr>
                <w:rFonts w:ascii="Book Antiqua" w:hAnsi="Book Antiqua"/>
                <w:caps/>
              </w:rPr>
              <w:t>w</w:t>
            </w:r>
            <w:r w:rsidRPr="002676CC">
              <w:rPr>
                <w:rFonts w:ascii="Book Antiqua" w:hAnsi="Book Antiqua"/>
              </w:rPr>
              <w:t>ith septation</w:t>
            </w:r>
          </w:p>
        </w:tc>
        <w:tc>
          <w:tcPr>
            <w:tcW w:w="2410" w:type="dxa"/>
            <w:tcBorders>
              <w:left w:val="nil"/>
              <w:bottom w:val="single" w:sz="4" w:space="0" w:color="auto"/>
            </w:tcBorders>
            <w:shd w:val="clear" w:color="auto" w:fill="auto"/>
            <w:noWrap/>
            <w:vAlign w:val="center"/>
            <w:hideMark/>
          </w:tcPr>
          <w:p w14:paraId="23887763" w14:textId="77777777" w:rsidR="00FC6DCB" w:rsidRDefault="00940508" w:rsidP="00052AD0">
            <w:pPr>
              <w:snapToGrid w:val="0"/>
              <w:spacing w:line="360" w:lineRule="auto"/>
              <w:jc w:val="center"/>
              <w:rPr>
                <w:rFonts w:ascii="Book Antiqua" w:eastAsia="SimSun" w:hAnsi="Book Antiqua"/>
                <w:lang w:eastAsia="zh-CN"/>
              </w:rPr>
            </w:pPr>
            <w:r w:rsidRPr="002676CC">
              <w:rPr>
                <w:rFonts w:ascii="Book Antiqua" w:hAnsi="Book Antiqua"/>
              </w:rPr>
              <w:t>Esophageal varic</w:t>
            </w:r>
            <w:r w:rsidR="00FC6DCB" w:rsidRPr="002676CC">
              <w:rPr>
                <w:rFonts w:ascii="Book Antiqua" w:hAnsi="Book Antiqua"/>
              </w:rPr>
              <w:t>es</w:t>
            </w:r>
          </w:p>
          <w:p w14:paraId="48B639ED" w14:textId="77777777" w:rsidR="0060183D" w:rsidRDefault="0060183D" w:rsidP="00052AD0">
            <w:pPr>
              <w:snapToGrid w:val="0"/>
              <w:spacing w:line="360" w:lineRule="auto"/>
              <w:jc w:val="center"/>
              <w:rPr>
                <w:rFonts w:ascii="Book Antiqua" w:eastAsia="SimSun" w:hAnsi="Book Antiqua"/>
                <w:lang w:eastAsia="zh-CN"/>
              </w:rPr>
            </w:pPr>
            <w:r w:rsidRPr="002676CC">
              <w:rPr>
                <w:rFonts w:ascii="Book Antiqua" w:hAnsi="Book Antiqua"/>
              </w:rPr>
              <w:t>Ascites</w:t>
            </w:r>
          </w:p>
          <w:p w14:paraId="07DC5B85" w14:textId="11D90501" w:rsidR="0060183D" w:rsidRPr="0060183D" w:rsidRDefault="0060183D" w:rsidP="00052AD0">
            <w:pPr>
              <w:snapToGrid w:val="0"/>
              <w:spacing w:line="360" w:lineRule="auto"/>
              <w:jc w:val="center"/>
              <w:rPr>
                <w:rFonts w:ascii="Book Antiqua" w:eastAsia="SimSun" w:hAnsi="Book Antiqua"/>
                <w:lang w:eastAsia="zh-CN"/>
              </w:rPr>
            </w:pPr>
            <w:r w:rsidRPr="002676CC">
              <w:rPr>
                <w:rFonts w:ascii="Book Antiqua" w:hAnsi="Book Antiqua"/>
              </w:rPr>
              <w:t>Splenomegaly</w:t>
            </w:r>
          </w:p>
        </w:tc>
      </w:tr>
    </w:tbl>
    <w:p w14:paraId="622C1408" w14:textId="192889B4" w:rsidR="00DA506C" w:rsidRPr="00E16564" w:rsidRDefault="0060183D" w:rsidP="00AE09AF">
      <w:pPr>
        <w:snapToGrid w:val="0"/>
        <w:spacing w:line="360" w:lineRule="auto"/>
        <w:jc w:val="both"/>
        <w:rPr>
          <w:rFonts w:ascii="Book Antiqua" w:eastAsia="SimSun" w:hAnsi="Book Antiqua"/>
          <w:lang w:eastAsia="zh-CN"/>
        </w:rPr>
      </w:pPr>
      <w:r w:rsidRPr="002676CC">
        <w:rPr>
          <w:rFonts w:ascii="Book Antiqua" w:hAnsi="Book Antiqua"/>
        </w:rPr>
        <w:t xml:space="preserve">M: </w:t>
      </w:r>
      <w:r w:rsidRPr="0060183D">
        <w:rPr>
          <w:rFonts w:ascii="Book Antiqua" w:hAnsi="Book Antiqua"/>
          <w:caps/>
        </w:rPr>
        <w:t>m</w:t>
      </w:r>
      <w:r w:rsidRPr="002676CC">
        <w:rPr>
          <w:rFonts w:ascii="Book Antiqua" w:hAnsi="Book Antiqua"/>
        </w:rPr>
        <w:t xml:space="preserve">ale; F: </w:t>
      </w:r>
      <w:r w:rsidRPr="0060183D">
        <w:rPr>
          <w:rFonts w:ascii="Book Antiqua" w:hAnsi="Book Antiqua"/>
          <w:caps/>
        </w:rPr>
        <w:t>f</w:t>
      </w:r>
      <w:r w:rsidRPr="002676CC">
        <w:rPr>
          <w:rFonts w:ascii="Book Antiqua" w:hAnsi="Book Antiqua"/>
        </w:rPr>
        <w:t xml:space="preserve">emale; NA: </w:t>
      </w:r>
      <w:r w:rsidRPr="0060183D">
        <w:rPr>
          <w:rFonts w:ascii="Book Antiqua" w:hAnsi="Book Antiqua"/>
          <w:caps/>
        </w:rPr>
        <w:t>n</w:t>
      </w:r>
      <w:r w:rsidRPr="002676CC">
        <w:rPr>
          <w:rFonts w:ascii="Book Antiqua" w:hAnsi="Book Antiqua"/>
        </w:rPr>
        <w:t>ot available</w:t>
      </w:r>
      <w:r w:rsidR="00E16564">
        <w:rPr>
          <w:rFonts w:ascii="Book Antiqua" w:eastAsia="SimSun" w:hAnsi="Book Antiqua"/>
          <w:lang w:eastAsia="zh-CN"/>
        </w:rPr>
        <w:t>.</w:t>
      </w:r>
      <w:bookmarkStart w:id="132" w:name="_GoBack"/>
      <w:bookmarkEnd w:id="132"/>
    </w:p>
    <w:p w14:paraId="31E9396B" w14:textId="77777777" w:rsidR="00DA506C" w:rsidRDefault="00DA506C">
      <w:pPr>
        <w:rPr>
          <w:rFonts w:ascii="Book Antiqua" w:hAnsi="Book Antiqua"/>
        </w:rPr>
      </w:pPr>
      <w:r>
        <w:rPr>
          <w:rFonts w:ascii="Book Antiqua" w:hAnsi="Book Antiqua"/>
        </w:rPr>
        <w:br w:type="page"/>
      </w:r>
    </w:p>
    <w:p w14:paraId="60C849B3" w14:textId="0BEEA1B5" w:rsidR="00FC6DCB" w:rsidRDefault="00DA506C" w:rsidP="00AE09AF">
      <w:pPr>
        <w:snapToGrid w:val="0"/>
        <w:spacing w:line="360" w:lineRule="auto"/>
        <w:jc w:val="both"/>
        <w:rPr>
          <w:rFonts w:ascii="Book Antiqua" w:eastAsia="SimSun" w:hAnsi="Book Antiqua" w:cs="Times New Roman"/>
          <w:lang w:eastAsia="zh-CN"/>
        </w:rPr>
      </w:pPr>
      <w:r>
        <w:rPr>
          <w:noProof/>
          <w:lang w:eastAsia="zh-CN"/>
        </w:rPr>
        <w:lastRenderedPageBreak/>
        <w:drawing>
          <wp:inline distT="0" distB="0" distL="0" distR="0" wp14:anchorId="5CBE4789" wp14:editId="3A9F8D3B">
            <wp:extent cx="5912477" cy="4352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13407" cy="4353609"/>
                    </a:xfrm>
                    <a:prstGeom prst="rect">
                      <a:avLst/>
                    </a:prstGeom>
                  </pic:spPr>
                </pic:pic>
              </a:graphicData>
            </a:graphic>
          </wp:inline>
        </w:drawing>
      </w:r>
    </w:p>
    <w:p w14:paraId="3DB49C2B" w14:textId="77777777" w:rsidR="00DA506C" w:rsidRPr="002676CC" w:rsidRDefault="00DA506C" w:rsidP="00DA506C">
      <w:pPr>
        <w:snapToGrid w:val="0"/>
        <w:spacing w:line="360" w:lineRule="auto"/>
        <w:jc w:val="both"/>
        <w:rPr>
          <w:rFonts w:ascii="Book Antiqua" w:hAnsi="Book Antiqua" w:cs="Times New Roman"/>
        </w:rPr>
      </w:pPr>
      <w:r w:rsidRPr="002676CC">
        <w:rPr>
          <w:rFonts w:ascii="Book Antiqua" w:hAnsi="Book Antiqua" w:cs="Times New Roman"/>
          <w:b/>
        </w:rPr>
        <w:t xml:space="preserve">Figure 1 Computed tomography and upper gastrointestinal endoscopy images. </w:t>
      </w:r>
      <w:r w:rsidRPr="002676CC">
        <w:rPr>
          <w:rFonts w:ascii="Book Antiqua" w:hAnsi="Book Antiqua" w:cs="Times New Roman"/>
        </w:rPr>
        <w:t>A: CT imaging showed neither chronic liver disease nor splenomegaly before breast cancer surgery; B: eight months after treatment with tegafur-uracil, CT imaging revealed the presence of massive ascites and splenomegaly; C: Upper gastrointestinal endoscopy showed grade 1 esophageal varices (arrowheads).</w:t>
      </w:r>
    </w:p>
    <w:p w14:paraId="15F9F511" w14:textId="78DEE255" w:rsidR="00DA506C" w:rsidRDefault="00DA506C">
      <w:pPr>
        <w:rPr>
          <w:rFonts w:ascii="Book Antiqua" w:eastAsia="SimSun" w:hAnsi="Book Antiqua" w:cs="Times New Roman"/>
          <w:lang w:eastAsia="zh-CN"/>
        </w:rPr>
      </w:pPr>
      <w:r>
        <w:rPr>
          <w:rFonts w:ascii="Book Antiqua" w:eastAsia="SimSun" w:hAnsi="Book Antiqua" w:cs="Times New Roman"/>
          <w:lang w:eastAsia="zh-CN"/>
        </w:rPr>
        <w:br w:type="page"/>
      </w:r>
    </w:p>
    <w:p w14:paraId="199DDF53" w14:textId="26471687" w:rsidR="00DA506C" w:rsidRDefault="00DA506C" w:rsidP="00AE09AF">
      <w:pPr>
        <w:snapToGrid w:val="0"/>
        <w:spacing w:line="360" w:lineRule="auto"/>
        <w:jc w:val="both"/>
        <w:rPr>
          <w:rFonts w:ascii="Book Antiqua" w:eastAsia="SimSun" w:hAnsi="Book Antiqua" w:cs="Times New Roman"/>
          <w:lang w:eastAsia="zh-CN"/>
        </w:rPr>
      </w:pPr>
      <w:r w:rsidRPr="002676CC">
        <w:rPr>
          <w:rFonts w:ascii="Book Antiqua" w:hAnsi="Book Antiqua" w:cs="Times New Roman"/>
          <w:noProof/>
          <w:lang w:eastAsia="zh-CN"/>
        </w:rPr>
        <w:lastRenderedPageBreak/>
        <w:drawing>
          <wp:inline distT="0" distB="0" distL="0" distR="0" wp14:anchorId="64ED7C99" wp14:editId="17162D79">
            <wp:extent cx="5374092" cy="2803585"/>
            <wp:effectExtent l="0" t="0" r="0" b="0"/>
            <wp:docPr id="5" name="図 5" descr="C:\Users\AMU\Desktop\WJG revision\Figure rev\スライド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U\Desktop\WJG revision\Figure rev\スライド2.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5783" b="24653"/>
                    <a:stretch/>
                  </pic:blipFill>
                  <pic:spPr bwMode="auto">
                    <a:xfrm>
                      <a:off x="0" y="0"/>
                      <a:ext cx="5370994" cy="2801969"/>
                    </a:xfrm>
                    <a:prstGeom prst="rect">
                      <a:avLst/>
                    </a:prstGeom>
                    <a:noFill/>
                    <a:ln>
                      <a:noFill/>
                    </a:ln>
                    <a:extLst>
                      <a:ext uri="{53640926-AAD7-44D8-BBD7-CCE9431645EC}">
                        <a14:shadowObscured xmlns:a14="http://schemas.microsoft.com/office/drawing/2010/main"/>
                      </a:ext>
                    </a:extLst>
                  </pic:spPr>
                </pic:pic>
              </a:graphicData>
            </a:graphic>
          </wp:inline>
        </w:drawing>
      </w:r>
    </w:p>
    <w:p w14:paraId="6556F1CC" w14:textId="224C3081" w:rsidR="00DA506C" w:rsidRPr="002676CC" w:rsidRDefault="00DA506C" w:rsidP="00DA506C">
      <w:pPr>
        <w:snapToGrid w:val="0"/>
        <w:spacing w:line="360" w:lineRule="auto"/>
        <w:jc w:val="both"/>
        <w:rPr>
          <w:rFonts w:ascii="Book Antiqua" w:hAnsi="Book Antiqua" w:cs="Times New Roman"/>
        </w:rPr>
      </w:pPr>
      <w:r w:rsidRPr="002676CC">
        <w:rPr>
          <w:rFonts w:ascii="Book Antiqua" w:hAnsi="Book Antiqua" w:cs="Times New Roman"/>
          <w:b/>
        </w:rPr>
        <w:t xml:space="preserve">Figure 2 Magnetic resonance elastography and virtual touch quantification in the liver. </w:t>
      </w:r>
      <w:r w:rsidRPr="002676CC">
        <w:rPr>
          <w:rFonts w:ascii="Book Antiqua" w:hAnsi="Book Antiqua" w:cs="Times New Roman"/>
        </w:rPr>
        <w:t>A: Elastography showed that the shear stiffness of the liver was 7.0 kPa. B: A region of interest was placed the right lobe and the median value of the measured shear wave velocity was 2.54 m/s.</w:t>
      </w:r>
    </w:p>
    <w:p w14:paraId="3B0CF9E6" w14:textId="5FED88BF" w:rsidR="00DA506C" w:rsidRDefault="00DA506C">
      <w:pPr>
        <w:rPr>
          <w:rFonts w:ascii="Book Antiqua" w:eastAsia="SimSun" w:hAnsi="Book Antiqua" w:cs="Times New Roman"/>
          <w:lang w:eastAsia="zh-CN"/>
        </w:rPr>
      </w:pPr>
      <w:r>
        <w:rPr>
          <w:rFonts w:ascii="Book Antiqua" w:eastAsia="SimSun" w:hAnsi="Book Antiqua" w:cs="Times New Roman"/>
          <w:lang w:eastAsia="zh-CN"/>
        </w:rPr>
        <w:br w:type="page"/>
      </w:r>
    </w:p>
    <w:p w14:paraId="36A3F6F5" w14:textId="1FBDDA92" w:rsidR="00DA506C" w:rsidRPr="00DA506C" w:rsidRDefault="00DA506C" w:rsidP="00AE09AF">
      <w:pPr>
        <w:snapToGrid w:val="0"/>
        <w:spacing w:line="360" w:lineRule="auto"/>
        <w:jc w:val="both"/>
        <w:rPr>
          <w:rFonts w:ascii="Book Antiqua" w:eastAsia="SimSun" w:hAnsi="Book Antiqua" w:cs="Times New Roman"/>
          <w:lang w:eastAsia="zh-CN"/>
        </w:rPr>
      </w:pPr>
      <w:r w:rsidRPr="002676CC">
        <w:rPr>
          <w:rFonts w:ascii="Book Antiqua" w:hAnsi="Book Antiqua" w:cs="Times New Roman"/>
          <w:noProof/>
          <w:lang w:eastAsia="zh-CN"/>
        </w:rPr>
        <w:lastRenderedPageBreak/>
        <w:drawing>
          <wp:inline distT="0" distB="0" distL="0" distR="0" wp14:anchorId="6D3F8D67" wp14:editId="2B98AC2F">
            <wp:extent cx="5512279" cy="4133967"/>
            <wp:effectExtent l="0" t="0" r="0" b="0"/>
            <wp:docPr id="4" name="図 4" descr="C:\Users\AMU\Desktop\WJG revision\Figure rev\スライド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Desktop\WJG revision\Figure rev\スライド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005" cy="4133761"/>
                    </a:xfrm>
                    <a:prstGeom prst="rect">
                      <a:avLst/>
                    </a:prstGeom>
                    <a:noFill/>
                    <a:ln>
                      <a:noFill/>
                    </a:ln>
                  </pic:spPr>
                </pic:pic>
              </a:graphicData>
            </a:graphic>
          </wp:inline>
        </w:drawing>
      </w:r>
    </w:p>
    <w:p w14:paraId="1CBB8AB1" w14:textId="44C8358D" w:rsidR="00DA506C" w:rsidRPr="002676CC" w:rsidRDefault="00DA506C" w:rsidP="00DA506C">
      <w:pPr>
        <w:snapToGrid w:val="0"/>
        <w:spacing w:line="360" w:lineRule="auto"/>
        <w:jc w:val="both"/>
        <w:rPr>
          <w:rFonts w:ascii="Book Antiqua" w:hAnsi="Book Antiqua" w:cs="Times New Roman"/>
        </w:rPr>
      </w:pPr>
      <w:r w:rsidRPr="002676CC">
        <w:rPr>
          <w:rFonts w:ascii="Book Antiqua" w:hAnsi="Book Antiqua" w:cs="Times New Roman"/>
          <w:b/>
        </w:rPr>
        <w:t>Figure 3 Histopathological analysis of the liver.</w:t>
      </w:r>
      <w:r w:rsidRPr="002676CC">
        <w:rPr>
          <w:rFonts w:ascii="Book Antiqua" w:hAnsi="Book Antiqua" w:cs="Times New Roman"/>
        </w:rPr>
        <w:t xml:space="preserve"> A:</w:t>
      </w:r>
      <w:r>
        <w:rPr>
          <w:rFonts w:ascii="Book Antiqua" w:eastAsia="SimSun" w:hAnsi="Book Antiqua" w:cs="Times New Roman" w:hint="eastAsia"/>
          <w:lang w:eastAsia="zh-CN"/>
        </w:rPr>
        <w:t xml:space="preserve"> </w:t>
      </w:r>
      <w:r w:rsidRPr="002676CC">
        <w:rPr>
          <w:rFonts w:ascii="Book Antiqua" w:hAnsi="Book Antiqua" w:cs="Times New Roman"/>
        </w:rPr>
        <w:t>Histopathological examination showed interface hepatitis; B: Infiltration of lymphocytes, neutrophils, and eosinophils (arrowheads); C: Markedly ballooning of hepatocytes with Mallory bodies was observed (arrows) (</w:t>
      </w:r>
      <w:r w:rsidRPr="002676CC">
        <w:rPr>
          <w:rFonts w:ascii="Book Antiqua" w:eastAsia="ArialNarrow" w:hAnsi="Book Antiqua" w:cs="ArialNarrow"/>
        </w:rPr>
        <w:t>hematoxylin-eosin staining, magnification A: × 200, B: × 400, C: × 400</w:t>
      </w:r>
      <w:r w:rsidRPr="002676CC">
        <w:rPr>
          <w:rFonts w:ascii="Book Antiqua" w:hAnsi="Book Antiqua" w:cs="Times New Roman"/>
        </w:rPr>
        <w:t xml:space="preserve">); D: Azan staining showed periportal fibrosis and bridging fibrosis with partial septation (Azan staining, </w:t>
      </w:r>
      <w:r w:rsidRPr="002676CC">
        <w:rPr>
          <w:rFonts w:ascii="Book Antiqua" w:eastAsia="ArialNarrow" w:hAnsi="Book Antiqua" w:cs="ArialNarrow"/>
        </w:rPr>
        <w:t>magnification: × 100</w:t>
      </w:r>
      <w:r w:rsidRPr="002676CC">
        <w:rPr>
          <w:rFonts w:ascii="Book Antiqua" w:hAnsi="Book Antiqua" w:cs="Times New Roman"/>
        </w:rPr>
        <w:t>).</w:t>
      </w:r>
    </w:p>
    <w:p w14:paraId="3F31AEE9" w14:textId="12763F8C" w:rsidR="00FC6DCB" w:rsidRPr="002676CC" w:rsidRDefault="005973CC" w:rsidP="00AE09AF">
      <w:pPr>
        <w:snapToGrid w:val="0"/>
        <w:spacing w:line="360" w:lineRule="auto"/>
        <w:jc w:val="both"/>
        <w:rPr>
          <w:rFonts w:ascii="Book Antiqua" w:hAnsi="Book Antiqua" w:cs="Times New Roman"/>
        </w:rPr>
      </w:pPr>
      <w:r w:rsidRPr="002676CC">
        <w:rPr>
          <w:rFonts w:ascii="Book Antiqua" w:hAnsi="Book Antiqua" w:cs="Times New Roman"/>
          <w:noProof/>
          <w:lang w:eastAsia="zh-CN"/>
        </w:rPr>
        <w:lastRenderedPageBreak/>
        <w:drawing>
          <wp:inline distT="0" distB="0" distL="0" distR="0" wp14:anchorId="725F79C8" wp14:editId="1F43F035">
            <wp:extent cx="5336875" cy="4002656"/>
            <wp:effectExtent l="0" t="0" r="0" b="0"/>
            <wp:docPr id="2" name="図 2" descr="C:\Users\AMU\Desktop\WJG revision\Figure rev2\スライド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Desktop\WJG revision\Figure rev2\スライド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285" cy="4008964"/>
                    </a:xfrm>
                    <a:prstGeom prst="rect">
                      <a:avLst/>
                    </a:prstGeom>
                    <a:noFill/>
                    <a:ln>
                      <a:noFill/>
                    </a:ln>
                  </pic:spPr>
                </pic:pic>
              </a:graphicData>
            </a:graphic>
          </wp:inline>
        </w:drawing>
      </w:r>
    </w:p>
    <w:p w14:paraId="74D3476C" w14:textId="0789173D" w:rsidR="00870B53" w:rsidRPr="005657B6" w:rsidRDefault="00DA506C" w:rsidP="00CF075F">
      <w:pPr>
        <w:snapToGrid w:val="0"/>
        <w:spacing w:line="360" w:lineRule="auto"/>
        <w:jc w:val="both"/>
        <w:rPr>
          <w:rFonts w:ascii="Book Antiqua" w:eastAsia="SimSun" w:hAnsi="Book Antiqua" w:cs="Arial"/>
          <w:lang w:eastAsia="zh-CN"/>
        </w:rPr>
      </w:pPr>
      <w:r w:rsidRPr="002676CC">
        <w:rPr>
          <w:rFonts w:ascii="Book Antiqua" w:hAnsi="Book Antiqua" w:cs="Times New Roman"/>
          <w:b/>
        </w:rPr>
        <w:t>Figure 4 Clinical course.</w:t>
      </w:r>
      <w:r w:rsidR="009C67AE">
        <w:rPr>
          <w:rFonts w:ascii="Book Antiqua" w:eastAsia="SimSun" w:hAnsi="Book Antiqua" w:cs="Times New Roman" w:hint="eastAsia"/>
          <w:lang w:eastAsia="zh-CN"/>
        </w:rPr>
        <w:t xml:space="preserve"> </w:t>
      </w:r>
      <w:r w:rsidRPr="002676CC">
        <w:rPr>
          <w:rFonts w:ascii="Book Antiqua" w:hAnsi="Book Antiqua" w:cs="Times New Roman"/>
        </w:rPr>
        <w:t>Serum ALT levels increased after the administration of tegafur-uracil.</w:t>
      </w:r>
      <w:r w:rsidR="009C67AE">
        <w:rPr>
          <w:rFonts w:ascii="Book Antiqua" w:eastAsia="SimSun" w:hAnsi="Book Antiqua" w:cs="Times New Roman" w:hint="eastAsia"/>
          <w:lang w:eastAsia="zh-CN"/>
        </w:rPr>
        <w:t xml:space="preserve"> </w:t>
      </w:r>
      <w:r w:rsidRPr="002676CC">
        <w:rPr>
          <w:rFonts w:ascii="Book Antiqua" w:hAnsi="Book Antiqua" w:cs="Times New Roman"/>
        </w:rPr>
        <w:t>With liver-supporting treatment, the serum ALT levels temporarily improved. However, serum ALT levels increased again, and the patient was referred to our hospital after 8 mo.</w:t>
      </w:r>
      <w:r w:rsidR="0035060A">
        <w:rPr>
          <w:rFonts w:ascii="Book Antiqua" w:eastAsia="SimSun" w:hAnsi="Book Antiqua" w:cs="Times New Roman" w:hint="eastAsia"/>
          <w:lang w:eastAsia="zh-CN"/>
        </w:rPr>
        <w:t xml:space="preserve"> </w:t>
      </w:r>
      <w:r w:rsidRPr="002676CC">
        <w:rPr>
          <w:rFonts w:ascii="Book Antiqua" w:hAnsi="Book Antiqua" w:cs="Times New Roman"/>
        </w:rPr>
        <w:t>Discontinuation of tegafur-uracil combined with conservative treatment improved serum ALT levels, platelet counts, and prothrombin activity.</w:t>
      </w:r>
      <w:r w:rsidR="0035060A">
        <w:rPr>
          <w:rFonts w:ascii="Book Antiqua" w:eastAsia="SimSun" w:hAnsi="Book Antiqua" w:cs="Times New Roman" w:hint="eastAsia"/>
          <w:lang w:eastAsia="zh-CN"/>
        </w:rPr>
        <w:t xml:space="preserve"> </w:t>
      </w:r>
      <w:r w:rsidRPr="002676CC">
        <w:rPr>
          <w:rFonts w:ascii="Book Antiqua" w:hAnsi="Book Antiqua"/>
        </w:rPr>
        <w:t xml:space="preserve">PT%: </w:t>
      </w:r>
      <w:r w:rsidRPr="009C67AE">
        <w:rPr>
          <w:rFonts w:ascii="Book Antiqua" w:hAnsi="Book Antiqua"/>
          <w:caps/>
        </w:rPr>
        <w:t>p</w:t>
      </w:r>
      <w:r w:rsidRPr="002676CC">
        <w:rPr>
          <w:rFonts w:ascii="Book Antiqua" w:hAnsi="Book Antiqua"/>
        </w:rPr>
        <w:t>rothrombin time</w:t>
      </w:r>
      <w:r w:rsidRPr="002676CC">
        <w:rPr>
          <w:rFonts w:ascii="Book Antiqua" w:hAnsi="Book Antiqua" w:cs="Times New Roman"/>
        </w:rPr>
        <w:t xml:space="preserve">; </w:t>
      </w:r>
      <w:r w:rsidR="005657B6" w:rsidRPr="002676CC">
        <w:rPr>
          <w:rFonts w:ascii="Book Antiqua" w:hAnsi="Book Antiqua"/>
        </w:rPr>
        <w:t xml:space="preserve">ALT: </w:t>
      </w:r>
      <w:r w:rsidR="005657B6" w:rsidRPr="000B250B">
        <w:rPr>
          <w:rFonts w:ascii="Book Antiqua" w:hAnsi="Book Antiqua"/>
          <w:caps/>
        </w:rPr>
        <w:t>a</w:t>
      </w:r>
      <w:r w:rsidR="005657B6" w:rsidRPr="002676CC">
        <w:rPr>
          <w:rFonts w:ascii="Book Antiqua" w:hAnsi="Book Antiqua"/>
        </w:rPr>
        <w:t>lanine aminotransferase</w:t>
      </w:r>
      <w:r w:rsidR="005657B6">
        <w:rPr>
          <w:rFonts w:ascii="Book Antiqua" w:eastAsia="SimSun" w:hAnsi="Book Antiqua" w:hint="eastAsia"/>
          <w:lang w:eastAsia="zh-CN"/>
        </w:rPr>
        <w:t>.</w:t>
      </w:r>
    </w:p>
    <w:sectPr w:rsidR="00870B53" w:rsidRPr="005657B6" w:rsidSect="00FC6DC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2C115" w14:textId="77777777" w:rsidR="00E22707" w:rsidRDefault="00E22707" w:rsidP="00A6392E">
      <w:r>
        <w:separator/>
      </w:r>
    </w:p>
  </w:endnote>
  <w:endnote w:type="continuationSeparator" w:id="0">
    <w:p w14:paraId="5E1DCA98" w14:textId="77777777" w:rsidR="00E22707" w:rsidRDefault="00E22707" w:rsidP="00A63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ArialNarrow">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C5B63" w14:textId="77777777" w:rsidR="00E22707" w:rsidRDefault="00E22707" w:rsidP="00A6392E">
      <w:r>
        <w:separator/>
      </w:r>
    </w:p>
  </w:footnote>
  <w:footnote w:type="continuationSeparator" w:id="0">
    <w:p w14:paraId="092BAD68" w14:textId="77777777" w:rsidR="00E22707" w:rsidRDefault="00E22707" w:rsidP="00A639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C56"/>
    <w:rsid w:val="000041D3"/>
    <w:rsid w:val="00004C38"/>
    <w:rsid w:val="00016F47"/>
    <w:rsid w:val="000303ED"/>
    <w:rsid w:val="000327AE"/>
    <w:rsid w:val="00034D16"/>
    <w:rsid w:val="00044D8C"/>
    <w:rsid w:val="00052AD0"/>
    <w:rsid w:val="000613EA"/>
    <w:rsid w:val="00071620"/>
    <w:rsid w:val="0007513C"/>
    <w:rsid w:val="00075993"/>
    <w:rsid w:val="00081D46"/>
    <w:rsid w:val="000871E4"/>
    <w:rsid w:val="00090FB1"/>
    <w:rsid w:val="00092963"/>
    <w:rsid w:val="000A470F"/>
    <w:rsid w:val="000A4C25"/>
    <w:rsid w:val="000A5776"/>
    <w:rsid w:val="000A7CA2"/>
    <w:rsid w:val="000A7DA6"/>
    <w:rsid w:val="000B243A"/>
    <w:rsid w:val="000B250B"/>
    <w:rsid w:val="000C1FC6"/>
    <w:rsid w:val="000C6B48"/>
    <w:rsid w:val="000D12F1"/>
    <w:rsid w:val="000D3AE8"/>
    <w:rsid w:val="000D59F5"/>
    <w:rsid w:val="000E0EB9"/>
    <w:rsid w:val="000E6022"/>
    <w:rsid w:val="000E765A"/>
    <w:rsid w:val="000E7C06"/>
    <w:rsid w:val="000F2287"/>
    <w:rsid w:val="000F22EE"/>
    <w:rsid w:val="000F3069"/>
    <w:rsid w:val="000F65F3"/>
    <w:rsid w:val="000F6DDD"/>
    <w:rsid w:val="00100DA1"/>
    <w:rsid w:val="00104612"/>
    <w:rsid w:val="00105141"/>
    <w:rsid w:val="00110C99"/>
    <w:rsid w:val="00116FA2"/>
    <w:rsid w:val="001209C4"/>
    <w:rsid w:val="00131E7E"/>
    <w:rsid w:val="00136E26"/>
    <w:rsid w:val="001379D3"/>
    <w:rsid w:val="001506F0"/>
    <w:rsid w:val="00154E26"/>
    <w:rsid w:val="00157337"/>
    <w:rsid w:val="00165213"/>
    <w:rsid w:val="00172BA9"/>
    <w:rsid w:val="00173C2B"/>
    <w:rsid w:val="00176CE1"/>
    <w:rsid w:val="00190881"/>
    <w:rsid w:val="001931C9"/>
    <w:rsid w:val="0019614D"/>
    <w:rsid w:val="00197C84"/>
    <w:rsid w:val="001A292A"/>
    <w:rsid w:val="001A33ED"/>
    <w:rsid w:val="001B28A0"/>
    <w:rsid w:val="001B3A21"/>
    <w:rsid w:val="001B3E6E"/>
    <w:rsid w:val="001B4E3F"/>
    <w:rsid w:val="001B77B6"/>
    <w:rsid w:val="001C43FE"/>
    <w:rsid w:val="001D1821"/>
    <w:rsid w:val="001D68E3"/>
    <w:rsid w:val="001D7FEB"/>
    <w:rsid w:val="001F19C1"/>
    <w:rsid w:val="001F48BE"/>
    <w:rsid w:val="001F5666"/>
    <w:rsid w:val="00204379"/>
    <w:rsid w:val="00205632"/>
    <w:rsid w:val="00211E8D"/>
    <w:rsid w:val="00217FE7"/>
    <w:rsid w:val="00220F80"/>
    <w:rsid w:val="00225A55"/>
    <w:rsid w:val="00232AC3"/>
    <w:rsid w:val="002523FE"/>
    <w:rsid w:val="0025398E"/>
    <w:rsid w:val="00254D69"/>
    <w:rsid w:val="002640E0"/>
    <w:rsid w:val="00266331"/>
    <w:rsid w:val="00267120"/>
    <w:rsid w:val="002673FC"/>
    <w:rsid w:val="002676CC"/>
    <w:rsid w:val="002718D8"/>
    <w:rsid w:val="002759FC"/>
    <w:rsid w:val="00282A68"/>
    <w:rsid w:val="00283327"/>
    <w:rsid w:val="002870E9"/>
    <w:rsid w:val="00293829"/>
    <w:rsid w:val="00294499"/>
    <w:rsid w:val="00296C8B"/>
    <w:rsid w:val="002979FB"/>
    <w:rsid w:val="002A07B8"/>
    <w:rsid w:val="002A3D59"/>
    <w:rsid w:val="002A663A"/>
    <w:rsid w:val="002B661A"/>
    <w:rsid w:val="002C05C8"/>
    <w:rsid w:val="002C1F09"/>
    <w:rsid w:val="002C2E9A"/>
    <w:rsid w:val="002C3B5C"/>
    <w:rsid w:val="002D4584"/>
    <w:rsid w:val="002D6495"/>
    <w:rsid w:val="002E2B68"/>
    <w:rsid w:val="002F59DC"/>
    <w:rsid w:val="002F7437"/>
    <w:rsid w:val="0030112C"/>
    <w:rsid w:val="003103BD"/>
    <w:rsid w:val="003135BC"/>
    <w:rsid w:val="00315E7A"/>
    <w:rsid w:val="003209BA"/>
    <w:rsid w:val="00320FC7"/>
    <w:rsid w:val="00350530"/>
    <w:rsid w:val="0035060A"/>
    <w:rsid w:val="00356775"/>
    <w:rsid w:val="00361E39"/>
    <w:rsid w:val="00361EFB"/>
    <w:rsid w:val="00364B06"/>
    <w:rsid w:val="003712EB"/>
    <w:rsid w:val="00374412"/>
    <w:rsid w:val="00377C68"/>
    <w:rsid w:val="003848C2"/>
    <w:rsid w:val="00385AE3"/>
    <w:rsid w:val="00386770"/>
    <w:rsid w:val="00390EE6"/>
    <w:rsid w:val="00392685"/>
    <w:rsid w:val="00396094"/>
    <w:rsid w:val="003A19D9"/>
    <w:rsid w:val="003A3DC3"/>
    <w:rsid w:val="003A4565"/>
    <w:rsid w:val="003B14D2"/>
    <w:rsid w:val="003B5735"/>
    <w:rsid w:val="003B59C9"/>
    <w:rsid w:val="003B76ED"/>
    <w:rsid w:val="003C20A1"/>
    <w:rsid w:val="003C25FF"/>
    <w:rsid w:val="003D18A5"/>
    <w:rsid w:val="003D2959"/>
    <w:rsid w:val="003D7191"/>
    <w:rsid w:val="003E1596"/>
    <w:rsid w:val="003E2D56"/>
    <w:rsid w:val="003E678B"/>
    <w:rsid w:val="003F2341"/>
    <w:rsid w:val="0040041B"/>
    <w:rsid w:val="00402CE0"/>
    <w:rsid w:val="00405152"/>
    <w:rsid w:val="0040518B"/>
    <w:rsid w:val="00405BD4"/>
    <w:rsid w:val="004112C8"/>
    <w:rsid w:val="00414735"/>
    <w:rsid w:val="00416456"/>
    <w:rsid w:val="00417496"/>
    <w:rsid w:val="00430DD5"/>
    <w:rsid w:val="00433036"/>
    <w:rsid w:val="00442D16"/>
    <w:rsid w:val="0044523D"/>
    <w:rsid w:val="00452A03"/>
    <w:rsid w:val="00455606"/>
    <w:rsid w:val="00466B66"/>
    <w:rsid w:val="004738E5"/>
    <w:rsid w:val="00474290"/>
    <w:rsid w:val="00474853"/>
    <w:rsid w:val="004810F4"/>
    <w:rsid w:val="00484580"/>
    <w:rsid w:val="00487883"/>
    <w:rsid w:val="00490FC3"/>
    <w:rsid w:val="004910F3"/>
    <w:rsid w:val="00491A81"/>
    <w:rsid w:val="00495DD7"/>
    <w:rsid w:val="0049628C"/>
    <w:rsid w:val="004B06DC"/>
    <w:rsid w:val="004B5AC4"/>
    <w:rsid w:val="004B6F33"/>
    <w:rsid w:val="004C41AA"/>
    <w:rsid w:val="004D6B38"/>
    <w:rsid w:val="004E3AEC"/>
    <w:rsid w:val="004E5232"/>
    <w:rsid w:val="004E5E0C"/>
    <w:rsid w:val="004E619A"/>
    <w:rsid w:val="004E75D8"/>
    <w:rsid w:val="004F0743"/>
    <w:rsid w:val="004F401D"/>
    <w:rsid w:val="004F6F54"/>
    <w:rsid w:val="00505AC7"/>
    <w:rsid w:val="005112BF"/>
    <w:rsid w:val="00512689"/>
    <w:rsid w:val="005156C5"/>
    <w:rsid w:val="00515D9B"/>
    <w:rsid w:val="00526135"/>
    <w:rsid w:val="00527DE2"/>
    <w:rsid w:val="00530744"/>
    <w:rsid w:val="00531E22"/>
    <w:rsid w:val="005355EC"/>
    <w:rsid w:val="00536145"/>
    <w:rsid w:val="0053778B"/>
    <w:rsid w:val="00542637"/>
    <w:rsid w:val="005512FF"/>
    <w:rsid w:val="00557832"/>
    <w:rsid w:val="00561DE4"/>
    <w:rsid w:val="0056332F"/>
    <w:rsid w:val="00563461"/>
    <w:rsid w:val="00563CD0"/>
    <w:rsid w:val="005657B6"/>
    <w:rsid w:val="00571485"/>
    <w:rsid w:val="00575E6F"/>
    <w:rsid w:val="005778AB"/>
    <w:rsid w:val="00582E66"/>
    <w:rsid w:val="00583E76"/>
    <w:rsid w:val="00595EE2"/>
    <w:rsid w:val="005973CC"/>
    <w:rsid w:val="005A047A"/>
    <w:rsid w:val="005A236D"/>
    <w:rsid w:val="005B2B79"/>
    <w:rsid w:val="005C482B"/>
    <w:rsid w:val="005D35CD"/>
    <w:rsid w:val="005D4D61"/>
    <w:rsid w:val="005D6E1A"/>
    <w:rsid w:val="005E2FAB"/>
    <w:rsid w:val="005E3666"/>
    <w:rsid w:val="005E4366"/>
    <w:rsid w:val="005E7A57"/>
    <w:rsid w:val="005F1EB9"/>
    <w:rsid w:val="0060183D"/>
    <w:rsid w:val="006030EB"/>
    <w:rsid w:val="0060350D"/>
    <w:rsid w:val="00616A6C"/>
    <w:rsid w:val="00627659"/>
    <w:rsid w:val="00634261"/>
    <w:rsid w:val="0064623A"/>
    <w:rsid w:val="00650922"/>
    <w:rsid w:val="00652950"/>
    <w:rsid w:val="00652B0B"/>
    <w:rsid w:val="00657D87"/>
    <w:rsid w:val="00661EE0"/>
    <w:rsid w:val="006632DF"/>
    <w:rsid w:val="00685800"/>
    <w:rsid w:val="006904F3"/>
    <w:rsid w:val="0069194C"/>
    <w:rsid w:val="00692BF0"/>
    <w:rsid w:val="006947AC"/>
    <w:rsid w:val="006A11C6"/>
    <w:rsid w:val="006A3A17"/>
    <w:rsid w:val="006A4019"/>
    <w:rsid w:val="006A5950"/>
    <w:rsid w:val="006A7431"/>
    <w:rsid w:val="006B0D04"/>
    <w:rsid w:val="006B4082"/>
    <w:rsid w:val="006C1010"/>
    <w:rsid w:val="006C4F98"/>
    <w:rsid w:val="006C5C8E"/>
    <w:rsid w:val="006C7123"/>
    <w:rsid w:val="006D2989"/>
    <w:rsid w:val="006D487B"/>
    <w:rsid w:val="006E35B9"/>
    <w:rsid w:val="006E490F"/>
    <w:rsid w:val="006F089E"/>
    <w:rsid w:val="006F64B2"/>
    <w:rsid w:val="007008D4"/>
    <w:rsid w:val="00700D75"/>
    <w:rsid w:val="007023A5"/>
    <w:rsid w:val="007037FE"/>
    <w:rsid w:val="007045DB"/>
    <w:rsid w:val="007062B7"/>
    <w:rsid w:val="00713083"/>
    <w:rsid w:val="00715B14"/>
    <w:rsid w:val="00717E67"/>
    <w:rsid w:val="007213B6"/>
    <w:rsid w:val="00725D97"/>
    <w:rsid w:val="00726EEB"/>
    <w:rsid w:val="00740AC2"/>
    <w:rsid w:val="00744451"/>
    <w:rsid w:val="00747DD1"/>
    <w:rsid w:val="00757A0D"/>
    <w:rsid w:val="007606B7"/>
    <w:rsid w:val="007635DA"/>
    <w:rsid w:val="007858AB"/>
    <w:rsid w:val="007975FA"/>
    <w:rsid w:val="007B3606"/>
    <w:rsid w:val="007B5853"/>
    <w:rsid w:val="007B6754"/>
    <w:rsid w:val="007B6ECA"/>
    <w:rsid w:val="007C0FF3"/>
    <w:rsid w:val="007C1C17"/>
    <w:rsid w:val="007C5972"/>
    <w:rsid w:val="007C702C"/>
    <w:rsid w:val="007C76A1"/>
    <w:rsid w:val="007D5522"/>
    <w:rsid w:val="007D61BC"/>
    <w:rsid w:val="007E1582"/>
    <w:rsid w:val="007E2F00"/>
    <w:rsid w:val="007E3376"/>
    <w:rsid w:val="007E60EC"/>
    <w:rsid w:val="007F1C01"/>
    <w:rsid w:val="007F48FF"/>
    <w:rsid w:val="007F5443"/>
    <w:rsid w:val="007F61DE"/>
    <w:rsid w:val="007F7281"/>
    <w:rsid w:val="0080041A"/>
    <w:rsid w:val="00811091"/>
    <w:rsid w:val="00815BAE"/>
    <w:rsid w:val="00826A08"/>
    <w:rsid w:val="00831A0F"/>
    <w:rsid w:val="008360E2"/>
    <w:rsid w:val="00840402"/>
    <w:rsid w:val="00843089"/>
    <w:rsid w:val="008472E5"/>
    <w:rsid w:val="00851A3A"/>
    <w:rsid w:val="008528FE"/>
    <w:rsid w:val="008708B7"/>
    <w:rsid w:val="00870B53"/>
    <w:rsid w:val="00871208"/>
    <w:rsid w:val="0087379B"/>
    <w:rsid w:val="00876EC2"/>
    <w:rsid w:val="00893A38"/>
    <w:rsid w:val="00897DA6"/>
    <w:rsid w:val="008A7341"/>
    <w:rsid w:val="008B0BB9"/>
    <w:rsid w:val="008B320B"/>
    <w:rsid w:val="008B4A68"/>
    <w:rsid w:val="008E2076"/>
    <w:rsid w:val="008E2DCA"/>
    <w:rsid w:val="008E36DE"/>
    <w:rsid w:val="008E7C06"/>
    <w:rsid w:val="008F0F5F"/>
    <w:rsid w:val="008F2AC2"/>
    <w:rsid w:val="008F5CA5"/>
    <w:rsid w:val="00901305"/>
    <w:rsid w:val="00902765"/>
    <w:rsid w:val="00903FD5"/>
    <w:rsid w:val="009064D5"/>
    <w:rsid w:val="00906510"/>
    <w:rsid w:val="009174CC"/>
    <w:rsid w:val="0092092F"/>
    <w:rsid w:val="009212B1"/>
    <w:rsid w:val="00921C55"/>
    <w:rsid w:val="00923CA8"/>
    <w:rsid w:val="0093186A"/>
    <w:rsid w:val="00932918"/>
    <w:rsid w:val="00940508"/>
    <w:rsid w:val="00941014"/>
    <w:rsid w:val="00947338"/>
    <w:rsid w:val="00950094"/>
    <w:rsid w:val="00956EB2"/>
    <w:rsid w:val="009605D1"/>
    <w:rsid w:val="009631C9"/>
    <w:rsid w:val="00967CD5"/>
    <w:rsid w:val="009702E0"/>
    <w:rsid w:val="0097052D"/>
    <w:rsid w:val="00977F48"/>
    <w:rsid w:val="0098155C"/>
    <w:rsid w:val="009939D6"/>
    <w:rsid w:val="0099482B"/>
    <w:rsid w:val="00997D4F"/>
    <w:rsid w:val="009A05F7"/>
    <w:rsid w:val="009A3C08"/>
    <w:rsid w:val="009B116C"/>
    <w:rsid w:val="009B1703"/>
    <w:rsid w:val="009B3193"/>
    <w:rsid w:val="009B3E25"/>
    <w:rsid w:val="009B7A43"/>
    <w:rsid w:val="009C48CD"/>
    <w:rsid w:val="009C67AE"/>
    <w:rsid w:val="009C691E"/>
    <w:rsid w:val="009D1847"/>
    <w:rsid w:val="009D6C1B"/>
    <w:rsid w:val="009D7BA2"/>
    <w:rsid w:val="009E127D"/>
    <w:rsid w:val="009E1518"/>
    <w:rsid w:val="009E5302"/>
    <w:rsid w:val="009E5A2D"/>
    <w:rsid w:val="009F25FE"/>
    <w:rsid w:val="009F4A59"/>
    <w:rsid w:val="009F4A84"/>
    <w:rsid w:val="00A040FD"/>
    <w:rsid w:val="00A10456"/>
    <w:rsid w:val="00A11A30"/>
    <w:rsid w:val="00A1270F"/>
    <w:rsid w:val="00A14BB2"/>
    <w:rsid w:val="00A24B57"/>
    <w:rsid w:val="00A2556D"/>
    <w:rsid w:val="00A311A7"/>
    <w:rsid w:val="00A313A6"/>
    <w:rsid w:val="00A31F2C"/>
    <w:rsid w:val="00A34FA5"/>
    <w:rsid w:val="00A36549"/>
    <w:rsid w:val="00A3767F"/>
    <w:rsid w:val="00A45316"/>
    <w:rsid w:val="00A45DFB"/>
    <w:rsid w:val="00A544E0"/>
    <w:rsid w:val="00A57C4E"/>
    <w:rsid w:val="00A60472"/>
    <w:rsid w:val="00A62AF3"/>
    <w:rsid w:val="00A6392E"/>
    <w:rsid w:val="00A65DA7"/>
    <w:rsid w:val="00A70FB1"/>
    <w:rsid w:val="00A7140C"/>
    <w:rsid w:val="00A761C9"/>
    <w:rsid w:val="00A84DDB"/>
    <w:rsid w:val="00AA1FC6"/>
    <w:rsid w:val="00AA5253"/>
    <w:rsid w:val="00AB66A4"/>
    <w:rsid w:val="00AB71EF"/>
    <w:rsid w:val="00AC151E"/>
    <w:rsid w:val="00AC16DA"/>
    <w:rsid w:val="00AC17E0"/>
    <w:rsid w:val="00AD1CEE"/>
    <w:rsid w:val="00AE09AF"/>
    <w:rsid w:val="00AF1BA7"/>
    <w:rsid w:val="00AF5038"/>
    <w:rsid w:val="00AF5A2A"/>
    <w:rsid w:val="00AF66AD"/>
    <w:rsid w:val="00AF7B05"/>
    <w:rsid w:val="00AF7C24"/>
    <w:rsid w:val="00B03B2C"/>
    <w:rsid w:val="00B04C6D"/>
    <w:rsid w:val="00B04EF2"/>
    <w:rsid w:val="00B1115F"/>
    <w:rsid w:val="00B21322"/>
    <w:rsid w:val="00B3080B"/>
    <w:rsid w:val="00B40B00"/>
    <w:rsid w:val="00B42794"/>
    <w:rsid w:val="00B43EA4"/>
    <w:rsid w:val="00B43F93"/>
    <w:rsid w:val="00B5146F"/>
    <w:rsid w:val="00B514DC"/>
    <w:rsid w:val="00B5654E"/>
    <w:rsid w:val="00B70E18"/>
    <w:rsid w:val="00B7601B"/>
    <w:rsid w:val="00B83AE8"/>
    <w:rsid w:val="00B866C6"/>
    <w:rsid w:val="00B92461"/>
    <w:rsid w:val="00B933E2"/>
    <w:rsid w:val="00BA7492"/>
    <w:rsid w:val="00BB0F2E"/>
    <w:rsid w:val="00BB2D4E"/>
    <w:rsid w:val="00BB6960"/>
    <w:rsid w:val="00BB6A81"/>
    <w:rsid w:val="00BC1B65"/>
    <w:rsid w:val="00BC3570"/>
    <w:rsid w:val="00BC359C"/>
    <w:rsid w:val="00BD12A9"/>
    <w:rsid w:val="00BE262D"/>
    <w:rsid w:val="00BE4DB6"/>
    <w:rsid w:val="00BE6D3B"/>
    <w:rsid w:val="00BE6ECF"/>
    <w:rsid w:val="00BE7F5A"/>
    <w:rsid w:val="00BF036C"/>
    <w:rsid w:val="00BF7BBD"/>
    <w:rsid w:val="00BF7EFF"/>
    <w:rsid w:val="00C0041D"/>
    <w:rsid w:val="00C076E9"/>
    <w:rsid w:val="00C132C0"/>
    <w:rsid w:val="00C16DDD"/>
    <w:rsid w:val="00C179FD"/>
    <w:rsid w:val="00C17A9D"/>
    <w:rsid w:val="00C20C56"/>
    <w:rsid w:val="00C2512F"/>
    <w:rsid w:val="00C34108"/>
    <w:rsid w:val="00C34110"/>
    <w:rsid w:val="00C35A20"/>
    <w:rsid w:val="00C3721F"/>
    <w:rsid w:val="00C439CE"/>
    <w:rsid w:val="00C44690"/>
    <w:rsid w:val="00C4577A"/>
    <w:rsid w:val="00C50039"/>
    <w:rsid w:val="00C56EC4"/>
    <w:rsid w:val="00C6127A"/>
    <w:rsid w:val="00C82B61"/>
    <w:rsid w:val="00C8332A"/>
    <w:rsid w:val="00C833DD"/>
    <w:rsid w:val="00C952FE"/>
    <w:rsid w:val="00C9661D"/>
    <w:rsid w:val="00CB043E"/>
    <w:rsid w:val="00CB4349"/>
    <w:rsid w:val="00CB60F0"/>
    <w:rsid w:val="00CE078F"/>
    <w:rsid w:val="00CF075F"/>
    <w:rsid w:val="00CF3A9E"/>
    <w:rsid w:val="00D02A4F"/>
    <w:rsid w:val="00D031E5"/>
    <w:rsid w:val="00D06034"/>
    <w:rsid w:val="00D065A8"/>
    <w:rsid w:val="00D07DF3"/>
    <w:rsid w:val="00D113F3"/>
    <w:rsid w:val="00D145A3"/>
    <w:rsid w:val="00D15F5B"/>
    <w:rsid w:val="00D17DFB"/>
    <w:rsid w:val="00D244BA"/>
    <w:rsid w:val="00D34002"/>
    <w:rsid w:val="00D43D65"/>
    <w:rsid w:val="00D45AA7"/>
    <w:rsid w:val="00D52549"/>
    <w:rsid w:val="00D55DB3"/>
    <w:rsid w:val="00D60480"/>
    <w:rsid w:val="00D60E76"/>
    <w:rsid w:val="00D63BD4"/>
    <w:rsid w:val="00D6458A"/>
    <w:rsid w:val="00D64E8F"/>
    <w:rsid w:val="00D7360C"/>
    <w:rsid w:val="00D74870"/>
    <w:rsid w:val="00D755C6"/>
    <w:rsid w:val="00D77ED4"/>
    <w:rsid w:val="00D814BD"/>
    <w:rsid w:val="00D8224C"/>
    <w:rsid w:val="00D9296D"/>
    <w:rsid w:val="00DA469A"/>
    <w:rsid w:val="00DA506C"/>
    <w:rsid w:val="00DA6C6D"/>
    <w:rsid w:val="00DB0084"/>
    <w:rsid w:val="00DB213F"/>
    <w:rsid w:val="00DB4455"/>
    <w:rsid w:val="00DC0742"/>
    <w:rsid w:val="00DC5149"/>
    <w:rsid w:val="00DD47ED"/>
    <w:rsid w:val="00DD5BCF"/>
    <w:rsid w:val="00DD6162"/>
    <w:rsid w:val="00DE2CC6"/>
    <w:rsid w:val="00DE32E1"/>
    <w:rsid w:val="00E01023"/>
    <w:rsid w:val="00E01A3B"/>
    <w:rsid w:val="00E0271B"/>
    <w:rsid w:val="00E04394"/>
    <w:rsid w:val="00E04CE2"/>
    <w:rsid w:val="00E05177"/>
    <w:rsid w:val="00E11A30"/>
    <w:rsid w:val="00E13BBB"/>
    <w:rsid w:val="00E13CEC"/>
    <w:rsid w:val="00E16564"/>
    <w:rsid w:val="00E21A82"/>
    <w:rsid w:val="00E22707"/>
    <w:rsid w:val="00E25C25"/>
    <w:rsid w:val="00E35F72"/>
    <w:rsid w:val="00E433E4"/>
    <w:rsid w:val="00E43ED8"/>
    <w:rsid w:val="00E442BF"/>
    <w:rsid w:val="00E44477"/>
    <w:rsid w:val="00E46473"/>
    <w:rsid w:val="00E47DA2"/>
    <w:rsid w:val="00E5779C"/>
    <w:rsid w:val="00E603A1"/>
    <w:rsid w:val="00E614ED"/>
    <w:rsid w:val="00E643E9"/>
    <w:rsid w:val="00E64FCB"/>
    <w:rsid w:val="00E65CAE"/>
    <w:rsid w:val="00E671A6"/>
    <w:rsid w:val="00E70590"/>
    <w:rsid w:val="00E716F6"/>
    <w:rsid w:val="00E737AD"/>
    <w:rsid w:val="00E74411"/>
    <w:rsid w:val="00E745D7"/>
    <w:rsid w:val="00E74E70"/>
    <w:rsid w:val="00E75636"/>
    <w:rsid w:val="00E763A9"/>
    <w:rsid w:val="00E76FE5"/>
    <w:rsid w:val="00E83833"/>
    <w:rsid w:val="00E925CD"/>
    <w:rsid w:val="00E9570C"/>
    <w:rsid w:val="00E95B2B"/>
    <w:rsid w:val="00E97924"/>
    <w:rsid w:val="00E97952"/>
    <w:rsid w:val="00EA0B1B"/>
    <w:rsid w:val="00EB0FC7"/>
    <w:rsid w:val="00EB2D43"/>
    <w:rsid w:val="00EB36B8"/>
    <w:rsid w:val="00EB7189"/>
    <w:rsid w:val="00EB7BB2"/>
    <w:rsid w:val="00EC3D25"/>
    <w:rsid w:val="00ED29DC"/>
    <w:rsid w:val="00ED32E7"/>
    <w:rsid w:val="00EE0B03"/>
    <w:rsid w:val="00EE3848"/>
    <w:rsid w:val="00EF0136"/>
    <w:rsid w:val="00EF1384"/>
    <w:rsid w:val="00EF17B0"/>
    <w:rsid w:val="00EF5297"/>
    <w:rsid w:val="00F031B1"/>
    <w:rsid w:val="00F03A86"/>
    <w:rsid w:val="00F03CD7"/>
    <w:rsid w:val="00F04D6E"/>
    <w:rsid w:val="00F11FA5"/>
    <w:rsid w:val="00F12D4E"/>
    <w:rsid w:val="00F1356F"/>
    <w:rsid w:val="00F13788"/>
    <w:rsid w:val="00F1504B"/>
    <w:rsid w:val="00F1504C"/>
    <w:rsid w:val="00F15313"/>
    <w:rsid w:val="00F209AA"/>
    <w:rsid w:val="00F20A27"/>
    <w:rsid w:val="00F20F8B"/>
    <w:rsid w:val="00F2773D"/>
    <w:rsid w:val="00F31070"/>
    <w:rsid w:val="00F31FB1"/>
    <w:rsid w:val="00F32F57"/>
    <w:rsid w:val="00F34CC0"/>
    <w:rsid w:val="00F41744"/>
    <w:rsid w:val="00F530B6"/>
    <w:rsid w:val="00F537B5"/>
    <w:rsid w:val="00F65E0E"/>
    <w:rsid w:val="00F67E99"/>
    <w:rsid w:val="00F74221"/>
    <w:rsid w:val="00F80D8F"/>
    <w:rsid w:val="00F839C0"/>
    <w:rsid w:val="00F87AB7"/>
    <w:rsid w:val="00F9227B"/>
    <w:rsid w:val="00F925A8"/>
    <w:rsid w:val="00F93E79"/>
    <w:rsid w:val="00FA3175"/>
    <w:rsid w:val="00FA478F"/>
    <w:rsid w:val="00FA5A7D"/>
    <w:rsid w:val="00FB0D38"/>
    <w:rsid w:val="00FB1902"/>
    <w:rsid w:val="00FB658A"/>
    <w:rsid w:val="00FC03B8"/>
    <w:rsid w:val="00FC506E"/>
    <w:rsid w:val="00FC6DCB"/>
    <w:rsid w:val="00FE06DB"/>
    <w:rsid w:val="00FE3E00"/>
    <w:rsid w:val="00FE709A"/>
    <w:rsid w:val="00FF1B4A"/>
    <w:rsid w:val="00FF7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7F10EF5"/>
  <w15:docId w15:val="{5C1516E4-1123-42C0-BFEE-78D0E2013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CA2"/>
    <w:rPr>
      <w:rFonts w:ascii="MS PGothic" w:eastAsia="MS PGothic" w:hAnsi="MS PGothic" w:cs="MS PGothic"/>
      <w:kern w:val="0"/>
      <w:sz w:val="24"/>
      <w:szCs w:val="24"/>
    </w:rPr>
  </w:style>
  <w:style w:type="paragraph" w:styleId="Heading1">
    <w:name w:val="heading 1"/>
    <w:basedOn w:val="Normal"/>
    <w:link w:val="Heading1Char"/>
    <w:uiPriority w:val="9"/>
    <w:qFormat/>
    <w:rsid w:val="00C44690"/>
    <w:pPr>
      <w:spacing w:before="240" w:after="120"/>
      <w:outlineLvl w:val="0"/>
    </w:pPr>
    <w:rPr>
      <w:b/>
      <w:bCs/>
      <w:color w:val="000000"/>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690"/>
    <w:rPr>
      <w:rFonts w:ascii="MS PGothic" w:eastAsia="MS PGothic" w:hAnsi="MS PGothic" w:cs="MS PGothic"/>
      <w:b/>
      <w:bCs/>
      <w:color w:val="000000"/>
      <w:kern w:val="36"/>
      <w:sz w:val="33"/>
      <w:szCs w:val="33"/>
    </w:rPr>
  </w:style>
  <w:style w:type="character" w:customStyle="1" w:styleId="highlight2">
    <w:name w:val="highlight2"/>
    <w:basedOn w:val="DefaultParagraphFont"/>
    <w:rsid w:val="00C44690"/>
  </w:style>
  <w:style w:type="paragraph" w:styleId="BalloonText">
    <w:name w:val="Balloon Text"/>
    <w:basedOn w:val="Normal"/>
    <w:link w:val="BalloonTextChar"/>
    <w:uiPriority w:val="99"/>
    <w:semiHidden/>
    <w:unhideWhenUsed/>
    <w:rsid w:val="00F839C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839C0"/>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A6392E"/>
    <w:pPr>
      <w:tabs>
        <w:tab w:val="center" w:pos="4252"/>
        <w:tab w:val="right" w:pos="8504"/>
      </w:tabs>
      <w:snapToGrid w:val="0"/>
    </w:pPr>
  </w:style>
  <w:style w:type="character" w:customStyle="1" w:styleId="HeaderChar">
    <w:name w:val="Header Char"/>
    <w:basedOn w:val="DefaultParagraphFont"/>
    <w:link w:val="Header"/>
    <w:uiPriority w:val="99"/>
    <w:rsid w:val="00A6392E"/>
    <w:rPr>
      <w:rFonts w:ascii="MS PGothic" w:eastAsia="MS PGothic" w:hAnsi="MS PGothic" w:cs="MS PGothic"/>
      <w:kern w:val="0"/>
      <w:sz w:val="24"/>
      <w:szCs w:val="24"/>
    </w:rPr>
  </w:style>
  <w:style w:type="paragraph" w:styleId="Footer">
    <w:name w:val="footer"/>
    <w:basedOn w:val="Normal"/>
    <w:link w:val="FooterChar"/>
    <w:uiPriority w:val="99"/>
    <w:unhideWhenUsed/>
    <w:rsid w:val="00A6392E"/>
    <w:pPr>
      <w:tabs>
        <w:tab w:val="center" w:pos="4252"/>
        <w:tab w:val="right" w:pos="8504"/>
      </w:tabs>
      <w:snapToGrid w:val="0"/>
    </w:pPr>
  </w:style>
  <w:style w:type="character" w:customStyle="1" w:styleId="FooterChar">
    <w:name w:val="Footer Char"/>
    <w:basedOn w:val="DefaultParagraphFont"/>
    <w:link w:val="Footer"/>
    <w:uiPriority w:val="99"/>
    <w:rsid w:val="00A6392E"/>
    <w:rPr>
      <w:rFonts w:ascii="MS PGothic" w:eastAsia="MS PGothic" w:hAnsi="MS PGothic" w:cs="MS PGothic"/>
      <w:kern w:val="0"/>
      <w:sz w:val="24"/>
      <w:szCs w:val="24"/>
    </w:rPr>
  </w:style>
  <w:style w:type="paragraph" w:customStyle="1" w:styleId="1">
    <w:name w:val="正文1"/>
    <w:uiPriority w:val="99"/>
    <w:rsid w:val="00A6392E"/>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A57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32476">
      <w:bodyDiv w:val="1"/>
      <w:marLeft w:val="0"/>
      <w:marRight w:val="0"/>
      <w:marTop w:val="0"/>
      <w:marBottom w:val="0"/>
      <w:divBdr>
        <w:top w:val="none" w:sz="0" w:space="0" w:color="auto"/>
        <w:left w:val="none" w:sz="0" w:space="0" w:color="auto"/>
        <w:bottom w:val="none" w:sz="0" w:space="0" w:color="auto"/>
        <w:right w:val="none" w:sz="0" w:space="0" w:color="auto"/>
      </w:divBdr>
      <w:divsChild>
        <w:div w:id="1725522554">
          <w:marLeft w:val="0"/>
          <w:marRight w:val="1"/>
          <w:marTop w:val="0"/>
          <w:marBottom w:val="0"/>
          <w:divBdr>
            <w:top w:val="none" w:sz="0" w:space="0" w:color="auto"/>
            <w:left w:val="none" w:sz="0" w:space="0" w:color="auto"/>
            <w:bottom w:val="none" w:sz="0" w:space="0" w:color="auto"/>
            <w:right w:val="none" w:sz="0" w:space="0" w:color="auto"/>
          </w:divBdr>
          <w:divsChild>
            <w:div w:id="1169324473">
              <w:marLeft w:val="0"/>
              <w:marRight w:val="0"/>
              <w:marTop w:val="0"/>
              <w:marBottom w:val="0"/>
              <w:divBdr>
                <w:top w:val="none" w:sz="0" w:space="0" w:color="auto"/>
                <w:left w:val="none" w:sz="0" w:space="0" w:color="auto"/>
                <w:bottom w:val="none" w:sz="0" w:space="0" w:color="auto"/>
                <w:right w:val="none" w:sz="0" w:space="0" w:color="auto"/>
              </w:divBdr>
              <w:divsChild>
                <w:div w:id="63337762">
                  <w:marLeft w:val="0"/>
                  <w:marRight w:val="1"/>
                  <w:marTop w:val="0"/>
                  <w:marBottom w:val="0"/>
                  <w:divBdr>
                    <w:top w:val="none" w:sz="0" w:space="0" w:color="auto"/>
                    <w:left w:val="none" w:sz="0" w:space="0" w:color="auto"/>
                    <w:bottom w:val="none" w:sz="0" w:space="0" w:color="auto"/>
                    <w:right w:val="none" w:sz="0" w:space="0" w:color="auto"/>
                  </w:divBdr>
                  <w:divsChild>
                    <w:div w:id="1458185789">
                      <w:marLeft w:val="0"/>
                      <w:marRight w:val="0"/>
                      <w:marTop w:val="0"/>
                      <w:marBottom w:val="0"/>
                      <w:divBdr>
                        <w:top w:val="none" w:sz="0" w:space="0" w:color="auto"/>
                        <w:left w:val="none" w:sz="0" w:space="0" w:color="auto"/>
                        <w:bottom w:val="none" w:sz="0" w:space="0" w:color="auto"/>
                        <w:right w:val="none" w:sz="0" w:space="0" w:color="auto"/>
                      </w:divBdr>
                      <w:divsChild>
                        <w:div w:id="928193263">
                          <w:marLeft w:val="0"/>
                          <w:marRight w:val="0"/>
                          <w:marTop w:val="0"/>
                          <w:marBottom w:val="0"/>
                          <w:divBdr>
                            <w:top w:val="none" w:sz="0" w:space="0" w:color="auto"/>
                            <w:left w:val="none" w:sz="0" w:space="0" w:color="auto"/>
                            <w:bottom w:val="none" w:sz="0" w:space="0" w:color="auto"/>
                            <w:right w:val="none" w:sz="0" w:space="0" w:color="auto"/>
                          </w:divBdr>
                          <w:divsChild>
                            <w:div w:id="613252823">
                              <w:marLeft w:val="0"/>
                              <w:marRight w:val="0"/>
                              <w:marTop w:val="120"/>
                              <w:marBottom w:val="360"/>
                              <w:divBdr>
                                <w:top w:val="none" w:sz="0" w:space="0" w:color="auto"/>
                                <w:left w:val="none" w:sz="0" w:space="0" w:color="auto"/>
                                <w:bottom w:val="none" w:sz="0" w:space="0" w:color="auto"/>
                                <w:right w:val="none" w:sz="0" w:space="0" w:color="auto"/>
                              </w:divBdr>
                              <w:divsChild>
                                <w:div w:id="1136023366">
                                  <w:marLeft w:val="0"/>
                                  <w:marRight w:val="0"/>
                                  <w:marTop w:val="0"/>
                                  <w:marBottom w:val="0"/>
                                  <w:divBdr>
                                    <w:top w:val="none" w:sz="0" w:space="0" w:color="auto"/>
                                    <w:left w:val="none" w:sz="0" w:space="0" w:color="auto"/>
                                    <w:bottom w:val="none" w:sz="0" w:space="0" w:color="auto"/>
                                    <w:right w:val="none" w:sz="0" w:space="0" w:color="auto"/>
                                  </w:divBdr>
                                </w:div>
                                <w:div w:id="81599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2604">
      <w:bodyDiv w:val="1"/>
      <w:marLeft w:val="0"/>
      <w:marRight w:val="0"/>
      <w:marTop w:val="0"/>
      <w:marBottom w:val="0"/>
      <w:divBdr>
        <w:top w:val="none" w:sz="0" w:space="0" w:color="auto"/>
        <w:left w:val="none" w:sz="0" w:space="0" w:color="auto"/>
        <w:bottom w:val="none" w:sz="0" w:space="0" w:color="auto"/>
        <w:right w:val="none" w:sz="0" w:space="0" w:color="auto"/>
      </w:divBdr>
      <w:divsChild>
        <w:div w:id="1629313087">
          <w:marLeft w:val="0"/>
          <w:marRight w:val="1"/>
          <w:marTop w:val="0"/>
          <w:marBottom w:val="0"/>
          <w:divBdr>
            <w:top w:val="none" w:sz="0" w:space="0" w:color="auto"/>
            <w:left w:val="none" w:sz="0" w:space="0" w:color="auto"/>
            <w:bottom w:val="none" w:sz="0" w:space="0" w:color="auto"/>
            <w:right w:val="none" w:sz="0" w:space="0" w:color="auto"/>
          </w:divBdr>
          <w:divsChild>
            <w:div w:id="2104182605">
              <w:marLeft w:val="0"/>
              <w:marRight w:val="0"/>
              <w:marTop w:val="0"/>
              <w:marBottom w:val="0"/>
              <w:divBdr>
                <w:top w:val="none" w:sz="0" w:space="0" w:color="auto"/>
                <w:left w:val="none" w:sz="0" w:space="0" w:color="auto"/>
                <w:bottom w:val="none" w:sz="0" w:space="0" w:color="auto"/>
                <w:right w:val="none" w:sz="0" w:space="0" w:color="auto"/>
              </w:divBdr>
              <w:divsChild>
                <w:div w:id="580069522">
                  <w:marLeft w:val="0"/>
                  <w:marRight w:val="1"/>
                  <w:marTop w:val="0"/>
                  <w:marBottom w:val="0"/>
                  <w:divBdr>
                    <w:top w:val="none" w:sz="0" w:space="0" w:color="auto"/>
                    <w:left w:val="none" w:sz="0" w:space="0" w:color="auto"/>
                    <w:bottom w:val="none" w:sz="0" w:space="0" w:color="auto"/>
                    <w:right w:val="none" w:sz="0" w:space="0" w:color="auto"/>
                  </w:divBdr>
                  <w:divsChild>
                    <w:div w:id="361253093">
                      <w:marLeft w:val="0"/>
                      <w:marRight w:val="0"/>
                      <w:marTop w:val="0"/>
                      <w:marBottom w:val="0"/>
                      <w:divBdr>
                        <w:top w:val="none" w:sz="0" w:space="0" w:color="auto"/>
                        <w:left w:val="none" w:sz="0" w:space="0" w:color="auto"/>
                        <w:bottom w:val="none" w:sz="0" w:space="0" w:color="auto"/>
                        <w:right w:val="none" w:sz="0" w:space="0" w:color="auto"/>
                      </w:divBdr>
                      <w:divsChild>
                        <w:div w:id="531041848">
                          <w:marLeft w:val="0"/>
                          <w:marRight w:val="0"/>
                          <w:marTop w:val="0"/>
                          <w:marBottom w:val="0"/>
                          <w:divBdr>
                            <w:top w:val="none" w:sz="0" w:space="0" w:color="auto"/>
                            <w:left w:val="none" w:sz="0" w:space="0" w:color="auto"/>
                            <w:bottom w:val="none" w:sz="0" w:space="0" w:color="auto"/>
                            <w:right w:val="none" w:sz="0" w:space="0" w:color="auto"/>
                          </w:divBdr>
                          <w:divsChild>
                            <w:div w:id="1270119510">
                              <w:marLeft w:val="0"/>
                              <w:marRight w:val="0"/>
                              <w:marTop w:val="120"/>
                              <w:marBottom w:val="360"/>
                              <w:divBdr>
                                <w:top w:val="none" w:sz="0" w:space="0" w:color="auto"/>
                                <w:left w:val="none" w:sz="0" w:space="0" w:color="auto"/>
                                <w:bottom w:val="none" w:sz="0" w:space="0" w:color="auto"/>
                                <w:right w:val="none" w:sz="0" w:space="0" w:color="auto"/>
                              </w:divBdr>
                              <w:divsChild>
                                <w:div w:id="1447961668">
                                  <w:marLeft w:val="0"/>
                                  <w:marRight w:val="0"/>
                                  <w:marTop w:val="0"/>
                                  <w:marBottom w:val="0"/>
                                  <w:divBdr>
                                    <w:top w:val="none" w:sz="0" w:space="0" w:color="auto"/>
                                    <w:left w:val="none" w:sz="0" w:space="0" w:color="auto"/>
                                    <w:bottom w:val="none" w:sz="0" w:space="0" w:color="auto"/>
                                    <w:right w:val="none" w:sz="0" w:space="0" w:color="auto"/>
                                  </w:divBdr>
                                  <w:divsChild>
                                    <w:div w:id="14228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9042">
      <w:bodyDiv w:val="1"/>
      <w:marLeft w:val="0"/>
      <w:marRight w:val="0"/>
      <w:marTop w:val="0"/>
      <w:marBottom w:val="0"/>
      <w:divBdr>
        <w:top w:val="none" w:sz="0" w:space="0" w:color="auto"/>
        <w:left w:val="none" w:sz="0" w:space="0" w:color="auto"/>
        <w:bottom w:val="none" w:sz="0" w:space="0" w:color="auto"/>
        <w:right w:val="none" w:sz="0" w:space="0" w:color="auto"/>
      </w:divBdr>
      <w:divsChild>
        <w:div w:id="137919550">
          <w:marLeft w:val="0"/>
          <w:marRight w:val="1"/>
          <w:marTop w:val="0"/>
          <w:marBottom w:val="0"/>
          <w:divBdr>
            <w:top w:val="none" w:sz="0" w:space="0" w:color="auto"/>
            <w:left w:val="none" w:sz="0" w:space="0" w:color="auto"/>
            <w:bottom w:val="none" w:sz="0" w:space="0" w:color="auto"/>
            <w:right w:val="none" w:sz="0" w:space="0" w:color="auto"/>
          </w:divBdr>
          <w:divsChild>
            <w:div w:id="578096296">
              <w:marLeft w:val="0"/>
              <w:marRight w:val="0"/>
              <w:marTop w:val="0"/>
              <w:marBottom w:val="0"/>
              <w:divBdr>
                <w:top w:val="none" w:sz="0" w:space="0" w:color="auto"/>
                <w:left w:val="none" w:sz="0" w:space="0" w:color="auto"/>
                <w:bottom w:val="none" w:sz="0" w:space="0" w:color="auto"/>
                <w:right w:val="none" w:sz="0" w:space="0" w:color="auto"/>
              </w:divBdr>
              <w:divsChild>
                <w:div w:id="875965694">
                  <w:marLeft w:val="0"/>
                  <w:marRight w:val="1"/>
                  <w:marTop w:val="0"/>
                  <w:marBottom w:val="0"/>
                  <w:divBdr>
                    <w:top w:val="none" w:sz="0" w:space="0" w:color="auto"/>
                    <w:left w:val="none" w:sz="0" w:space="0" w:color="auto"/>
                    <w:bottom w:val="none" w:sz="0" w:space="0" w:color="auto"/>
                    <w:right w:val="none" w:sz="0" w:space="0" w:color="auto"/>
                  </w:divBdr>
                  <w:divsChild>
                    <w:div w:id="1023476724">
                      <w:marLeft w:val="0"/>
                      <w:marRight w:val="0"/>
                      <w:marTop w:val="0"/>
                      <w:marBottom w:val="0"/>
                      <w:divBdr>
                        <w:top w:val="none" w:sz="0" w:space="0" w:color="auto"/>
                        <w:left w:val="none" w:sz="0" w:space="0" w:color="auto"/>
                        <w:bottom w:val="none" w:sz="0" w:space="0" w:color="auto"/>
                        <w:right w:val="none" w:sz="0" w:space="0" w:color="auto"/>
                      </w:divBdr>
                      <w:divsChild>
                        <w:div w:id="1767267753">
                          <w:marLeft w:val="0"/>
                          <w:marRight w:val="0"/>
                          <w:marTop w:val="0"/>
                          <w:marBottom w:val="0"/>
                          <w:divBdr>
                            <w:top w:val="none" w:sz="0" w:space="0" w:color="auto"/>
                            <w:left w:val="none" w:sz="0" w:space="0" w:color="auto"/>
                            <w:bottom w:val="none" w:sz="0" w:space="0" w:color="auto"/>
                            <w:right w:val="none" w:sz="0" w:space="0" w:color="auto"/>
                          </w:divBdr>
                          <w:divsChild>
                            <w:div w:id="1212762587">
                              <w:marLeft w:val="0"/>
                              <w:marRight w:val="0"/>
                              <w:marTop w:val="120"/>
                              <w:marBottom w:val="360"/>
                              <w:divBdr>
                                <w:top w:val="none" w:sz="0" w:space="0" w:color="auto"/>
                                <w:left w:val="none" w:sz="0" w:space="0" w:color="auto"/>
                                <w:bottom w:val="none" w:sz="0" w:space="0" w:color="auto"/>
                                <w:right w:val="none" w:sz="0" w:space="0" w:color="auto"/>
                              </w:divBdr>
                              <w:divsChild>
                                <w:div w:id="1774519038">
                                  <w:marLeft w:val="0"/>
                                  <w:marRight w:val="0"/>
                                  <w:marTop w:val="0"/>
                                  <w:marBottom w:val="0"/>
                                  <w:divBdr>
                                    <w:top w:val="none" w:sz="0" w:space="0" w:color="auto"/>
                                    <w:left w:val="none" w:sz="0" w:space="0" w:color="auto"/>
                                    <w:bottom w:val="none" w:sz="0" w:space="0" w:color="auto"/>
                                    <w:right w:val="none" w:sz="0" w:space="0" w:color="auto"/>
                                  </w:divBdr>
                                  <w:divsChild>
                                    <w:div w:id="28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029262">
      <w:bodyDiv w:val="1"/>
      <w:marLeft w:val="0"/>
      <w:marRight w:val="0"/>
      <w:marTop w:val="0"/>
      <w:marBottom w:val="0"/>
      <w:divBdr>
        <w:top w:val="none" w:sz="0" w:space="0" w:color="auto"/>
        <w:left w:val="none" w:sz="0" w:space="0" w:color="auto"/>
        <w:bottom w:val="none" w:sz="0" w:space="0" w:color="auto"/>
        <w:right w:val="none" w:sz="0" w:space="0" w:color="auto"/>
      </w:divBdr>
      <w:divsChild>
        <w:div w:id="1488932249">
          <w:marLeft w:val="0"/>
          <w:marRight w:val="1"/>
          <w:marTop w:val="0"/>
          <w:marBottom w:val="0"/>
          <w:divBdr>
            <w:top w:val="none" w:sz="0" w:space="0" w:color="auto"/>
            <w:left w:val="none" w:sz="0" w:space="0" w:color="auto"/>
            <w:bottom w:val="none" w:sz="0" w:space="0" w:color="auto"/>
            <w:right w:val="none" w:sz="0" w:space="0" w:color="auto"/>
          </w:divBdr>
          <w:divsChild>
            <w:div w:id="15039">
              <w:marLeft w:val="0"/>
              <w:marRight w:val="0"/>
              <w:marTop w:val="0"/>
              <w:marBottom w:val="0"/>
              <w:divBdr>
                <w:top w:val="none" w:sz="0" w:space="0" w:color="auto"/>
                <w:left w:val="none" w:sz="0" w:space="0" w:color="auto"/>
                <w:bottom w:val="none" w:sz="0" w:space="0" w:color="auto"/>
                <w:right w:val="none" w:sz="0" w:space="0" w:color="auto"/>
              </w:divBdr>
              <w:divsChild>
                <w:div w:id="362244203">
                  <w:marLeft w:val="0"/>
                  <w:marRight w:val="1"/>
                  <w:marTop w:val="0"/>
                  <w:marBottom w:val="0"/>
                  <w:divBdr>
                    <w:top w:val="none" w:sz="0" w:space="0" w:color="auto"/>
                    <w:left w:val="none" w:sz="0" w:space="0" w:color="auto"/>
                    <w:bottom w:val="none" w:sz="0" w:space="0" w:color="auto"/>
                    <w:right w:val="none" w:sz="0" w:space="0" w:color="auto"/>
                  </w:divBdr>
                  <w:divsChild>
                    <w:div w:id="689643856">
                      <w:marLeft w:val="0"/>
                      <w:marRight w:val="0"/>
                      <w:marTop w:val="0"/>
                      <w:marBottom w:val="0"/>
                      <w:divBdr>
                        <w:top w:val="none" w:sz="0" w:space="0" w:color="auto"/>
                        <w:left w:val="none" w:sz="0" w:space="0" w:color="auto"/>
                        <w:bottom w:val="none" w:sz="0" w:space="0" w:color="auto"/>
                        <w:right w:val="none" w:sz="0" w:space="0" w:color="auto"/>
                      </w:divBdr>
                      <w:divsChild>
                        <w:div w:id="1140265910">
                          <w:marLeft w:val="0"/>
                          <w:marRight w:val="0"/>
                          <w:marTop w:val="0"/>
                          <w:marBottom w:val="0"/>
                          <w:divBdr>
                            <w:top w:val="none" w:sz="0" w:space="0" w:color="auto"/>
                            <w:left w:val="none" w:sz="0" w:space="0" w:color="auto"/>
                            <w:bottom w:val="none" w:sz="0" w:space="0" w:color="auto"/>
                            <w:right w:val="none" w:sz="0" w:space="0" w:color="auto"/>
                          </w:divBdr>
                          <w:divsChild>
                            <w:div w:id="2006127806">
                              <w:marLeft w:val="0"/>
                              <w:marRight w:val="0"/>
                              <w:marTop w:val="120"/>
                              <w:marBottom w:val="360"/>
                              <w:divBdr>
                                <w:top w:val="none" w:sz="0" w:space="0" w:color="auto"/>
                                <w:left w:val="none" w:sz="0" w:space="0" w:color="auto"/>
                                <w:bottom w:val="none" w:sz="0" w:space="0" w:color="auto"/>
                                <w:right w:val="none" w:sz="0" w:space="0" w:color="auto"/>
                              </w:divBdr>
                              <w:divsChild>
                                <w:div w:id="310594638">
                                  <w:marLeft w:val="0"/>
                                  <w:marRight w:val="0"/>
                                  <w:marTop w:val="0"/>
                                  <w:marBottom w:val="0"/>
                                  <w:divBdr>
                                    <w:top w:val="none" w:sz="0" w:space="0" w:color="auto"/>
                                    <w:left w:val="none" w:sz="0" w:space="0" w:color="auto"/>
                                    <w:bottom w:val="none" w:sz="0" w:space="0" w:color="auto"/>
                                    <w:right w:val="none" w:sz="0" w:space="0" w:color="auto"/>
                                  </w:divBdr>
                                  <w:divsChild>
                                    <w:div w:id="15183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209685">
      <w:bodyDiv w:val="1"/>
      <w:marLeft w:val="0"/>
      <w:marRight w:val="0"/>
      <w:marTop w:val="0"/>
      <w:marBottom w:val="0"/>
      <w:divBdr>
        <w:top w:val="none" w:sz="0" w:space="0" w:color="auto"/>
        <w:left w:val="none" w:sz="0" w:space="0" w:color="auto"/>
        <w:bottom w:val="none" w:sz="0" w:space="0" w:color="auto"/>
        <w:right w:val="none" w:sz="0" w:space="0" w:color="auto"/>
      </w:divBdr>
      <w:divsChild>
        <w:div w:id="1290824238">
          <w:marLeft w:val="0"/>
          <w:marRight w:val="1"/>
          <w:marTop w:val="0"/>
          <w:marBottom w:val="0"/>
          <w:divBdr>
            <w:top w:val="none" w:sz="0" w:space="0" w:color="auto"/>
            <w:left w:val="none" w:sz="0" w:space="0" w:color="auto"/>
            <w:bottom w:val="none" w:sz="0" w:space="0" w:color="auto"/>
            <w:right w:val="none" w:sz="0" w:space="0" w:color="auto"/>
          </w:divBdr>
          <w:divsChild>
            <w:div w:id="1481850329">
              <w:marLeft w:val="0"/>
              <w:marRight w:val="0"/>
              <w:marTop w:val="0"/>
              <w:marBottom w:val="0"/>
              <w:divBdr>
                <w:top w:val="none" w:sz="0" w:space="0" w:color="auto"/>
                <w:left w:val="none" w:sz="0" w:space="0" w:color="auto"/>
                <w:bottom w:val="none" w:sz="0" w:space="0" w:color="auto"/>
                <w:right w:val="none" w:sz="0" w:space="0" w:color="auto"/>
              </w:divBdr>
              <w:divsChild>
                <w:div w:id="646208097">
                  <w:marLeft w:val="0"/>
                  <w:marRight w:val="1"/>
                  <w:marTop w:val="0"/>
                  <w:marBottom w:val="0"/>
                  <w:divBdr>
                    <w:top w:val="none" w:sz="0" w:space="0" w:color="auto"/>
                    <w:left w:val="none" w:sz="0" w:space="0" w:color="auto"/>
                    <w:bottom w:val="none" w:sz="0" w:space="0" w:color="auto"/>
                    <w:right w:val="none" w:sz="0" w:space="0" w:color="auto"/>
                  </w:divBdr>
                  <w:divsChild>
                    <w:div w:id="468590518">
                      <w:marLeft w:val="0"/>
                      <w:marRight w:val="0"/>
                      <w:marTop w:val="0"/>
                      <w:marBottom w:val="0"/>
                      <w:divBdr>
                        <w:top w:val="none" w:sz="0" w:space="0" w:color="auto"/>
                        <w:left w:val="none" w:sz="0" w:space="0" w:color="auto"/>
                        <w:bottom w:val="none" w:sz="0" w:space="0" w:color="auto"/>
                        <w:right w:val="none" w:sz="0" w:space="0" w:color="auto"/>
                      </w:divBdr>
                      <w:divsChild>
                        <w:div w:id="992177624">
                          <w:marLeft w:val="0"/>
                          <w:marRight w:val="0"/>
                          <w:marTop w:val="0"/>
                          <w:marBottom w:val="0"/>
                          <w:divBdr>
                            <w:top w:val="none" w:sz="0" w:space="0" w:color="auto"/>
                            <w:left w:val="none" w:sz="0" w:space="0" w:color="auto"/>
                            <w:bottom w:val="none" w:sz="0" w:space="0" w:color="auto"/>
                            <w:right w:val="none" w:sz="0" w:space="0" w:color="auto"/>
                          </w:divBdr>
                          <w:divsChild>
                            <w:div w:id="272396501">
                              <w:marLeft w:val="0"/>
                              <w:marRight w:val="0"/>
                              <w:marTop w:val="120"/>
                              <w:marBottom w:val="360"/>
                              <w:divBdr>
                                <w:top w:val="none" w:sz="0" w:space="0" w:color="auto"/>
                                <w:left w:val="none" w:sz="0" w:space="0" w:color="auto"/>
                                <w:bottom w:val="none" w:sz="0" w:space="0" w:color="auto"/>
                                <w:right w:val="none" w:sz="0" w:space="0" w:color="auto"/>
                              </w:divBdr>
                              <w:divsChild>
                                <w:div w:id="812066362">
                                  <w:marLeft w:val="0"/>
                                  <w:marRight w:val="0"/>
                                  <w:marTop w:val="0"/>
                                  <w:marBottom w:val="0"/>
                                  <w:divBdr>
                                    <w:top w:val="none" w:sz="0" w:space="0" w:color="auto"/>
                                    <w:left w:val="none" w:sz="0" w:space="0" w:color="auto"/>
                                    <w:bottom w:val="none" w:sz="0" w:space="0" w:color="auto"/>
                                    <w:right w:val="none" w:sz="0" w:space="0" w:color="auto"/>
                                  </w:divBdr>
                                  <w:divsChild>
                                    <w:div w:id="20821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065403">
      <w:bodyDiv w:val="1"/>
      <w:marLeft w:val="0"/>
      <w:marRight w:val="0"/>
      <w:marTop w:val="0"/>
      <w:marBottom w:val="0"/>
      <w:divBdr>
        <w:top w:val="none" w:sz="0" w:space="0" w:color="auto"/>
        <w:left w:val="none" w:sz="0" w:space="0" w:color="auto"/>
        <w:bottom w:val="none" w:sz="0" w:space="0" w:color="auto"/>
        <w:right w:val="none" w:sz="0" w:space="0" w:color="auto"/>
      </w:divBdr>
      <w:divsChild>
        <w:div w:id="610433373">
          <w:marLeft w:val="0"/>
          <w:marRight w:val="1"/>
          <w:marTop w:val="0"/>
          <w:marBottom w:val="0"/>
          <w:divBdr>
            <w:top w:val="none" w:sz="0" w:space="0" w:color="auto"/>
            <w:left w:val="none" w:sz="0" w:space="0" w:color="auto"/>
            <w:bottom w:val="none" w:sz="0" w:space="0" w:color="auto"/>
            <w:right w:val="none" w:sz="0" w:space="0" w:color="auto"/>
          </w:divBdr>
          <w:divsChild>
            <w:div w:id="228928596">
              <w:marLeft w:val="0"/>
              <w:marRight w:val="0"/>
              <w:marTop w:val="0"/>
              <w:marBottom w:val="0"/>
              <w:divBdr>
                <w:top w:val="none" w:sz="0" w:space="0" w:color="auto"/>
                <w:left w:val="none" w:sz="0" w:space="0" w:color="auto"/>
                <w:bottom w:val="none" w:sz="0" w:space="0" w:color="auto"/>
                <w:right w:val="none" w:sz="0" w:space="0" w:color="auto"/>
              </w:divBdr>
              <w:divsChild>
                <w:div w:id="371074191">
                  <w:marLeft w:val="0"/>
                  <w:marRight w:val="1"/>
                  <w:marTop w:val="0"/>
                  <w:marBottom w:val="0"/>
                  <w:divBdr>
                    <w:top w:val="none" w:sz="0" w:space="0" w:color="auto"/>
                    <w:left w:val="none" w:sz="0" w:space="0" w:color="auto"/>
                    <w:bottom w:val="none" w:sz="0" w:space="0" w:color="auto"/>
                    <w:right w:val="none" w:sz="0" w:space="0" w:color="auto"/>
                  </w:divBdr>
                  <w:divsChild>
                    <w:div w:id="756513127">
                      <w:marLeft w:val="0"/>
                      <w:marRight w:val="0"/>
                      <w:marTop w:val="0"/>
                      <w:marBottom w:val="0"/>
                      <w:divBdr>
                        <w:top w:val="none" w:sz="0" w:space="0" w:color="auto"/>
                        <w:left w:val="none" w:sz="0" w:space="0" w:color="auto"/>
                        <w:bottom w:val="none" w:sz="0" w:space="0" w:color="auto"/>
                        <w:right w:val="none" w:sz="0" w:space="0" w:color="auto"/>
                      </w:divBdr>
                      <w:divsChild>
                        <w:div w:id="1410886691">
                          <w:marLeft w:val="0"/>
                          <w:marRight w:val="0"/>
                          <w:marTop w:val="0"/>
                          <w:marBottom w:val="0"/>
                          <w:divBdr>
                            <w:top w:val="none" w:sz="0" w:space="0" w:color="auto"/>
                            <w:left w:val="none" w:sz="0" w:space="0" w:color="auto"/>
                            <w:bottom w:val="none" w:sz="0" w:space="0" w:color="auto"/>
                            <w:right w:val="none" w:sz="0" w:space="0" w:color="auto"/>
                          </w:divBdr>
                          <w:divsChild>
                            <w:div w:id="874851817">
                              <w:marLeft w:val="0"/>
                              <w:marRight w:val="0"/>
                              <w:marTop w:val="120"/>
                              <w:marBottom w:val="360"/>
                              <w:divBdr>
                                <w:top w:val="none" w:sz="0" w:space="0" w:color="auto"/>
                                <w:left w:val="none" w:sz="0" w:space="0" w:color="auto"/>
                                <w:bottom w:val="none" w:sz="0" w:space="0" w:color="auto"/>
                                <w:right w:val="none" w:sz="0" w:space="0" w:color="auto"/>
                              </w:divBdr>
                              <w:divsChild>
                                <w:div w:id="1845315800">
                                  <w:marLeft w:val="0"/>
                                  <w:marRight w:val="0"/>
                                  <w:marTop w:val="0"/>
                                  <w:marBottom w:val="0"/>
                                  <w:divBdr>
                                    <w:top w:val="none" w:sz="0" w:space="0" w:color="auto"/>
                                    <w:left w:val="none" w:sz="0" w:space="0" w:color="auto"/>
                                    <w:bottom w:val="none" w:sz="0" w:space="0" w:color="auto"/>
                                    <w:right w:val="none" w:sz="0" w:space="0" w:color="auto"/>
                                  </w:divBdr>
                                  <w:divsChild>
                                    <w:div w:id="10228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568352">
      <w:bodyDiv w:val="1"/>
      <w:marLeft w:val="0"/>
      <w:marRight w:val="0"/>
      <w:marTop w:val="0"/>
      <w:marBottom w:val="0"/>
      <w:divBdr>
        <w:top w:val="none" w:sz="0" w:space="0" w:color="auto"/>
        <w:left w:val="none" w:sz="0" w:space="0" w:color="auto"/>
        <w:bottom w:val="none" w:sz="0" w:space="0" w:color="auto"/>
        <w:right w:val="none" w:sz="0" w:space="0" w:color="auto"/>
      </w:divBdr>
      <w:divsChild>
        <w:div w:id="1488595168">
          <w:marLeft w:val="0"/>
          <w:marRight w:val="1"/>
          <w:marTop w:val="0"/>
          <w:marBottom w:val="0"/>
          <w:divBdr>
            <w:top w:val="none" w:sz="0" w:space="0" w:color="auto"/>
            <w:left w:val="none" w:sz="0" w:space="0" w:color="auto"/>
            <w:bottom w:val="none" w:sz="0" w:space="0" w:color="auto"/>
            <w:right w:val="none" w:sz="0" w:space="0" w:color="auto"/>
          </w:divBdr>
          <w:divsChild>
            <w:div w:id="1932157164">
              <w:marLeft w:val="0"/>
              <w:marRight w:val="0"/>
              <w:marTop w:val="0"/>
              <w:marBottom w:val="0"/>
              <w:divBdr>
                <w:top w:val="none" w:sz="0" w:space="0" w:color="auto"/>
                <w:left w:val="none" w:sz="0" w:space="0" w:color="auto"/>
                <w:bottom w:val="none" w:sz="0" w:space="0" w:color="auto"/>
                <w:right w:val="none" w:sz="0" w:space="0" w:color="auto"/>
              </w:divBdr>
              <w:divsChild>
                <w:div w:id="1455756586">
                  <w:marLeft w:val="0"/>
                  <w:marRight w:val="1"/>
                  <w:marTop w:val="0"/>
                  <w:marBottom w:val="0"/>
                  <w:divBdr>
                    <w:top w:val="none" w:sz="0" w:space="0" w:color="auto"/>
                    <w:left w:val="none" w:sz="0" w:space="0" w:color="auto"/>
                    <w:bottom w:val="none" w:sz="0" w:space="0" w:color="auto"/>
                    <w:right w:val="none" w:sz="0" w:space="0" w:color="auto"/>
                  </w:divBdr>
                  <w:divsChild>
                    <w:div w:id="1938829588">
                      <w:marLeft w:val="0"/>
                      <w:marRight w:val="0"/>
                      <w:marTop w:val="0"/>
                      <w:marBottom w:val="0"/>
                      <w:divBdr>
                        <w:top w:val="none" w:sz="0" w:space="0" w:color="auto"/>
                        <w:left w:val="none" w:sz="0" w:space="0" w:color="auto"/>
                        <w:bottom w:val="none" w:sz="0" w:space="0" w:color="auto"/>
                        <w:right w:val="none" w:sz="0" w:space="0" w:color="auto"/>
                      </w:divBdr>
                      <w:divsChild>
                        <w:div w:id="1683125162">
                          <w:marLeft w:val="0"/>
                          <w:marRight w:val="0"/>
                          <w:marTop w:val="0"/>
                          <w:marBottom w:val="0"/>
                          <w:divBdr>
                            <w:top w:val="none" w:sz="0" w:space="0" w:color="auto"/>
                            <w:left w:val="none" w:sz="0" w:space="0" w:color="auto"/>
                            <w:bottom w:val="none" w:sz="0" w:space="0" w:color="auto"/>
                            <w:right w:val="none" w:sz="0" w:space="0" w:color="auto"/>
                          </w:divBdr>
                          <w:divsChild>
                            <w:div w:id="1502887519">
                              <w:marLeft w:val="0"/>
                              <w:marRight w:val="0"/>
                              <w:marTop w:val="120"/>
                              <w:marBottom w:val="360"/>
                              <w:divBdr>
                                <w:top w:val="none" w:sz="0" w:space="0" w:color="auto"/>
                                <w:left w:val="none" w:sz="0" w:space="0" w:color="auto"/>
                                <w:bottom w:val="none" w:sz="0" w:space="0" w:color="auto"/>
                                <w:right w:val="none" w:sz="0" w:space="0" w:color="auto"/>
                              </w:divBdr>
                              <w:divsChild>
                                <w:div w:id="2027094332">
                                  <w:marLeft w:val="0"/>
                                  <w:marRight w:val="0"/>
                                  <w:marTop w:val="0"/>
                                  <w:marBottom w:val="0"/>
                                  <w:divBdr>
                                    <w:top w:val="none" w:sz="0" w:space="0" w:color="auto"/>
                                    <w:left w:val="none" w:sz="0" w:space="0" w:color="auto"/>
                                    <w:bottom w:val="none" w:sz="0" w:space="0" w:color="auto"/>
                                    <w:right w:val="none" w:sz="0" w:space="0" w:color="auto"/>
                                  </w:divBdr>
                                  <w:divsChild>
                                    <w:div w:id="14017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219460">
      <w:bodyDiv w:val="1"/>
      <w:marLeft w:val="0"/>
      <w:marRight w:val="0"/>
      <w:marTop w:val="0"/>
      <w:marBottom w:val="0"/>
      <w:divBdr>
        <w:top w:val="none" w:sz="0" w:space="0" w:color="auto"/>
        <w:left w:val="none" w:sz="0" w:space="0" w:color="auto"/>
        <w:bottom w:val="none" w:sz="0" w:space="0" w:color="auto"/>
        <w:right w:val="none" w:sz="0" w:space="0" w:color="auto"/>
      </w:divBdr>
      <w:divsChild>
        <w:div w:id="121197164">
          <w:marLeft w:val="0"/>
          <w:marRight w:val="1"/>
          <w:marTop w:val="0"/>
          <w:marBottom w:val="0"/>
          <w:divBdr>
            <w:top w:val="none" w:sz="0" w:space="0" w:color="auto"/>
            <w:left w:val="none" w:sz="0" w:space="0" w:color="auto"/>
            <w:bottom w:val="none" w:sz="0" w:space="0" w:color="auto"/>
            <w:right w:val="none" w:sz="0" w:space="0" w:color="auto"/>
          </w:divBdr>
          <w:divsChild>
            <w:div w:id="268242498">
              <w:marLeft w:val="0"/>
              <w:marRight w:val="0"/>
              <w:marTop w:val="0"/>
              <w:marBottom w:val="0"/>
              <w:divBdr>
                <w:top w:val="none" w:sz="0" w:space="0" w:color="auto"/>
                <w:left w:val="none" w:sz="0" w:space="0" w:color="auto"/>
                <w:bottom w:val="none" w:sz="0" w:space="0" w:color="auto"/>
                <w:right w:val="none" w:sz="0" w:space="0" w:color="auto"/>
              </w:divBdr>
              <w:divsChild>
                <w:div w:id="1210072005">
                  <w:marLeft w:val="0"/>
                  <w:marRight w:val="1"/>
                  <w:marTop w:val="0"/>
                  <w:marBottom w:val="0"/>
                  <w:divBdr>
                    <w:top w:val="none" w:sz="0" w:space="0" w:color="auto"/>
                    <w:left w:val="none" w:sz="0" w:space="0" w:color="auto"/>
                    <w:bottom w:val="none" w:sz="0" w:space="0" w:color="auto"/>
                    <w:right w:val="none" w:sz="0" w:space="0" w:color="auto"/>
                  </w:divBdr>
                  <w:divsChild>
                    <w:div w:id="478807342">
                      <w:marLeft w:val="0"/>
                      <w:marRight w:val="0"/>
                      <w:marTop w:val="0"/>
                      <w:marBottom w:val="0"/>
                      <w:divBdr>
                        <w:top w:val="none" w:sz="0" w:space="0" w:color="auto"/>
                        <w:left w:val="none" w:sz="0" w:space="0" w:color="auto"/>
                        <w:bottom w:val="none" w:sz="0" w:space="0" w:color="auto"/>
                        <w:right w:val="none" w:sz="0" w:space="0" w:color="auto"/>
                      </w:divBdr>
                      <w:divsChild>
                        <w:div w:id="272828807">
                          <w:marLeft w:val="0"/>
                          <w:marRight w:val="0"/>
                          <w:marTop w:val="0"/>
                          <w:marBottom w:val="0"/>
                          <w:divBdr>
                            <w:top w:val="none" w:sz="0" w:space="0" w:color="auto"/>
                            <w:left w:val="none" w:sz="0" w:space="0" w:color="auto"/>
                            <w:bottom w:val="none" w:sz="0" w:space="0" w:color="auto"/>
                            <w:right w:val="none" w:sz="0" w:space="0" w:color="auto"/>
                          </w:divBdr>
                          <w:divsChild>
                            <w:div w:id="1616323380">
                              <w:marLeft w:val="0"/>
                              <w:marRight w:val="0"/>
                              <w:marTop w:val="120"/>
                              <w:marBottom w:val="360"/>
                              <w:divBdr>
                                <w:top w:val="none" w:sz="0" w:space="0" w:color="auto"/>
                                <w:left w:val="none" w:sz="0" w:space="0" w:color="auto"/>
                                <w:bottom w:val="none" w:sz="0" w:space="0" w:color="auto"/>
                                <w:right w:val="none" w:sz="0" w:space="0" w:color="auto"/>
                              </w:divBdr>
                              <w:divsChild>
                                <w:div w:id="1704746346">
                                  <w:marLeft w:val="0"/>
                                  <w:marRight w:val="0"/>
                                  <w:marTop w:val="0"/>
                                  <w:marBottom w:val="0"/>
                                  <w:divBdr>
                                    <w:top w:val="none" w:sz="0" w:space="0" w:color="auto"/>
                                    <w:left w:val="none" w:sz="0" w:space="0" w:color="auto"/>
                                    <w:bottom w:val="none" w:sz="0" w:space="0" w:color="auto"/>
                                    <w:right w:val="none" w:sz="0" w:space="0" w:color="auto"/>
                                  </w:divBdr>
                                  <w:divsChild>
                                    <w:div w:id="135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929546">
      <w:bodyDiv w:val="1"/>
      <w:marLeft w:val="0"/>
      <w:marRight w:val="0"/>
      <w:marTop w:val="0"/>
      <w:marBottom w:val="0"/>
      <w:divBdr>
        <w:top w:val="none" w:sz="0" w:space="0" w:color="auto"/>
        <w:left w:val="none" w:sz="0" w:space="0" w:color="auto"/>
        <w:bottom w:val="none" w:sz="0" w:space="0" w:color="auto"/>
        <w:right w:val="none" w:sz="0" w:space="0" w:color="auto"/>
      </w:divBdr>
      <w:divsChild>
        <w:div w:id="496263870">
          <w:marLeft w:val="0"/>
          <w:marRight w:val="1"/>
          <w:marTop w:val="0"/>
          <w:marBottom w:val="0"/>
          <w:divBdr>
            <w:top w:val="none" w:sz="0" w:space="0" w:color="auto"/>
            <w:left w:val="none" w:sz="0" w:space="0" w:color="auto"/>
            <w:bottom w:val="none" w:sz="0" w:space="0" w:color="auto"/>
            <w:right w:val="none" w:sz="0" w:space="0" w:color="auto"/>
          </w:divBdr>
          <w:divsChild>
            <w:div w:id="313073453">
              <w:marLeft w:val="0"/>
              <w:marRight w:val="0"/>
              <w:marTop w:val="0"/>
              <w:marBottom w:val="0"/>
              <w:divBdr>
                <w:top w:val="none" w:sz="0" w:space="0" w:color="auto"/>
                <w:left w:val="none" w:sz="0" w:space="0" w:color="auto"/>
                <w:bottom w:val="none" w:sz="0" w:space="0" w:color="auto"/>
                <w:right w:val="none" w:sz="0" w:space="0" w:color="auto"/>
              </w:divBdr>
              <w:divsChild>
                <w:div w:id="260574072">
                  <w:marLeft w:val="0"/>
                  <w:marRight w:val="1"/>
                  <w:marTop w:val="0"/>
                  <w:marBottom w:val="0"/>
                  <w:divBdr>
                    <w:top w:val="none" w:sz="0" w:space="0" w:color="auto"/>
                    <w:left w:val="none" w:sz="0" w:space="0" w:color="auto"/>
                    <w:bottom w:val="none" w:sz="0" w:space="0" w:color="auto"/>
                    <w:right w:val="none" w:sz="0" w:space="0" w:color="auto"/>
                  </w:divBdr>
                  <w:divsChild>
                    <w:div w:id="291592629">
                      <w:marLeft w:val="0"/>
                      <w:marRight w:val="0"/>
                      <w:marTop w:val="0"/>
                      <w:marBottom w:val="0"/>
                      <w:divBdr>
                        <w:top w:val="none" w:sz="0" w:space="0" w:color="auto"/>
                        <w:left w:val="none" w:sz="0" w:space="0" w:color="auto"/>
                        <w:bottom w:val="none" w:sz="0" w:space="0" w:color="auto"/>
                        <w:right w:val="none" w:sz="0" w:space="0" w:color="auto"/>
                      </w:divBdr>
                      <w:divsChild>
                        <w:div w:id="691537988">
                          <w:marLeft w:val="0"/>
                          <w:marRight w:val="0"/>
                          <w:marTop w:val="0"/>
                          <w:marBottom w:val="0"/>
                          <w:divBdr>
                            <w:top w:val="none" w:sz="0" w:space="0" w:color="auto"/>
                            <w:left w:val="none" w:sz="0" w:space="0" w:color="auto"/>
                            <w:bottom w:val="none" w:sz="0" w:space="0" w:color="auto"/>
                            <w:right w:val="none" w:sz="0" w:space="0" w:color="auto"/>
                          </w:divBdr>
                          <w:divsChild>
                            <w:div w:id="2002199335">
                              <w:marLeft w:val="0"/>
                              <w:marRight w:val="0"/>
                              <w:marTop w:val="120"/>
                              <w:marBottom w:val="360"/>
                              <w:divBdr>
                                <w:top w:val="none" w:sz="0" w:space="0" w:color="auto"/>
                                <w:left w:val="none" w:sz="0" w:space="0" w:color="auto"/>
                                <w:bottom w:val="none" w:sz="0" w:space="0" w:color="auto"/>
                                <w:right w:val="none" w:sz="0" w:space="0" w:color="auto"/>
                              </w:divBdr>
                              <w:divsChild>
                                <w:div w:id="1795781877">
                                  <w:marLeft w:val="0"/>
                                  <w:marRight w:val="0"/>
                                  <w:marTop w:val="0"/>
                                  <w:marBottom w:val="0"/>
                                  <w:divBdr>
                                    <w:top w:val="none" w:sz="0" w:space="0" w:color="auto"/>
                                    <w:left w:val="none" w:sz="0" w:space="0" w:color="auto"/>
                                    <w:bottom w:val="none" w:sz="0" w:space="0" w:color="auto"/>
                                    <w:right w:val="none" w:sz="0" w:space="0" w:color="auto"/>
                                  </w:divBdr>
                                  <w:divsChild>
                                    <w:div w:id="54410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385873">
      <w:bodyDiv w:val="1"/>
      <w:marLeft w:val="0"/>
      <w:marRight w:val="0"/>
      <w:marTop w:val="0"/>
      <w:marBottom w:val="0"/>
      <w:divBdr>
        <w:top w:val="none" w:sz="0" w:space="0" w:color="auto"/>
        <w:left w:val="none" w:sz="0" w:space="0" w:color="auto"/>
        <w:bottom w:val="none" w:sz="0" w:space="0" w:color="auto"/>
        <w:right w:val="none" w:sz="0" w:space="0" w:color="auto"/>
      </w:divBdr>
      <w:divsChild>
        <w:div w:id="414010682">
          <w:marLeft w:val="0"/>
          <w:marRight w:val="1"/>
          <w:marTop w:val="0"/>
          <w:marBottom w:val="0"/>
          <w:divBdr>
            <w:top w:val="none" w:sz="0" w:space="0" w:color="auto"/>
            <w:left w:val="none" w:sz="0" w:space="0" w:color="auto"/>
            <w:bottom w:val="none" w:sz="0" w:space="0" w:color="auto"/>
            <w:right w:val="none" w:sz="0" w:space="0" w:color="auto"/>
          </w:divBdr>
          <w:divsChild>
            <w:div w:id="1968311157">
              <w:marLeft w:val="0"/>
              <w:marRight w:val="0"/>
              <w:marTop w:val="0"/>
              <w:marBottom w:val="0"/>
              <w:divBdr>
                <w:top w:val="none" w:sz="0" w:space="0" w:color="auto"/>
                <w:left w:val="none" w:sz="0" w:space="0" w:color="auto"/>
                <w:bottom w:val="none" w:sz="0" w:space="0" w:color="auto"/>
                <w:right w:val="none" w:sz="0" w:space="0" w:color="auto"/>
              </w:divBdr>
              <w:divsChild>
                <w:div w:id="947854835">
                  <w:marLeft w:val="0"/>
                  <w:marRight w:val="1"/>
                  <w:marTop w:val="0"/>
                  <w:marBottom w:val="0"/>
                  <w:divBdr>
                    <w:top w:val="none" w:sz="0" w:space="0" w:color="auto"/>
                    <w:left w:val="none" w:sz="0" w:space="0" w:color="auto"/>
                    <w:bottom w:val="none" w:sz="0" w:space="0" w:color="auto"/>
                    <w:right w:val="none" w:sz="0" w:space="0" w:color="auto"/>
                  </w:divBdr>
                  <w:divsChild>
                    <w:div w:id="1448084652">
                      <w:marLeft w:val="0"/>
                      <w:marRight w:val="0"/>
                      <w:marTop w:val="0"/>
                      <w:marBottom w:val="0"/>
                      <w:divBdr>
                        <w:top w:val="none" w:sz="0" w:space="0" w:color="auto"/>
                        <w:left w:val="none" w:sz="0" w:space="0" w:color="auto"/>
                        <w:bottom w:val="none" w:sz="0" w:space="0" w:color="auto"/>
                        <w:right w:val="none" w:sz="0" w:space="0" w:color="auto"/>
                      </w:divBdr>
                      <w:divsChild>
                        <w:div w:id="638531703">
                          <w:marLeft w:val="0"/>
                          <w:marRight w:val="0"/>
                          <w:marTop w:val="0"/>
                          <w:marBottom w:val="0"/>
                          <w:divBdr>
                            <w:top w:val="none" w:sz="0" w:space="0" w:color="auto"/>
                            <w:left w:val="none" w:sz="0" w:space="0" w:color="auto"/>
                            <w:bottom w:val="none" w:sz="0" w:space="0" w:color="auto"/>
                            <w:right w:val="none" w:sz="0" w:space="0" w:color="auto"/>
                          </w:divBdr>
                          <w:divsChild>
                            <w:div w:id="1556700558">
                              <w:marLeft w:val="0"/>
                              <w:marRight w:val="0"/>
                              <w:marTop w:val="120"/>
                              <w:marBottom w:val="360"/>
                              <w:divBdr>
                                <w:top w:val="none" w:sz="0" w:space="0" w:color="auto"/>
                                <w:left w:val="none" w:sz="0" w:space="0" w:color="auto"/>
                                <w:bottom w:val="none" w:sz="0" w:space="0" w:color="auto"/>
                                <w:right w:val="none" w:sz="0" w:space="0" w:color="auto"/>
                              </w:divBdr>
                              <w:divsChild>
                                <w:div w:id="576599306">
                                  <w:marLeft w:val="0"/>
                                  <w:marRight w:val="0"/>
                                  <w:marTop w:val="0"/>
                                  <w:marBottom w:val="0"/>
                                  <w:divBdr>
                                    <w:top w:val="none" w:sz="0" w:space="0" w:color="auto"/>
                                    <w:left w:val="none" w:sz="0" w:space="0" w:color="auto"/>
                                    <w:bottom w:val="none" w:sz="0" w:space="0" w:color="auto"/>
                                    <w:right w:val="none" w:sz="0" w:space="0" w:color="auto"/>
                                  </w:divBdr>
                                </w:div>
                                <w:div w:id="12103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39662">
      <w:bodyDiv w:val="1"/>
      <w:marLeft w:val="0"/>
      <w:marRight w:val="0"/>
      <w:marTop w:val="0"/>
      <w:marBottom w:val="0"/>
      <w:divBdr>
        <w:top w:val="none" w:sz="0" w:space="0" w:color="auto"/>
        <w:left w:val="none" w:sz="0" w:space="0" w:color="auto"/>
        <w:bottom w:val="none" w:sz="0" w:space="0" w:color="auto"/>
        <w:right w:val="none" w:sz="0" w:space="0" w:color="auto"/>
      </w:divBdr>
      <w:divsChild>
        <w:div w:id="588392746">
          <w:marLeft w:val="0"/>
          <w:marRight w:val="1"/>
          <w:marTop w:val="0"/>
          <w:marBottom w:val="0"/>
          <w:divBdr>
            <w:top w:val="none" w:sz="0" w:space="0" w:color="auto"/>
            <w:left w:val="none" w:sz="0" w:space="0" w:color="auto"/>
            <w:bottom w:val="none" w:sz="0" w:space="0" w:color="auto"/>
            <w:right w:val="none" w:sz="0" w:space="0" w:color="auto"/>
          </w:divBdr>
          <w:divsChild>
            <w:div w:id="494808855">
              <w:marLeft w:val="0"/>
              <w:marRight w:val="0"/>
              <w:marTop w:val="0"/>
              <w:marBottom w:val="0"/>
              <w:divBdr>
                <w:top w:val="none" w:sz="0" w:space="0" w:color="auto"/>
                <w:left w:val="none" w:sz="0" w:space="0" w:color="auto"/>
                <w:bottom w:val="none" w:sz="0" w:space="0" w:color="auto"/>
                <w:right w:val="none" w:sz="0" w:space="0" w:color="auto"/>
              </w:divBdr>
              <w:divsChild>
                <w:div w:id="1005327385">
                  <w:marLeft w:val="0"/>
                  <w:marRight w:val="1"/>
                  <w:marTop w:val="0"/>
                  <w:marBottom w:val="0"/>
                  <w:divBdr>
                    <w:top w:val="none" w:sz="0" w:space="0" w:color="auto"/>
                    <w:left w:val="none" w:sz="0" w:space="0" w:color="auto"/>
                    <w:bottom w:val="none" w:sz="0" w:space="0" w:color="auto"/>
                    <w:right w:val="none" w:sz="0" w:space="0" w:color="auto"/>
                  </w:divBdr>
                  <w:divsChild>
                    <w:div w:id="1915429011">
                      <w:marLeft w:val="0"/>
                      <w:marRight w:val="0"/>
                      <w:marTop w:val="0"/>
                      <w:marBottom w:val="0"/>
                      <w:divBdr>
                        <w:top w:val="none" w:sz="0" w:space="0" w:color="auto"/>
                        <w:left w:val="none" w:sz="0" w:space="0" w:color="auto"/>
                        <w:bottom w:val="none" w:sz="0" w:space="0" w:color="auto"/>
                        <w:right w:val="none" w:sz="0" w:space="0" w:color="auto"/>
                      </w:divBdr>
                      <w:divsChild>
                        <w:div w:id="525098200">
                          <w:marLeft w:val="0"/>
                          <w:marRight w:val="0"/>
                          <w:marTop w:val="0"/>
                          <w:marBottom w:val="0"/>
                          <w:divBdr>
                            <w:top w:val="none" w:sz="0" w:space="0" w:color="auto"/>
                            <w:left w:val="none" w:sz="0" w:space="0" w:color="auto"/>
                            <w:bottom w:val="none" w:sz="0" w:space="0" w:color="auto"/>
                            <w:right w:val="none" w:sz="0" w:space="0" w:color="auto"/>
                          </w:divBdr>
                          <w:divsChild>
                            <w:div w:id="589385798">
                              <w:marLeft w:val="0"/>
                              <w:marRight w:val="0"/>
                              <w:marTop w:val="120"/>
                              <w:marBottom w:val="360"/>
                              <w:divBdr>
                                <w:top w:val="none" w:sz="0" w:space="0" w:color="auto"/>
                                <w:left w:val="none" w:sz="0" w:space="0" w:color="auto"/>
                                <w:bottom w:val="none" w:sz="0" w:space="0" w:color="auto"/>
                                <w:right w:val="none" w:sz="0" w:space="0" w:color="auto"/>
                              </w:divBdr>
                              <w:divsChild>
                                <w:div w:id="1341733446">
                                  <w:marLeft w:val="0"/>
                                  <w:marRight w:val="0"/>
                                  <w:marTop w:val="0"/>
                                  <w:marBottom w:val="0"/>
                                  <w:divBdr>
                                    <w:top w:val="none" w:sz="0" w:space="0" w:color="auto"/>
                                    <w:left w:val="none" w:sz="0" w:space="0" w:color="auto"/>
                                    <w:bottom w:val="none" w:sz="0" w:space="0" w:color="auto"/>
                                    <w:right w:val="none" w:sz="0" w:space="0" w:color="auto"/>
                                  </w:divBdr>
                                  <w:divsChild>
                                    <w:div w:id="15306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394510">
      <w:bodyDiv w:val="1"/>
      <w:marLeft w:val="0"/>
      <w:marRight w:val="0"/>
      <w:marTop w:val="0"/>
      <w:marBottom w:val="0"/>
      <w:divBdr>
        <w:top w:val="none" w:sz="0" w:space="0" w:color="auto"/>
        <w:left w:val="none" w:sz="0" w:space="0" w:color="auto"/>
        <w:bottom w:val="none" w:sz="0" w:space="0" w:color="auto"/>
        <w:right w:val="none" w:sz="0" w:space="0" w:color="auto"/>
      </w:divBdr>
      <w:divsChild>
        <w:div w:id="784467066">
          <w:marLeft w:val="0"/>
          <w:marRight w:val="1"/>
          <w:marTop w:val="0"/>
          <w:marBottom w:val="0"/>
          <w:divBdr>
            <w:top w:val="none" w:sz="0" w:space="0" w:color="auto"/>
            <w:left w:val="none" w:sz="0" w:space="0" w:color="auto"/>
            <w:bottom w:val="none" w:sz="0" w:space="0" w:color="auto"/>
            <w:right w:val="none" w:sz="0" w:space="0" w:color="auto"/>
          </w:divBdr>
          <w:divsChild>
            <w:div w:id="1548645268">
              <w:marLeft w:val="0"/>
              <w:marRight w:val="0"/>
              <w:marTop w:val="0"/>
              <w:marBottom w:val="0"/>
              <w:divBdr>
                <w:top w:val="none" w:sz="0" w:space="0" w:color="auto"/>
                <w:left w:val="none" w:sz="0" w:space="0" w:color="auto"/>
                <w:bottom w:val="none" w:sz="0" w:space="0" w:color="auto"/>
                <w:right w:val="none" w:sz="0" w:space="0" w:color="auto"/>
              </w:divBdr>
              <w:divsChild>
                <w:div w:id="201094672">
                  <w:marLeft w:val="0"/>
                  <w:marRight w:val="1"/>
                  <w:marTop w:val="0"/>
                  <w:marBottom w:val="0"/>
                  <w:divBdr>
                    <w:top w:val="none" w:sz="0" w:space="0" w:color="auto"/>
                    <w:left w:val="none" w:sz="0" w:space="0" w:color="auto"/>
                    <w:bottom w:val="none" w:sz="0" w:space="0" w:color="auto"/>
                    <w:right w:val="none" w:sz="0" w:space="0" w:color="auto"/>
                  </w:divBdr>
                  <w:divsChild>
                    <w:div w:id="1058434386">
                      <w:marLeft w:val="0"/>
                      <w:marRight w:val="0"/>
                      <w:marTop w:val="0"/>
                      <w:marBottom w:val="0"/>
                      <w:divBdr>
                        <w:top w:val="none" w:sz="0" w:space="0" w:color="auto"/>
                        <w:left w:val="none" w:sz="0" w:space="0" w:color="auto"/>
                        <w:bottom w:val="none" w:sz="0" w:space="0" w:color="auto"/>
                        <w:right w:val="none" w:sz="0" w:space="0" w:color="auto"/>
                      </w:divBdr>
                      <w:divsChild>
                        <w:div w:id="1473983103">
                          <w:marLeft w:val="0"/>
                          <w:marRight w:val="0"/>
                          <w:marTop w:val="0"/>
                          <w:marBottom w:val="0"/>
                          <w:divBdr>
                            <w:top w:val="none" w:sz="0" w:space="0" w:color="auto"/>
                            <w:left w:val="none" w:sz="0" w:space="0" w:color="auto"/>
                            <w:bottom w:val="none" w:sz="0" w:space="0" w:color="auto"/>
                            <w:right w:val="none" w:sz="0" w:space="0" w:color="auto"/>
                          </w:divBdr>
                          <w:divsChild>
                            <w:div w:id="1109200883">
                              <w:marLeft w:val="0"/>
                              <w:marRight w:val="0"/>
                              <w:marTop w:val="120"/>
                              <w:marBottom w:val="360"/>
                              <w:divBdr>
                                <w:top w:val="none" w:sz="0" w:space="0" w:color="auto"/>
                                <w:left w:val="none" w:sz="0" w:space="0" w:color="auto"/>
                                <w:bottom w:val="none" w:sz="0" w:space="0" w:color="auto"/>
                                <w:right w:val="none" w:sz="0" w:space="0" w:color="auto"/>
                              </w:divBdr>
                              <w:divsChild>
                                <w:div w:id="1335185043">
                                  <w:marLeft w:val="0"/>
                                  <w:marRight w:val="0"/>
                                  <w:marTop w:val="0"/>
                                  <w:marBottom w:val="0"/>
                                  <w:divBdr>
                                    <w:top w:val="none" w:sz="0" w:space="0" w:color="auto"/>
                                    <w:left w:val="none" w:sz="0" w:space="0" w:color="auto"/>
                                    <w:bottom w:val="none" w:sz="0" w:space="0" w:color="auto"/>
                                    <w:right w:val="none" w:sz="0" w:space="0" w:color="auto"/>
                                  </w:divBdr>
                                </w:div>
                                <w:div w:id="19329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024153">
      <w:bodyDiv w:val="1"/>
      <w:marLeft w:val="0"/>
      <w:marRight w:val="0"/>
      <w:marTop w:val="0"/>
      <w:marBottom w:val="0"/>
      <w:divBdr>
        <w:top w:val="none" w:sz="0" w:space="0" w:color="auto"/>
        <w:left w:val="none" w:sz="0" w:space="0" w:color="auto"/>
        <w:bottom w:val="none" w:sz="0" w:space="0" w:color="auto"/>
        <w:right w:val="none" w:sz="0" w:space="0" w:color="auto"/>
      </w:divBdr>
    </w:div>
    <w:div w:id="1291670865">
      <w:bodyDiv w:val="1"/>
      <w:marLeft w:val="0"/>
      <w:marRight w:val="0"/>
      <w:marTop w:val="0"/>
      <w:marBottom w:val="0"/>
      <w:divBdr>
        <w:top w:val="none" w:sz="0" w:space="0" w:color="auto"/>
        <w:left w:val="none" w:sz="0" w:space="0" w:color="auto"/>
        <w:bottom w:val="none" w:sz="0" w:space="0" w:color="auto"/>
        <w:right w:val="none" w:sz="0" w:space="0" w:color="auto"/>
      </w:divBdr>
      <w:divsChild>
        <w:div w:id="1311716441">
          <w:marLeft w:val="0"/>
          <w:marRight w:val="1"/>
          <w:marTop w:val="0"/>
          <w:marBottom w:val="0"/>
          <w:divBdr>
            <w:top w:val="none" w:sz="0" w:space="0" w:color="auto"/>
            <w:left w:val="none" w:sz="0" w:space="0" w:color="auto"/>
            <w:bottom w:val="none" w:sz="0" w:space="0" w:color="auto"/>
            <w:right w:val="none" w:sz="0" w:space="0" w:color="auto"/>
          </w:divBdr>
          <w:divsChild>
            <w:div w:id="1486314481">
              <w:marLeft w:val="0"/>
              <w:marRight w:val="0"/>
              <w:marTop w:val="0"/>
              <w:marBottom w:val="0"/>
              <w:divBdr>
                <w:top w:val="none" w:sz="0" w:space="0" w:color="auto"/>
                <w:left w:val="none" w:sz="0" w:space="0" w:color="auto"/>
                <w:bottom w:val="none" w:sz="0" w:space="0" w:color="auto"/>
                <w:right w:val="none" w:sz="0" w:space="0" w:color="auto"/>
              </w:divBdr>
              <w:divsChild>
                <w:div w:id="628242381">
                  <w:marLeft w:val="0"/>
                  <w:marRight w:val="1"/>
                  <w:marTop w:val="0"/>
                  <w:marBottom w:val="0"/>
                  <w:divBdr>
                    <w:top w:val="none" w:sz="0" w:space="0" w:color="auto"/>
                    <w:left w:val="none" w:sz="0" w:space="0" w:color="auto"/>
                    <w:bottom w:val="none" w:sz="0" w:space="0" w:color="auto"/>
                    <w:right w:val="none" w:sz="0" w:space="0" w:color="auto"/>
                  </w:divBdr>
                  <w:divsChild>
                    <w:div w:id="1234193294">
                      <w:marLeft w:val="0"/>
                      <w:marRight w:val="0"/>
                      <w:marTop w:val="0"/>
                      <w:marBottom w:val="0"/>
                      <w:divBdr>
                        <w:top w:val="none" w:sz="0" w:space="0" w:color="auto"/>
                        <w:left w:val="none" w:sz="0" w:space="0" w:color="auto"/>
                        <w:bottom w:val="none" w:sz="0" w:space="0" w:color="auto"/>
                        <w:right w:val="none" w:sz="0" w:space="0" w:color="auto"/>
                      </w:divBdr>
                      <w:divsChild>
                        <w:div w:id="381442636">
                          <w:marLeft w:val="0"/>
                          <w:marRight w:val="0"/>
                          <w:marTop w:val="0"/>
                          <w:marBottom w:val="0"/>
                          <w:divBdr>
                            <w:top w:val="none" w:sz="0" w:space="0" w:color="auto"/>
                            <w:left w:val="none" w:sz="0" w:space="0" w:color="auto"/>
                            <w:bottom w:val="none" w:sz="0" w:space="0" w:color="auto"/>
                            <w:right w:val="none" w:sz="0" w:space="0" w:color="auto"/>
                          </w:divBdr>
                          <w:divsChild>
                            <w:div w:id="1018502754">
                              <w:marLeft w:val="0"/>
                              <w:marRight w:val="0"/>
                              <w:marTop w:val="120"/>
                              <w:marBottom w:val="360"/>
                              <w:divBdr>
                                <w:top w:val="none" w:sz="0" w:space="0" w:color="auto"/>
                                <w:left w:val="none" w:sz="0" w:space="0" w:color="auto"/>
                                <w:bottom w:val="none" w:sz="0" w:space="0" w:color="auto"/>
                                <w:right w:val="none" w:sz="0" w:space="0" w:color="auto"/>
                              </w:divBdr>
                              <w:divsChild>
                                <w:div w:id="656736294">
                                  <w:marLeft w:val="0"/>
                                  <w:marRight w:val="0"/>
                                  <w:marTop w:val="0"/>
                                  <w:marBottom w:val="0"/>
                                  <w:divBdr>
                                    <w:top w:val="none" w:sz="0" w:space="0" w:color="auto"/>
                                    <w:left w:val="none" w:sz="0" w:space="0" w:color="auto"/>
                                    <w:bottom w:val="none" w:sz="0" w:space="0" w:color="auto"/>
                                    <w:right w:val="none" w:sz="0" w:space="0" w:color="auto"/>
                                  </w:divBdr>
                                </w:div>
                                <w:div w:id="6950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340348">
      <w:bodyDiv w:val="1"/>
      <w:marLeft w:val="0"/>
      <w:marRight w:val="0"/>
      <w:marTop w:val="0"/>
      <w:marBottom w:val="0"/>
      <w:divBdr>
        <w:top w:val="none" w:sz="0" w:space="0" w:color="auto"/>
        <w:left w:val="none" w:sz="0" w:space="0" w:color="auto"/>
        <w:bottom w:val="none" w:sz="0" w:space="0" w:color="auto"/>
        <w:right w:val="none" w:sz="0" w:space="0" w:color="auto"/>
      </w:divBdr>
    </w:div>
    <w:div w:id="1492913008">
      <w:bodyDiv w:val="1"/>
      <w:marLeft w:val="0"/>
      <w:marRight w:val="0"/>
      <w:marTop w:val="0"/>
      <w:marBottom w:val="0"/>
      <w:divBdr>
        <w:top w:val="none" w:sz="0" w:space="0" w:color="auto"/>
        <w:left w:val="none" w:sz="0" w:space="0" w:color="auto"/>
        <w:bottom w:val="none" w:sz="0" w:space="0" w:color="auto"/>
        <w:right w:val="none" w:sz="0" w:space="0" w:color="auto"/>
      </w:divBdr>
      <w:divsChild>
        <w:div w:id="1582105996">
          <w:marLeft w:val="0"/>
          <w:marRight w:val="1"/>
          <w:marTop w:val="0"/>
          <w:marBottom w:val="0"/>
          <w:divBdr>
            <w:top w:val="none" w:sz="0" w:space="0" w:color="auto"/>
            <w:left w:val="none" w:sz="0" w:space="0" w:color="auto"/>
            <w:bottom w:val="none" w:sz="0" w:space="0" w:color="auto"/>
            <w:right w:val="none" w:sz="0" w:space="0" w:color="auto"/>
          </w:divBdr>
          <w:divsChild>
            <w:div w:id="1724022488">
              <w:marLeft w:val="0"/>
              <w:marRight w:val="0"/>
              <w:marTop w:val="0"/>
              <w:marBottom w:val="0"/>
              <w:divBdr>
                <w:top w:val="none" w:sz="0" w:space="0" w:color="auto"/>
                <w:left w:val="none" w:sz="0" w:space="0" w:color="auto"/>
                <w:bottom w:val="none" w:sz="0" w:space="0" w:color="auto"/>
                <w:right w:val="none" w:sz="0" w:space="0" w:color="auto"/>
              </w:divBdr>
              <w:divsChild>
                <w:div w:id="1267735743">
                  <w:marLeft w:val="0"/>
                  <w:marRight w:val="1"/>
                  <w:marTop w:val="0"/>
                  <w:marBottom w:val="0"/>
                  <w:divBdr>
                    <w:top w:val="none" w:sz="0" w:space="0" w:color="auto"/>
                    <w:left w:val="none" w:sz="0" w:space="0" w:color="auto"/>
                    <w:bottom w:val="none" w:sz="0" w:space="0" w:color="auto"/>
                    <w:right w:val="none" w:sz="0" w:space="0" w:color="auto"/>
                  </w:divBdr>
                  <w:divsChild>
                    <w:div w:id="1568760414">
                      <w:marLeft w:val="0"/>
                      <w:marRight w:val="0"/>
                      <w:marTop w:val="0"/>
                      <w:marBottom w:val="0"/>
                      <w:divBdr>
                        <w:top w:val="none" w:sz="0" w:space="0" w:color="auto"/>
                        <w:left w:val="none" w:sz="0" w:space="0" w:color="auto"/>
                        <w:bottom w:val="none" w:sz="0" w:space="0" w:color="auto"/>
                        <w:right w:val="none" w:sz="0" w:space="0" w:color="auto"/>
                      </w:divBdr>
                      <w:divsChild>
                        <w:div w:id="1831481456">
                          <w:marLeft w:val="0"/>
                          <w:marRight w:val="0"/>
                          <w:marTop w:val="0"/>
                          <w:marBottom w:val="0"/>
                          <w:divBdr>
                            <w:top w:val="none" w:sz="0" w:space="0" w:color="auto"/>
                            <w:left w:val="none" w:sz="0" w:space="0" w:color="auto"/>
                            <w:bottom w:val="none" w:sz="0" w:space="0" w:color="auto"/>
                            <w:right w:val="none" w:sz="0" w:space="0" w:color="auto"/>
                          </w:divBdr>
                          <w:divsChild>
                            <w:div w:id="923225126">
                              <w:marLeft w:val="0"/>
                              <w:marRight w:val="0"/>
                              <w:marTop w:val="120"/>
                              <w:marBottom w:val="360"/>
                              <w:divBdr>
                                <w:top w:val="none" w:sz="0" w:space="0" w:color="auto"/>
                                <w:left w:val="none" w:sz="0" w:space="0" w:color="auto"/>
                                <w:bottom w:val="none" w:sz="0" w:space="0" w:color="auto"/>
                                <w:right w:val="none" w:sz="0" w:space="0" w:color="auto"/>
                              </w:divBdr>
                              <w:divsChild>
                                <w:div w:id="1239948228">
                                  <w:marLeft w:val="0"/>
                                  <w:marRight w:val="0"/>
                                  <w:marTop w:val="0"/>
                                  <w:marBottom w:val="0"/>
                                  <w:divBdr>
                                    <w:top w:val="none" w:sz="0" w:space="0" w:color="auto"/>
                                    <w:left w:val="none" w:sz="0" w:space="0" w:color="auto"/>
                                    <w:bottom w:val="none" w:sz="0" w:space="0" w:color="auto"/>
                                    <w:right w:val="none" w:sz="0" w:space="0" w:color="auto"/>
                                  </w:divBdr>
                                  <w:divsChild>
                                    <w:div w:id="19796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1905">
      <w:bodyDiv w:val="1"/>
      <w:marLeft w:val="0"/>
      <w:marRight w:val="0"/>
      <w:marTop w:val="0"/>
      <w:marBottom w:val="0"/>
      <w:divBdr>
        <w:top w:val="none" w:sz="0" w:space="0" w:color="auto"/>
        <w:left w:val="none" w:sz="0" w:space="0" w:color="auto"/>
        <w:bottom w:val="none" w:sz="0" w:space="0" w:color="auto"/>
        <w:right w:val="none" w:sz="0" w:space="0" w:color="auto"/>
      </w:divBdr>
      <w:divsChild>
        <w:div w:id="332922969">
          <w:marLeft w:val="0"/>
          <w:marRight w:val="1"/>
          <w:marTop w:val="0"/>
          <w:marBottom w:val="0"/>
          <w:divBdr>
            <w:top w:val="none" w:sz="0" w:space="0" w:color="auto"/>
            <w:left w:val="none" w:sz="0" w:space="0" w:color="auto"/>
            <w:bottom w:val="none" w:sz="0" w:space="0" w:color="auto"/>
            <w:right w:val="none" w:sz="0" w:space="0" w:color="auto"/>
          </w:divBdr>
          <w:divsChild>
            <w:div w:id="854273281">
              <w:marLeft w:val="0"/>
              <w:marRight w:val="0"/>
              <w:marTop w:val="0"/>
              <w:marBottom w:val="0"/>
              <w:divBdr>
                <w:top w:val="none" w:sz="0" w:space="0" w:color="auto"/>
                <w:left w:val="none" w:sz="0" w:space="0" w:color="auto"/>
                <w:bottom w:val="none" w:sz="0" w:space="0" w:color="auto"/>
                <w:right w:val="none" w:sz="0" w:space="0" w:color="auto"/>
              </w:divBdr>
              <w:divsChild>
                <w:div w:id="68769386">
                  <w:marLeft w:val="0"/>
                  <w:marRight w:val="1"/>
                  <w:marTop w:val="0"/>
                  <w:marBottom w:val="0"/>
                  <w:divBdr>
                    <w:top w:val="none" w:sz="0" w:space="0" w:color="auto"/>
                    <w:left w:val="none" w:sz="0" w:space="0" w:color="auto"/>
                    <w:bottom w:val="none" w:sz="0" w:space="0" w:color="auto"/>
                    <w:right w:val="none" w:sz="0" w:space="0" w:color="auto"/>
                  </w:divBdr>
                  <w:divsChild>
                    <w:div w:id="707024649">
                      <w:marLeft w:val="0"/>
                      <w:marRight w:val="0"/>
                      <w:marTop w:val="0"/>
                      <w:marBottom w:val="0"/>
                      <w:divBdr>
                        <w:top w:val="none" w:sz="0" w:space="0" w:color="auto"/>
                        <w:left w:val="none" w:sz="0" w:space="0" w:color="auto"/>
                        <w:bottom w:val="none" w:sz="0" w:space="0" w:color="auto"/>
                        <w:right w:val="none" w:sz="0" w:space="0" w:color="auto"/>
                      </w:divBdr>
                      <w:divsChild>
                        <w:div w:id="1319845003">
                          <w:marLeft w:val="0"/>
                          <w:marRight w:val="0"/>
                          <w:marTop w:val="0"/>
                          <w:marBottom w:val="0"/>
                          <w:divBdr>
                            <w:top w:val="none" w:sz="0" w:space="0" w:color="auto"/>
                            <w:left w:val="none" w:sz="0" w:space="0" w:color="auto"/>
                            <w:bottom w:val="none" w:sz="0" w:space="0" w:color="auto"/>
                            <w:right w:val="none" w:sz="0" w:space="0" w:color="auto"/>
                          </w:divBdr>
                          <w:divsChild>
                            <w:div w:id="655495638">
                              <w:marLeft w:val="0"/>
                              <w:marRight w:val="0"/>
                              <w:marTop w:val="120"/>
                              <w:marBottom w:val="360"/>
                              <w:divBdr>
                                <w:top w:val="none" w:sz="0" w:space="0" w:color="auto"/>
                                <w:left w:val="none" w:sz="0" w:space="0" w:color="auto"/>
                                <w:bottom w:val="none" w:sz="0" w:space="0" w:color="auto"/>
                                <w:right w:val="none" w:sz="0" w:space="0" w:color="auto"/>
                              </w:divBdr>
                              <w:divsChild>
                                <w:div w:id="2076779170">
                                  <w:marLeft w:val="0"/>
                                  <w:marRight w:val="0"/>
                                  <w:marTop w:val="0"/>
                                  <w:marBottom w:val="0"/>
                                  <w:divBdr>
                                    <w:top w:val="none" w:sz="0" w:space="0" w:color="auto"/>
                                    <w:left w:val="none" w:sz="0" w:space="0" w:color="auto"/>
                                    <w:bottom w:val="none" w:sz="0" w:space="0" w:color="auto"/>
                                    <w:right w:val="none" w:sz="0" w:space="0" w:color="auto"/>
                                  </w:divBdr>
                                  <w:divsChild>
                                    <w:div w:id="1755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311054">
      <w:bodyDiv w:val="1"/>
      <w:marLeft w:val="0"/>
      <w:marRight w:val="0"/>
      <w:marTop w:val="0"/>
      <w:marBottom w:val="0"/>
      <w:divBdr>
        <w:top w:val="none" w:sz="0" w:space="0" w:color="auto"/>
        <w:left w:val="none" w:sz="0" w:space="0" w:color="auto"/>
        <w:bottom w:val="none" w:sz="0" w:space="0" w:color="auto"/>
        <w:right w:val="none" w:sz="0" w:space="0" w:color="auto"/>
      </w:divBdr>
      <w:divsChild>
        <w:div w:id="2064520693">
          <w:marLeft w:val="0"/>
          <w:marRight w:val="1"/>
          <w:marTop w:val="0"/>
          <w:marBottom w:val="0"/>
          <w:divBdr>
            <w:top w:val="none" w:sz="0" w:space="0" w:color="auto"/>
            <w:left w:val="none" w:sz="0" w:space="0" w:color="auto"/>
            <w:bottom w:val="none" w:sz="0" w:space="0" w:color="auto"/>
            <w:right w:val="none" w:sz="0" w:space="0" w:color="auto"/>
          </w:divBdr>
          <w:divsChild>
            <w:div w:id="756636658">
              <w:marLeft w:val="0"/>
              <w:marRight w:val="0"/>
              <w:marTop w:val="0"/>
              <w:marBottom w:val="0"/>
              <w:divBdr>
                <w:top w:val="none" w:sz="0" w:space="0" w:color="auto"/>
                <w:left w:val="none" w:sz="0" w:space="0" w:color="auto"/>
                <w:bottom w:val="none" w:sz="0" w:space="0" w:color="auto"/>
                <w:right w:val="none" w:sz="0" w:space="0" w:color="auto"/>
              </w:divBdr>
              <w:divsChild>
                <w:div w:id="1323464026">
                  <w:marLeft w:val="0"/>
                  <w:marRight w:val="1"/>
                  <w:marTop w:val="0"/>
                  <w:marBottom w:val="0"/>
                  <w:divBdr>
                    <w:top w:val="none" w:sz="0" w:space="0" w:color="auto"/>
                    <w:left w:val="none" w:sz="0" w:space="0" w:color="auto"/>
                    <w:bottom w:val="none" w:sz="0" w:space="0" w:color="auto"/>
                    <w:right w:val="none" w:sz="0" w:space="0" w:color="auto"/>
                  </w:divBdr>
                  <w:divsChild>
                    <w:div w:id="410004151">
                      <w:marLeft w:val="0"/>
                      <w:marRight w:val="0"/>
                      <w:marTop w:val="0"/>
                      <w:marBottom w:val="0"/>
                      <w:divBdr>
                        <w:top w:val="none" w:sz="0" w:space="0" w:color="auto"/>
                        <w:left w:val="none" w:sz="0" w:space="0" w:color="auto"/>
                        <w:bottom w:val="none" w:sz="0" w:space="0" w:color="auto"/>
                        <w:right w:val="none" w:sz="0" w:space="0" w:color="auto"/>
                      </w:divBdr>
                      <w:divsChild>
                        <w:div w:id="1305281240">
                          <w:marLeft w:val="0"/>
                          <w:marRight w:val="0"/>
                          <w:marTop w:val="0"/>
                          <w:marBottom w:val="0"/>
                          <w:divBdr>
                            <w:top w:val="none" w:sz="0" w:space="0" w:color="auto"/>
                            <w:left w:val="none" w:sz="0" w:space="0" w:color="auto"/>
                            <w:bottom w:val="none" w:sz="0" w:space="0" w:color="auto"/>
                            <w:right w:val="none" w:sz="0" w:space="0" w:color="auto"/>
                          </w:divBdr>
                          <w:divsChild>
                            <w:div w:id="202913261">
                              <w:marLeft w:val="0"/>
                              <w:marRight w:val="0"/>
                              <w:marTop w:val="120"/>
                              <w:marBottom w:val="360"/>
                              <w:divBdr>
                                <w:top w:val="none" w:sz="0" w:space="0" w:color="auto"/>
                                <w:left w:val="none" w:sz="0" w:space="0" w:color="auto"/>
                                <w:bottom w:val="none" w:sz="0" w:space="0" w:color="auto"/>
                                <w:right w:val="none" w:sz="0" w:space="0" w:color="auto"/>
                              </w:divBdr>
                              <w:divsChild>
                                <w:div w:id="269047995">
                                  <w:marLeft w:val="0"/>
                                  <w:marRight w:val="0"/>
                                  <w:marTop w:val="0"/>
                                  <w:marBottom w:val="0"/>
                                  <w:divBdr>
                                    <w:top w:val="none" w:sz="0" w:space="0" w:color="auto"/>
                                    <w:left w:val="none" w:sz="0" w:space="0" w:color="auto"/>
                                    <w:bottom w:val="none" w:sz="0" w:space="0" w:color="auto"/>
                                    <w:right w:val="none" w:sz="0" w:space="0" w:color="auto"/>
                                  </w:divBdr>
                                </w:div>
                                <w:div w:id="788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33489">
      <w:bodyDiv w:val="1"/>
      <w:marLeft w:val="0"/>
      <w:marRight w:val="0"/>
      <w:marTop w:val="0"/>
      <w:marBottom w:val="0"/>
      <w:divBdr>
        <w:top w:val="none" w:sz="0" w:space="0" w:color="auto"/>
        <w:left w:val="none" w:sz="0" w:space="0" w:color="auto"/>
        <w:bottom w:val="none" w:sz="0" w:space="0" w:color="auto"/>
        <w:right w:val="none" w:sz="0" w:space="0" w:color="auto"/>
      </w:divBdr>
      <w:divsChild>
        <w:div w:id="1712266638">
          <w:marLeft w:val="0"/>
          <w:marRight w:val="1"/>
          <w:marTop w:val="0"/>
          <w:marBottom w:val="0"/>
          <w:divBdr>
            <w:top w:val="none" w:sz="0" w:space="0" w:color="auto"/>
            <w:left w:val="none" w:sz="0" w:space="0" w:color="auto"/>
            <w:bottom w:val="none" w:sz="0" w:space="0" w:color="auto"/>
            <w:right w:val="none" w:sz="0" w:space="0" w:color="auto"/>
          </w:divBdr>
          <w:divsChild>
            <w:div w:id="1342197434">
              <w:marLeft w:val="0"/>
              <w:marRight w:val="0"/>
              <w:marTop w:val="0"/>
              <w:marBottom w:val="0"/>
              <w:divBdr>
                <w:top w:val="none" w:sz="0" w:space="0" w:color="auto"/>
                <w:left w:val="none" w:sz="0" w:space="0" w:color="auto"/>
                <w:bottom w:val="none" w:sz="0" w:space="0" w:color="auto"/>
                <w:right w:val="none" w:sz="0" w:space="0" w:color="auto"/>
              </w:divBdr>
              <w:divsChild>
                <w:div w:id="339622514">
                  <w:marLeft w:val="0"/>
                  <w:marRight w:val="1"/>
                  <w:marTop w:val="0"/>
                  <w:marBottom w:val="0"/>
                  <w:divBdr>
                    <w:top w:val="none" w:sz="0" w:space="0" w:color="auto"/>
                    <w:left w:val="none" w:sz="0" w:space="0" w:color="auto"/>
                    <w:bottom w:val="none" w:sz="0" w:space="0" w:color="auto"/>
                    <w:right w:val="none" w:sz="0" w:space="0" w:color="auto"/>
                  </w:divBdr>
                  <w:divsChild>
                    <w:div w:id="1529372519">
                      <w:marLeft w:val="0"/>
                      <w:marRight w:val="0"/>
                      <w:marTop w:val="0"/>
                      <w:marBottom w:val="0"/>
                      <w:divBdr>
                        <w:top w:val="none" w:sz="0" w:space="0" w:color="auto"/>
                        <w:left w:val="none" w:sz="0" w:space="0" w:color="auto"/>
                        <w:bottom w:val="none" w:sz="0" w:space="0" w:color="auto"/>
                        <w:right w:val="none" w:sz="0" w:space="0" w:color="auto"/>
                      </w:divBdr>
                      <w:divsChild>
                        <w:div w:id="1844540390">
                          <w:marLeft w:val="0"/>
                          <w:marRight w:val="0"/>
                          <w:marTop w:val="0"/>
                          <w:marBottom w:val="0"/>
                          <w:divBdr>
                            <w:top w:val="none" w:sz="0" w:space="0" w:color="auto"/>
                            <w:left w:val="none" w:sz="0" w:space="0" w:color="auto"/>
                            <w:bottom w:val="none" w:sz="0" w:space="0" w:color="auto"/>
                            <w:right w:val="none" w:sz="0" w:space="0" w:color="auto"/>
                          </w:divBdr>
                          <w:divsChild>
                            <w:div w:id="2098941950">
                              <w:marLeft w:val="0"/>
                              <w:marRight w:val="0"/>
                              <w:marTop w:val="120"/>
                              <w:marBottom w:val="360"/>
                              <w:divBdr>
                                <w:top w:val="none" w:sz="0" w:space="0" w:color="auto"/>
                                <w:left w:val="none" w:sz="0" w:space="0" w:color="auto"/>
                                <w:bottom w:val="none" w:sz="0" w:space="0" w:color="auto"/>
                                <w:right w:val="none" w:sz="0" w:space="0" w:color="auto"/>
                              </w:divBdr>
                              <w:divsChild>
                                <w:div w:id="46808999">
                                  <w:marLeft w:val="0"/>
                                  <w:marRight w:val="0"/>
                                  <w:marTop w:val="0"/>
                                  <w:marBottom w:val="0"/>
                                  <w:divBdr>
                                    <w:top w:val="none" w:sz="0" w:space="0" w:color="auto"/>
                                    <w:left w:val="none" w:sz="0" w:space="0" w:color="auto"/>
                                    <w:bottom w:val="none" w:sz="0" w:space="0" w:color="auto"/>
                                    <w:right w:val="none" w:sz="0" w:space="0" w:color="auto"/>
                                  </w:divBdr>
                                  <w:divsChild>
                                    <w:div w:id="15393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981269">
      <w:bodyDiv w:val="1"/>
      <w:marLeft w:val="0"/>
      <w:marRight w:val="0"/>
      <w:marTop w:val="0"/>
      <w:marBottom w:val="0"/>
      <w:divBdr>
        <w:top w:val="none" w:sz="0" w:space="0" w:color="auto"/>
        <w:left w:val="none" w:sz="0" w:space="0" w:color="auto"/>
        <w:bottom w:val="none" w:sz="0" w:space="0" w:color="auto"/>
        <w:right w:val="none" w:sz="0" w:space="0" w:color="auto"/>
      </w:divBdr>
      <w:divsChild>
        <w:div w:id="767309046">
          <w:marLeft w:val="0"/>
          <w:marRight w:val="1"/>
          <w:marTop w:val="0"/>
          <w:marBottom w:val="0"/>
          <w:divBdr>
            <w:top w:val="none" w:sz="0" w:space="0" w:color="auto"/>
            <w:left w:val="none" w:sz="0" w:space="0" w:color="auto"/>
            <w:bottom w:val="none" w:sz="0" w:space="0" w:color="auto"/>
            <w:right w:val="none" w:sz="0" w:space="0" w:color="auto"/>
          </w:divBdr>
          <w:divsChild>
            <w:div w:id="1197086392">
              <w:marLeft w:val="0"/>
              <w:marRight w:val="0"/>
              <w:marTop w:val="0"/>
              <w:marBottom w:val="0"/>
              <w:divBdr>
                <w:top w:val="none" w:sz="0" w:space="0" w:color="auto"/>
                <w:left w:val="none" w:sz="0" w:space="0" w:color="auto"/>
                <w:bottom w:val="none" w:sz="0" w:space="0" w:color="auto"/>
                <w:right w:val="none" w:sz="0" w:space="0" w:color="auto"/>
              </w:divBdr>
              <w:divsChild>
                <w:div w:id="500194252">
                  <w:marLeft w:val="0"/>
                  <w:marRight w:val="1"/>
                  <w:marTop w:val="0"/>
                  <w:marBottom w:val="0"/>
                  <w:divBdr>
                    <w:top w:val="none" w:sz="0" w:space="0" w:color="auto"/>
                    <w:left w:val="none" w:sz="0" w:space="0" w:color="auto"/>
                    <w:bottom w:val="none" w:sz="0" w:space="0" w:color="auto"/>
                    <w:right w:val="none" w:sz="0" w:space="0" w:color="auto"/>
                  </w:divBdr>
                  <w:divsChild>
                    <w:div w:id="1861621842">
                      <w:marLeft w:val="0"/>
                      <w:marRight w:val="0"/>
                      <w:marTop w:val="0"/>
                      <w:marBottom w:val="0"/>
                      <w:divBdr>
                        <w:top w:val="none" w:sz="0" w:space="0" w:color="auto"/>
                        <w:left w:val="none" w:sz="0" w:space="0" w:color="auto"/>
                        <w:bottom w:val="none" w:sz="0" w:space="0" w:color="auto"/>
                        <w:right w:val="none" w:sz="0" w:space="0" w:color="auto"/>
                      </w:divBdr>
                      <w:divsChild>
                        <w:div w:id="1661225872">
                          <w:marLeft w:val="0"/>
                          <w:marRight w:val="0"/>
                          <w:marTop w:val="0"/>
                          <w:marBottom w:val="0"/>
                          <w:divBdr>
                            <w:top w:val="none" w:sz="0" w:space="0" w:color="auto"/>
                            <w:left w:val="none" w:sz="0" w:space="0" w:color="auto"/>
                            <w:bottom w:val="none" w:sz="0" w:space="0" w:color="auto"/>
                            <w:right w:val="none" w:sz="0" w:space="0" w:color="auto"/>
                          </w:divBdr>
                          <w:divsChild>
                            <w:div w:id="1615676467">
                              <w:marLeft w:val="0"/>
                              <w:marRight w:val="0"/>
                              <w:marTop w:val="120"/>
                              <w:marBottom w:val="360"/>
                              <w:divBdr>
                                <w:top w:val="none" w:sz="0" w:space="0" w:color="auto"/>
                                <w:left w:val="none" w:sz="0" w:space="0" w:color="auto"/>
                                <w:bottom w:val="none" w:sz="0" w:space="0" w:color="auto"/>
                                <w:right w:val="none" w:sz="0" w:space="0" w:color="auto"/>
                              </w:divBdr>
                              <w:divsChild>
                                <w:div w:id="502359139">
                                  <w:marLeft w:val="0"/>
                                  <w:marRight w:val="0"/>
                                  <w:marTop w:val="0"/>
                                  <w:marBottom w:val="0"/>
                                  <w:divBdr>
                                    <w:top w:val="none" w:sz="0" w:space="0" w:color="auto"/>
                                    <w:left w:val="none" w:sz="0" w:space="0" w:color="auto"/>
                                    <w:bottom w:val="none" w:sz="0" w:space="0" w:color="auto"/>
                                    <w:right w:val="none" w:sz="0" w:space="0" w:color="auto"/>
                                  </w:divBdr>
                                  <w:divsChild>
                                    <w:div w:id="27151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22059">
      <w:bodyDiv w:val="1"/>
      <w:marLeft w:val="0"/>
      <w:marRight w:val="0"/>
      <w:marTop w:val="0"/>
      <w:marBottom w:val="0"/>
      <w:divBdr>
        <w:top w:val="none" w:sz="0" w:space="0" w:color="auto"/>
        <w:left w:val="none" w:sz="0" w:space="0" w:color="auto"/>
        <w:bottom w:val="none" w:sz="0" w:space="0" w:color="auto"/>
        <w:right w:val="none" w:sz="0" w:space="0" w:color="auto"/>
      </w:divBdr>
      <w:divsChild>
        <w:div w:id="1253322671">
          <w:marLeft w:val="0"/>
          <w:marRight w:val="1"/>
          <w:marTop w:val="0"/>
          <w:marBottom w:val="0"/>
          <w:divBdr>
            <w:top w:val="none" w:sz="0" w:space="0" w:color="auto"/>
            <w:left w:val="none" w:sz="0" w:space="0" w:color="auto"/>
            <w:bottom w:val="none" w:sz="0" w:space="0" w:color="auto"/>
            <w:right w:val="none" w:sz="0" w:space="0" w:color="auto"/>
          </w:divBdr>
          <w:divsChild>
            <w:div w:id="500243974">
              <w:marLeft w:val="0"/>
              <w:marRight w:val="0"/>
              <w:marTop w:val="0"/>
              <w:marBottom w:val="0"/>
              <w:divBdr>
                <w:top w:val="none" w:sz="0" w:space="0" w:color="auto"/>
                <w:left w:val="none" w:sz="0" w:space="0" w:color="auto"/>
                <w:bottom w:val="none" w:sz="0" w:space="0" w:color="auto"/>
                <w:right w:val="none" w:sz="0" w:space="0" w:color="auto"/>
              </w:divBdr>
              <w:divsChild>
                <w:div w:id="1581216330">
                  <w:marLeft w:val="0"/>
                  <w:marRight w:val="1"/>
                  <w:marTop w:val="0"/>
                  <w:marBottom w:val="0"/>
                  <w:divBdr>
                    <w:top w:val="none" w:sz="0" w:space="0" w:color="auto"/>
                    <w:left w:val="none" w:sz="0" w:space="0" w:color="auto"/>
                    <w:bottom w:val="none" w:sz="0" w:space="0" w:color="auto"/>
                    <w:right w:val="none" w:sz="0" w:space="0" w:color="auto"/>
                  </w:divBdr>
                  <w:divsChild>
                    <w:div w:id="10037734">
                      <w:marLeft w:val="0"/>
                      <w:marRight w:val="0"/>
                      <w:marTop w:val="0"/>
                      <w:marBottom w:val="0"/>
                      <w:divBdr>
                        <w:top w:val="none" w:sz="0" w:space="0" w:color="auto"/>
                        <w:left w:val="none" w:sz="0" w:space="0" w:color="auto"/>
                        <w:bottom w:val="none" w:sz="0" w:space="0" w:color="auto"/>
                        <w:right w:val="none" w:sz="0" w:space="0" w:color="auto"/>
                      </w:divBdr>
                      <w:divsChild>
                        <w:div w:id="1511021314">
                          <w:marLeft w:val="0"/>
                          <w:marRight w:val="0"/>
                          <w:marTop w:val="0"/>
                          <w:marBottom w:val="0"/>
                          <w:divBdr>
                            <w:top w:val="none" w:sz="0" w:space="0" w:color="auto"/>
                            <w:left w:val="none" w:sz="0" w:space="0" w:color="auto"/>
                            <w:bottom w:val="none" w:sz="0" w:space="0" w:color="auto"/>
                            <w:right w:val="none" w:sz="0" w:space="0" w:color="auto"/>
                          </w:divBdr>
                          <w:divsChild>
                            <w:div w:id="1033113813">
                              <w:marLeft w:val="0"/>
                              <w:marRight w:val="0"/>
                              <w:marTop w:val="120"/>
                              <w:marBottom w:val="360"/>
                              <w:divBdr>
                                <w:top w:val="none" w:sz="0" w:space="0" w:color="auto"/>
                                <w:left w:val="none" w:sz="0" w:space="0" w:color="auto"/>
                                <w:bottom w:val="none" w:sz="0" w:space="0" w:color="auto"/>
                                <w:right w:val="none" w:sz="0" w:space="0" w:color="auto"/>
                              </w:divBdr>
                              <w:divsChild>
                                <w:div w:id="1379864174">
                                  <w:marLeft w:val="0"/>
                                  <w:marRight w:val="0"/>
                                  <w:marTop w:val="0"/>
                                  <w:marBottom w:val="0"/>
                                  <w:divBdr>
                                    <w:top w:val="none" w:sz="0" w:space="0" w:color="auto"/>
                                    <w:left w:val="none" w:sz="0" w:space="0" w:color="auto"/>
                                    <w:bottom w:val="none" w:sz="0" w:space="0" w:color="auto"/>
                                    <w:right w:val="none" w:sz="0" w:space="0" w:color="auto"/>
                                  </w:divBdr>
                                </w:div>
                                <w:div w:id="7559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420803">
      <w:bodyDiv w:val="1"/>
      <w:marLeft w:val="0"/>
      <w:marRight w:val="0"/>
      <w:marTop w:val="0"/>
      <w:marBottom w:val="0"/>
      <w:divBdr>
        <w:top w:val="none" w:sz="0" w:space="0" w:color="auto"/>
        <w:left w:val="none" w:sz="0" w:space="0" w:color="auto"/>
        <w:bottom w:val="none" w:sz="0" w:space="0" w:color="auto"/>
        <w:right w:val="none" w:sz="0" w:space="0" w:color="auto"/>
      </w:divBdr>
    </w:div>
    <w:div w:id="1890023340">
      <w:bodyDiv w:val="1"/>
      <w:marLeft w:val="0"/>
      <w:marRight w:val="0"/>
      <w:marTop w:val="0"/>
      <w:marBottom w:val="0"/>
      <w:divBdr>
        <w:top w:val="none" w:sz="0" w:space="0" w:color="auto"/>
        <w:left w:val="none" w:sz="0" w:space="0" w:color="auto"/>
        <w:bottom w:val="none" w:sz="0" w:space="0" w:color="auto"/>
        <w:right w:val="none" w:sz="0" w:space="0" w:color="auto"/>
      </w:divBdr>
      <w:divsChild>
        <w:div w:id="1047679842">
          <w:marLeft w:val="0"/>
          <w:marRight w:val="1"/>
          <w:marTop w:val="0"/>
          <w:marBottom w:val="0"/>
          <w:divBdr>
            <w:top w:val="none" w:sz="0" w:space="0" w:color="auto"/>
            <w:left w:val="none" w:sz="0" w:space="0" w:color="auto"/>
            <w:bottom w:val="none" w:sz="0" w:space="0" w:color="auto"/>
            <w:right w:val="none" w:sz="0" w:space="0" w:color="auto"/>
          </w:divBdr>
          <w:divsChild>
            <w:div w:id="1858541755">
              <w:marLeft w:val="0"/>
              <w:marRight w:val="0"/>
              <w:marTop w:val="0"/>
              <w:marBottom w:val="0"/>
              <w:divBdr>
                <w:top w:val="none" w:sz="0" w:space="0" w:color="auto"/>
                <w:left w:val="none" w:sz="0" w:space="0" w:color="auto"/>
                <w:bottom w:val="none" w:sz="0" w:space="0" w:color="auto"/>
                <w:right w:val="none" w:sz="0" w:space="0" w:color="auto"/>
              </w:divBdr>
              <w:divsChild>
                <w:div w:id="2036733376">
                  <w:marLeft w:val="0"/>
                  <w:marRight w:val="1"/>
                  <w:marTop w:val="0"/>
                  <w:marBottom w:val="0"/>
                  <w:divBdr>
                    <w:top w:val="none" w:sz="0" w:space="0" w:color="auto"/>
                    <w:left w:val="none" w:sz="0" w:space="0" w:color="auto"/>
                    <w:bottom w:val="none" w:sz="0" w:space="0" w:color="auto"/>
                    <w:right w:val="none" w:sz="0" w:space="0" w:color="auto"/>
                  </w:divBdr>
                  <w:divsChild>
                    <w:div w:id="335617049">
                      <w:marLeft w:val="0"/>
                      <w:marRight w:val="0"/>
                      <w:marTop w:val="0"/>
                      <w:marBottom w:val="0"/>
                      <w:divBdr>
                        <w:top w:val="none" w:sz="0" w:space="0" w:color="auto"/>
                        <w:left w:val="none" w:sz="0" w:space="0" w:color="auto"/>
                        <w:bottom w:val="none" w:sz="0" w:space="0" w:color="auto"/>
                        <w:right w:val="none" w:sz="0" w:space="0" w:color="auto"/>
                      </w:divBdr>
                      <w:divsChild>
                        <w:div w:id="442455950">
                          <w:marLeft w:val="0"/>
                          <w:marRight w:val="0"/>
                          <w:marTop w:val="0"/>
                          <w:marBottom w:val="0"/>
                          <w:divBdr>
                            <w:top w:val="none" w:sz="0" w:space="0" w:color="auto"/>
                            <w:left w:val="none" w:sz="0" w:space="0" w:color="auto"/>
                            <w:bottom w:val="none" w:sz="0" w:space="0" w:color="auto"/>
                            <w:right w:val="none" w:sz="0" w:space="0" w:color="auto"/>
                          </w:divBdr>
                          <w:divsChild>
                            <w:div w:id="1479492273">
                              <w:marLeft w:val="0"/>
                              <w:marRight w:val="0"/>
                              <w:marTop w:val="120"/>
                              <w:marBottom w:val="360"/>
                              <w:divBdr>
                                <w:top w:val="none" w:sz="0" w:space="0" w:color="auto"/>
                                <w:left w:val="none" w:sz="0" w:space="0" w:color="auto"/>
                                <w:bottom w:val="none" w:sz="0" w:space="0" w:color="auto"/>
                                <w:right w:val="none" w:sz="0" w:space="0" w:color="auto"/>
                              </w:divBdr>
                              <w:divsChild>
                                <w:div w:id="710954738">
                                  <w:marLeft w:val="0"/>
                                  <w:marRight w:val="0"/>
                                  <w:marTop w:val="0"/>
                                  <w:marBottom w:val="0"/>
                                  <w:divBdr>
                                    <w:top w:val="none" w:sz="0" w:space="0" w:color="auto"/>
                                    <w:left w:val="none" w:sz="0" w:space="0" w:color="auto"/>
                                    <w:bottom w:val="none" w:sz="0" w:space="0" w:color="auto"/>
                                    <w:right w:val="none" w:sz="0" w:space="0" w:color="auto"/>
                                  </w:divBdr>
                                </w:div>
                                <w:div w:id="7959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1085">
      <w:bodyDiv w:val="1"/>
      <w:marLeft w:val="0"/>
      <w:marRight w:val="0"/>
      <w:marTop w:val="0"/>
      <w:marBottom w:val="0"/>
      <w:divBdr>
        <w:top w:val="none" w:sz="0" w:space="0" w:color="auto"/>
        <w:left w:val="none" w:sz="0" w:space="0" w:color="auto"/>
        <w:bottom w:val="none" w:sz="0" w:space="0" w:color="auto"/>
        <w:right w:val="none" w:sz="0" w:space="0" w:color="auto"/>
      </w:divBdr>
    </w:div>
    <w:div w:id="1979413042">
      <w:bodyDiv w:val="1"/>
      <w:marLeft w:val="0"/>
      <w:marRight w:val="0"/>
      <w:marTop w:val="0"/>
      <w:marBottom w:val="0"/>
      <w:divBdr>
        <w:top w:val="none" w:sz="0" w:space="0" w:color="auto"/>
        <w:left w:val="none" w:sz="0" w:space="0" w:color="auto"/>
        <w:bottom w:val="none" w:sz="0" w:space="0" w:color="auto"/>
        <w:right w:val="none" w:sz="0" w:space="0" w:color="auto"/>
      </w:divBdr>
      <w:divsChild>
        <w:div w:id="1990593119">
          <w:marLeft w:val="0"/>
          <w:marRight w:val="1"/>
          <w:marTop w:val="0"/>
          <w:marBottom w:val="0"/>
          <w:divBdr>
            <w:top w:val="none" w:sz="0" w:space="0" w:color="auto"/>
            <w:left w:val="none" w:sz="0" w:space="0" w:color="auto"/>
            <w:bottom w:val="none" w:sz="0" w:space="0" w:color="auto"/>
            <w:right w:val="none" w:sz="0" w:space="0" w:color="auto"/>
          </w:divBdr>
          <w:divsChild>
            <w:div w:id="1642690131">
              <w:marLeft w:val="0"/>
              <w:marRight w:val="0"/>
              <w:marTop w:val="0"/>
              <w:marBottom w:val="0"/>
              <w:divBdr>
                <w:top w:val="none" w:sz="0" w:space="0" w:color="auto"/>
                <w:left w:val="none" w:sz="0" w:space="0" w:color="auto"/>
                <w:bottom w:val="none" w:sz="0" w:space="0" w:color="auto"/>
                <w:right w:val="none" w:sz="0" w:space="0" w:color="auto"/>
              </w:divBdr>
              <w:divsChild>
                <w:div w:id="1363433467">
                  <w:marLeft w:val="0"/>
                  <w:marRight w:val="1"/>
                  <w:marTop w:val="0"/>
                  <w:marBottom w:val="0"/>
                  <w:divBdr>
                    <w:top w:val="none" w:sz="0" w:space="0" w:color="auto"/>
                    <w:left w:val="none" w:sz="0" w:space="0" w:color="auto"/>
                    <w:bottom w:val="none" w:sz="0" w:space="0" w:color="auto"/>
                    <w:right w:val="none" w:sz="0" w:space="0" w:color="auto"/>
                  </w:divBdr>
                  <w:divsChild>
                    <w:div w:id="1010066434">
                      <w:marLeft w:val="0"/>
                      <w:marRight w:val="0"/>
                      <w:marTop w:val="0"/>
                      <w:marBottom w:val="0"/>
                      <w:divBdr>
                        <w:top w:val="none" w:sz="0" w:space="0" w:color="auto"/>
                        <w:left w:val="none" w:sz="0" w:space="0" w:color="auto"/>
                        <w:bottom w:val="none" w:sz="0" w:space="0" w:color="auto"/>
                        <w:right w:val="none" w:sz="0" w:space="0" w:color="auto"/>
                      </w:divBdr>
                      <w:divsChild>
                        <w:div w:id="1508208095">
                          <w:marLeft w:val="0"/>
                          <w:marRight w:val="0"/>
                          <w:marTop w:val="0"/>
                          <w:marBottom w:val="0"/>
                          <w:divBdr>
                            <w:top w:val="none" w:sz="0" w:space="0" w:color="auto"/>
                            <w:left w:val="none" w:sz="0" w:space="0" w:color="auto"/>
                            <w:bottom w:val="none" w:sz="0" w:space="0" w:color="auto"/>
                            <w:right w:val="none" w:sz="0" w:space="0" w:color="auto"/>
                          </w:divBdr>
                          <w:divsChild>
                            <w:div w:id="791437878">
                              <w:marLeft w:val="0"/>
                              <w:marRight w:val="0"/>
                              <w:marTop w:val="120"/>
                              <w:marBottom w:val="360"/>
                              <w:divBdr>
                                <w:top w:val="none" w:sz="0" w:space="0" w:color="auto"/>
                                <w:left w:val="none" w:sz="0" w:space="0" w:color="auto"/>
                                <w:bottom w:val="none" w:sz="0" w:space="0" w:color="auto"/>
                                <w:right w:val="none" w:sz="0" w:space="0" w:color="auto"/>
                              </w:divBdr>
                              <w:divsChild>
                                <w:div w:id="438836921">
                                  <w:marLeft w:val="0"/>
                                  <w:marRight w:val="0"/>
                                  <w:marTop w:val="0"/>
                                  <w:marBottom w:val="0"/>
                                  <w:divBdr>
                                    <w:top w:val="none" w:sz="0" w:space="0" w:color="auto"/>
                                    <w:left w:val="none" w:sz="0" w:space="0" w:color="auto"/>
                                    <w:bottom w:val="none" w:sz="0" w:space="0" w:color="auto"/>
                                    <w:right w:val="none" w:sz="0" w:space="0" w:color="auto"/>
                                  </w:divBdr>
                                  <w:divsChild>
                                    <w:div w:id="8804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318453">
      <w:bodyDiv w:val="1"/>
      <w:marLeft w:val="0"/>
      <w:marRight w:val="0"/>
      <w:marTop w:val="0"/>
      <w:marBottom w:val="0"/>
      <w:divBdr>
        <w:top w:val="none" w:sz="0" w:space="0" w:color="auto"/>
        <w:left w:val="none" w:sz="0" w:space="0" w:color="auto"/>
        <w:bottom w:val="none" w:sz="0" w:space="0" w:color="auto"/>
        <w:right w:val="none" w:sz="0" w:space="0" w:color="auto"/>
      </w:divBdr>
      <w:divsChild>
        <w:div w:id="180557602">
          <w:marLeft w:val="0"/>
          <w:marRight w:val="1"/>
          <w:marTop w:val="0"/>
          <w:marBottom w:val="0"/>
          <w:divBdr>
            <w:top w:val="none" w:sz="0" w:space="0" w:color="auto"/>
            <w:left w:val="none" w:sz="0" w:space="0" w:color="auto"/>
            <w:bottom w:val="none" w:sz="0" w:space="0" w:color="auto"/>
            <w:right w:val="none" w:sz="0" w:space="0" w:color="auto"/>
          </w:divBdr>
          <w:divsChild>
            <w:div w:id="255133587">
              <w:marLeft w:val="0"/>
              <w:marRight w:val="0"/>
              <w:marTop w:val="0"/>
              <w:marBottom w:val="0"/>
              <w:divBdr>
                <w:top w:val="none" w:sz="0" w:space="0" w:color="auto"/>
                <w:left w:val="none" w:sz="0" w:space="0" w:color="auto"/>
                <w:bottom w:val="none" w:sz="0" w:space="0" w:color="auto"/>
                <w:right w:val="none" w:sz="0" w:space="0" w:color="auto"/>
              </w:divBdr>
              <w:divsChild>
                <w:div w:id="842009461">
                  <w:marLeft w:val="0"/>
                  <w:marRight w:val="1"/>
                  <w:marTop w:val="0"/>
                  <w:marBottom w:val="0"/>
                  <w:divBdr>
                    <w:top w:val="none" w:sz="0" w:space="0" w:color="auto"/>
                    <w:left w:val="none" w:sz="0" w:space="0" w:color="auto"/>
                    <w:bottom w:val="none" w:sz="0" w:space="0" w:color="auto"/>
                    <w:right w:val="none" w:sz="0" w:space="0" w:color="auto"/>
                  </w:divBdr>
                  <w:divsChild>
                    <w:div w:id="757674876">
                      <w:marLeft w:val="0"/>
                      <w:marRight w:val="0"/>
                      <w:marTop w:val="0"/>
                      <w:marBottom w:val="0"/>
                      <w:divBdr>
                        <w:top w:val="none" w:sz="0" w:space="0" w:color="auto"/>
                        <w:left w:val="none" w:sz="0" w:space="0" w:color="auto"/>
                        <w:bottom w:val="none" w:sz="0" w:space="0" w:color="auto"/>
                        <w:right w:val="none" w:sz="0" w:space="0" w:color="auto"/>
                      </w:divBdr>
                      <w:divsChild>
                        <w:div w:id="186061239">
                          <w:marLeft w:val="0"/>
                          <w:marRight w:val="0"/>
                          <w:marTop w:val="0"/>
                          <w:marBottom w:val="0"/>
                          <w:divBdr>
                            <w:top w:val="none" w:sz="0" w:space="0" w:color="auto"/>
                            <w:left w:val="none" w:sz="0" w:space="0" w:color="auto"/>
                            <w:bottom w:val="none" w:sz="0" w:space="0" w:color="auto"/>
                            <w:right w:val="none" w:sz="0" w:space="0" w:color="auto"/>
                          </w:divBdr>
                          <w:divsChild>
                            <w:div w:id="912006773">
                              <w:marLeft w:val="0"/>
                              <w:marRight w:val="0"/>
                              <w:marTop w:val="120"/>
                              <w:marBottom w:val="360"/>
                              <w:divBdr>
                                <w:top w:val="none" w:sz="0" w:space="0" w:color="auto"/>
                                <w:left w:val="none" w:sz="0" w:space="0" w:color="auto"/>
                                <w:bottom w:val="none" w:sz="0" w:space="0" w:color="auto"/>
                                <w:right w:val="none" w:sz="0" w:space="0" w:color="auto"/>
                              </w:divBdr>
                              <w:divsChild>
                                <w:div w:id="864365629">
                                  <w:marLeft w:val="0"/>
                                  <w:marRight w:val="0"/>
                                  <w:marTop w:val="0"/>
                                  <w:marBottom w:val="0"/>
                                  <w:divBdr>
                                    <w:top w:val="none" w:sz="0" w:space="0" w:color="auto"/>
                                    <w:left w:val="none" w:sz="0" w:space="0" w:color="auto"/>
                                    <w:bottom w:val="none" w:sz="0" w:space="0" w:color="auto"/>
                                    <w:right w:val="none" w:sz="0" w:space="0" w:color="auto"/>
                                  </w:divBdr>
                                  <w:divsChild>
                                    <w:div w:id="4073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298740">
      <w:bodyDiv w:val="1"/>
      <w:marLeft w:val="0"/>
      <w:marRight w:val="0"/>
      <w:marTop w:val="0"/>
      <w:marBottom w:val="0"/>
      <w:divBdr>
        <w:top w:val="none" w:sz="0" w:space="0" w:color="auto"/>
        <w:left w:val="none" w:sz="0" w:space="0" w:color="auto"/>
        <w:bottom w:val="none" w:sz="0" w:space="0" w:color="auto"/>
        <w:right w:val="none" w:sz="0" w:space="0" w:color="auto"/>
      </w:divBdr>
      <w:divsChild>
        <w:div w:id="1615210912">
          <w:marLeft w:val="0"/>
          <w:marRight w:val="1"/>
          <w:marTop w:val="0"/>
          <w:marBottom w:val="0"/>
          <w:divBdr>
            <w:top w:val="none" w:sz="0" w:space="0" w:color="auto"/>
            <w:left w:val="none" w:sz="0" w:space="0" w:color="auto"/>
            <w:bottom w:val="none" w:sz="0" w:space="0" w:color="auto"/>
            <w:right w:val="none" w:sz="0" w:space="0" w:color="auto"/>
          </w:divBdr>
          <w:divsChild>
            <w:div w:id="1005061560">
              <w:marLeft w:val="0"/>
              <w:marRight w:val="0"/>
              <w:marTop w:val="0"/>
              <w:marBottom w:val="0"/>
              <w:divBdr>
                <w:top w:val="none" w:sz="0" w:space="0" w:color="auto"/>
                <w:left w:val="none" w:sz="0" w:space="0" w:color="auto"/>
                <w:bottom w:val="none" w:sz="0" w:space="0" w:color="auto"/>
                <w:right w:val="none" w:sz="0" w:space="0" w:color="auto"/>
              </w:divBdr>
              <w:divsChild>
                <w:div w:id="1990590482">
                  <w:marLeft w:val="0"/>
                  <w:marRight w:val="1"/>
                  <w:marTop w:val="0"/>
                  <w:marBottom w:val="0"/>
                  <w:divBdr>
                    <w:top w:val="none" w:sz="0" w:space="0" w:color="auto"/>
                    <w:left w:val="none" w:sz="0" w:space="0" w:color="auto"/>
                    <w:bottom w:val="none" w:sz="0" w:space="0" w:color="auto"/>
                    <w:right w:val="none" w:sz="0" w:space="0" w:color="auto"/>
                  </w:divBdr>
                  <w:divsChild>
                    <w:div w:id="1799109996">
                      <w:marLeft w:val="0"/>
                      <w:marRight w:val="0"/>
                      <w:marTop w:val="0"/>
                      <w:marBottom w:val="0"/>
                      <w:divBdr>
                        <w:top w:val="none" w:sz="0" w:space="0" w:color="auto"/>
                        <w:left w:val="none" w:sz="0" w:space="0" w:color="auto"/>
                        <w:bottom w:val="none" w:sz="0" w:space="0" w:color="auto"/>
                        <w:right w:val="none" w:sz="0" w:space="0" w:color="auto"/>
                      </w:divBdr>
                      <w:divsChild>
                        <w:div w:id="218131065">
                          <w:marLeft w:val="0"/>
                          <w:marRight w:val="0"/>
                          <w:marTop w:val="0"/>
                          <w:marBottom w:val="0"/>
                          <w:divBdr>
                            <w:top w:val="none" w:sz="0" w:space="0" w:color="auto"/>
                            <w:left w:val="none" w:sz="0" w:space="0" w:color="auto"/>
                            <w:bottom w:val="none" w:sz="0" w:space="0" w:color="auto"/>
                            <w:right w:val="none" w:sz="0" w:space="0" w:color="auto"/>
                          </w:divBdr>
                          <w:divsChild>
                            <w:div w:id="1158881562">
                              <w:marLeft w:val="240"/>
                              <w:marRight w:val="0"/>
                              <w:marTop w:val="0"/>
                              <w:marBottom w:val="0"/>
                              <w:divBdr>
                                <w:top w:val="none" w:sz="0" w:space="0" w:color="auto"/>
                                <w:left w:val="none" w:sz="0" w:space="0" w:color="auto"/>
                                <w:bottom w:val="none" w:sz="0" w:space="0" w:color="auto"/>
                                <w:right w:val="none" w:sz="0" w:space="0" w:color="auto"/>
                              </w:divBdr>
                            </w:div>
                            <w:div w:id="788399224">
                              <w:marLeft w:val="0"/>
                              <w:marRight w:val="0"/>
                              <w:marTop w:val="45"/>
                              <w:marBottom w:val="0"/>
                              <w:divBdr>
                                <w:top w:val="single" w:sz="6" w:space="2" w:color="CCCCCC"/>
                                <w:left w:val="single" w:sz="6" w:space="2" w:color="CCCCCC"/>
                                <w:bottom w:val="single" w:sz="6" w:space="2" w:color="CCCCCC"/>
                                <w:right w:val="single" w:sz="6" w:space="2" w:color="CCCCCC"/>
                              </w:divBdr>
                              <w:divsChild>
                                <w:div w:id="1578008061">
                                  <w:marLeft w:val="0"/>
                                  <w:marRight w:val="0"/>
                                  <w:marTop w:val="0"/>
                                  <w:marBottom w:val="0"/>
                                  <w:divBdr>
                                    <w:top w:val="none" w:sz="0" w:space="0" w:color="auto"/>
                                    <w:left w:val="none" w:sz="0" w:space="0" w:color="auto"/>
                                    <w:bottom w:val="none" w:sz="0" w:space="0" w:color="auto"/>
                                    <w:right w:val="none" w:sz="0" w:space="0" w:color="auto"/>
                                  </w:divBdr>
                                </w:div>
                                <w:div w:id="2060587791">
                                  <w:marLeft w:val="0"/>
                                  <w:marRight w:val="0"/>
                                  <w:marTop w:val="0"/>
                                  <w:marBottom w:val="0"/>
                                  <w:divBdr>
                                    <w:top w:val="none" w:sz="0" w:space="0" w:color="auto"/>
                                    <w:left w:val="none" w:sz="0" w:space="0" w:color="auto"/>
                                    <w:bottom w:val="none" w:sz="0" w:space="0" w:color="auto"/>
                                    <w:right w:val="none" w:sz="0" w:space="0" w:color="auto"/>
                                  </w:divBdr>
                                  <w:divsChild>
                                    <w:div w:id="411392696">
                                      <w:marLeft w:val="0"/>
                                      <w:marRight w:val="0"/>
                                      <w:marTop w:val="0"/>
                                      <w:marBottom w:val="0"/>
                                      <w:divBdr>
                                        <w:top w:val="none" w:sz="0" w:space="0" w:color="auto"/>
                                        <w:left w:val="none" w:sz="0" w:space="0" w:color="auto"/>
                                        <w:bottom w:val="none" w:sz="0" w:space="0" w:color="auto"/>
                                        <w:right w:val="none" w:sz="0" w:space="0" w:color="auto"/>
                                      </w:divBdr>
                                    </w:div>
                                  </w:divsChild>
                                </w:div>
                                <w:div w:id="709691373">
                                  <w:marLeft w:val="0"/>
                                  <w:marRight w:val="0"/>
                                  <w:marTop w:val="0"/>
                                  <w:marBottom w:val="0"/>
                                  <w:divBdr>
                                    <w:top w:val="none" w:sz="0" w:space="0" w:color="auto"/>
                                    <w:left w:val="none" w:sz="0" w:space="0" w:color="auto"/>
                                    <w:bottom w:val="none" w:sz="0" w:space="0" w:color="auto"/>
                                    <w:right w:val="none" w:sz="0" w:space="0" w:color="auto"/>
                                  </w:divBdr>
                                </w:div>
                                <w:div w:id="429589555">
                                  <w:marLeft w:val="0"/>
                                  <w:marRight w:val="0"/>
                                  <w:marTop w:val="0"/>
                                  <w:marBottom w:val="0"/>
                                  <w:divBdr>
                                    <w:top w:val="none" w:sz="0" w:space="0" w:color="auto"/>
                                    <w:left w:val="none" w:sz="0" w:space="0" w:color="auto"/>
                                    <w:bottom w:val="none" w:sz="0" w:space="0" w:color="auto"/>
                                    <w:right w:val="none" w:sz="0" w:space="0" w:color="auto"/>
                                  </w:divBdr>
                                </w:div>
                                <w:div w:id="569584499">
                                  <w:marLeft w:val="0"/>
                                  <w:marRight w:val="0"/>
                                  <w:marTop w:val="0"/>
                                  <w:marBottom w:val="0"/>
                                  <w:divBdr>
                                    <w:top w:val="none" w:sz="0" w:space="0" w:color="auto"/>
                                    <w:left w:val="none" w:sz="0" w:space="0" w:color="auto"/>
                                    <w:bottom w:val="none" w:sz="0" w:space="0" w:color="auto"/>
                                    <w:right w:val="none" w:sz="0" w:space="0" w:color="auto"/>
                                  </w:divBdr>
                                </w:div>
                                <w:div w:id="1609771929">
                                  <w:marLeft w:val="0"/>
                                  <w:marRight w:val="0"/>
                                  <w:marTop w:val="0"/>
                                  <w:marBottom w:val="0"/>
                                  <w:divBdr>
                                    <w:top w:val="none" w:sz="0" w:space="0" w:color="auto"/>
                                    <w:left w:val="none" w:sz="0" w:space="0" w:color="auto"/>
                                    <w:bottom w:val="none" w:sz="0" w:space="0" w:color="auto"/>
                                    <w:right w:val="none" w:sz="0" w:space="0" w:color="auto"/>
                                  </w:divBdr>
                                </w:div>
                                <w:div w:id="874580610">
                                  <w:marLeft w:val="0"/>
                                  <w:marRight w:val="0"/>
                                  <w:marTop w:val="0"/>
                                  <w:marBottom w:val="0"/>
                                  <w:divBdr>
                                    <w:top w:val="none" w:sz="0" w:space="0" w:color="auto"/>
                                    <w:left w:val="none" w:sz="0" w:space="0" w:color="auto"/>
                                    <w:bottom w:val="none" w:sz="0" w:space="0" w:color="auto"/>
                                    <w:right w:val="none" w:sz="0" w:space="0" w:color="auto"/>
                                  </w:divBdr>
                                </w:div>
                              </w:divsChild>
                            </w:div>
                            <w:div w:id="1825702195">
                              <w:marLeft w:val="0"/>
                              <w:marRight w:val="0"/>
                              <w:marTop w:val="0"/>
                              <w:marBottom w:val="0"/>
                              <w:divBdr>
                                <w:top w:val="none" w:sz="0" w:space="0" w:color="auto"/>
                                <w:left w:val="none" w:sz="0" w:space="0" w:color="auto"/>
                                <w:bottom w:val="none" w:sz="0" w:space="0" w:color="auto"/>
                                <w:right w:val="none" w:sz="0" w:space="0" w:color="auto"/>
                              </w:divBdr>
                            </w:div>
                          </w:divsChild>
                        </w:div>
                        <w:div w:id="1489177178">
                          <w:marLeft w:val="0"/>
                          <w:marRight w:val="0"/>
                          <w:marTop w:val="0"/>
                          <w:marBottom w:val="0"/>
                          <w:divBdr>
                            <w:top w:val="none" w:sz="0" w:space="0" w:color="auto"/>
                            <w:left w:val="none" w:sz="0" w:space="0" w:color="auto"/>
                            <w:bottom w:val="none" w:sz="0" w:space="0" w:color="auto"/>
                            <w:right w:val="none" w:sz="0" w:space="0" w:color="auto"/>
                          </w:divBdr>
                          <w:divsChild>
                            <w:div w:id="975573062">
                              <w:marLeft w:val="0"/>
                              <w:marRight w:val="0"/>
                              <w:marTop w:val="0"/>
                              <w:marBottom w:val="0"/>
                              <w:divBdr>
                                <w:top w:val="none" w:sz="0" w:space="0" w:color="auto"/>
                                <w:left w:val="none" w:sz="0" w:space="0" w:color="auto"/>
                                <w:bottom w:val="none" w:sz="0" w:space="0" w:color="auto"/>
                                <w:right w:val="none" w:sz="0" w:space="0" w:color="auto"/>
                              </w:divBdr>
                            </w:div>
                          </w:divsChild>
                        </w:div>
                        <w:div w:id="2082436881">
                          <w:marLeft w:val="0"/>
                          <w:marRight w:val="0"/>
                          <w:marTop w:val="0"/>
                          <w:marBottom w:val="0"/>
                          <w:divBdr>
                            <w:top w:val="none" w:sz="0" w:space="0" w:color="auto"/>
                            <w:left w:val="none" w:sz="0" w:space="0" w:color="auto"/>
                            <w:bottom w:val="none" w:sz="0" w:space="0" w:color="auto"/>
                            <w:right w:val="none" w:sz="0" w:space="0" w:color="auto"/>
                          </w:divBdr>
                          <w:divsChild>
                            <w:div w:id="1359283390">
                              <w:marLeft w:val="0"/>
                              <w:marRight w:val="0"/>
                              <w:marTop w:val="120"/>
                              <w:marBottom w:val="360"/>
                              <w:divBdr>
                                <w:top w:val="none" w:sz="0" w:space="0" w:color="auto"/>
                                <w:left w:val="none" w:sz="0" w:space="0" w:color="auto"/>
                                <w:bottom w:val="none" w:sz="0" w:space="0" w:color="auto"/>
                                <w:right w:val="none" w:sz="0" w:space="0" w:color="auto"/>
                              </w:divBdr>
                              <w:divsChild>
                                <w:div w:id="459036550">
                                  <w:marLeft w:val="0"/>
                                  <w:marRight w:val="0"/>
                                  <w:marTop w:val="0"/>
                                  <w:marBottom w:val="0"/>
                                  <w:divBdr>
                                    <w:top w:val="none" w:sz="0" w:space="0" w:color="auto"/>
                                    <w:left w:val="none" w:sz="0" w:space="0" w:color="auto"/>
                                    <w:bottom w:val="none" w:sz="0" w:space="0" w:color="auto"/>
                                    <w:right w:val="none" w:sz="0" w:space="0" w:color="auto"/>
                                  </w:divBdr>
                                </w:div>
                                <w:div w:id="14200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46320">
      <w:bodyDiv w:val="1"/>
      <w:marLeft w:val="0"/>
      <w:marRight w:val="0"/>
      <w:marTop w:val="0"/>
      <w:marBottom w:val="0"/>
      <w:divBdr>
        <w:top w:val="none" w:sz="0" w:space="0" w:color="auto"/>
        <w:left w:val="none" w:sz="0" w:space="0" w:color="auto"/>
        <w:bottom w:val="none" w:sz="0" w:space="0" w:color="auto"/>
        <w:right w:val="none" w:sz="0" w:space="0" w:color="auto"/>
      </w:divBdr>
      <w:divsChild>
        <w:div w:id="1370643883">
          <w:marLeft w:val="0"/>
          <w:marRight w:val="1"/>
          <w:marTop w:val="0"/>
          <w:marBottom w:val="0"/>
          <w:divBdr>
            <w:top w:val="none" w:sz="0" w:space="0" w:color="auto"/>
            <w:left w:val="none" w:sz="0" w:space="0" w:color="auto"/>
            <w:bottom w:val="none" w:sz="0" w:space="0" w:color="auto"/>
            <w:right w:val="none" w:sz="0" w:space="0" w:color="auto"/>
          </w:divBdr>
          <w:divsChild>
            <w:div w:id="787964790">
              <w:marLeft w:val="0"/>
              <w:marRight w:val="0"/>
              <w:marTop w:val="0"/>
              <w:marBottom w:val="0"/>
              <w:divBdr>
                <w:top w:val="none" w:sz="0" w:space="0" w:color="auto"/>
                <w:left w:val="none" w:sz="0" w:space="0" w:color="auto"/>
                <w:bottom w:val="none" w:sz="0" w:space="0" w:color="auto"/>
                <w:right w:val="none" w:sz="0" w:space="0" w:color="auto"/>
              </w:divBdr>
              <w:divsChild>
                <w:div w:id="175273870">
                  <w:marLeft w:val="0"/>
                  <w:marRight w:val="1"/>
                  <w:marTop w:val="0"/>
                  <w:marBottom w:val="0"/>
                  <w:divBdr>
                    <w:top w:val="none" w:sz="0" w:space="0" w:color="auto"/>
                    <w:left w:val="none" w:sz="0" w:space="0" w:color="auto"/>
                    <w:bottom w:val="none" w:sz="0" w:space="0" w:color="auto"/>
                    <w:right w:val="none" w:sz="0" w:space="0" w:color="auto"/>
                  </w:divBdr>
                  <w:divsChild>
                    <w:div w:id="213470777">
                      <w:marLeft w:val="0"/>
                      <w:marRight w:val="0"/>
                      <w:marTop w:val="0"/>
                      <w:marBottom w:val="0"/>
                      <w:divBdr>
                        <w:top w:val="none" w:sz="0" w:space="0" w:color="auto"/>
                        <w:left w:val="none" w:sz="0" w:space="0" w:color="auto"/>
                        <w:bottom w:val="none" w:sz="0" w:space="0" w:color="auto"/>
                        <w:right w:val="none" w:sz="0" w:space="0" w:color="auto"/>
                      </w:divBdr>
                      <w:divsChild>
                        <w:div w:id="2092044726">
                          <w:marLeft w:val="0"/>
                          <w:marRight w:val="0"/>
                          <w:marTop w:val="0"/>
                          <w:marBottom w:val="0"/>
                          <w:divBdr>
                            <w:top w:val="none" w:sz="0" w:space="0" w:color="auto"/>
                            <w:left w:val="none" w:sz="0" w:space="0" w:color="auto"/>
                            <w:bottom w:val="none" w:sz="0" w:space="0" w:color="auto"/>
                            <w:right w:val="none" w:sz="0" w:space="0" w:color="auto"/>
                          </w:divBdr>
                          <w:divsChild>
                            <w:div w:id="142090486">
                              <w:marLeft w:val="0"/>
                              <w:marRight w:val="0"/>
                              <w:marTop w:val="120"/>
                              <w:marBottom w:val="360"/>
                              <w:divBdr>
                                <w:top w:val="none" w:sz="0" w:space="0" w:color="auto"/>
                                <w:left w:val="none" w:sz="0" w:space="0" w:color="auto"/>
                                <w:bottom w:val="none" w:sz="0" w:space="0" w:color="auto"/>
                                <w:right w:val="none" w:sz="0" w:space="0" w:color="auto"/>
                              </w:divBdr>
                              <w:divsChild>
                                <w:div w:id="1965303254">
                                  <w:marLeft w:val="0"/>
                                  <w:marRight w:val="0"/>
                                  <w:marTop w:val="0"/>
                                  <w:marBottom w:val="0"/>
                                  <w:divBdr>
                                    <w:top w:val="none" w:sz="0" w:space="0" w:color="auto"/>
                                    <w:left w:val="none" w:sz="0" w:space="0" w:color="auto"/>
                                    <w:bottom w:val="none" w:sz="0" w:space="0" w:color="auto"/>
                                    <w:right w:val="none" w:sz="0" w:space="0" w:color="auto"/>
                                  </w:divBdr>
                                  <w:divsChild>
                                    <w:div w:id="5808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669604">
      <w:bodyDiv w:val="1"/>
      <w:marLeft w:val="0"/>
      <w:marRight w:val="0"/>
      <w:marTop w:val="0"/>
      <w:marBottom w:val="0"/>
      <w:divBdr>
        <w:top w:val="none" w:sz="0" w:space="0" w:color="auto"/>
        <w:left w:val="none" w:sz="0" w:space="0" w:color="auto"/>
        <w:bottom w:val="none" w:sz="0" w:space="0" w:color="auto"/>
        <w:right w:val="none" w:sz="0" w:space="0" w:color="auto"/>
      </w:divBdr>
      <w:divsChild>
        <w:div w:id="420638077">
          <w:marLeft w:val="0"/>
          <w:marRight w:val="1"/>
          <w:marTop w:val="0"/>
          <w:marBottom w:val="0"/>
          <w:divBdr>
            <w:top w:val="none" w:sz="0" w:space="0" w:color="auto"/>
            <w:left w:val="none" w:sz="0" w:space="0" w:color="auto"/>
            <w:bottom w:val="none" w:sz="0" w:space="0" w:color="auto"/>
            <w:right w:val="none" w:sz="0" w:space="0" w:color="auto"/>
          </w:divBdr>
          <w:divsChild>
            <w:div w:id="2039812728">
              <w:marLeft w:val="0"/>
              <w:marRight w:val="0"/>
              <w:marTop w:val="0"/>
              <w:marBottom w:val="0"/>
              <w:divBdr>
                <w:top w:val="none" w:sz="0" w:space="0" w:color="auto"/>
                <w:left w:val="none" w:sz="0" w:space="0" w:color="auto"/>
                <w:bottom w:val="none" w:sz="0" w:space="0" w:color="auto"/>
                <w:right w:val="none" w:sz="0" w:space="0" w:color="auto"/>
              </w:divBdr>
              <w:divsChild>
                <w:div w:id="1223714526">
                  <w:marLeft w:val="0"/>
                  <w:marRight w:val="1"/>
                  <w:marTop w:val="0"/>
                  <w:marBottom w:val="0"/>
                  <w:divBdr>
                    <w:top w:val="none" w:sz="0" w:space="0" w:color="auto"/>
                    <w:left w:val="none" w:sz="0" w:space="0" w:color="auto"/>
                    <w:bottom w:val="none" w:sz="0" w:space="0" w:color="auto"/>
                    <w:right w:val="none" w:sz="0" w:space="0" w:color="auto"/>
                  </w:divBdr>
                  <w:divsChild>
                    <w:div w:id="1638533102">
                      <w:marLeft w:val="0"/>
                      <w:marRight w:val="0"/>
                      <w:marTop w:val="0"/>
                      <w:marBottom w:val="0"/>
                      <w:divBdr>
                        <w:top w:val="none" w:sz="0" w:space="0" w:color="auto"/>
                        <w:left w:val="none" w:sz="0" w:space="0" w:color="auto"/>
                        <w:bottom w:val="none" w:sz="0" w:space="0" w:color="auto"/>
                        <w:right w:val="none" w:sz="0" w:space="0" w:color="auto"/>
                      </w:divBdr>
                      <w:divsChild>
                        <w:div w:id="1723360212">
                          <w:marLeft w:val="0"/>
                          <w:marRight w:val="0"/>
                          <w:marTop w:val="0"/>
                          <w:marBottom w:val="0"/>
                          <w:divBdr>
                            <w:top w:val="none" w:sz="0" w:space="0" w:color="auto"/>
                            <w:left w:val="none" w:sz="0" w:space="0" w:color="auto"/>
                            <w:bottom w:val="none" w:sz="0" w:space="0" w:color="auto"/>
                            <w:right w:val="none" w:sz="0" w:space="0" w:color="auto"/>
                          </w:divBdr>
                          <w:divsChild>
                            <w:div w:id="1770196342">
                              <w:marLeft w:val="0"/>
                              <w:marRight w:val="0"/>
                              <w:marTop w:val="120"/>
                              <w:marBottom w:val="360"/>
                              <w:divBdr>
                                <w:top w:val="none" w:sz="0" w:space="0" w:color="auto"/>
                                <w:left w:val="none" w:sz="0" w:space="0" w:color="auto"/>
                                <w:bottom w:val="none" w:sz="0" w:space="0" w:color="auto"/>
                                <w:right w:val="none" w:sz="0" w:space="0" w:color="auto"/>
                              </w:divBdr>
                              <w:divsChild>
                                <w:div w:id="345180013">
                                  <w:marLeft w:val="0"/>
                                  <w:marRight w:val="0"/>
                                  <w:marTop w:val="0"/>
                                  <w:marBottom w:val="0"/>
                                  <w:divBdr>
                                    <w:top w:val="none" w:sz="0" w:space="0" w:color="auto"/>
                                    <w:left w:val="none" w:sz="0" w:space="0" w:color="auto"/>
                                    <w:bottom w:val="none" w:sz="0" w:space="0" w:color="auto"/>
                                    <w:right w:val="none" w:sz="0" w:space="0" w:color="auto"/>
                                  </w:divBdr>
                                </w:div>
                                <w:div w:id="2060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609336">
      <w:bodyDiv w:val="1"/>
      <w:marLeft w:val="0"/>
      <w:marRight w:val="0"/>
      <w:marTop w:val="0"/>
      <w:marBottom w:val="0"/>
      <w:divBdr>
        <w:top w:val="none" w:sz="0" w:space="0" w:color="auto"/>
        <w:left w:val="none" w:sz="0" w:space="0" w:color="auto"/>
        <w:bottom w:val="none" w:sz="0" w:space="0" w:color="auto"/>
        <w:right w:val="none" w:sz="0" w:space="0" w:color="auto"/>
      </w:divBdr>
      <w:divsChild>
        <w:div w:id="1293631008">
          <w:marLeft w:val="0"/>
          <w:marRight w:val="1"/>
          <w:marTop w:val="0"/>
          <w:marBottom w:val="0"/>
          <w:divBdr>
            <w:top w:val="none" w:sz="0" w:space="0" w:color="auto"/>
            <w:left w:val="none" w:sz="0" w:space="0" w:color="auto"/>
            <w:bottom w:val="none" w:sz="0" w:space="0" w:color="auto"/>
            <w:right w:val="none" w:sz="0" w:space="0" w:color="auto"/>
          </w:divBdr>
          <w:divsChild>
            <w:div w:id="234320225">
              <w:marLeft w:val="0"/>
              <w:marRight w:val="0"/>
              <w:marTop w:val="0"/>
              <w:marBottom w:val="0"/>
              <w:divBdr>
                <w:top w:val="none" w:sz="0" w:space="0" w:color="auto"/>
                <w:left w:val="none" w:sz="0" w:space="0" w:color="auto"/>
                <w:bottom w:val="none" w:sz="0" w:space="0" w:color="auto"/>
                <w:right w:val="none" w:sz="0" w:space="0" w:color="auto"/>
              </w:divBdr>
              <w:divsChild>
                <w:div w:id="1209345153">
                  <w:marLeft w:val="0"/>
                  <w:marRight w:val="1"/>
                  <w:marTop w:val="0"/>
                  <w:marBottom w:val="0"/>
                  <w:divBdr>
                    <w:top w:val="none" w:sz="0" w:space="0" w:color="auto"/>
                    <w:left w:val="none" w:sz="0" w:space="0" w:color="auto"/>
                    <w:bottom w:val="none" w:sz="0" w:space="0" w:color="auto"/>
                    <w:right w:val="none" w:sz="0" w:space="0" w:color="auto"/>
                  </w:divBdr>
                  <w:divsChild>
                    <w:div w:id="159589924">
                      <w:marLeft w:val="0"/>
                      <w:marRight w:val="0"/>
                      <w:marTop w:val="0"/>
                      <w:marBottom w:val="0"/>
                      <w:divBdr>
                        <w:top w:val="none" w:sz="0" w:space="0" w:color="auto"/>
                        <w:left w:val="none" w:sz="0" w:space="0" w:color="auto"/>
                        <w:bottom w:val="none" w:sz="0" w:space="0" w:color="auto"/>
                        <w:right w:val="none" w:sz="0" w:space="0" w:color="auto"/>
                      </w:divBdr>
                      <w:divsChild>
                        <w:div w:id="740710807">
                          <w:marLeft w:val="0"/>
                          <w:marRight w:val="0"/>
                          <w:marTop w:val="0"/>
                          <w:marBottom w:val="0"/>
                          <w:divBdr>
                            <w:top w:val="none" w:sz="0" w:space="0" w:color="auto"/>
                            <w:left w:val="none" w:sz="0" w:space="0" w:color="auto"/>
                            <w:bottom w:val="none" w:sz="0" w:space="0" w:color="auto"/>
                            <w:right w:val="none" w:sz="0" w:space="0" w:color="auto"/>
                          </w:divBdr>
                          <w:divsChild>
                            <w:div w:id="345833673">
                              <w:marLeft w:val="0"/>
                              <w:marRight w:val="0"/>
                              <w:marTop w:val="120"/>
                              <w:marBottom w:val="360"/>
                              <w:divBdr>
                                <w:top w:val="none" w:sz="0" w:space="0" w:color="auto"/>
                                <w:left w:val="none" w:sz="0" w:space="0" w:color="auto"/>
                                <w:bottom w:val="none" w:sz="0" w:space="0" w:color="auto"/>
                                <w:right w:val="none" w:sz="0" w:space="0" w:color="auto"/>
                              </w:divBdr>
                              <w:divsChild>
                                <w:div w:id="974991168">
                                  <w:marLeft w:val="0"/>
                                  <w:marRight w:val="0"/>
                                  <w:marTop w:val="0"/>
                                  <w:marBottom w:val="0"/>
                                  <w:divBdr>
                                    <w:top w:val="none" w:sz="0" w:space="0" w:color="auto"/>
                                    <w:left w:val="none" w:sz="0" w:space="0" w:color="auto"/>
                                    <w:bottom w:val="none" w:sz="0" w:space="0" w:color="auto"/>
                                    <w:right w:val="none" w:sz="0" w:space="0" w:color="auto"/>
                                  </w:divBdr>
                                </w:div>
                                <w:div w:id="11235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A3065-65CA-46C9-96DA-4D349A63A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3202</Words>
  <Characters>18254</Characters>
  <Application>Microsoft Office Word</Application>
  <DocSecurity>0</DocSecurity>
  <Lines>152</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Na Ma</cp:lastModifiedBy>
  <cp:revision>2</cp:revision>
  <cp:lastPrinted>2017-06-22T12:03:00Z</cp:lastPrinted>
  <dcterms:created xsi:type="dcterms:W3CDTF">2017-07-22T00:50:00Z</dcterms:created>
  <dcterms:modified xsi:type="dcterms:W3CDTF">2017-07-22T00:50:00Z</dcterms:modified>
</cp:coreProperties>
</file>