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A" w:rsidRPr="00EA4641" w:rsidRDefault="008C3E1A" w:rsidP="002C1E79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i/>
          <w:color w:val="000000"/>
        </w:rPr>
      </w:pPr>
      <w:bookmarkStart w:id="0" w:name="OLE_LINK592"/>
      <w:bookmarkStart w:id="1" w:name="OLE_LINK546"/>
      <w:bookmarkStart w:id="2" w:name="OLE_LINK545"/>
      <w:r w:rsidRPr="00EA4641">
        <w:rPr>
          <w:rFonts w:ascii="Book Antiqua" w:hAnsi="Book Antiqua" w:cs="宋体"/>
          <w:b/>
          <w:color w:val="000000"/>
        </w:rPr>
        <w:t xml:space="preserve">Name of journal: </w:t>
      </w:r>
      <w:r w:rsidRPr="00EA4641">
        <w:rPr>
          <w:rFonts w:ascii="Book Antiqua" w:hAnsi="Book Antiqua" w:cs="宋体"/>
          <w:b/>
          <w:i/>
          <w:color w:val="000000"/>
        </w:rPr>
        <w:t>World Journal of Clinical Cases</w:t>
      </w:r>
    </w:p>
    <w:p w:rsidR="008C3E1A" w:rsidRPr="00EA4641" w:rsidRDefault="008C3E1A" w:rsidP="002C1E79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color w:val="000000"/>
          <w:lang w:val="en" w:eastAsia="zh-CN"/>
        </w:rPr>
      </w:pPr>
      <w:r w:rsidRPr="00EA4641">
        <w:rPr>
          <w:rFonts w:ascii="Book Antiqua" w:hAnsi="Book Antiqua" w:cs="Arial"/>
          <w:b/>
          <w:color w:val="000000"/>
          <w:lang w:val="en"/>
        </w:rPr>
        <w:t xml:space="preserve">Manuscript NO: </w:t>
      </w:r>
      <w:r w:rsidRPr="00EA4641">
        <w:rPr>
          <w:rFonts w:ascii="Book Antiqua" w:eastAsia="宋体" w:hAnsi="Book Antiqua" w:cs="Arial"/>
          <w:b/>
          <w:color w:val="000000"/>
          <w:lang w:val="en" w:eastAsia="zh-CN"/>
        </w:rPr>
        <w:t>34104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>Manuscript Type: CASE REPORT</w:t>
      </w:r>
    </w:p>
    <w:bookmarkEnd w:id="0"/>
    <w:bookmarkEnd w:id="1"/>
    <w:bookmarkEnd w:id="2"/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A464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A4641">
        <w:rPr>
          <w:rFonts w:ascii="Book Antiqua" w:hAnsi="Book Antiqua"/>
          <w:b/>
          <w:sz w:val="24"/>
          <w:szCs w:val="24"/>
        </w:rPr>
        <w:t xml:space="preserve">Hydrogen </w:t>
      </w:r>
      <w:r w:rsidR="00EA4641" w:rsidRPr="00EA4641">
        <w:rPr>
          <w:rFonts w:ascii="Book Antiqua" w:hAnsi="Book Antiqua"/>
          <w:b/>
          <w:sz w:val="24"/>
          <w:szCs w:val="24"/>
        </w:rPr>
        <w:t>peroxide ingestion with injury to upper gastrointestinal tract</w:t>
      </w: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A4641">
        <w:rPr>
          <w:rFonts w:ascii="Book Antiqua" w:hAnsi="Book Antiqua"/>
          <w:sz w:val="24"/>
          <w:szCs w:val="24"/>
        </w:rPr>
        <w:t>Martin JV</w:t>
      </w:r>
      <w:r w:rsidR="00EA464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A4641" w:rsidRPr="00EA4641">
        <w:rPr>
          <w:rFonts w:ascii="Book Antiqua" w:hAnsi="Book Antiqua" w:hint="eastAsia"/>
          <w:i/>
          <w:sz w:val="24"/>
          <w:szCs w:val="24"/>
          <w:lang w:eastAsia="zh-CN"/>
        </w:rPr>
        <w:t>et al</w:t>
      </w:r>
      <w:r w:rsidRPr="00EA4641">
        <w:rPr>
          <w:rFonts w:ascii="Book Antiqua" w:hAnsi="Book Antiqua"/>
          <w:i/>
          <w:sz w:val="24"/>
          <w:szCs w:val="24"/>
        </w:rPr>
        <w:t xml:space="preserve">. </w:t>
      </w:r>
      <w:r w:rsidRPr="00EA4641">
        <w:rPr>
          <w:rFonts w:ascii="Book Antiqua" w:hAnsi="Book Antiqua"/>
          <w:sz w:val="24"/>
          <w:szCs w:val="24"/>
        </w:rPr>
        <w:t>Hydrogen</w:t>
      </w:r>
      <w:r w:rsidR="002C1E79" w:rsidRPr="00EA4641">
        <w:rPr>
          <w:rFonts w:ascii="Book Antiqua" w:hAnsi="Book Antiqua"/>
          <w:sz w:val="24"/>
          <w:szCs w:val="24"/>
        </w:rPr>
        <w:t xml:space="preserve"> peroxide ingestion</w:t>
      </w: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A4641">
        <w:rPr>
          <w:rFonts w:ascii="Book Antiqua" w:hAnsi="Book Antiqua"/>
          <w:b/>
          <w:sz w:val="24"/>
          <w:szCs w:val="24"/>
        </w:rPr>
        <w:t>Jonathan V</w:t>
      </w:r>
      <w:r w:rsidR="00EA4641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EA4641">
        <w:rPr>
          <w:rFonts w:ascii="Book Antiqua" w:hAnsi="Book Antiqua"/>
          <w:b/>
          <w:sz w:val="24"/>
          <w:szCs w:val="24"/>
        </w:rPr>
        <w:t xml:space="preserve">Martin, </w:t>
      </w:r>
      <w:proofErr w:type="spellStart"/>
      <w:r w:rsidRPr="00EA4641">
        <w:rPr>
          <w:rFonts w:ascii="Book Antiqua" w:hAnsi="Book Antiqua"/>
          <w:b/>
          <w:sz w:val="24"/>
          <w:szCs w:val="24"/>
        </w:rPr>
        <w:t>Choichi</w:t>
      </w:r>
      <w:proofErr w:type="spellEnd"/>
      <w:r w:rsidRPr="00EA464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A4641">
        <w:rPr>
          <w:rFonts w:ascii="Book Antiqua" w:hAnsi="Book Antiqua"/>
          <w:b/>
          <w:sz w:val="24"/>
          <w:szCs w:val="24"/>
        </w:rPr>
        <w:t>Sugawa</w:t>
      </w:r>
      <w:proofErr w:type="spellEnd"/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EA4641">
        <w:rPr>
          <w:rFonts w:ascii="Book Antiqua" w:hAnsi="Book Antiqua"/>
          <w:b/>
          <w:sz w:val="24"/>
          <w:szCs w:val="24"/>
        </w:rPr>
        <w:t>Jonathan V</w:t>
      </w:r>
      <w:r w:rsidR="00EA4641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EA4641">
        <w:rPr>
          <w:rFonts w:ascii="Book Antiqua" w:hAnsi="Book Antiqua"/>
          <w:b/>
          <w:sz w:val="24"/>
          <w:szCs w:val="24"/>
        </w:rPr>
        <w:t xml:space="preserve">Martin, </w:t>
      </w:r>
      <w:proofErr w:type="spellStart"/>
      <w:r w:rsidRPr="00EA4641">
        <w:rPr>
          <w:rFonts w:ascii="Book Antiqua" w:hAnsi="Book Antiqua"/>
          <w:b/>
          <w:sz w:val="24"/>
          <w:szCs w:val="24"/>
        </w:rPr>
        <w:t>Choichi</w:t>
      </w:r>
      <w:proofErr w:type="spellEnd"/>
      <w:r w:rsidRPr="00EA464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A4641">
        <w:rPr>
          <w:rFonts w:ascii="Book Antiqua" w:hAnsi="Book Antiqua"/>
          <w:b/>
          <w:sz w:val="24"/>
          <w:szCs w:val="24"/>
        </w:rPr>
        <w:t>Sugawa</w:t>
      </w:r>
      <w:proofErr w:type="spellEnd"/>
      <w:r w:rsidRPr="00EA4641">
        <w:rPr>
          <w:rFonts w:ascii="Book Antiqua" w:hAnsi="Book Antiqua"/>
          <w:b/>
          <w:sz w:val="24"/>
          <w:szCs w:val="24"/>
        </w:rPr>
        <w:t xml:space="preserve">, </w:t>
      </w:r>
      <w:r w:rsidRPr="00EA4641">
        <w:rPr>
          <w:rFonts w:ascii="Book Antiqua" w:hAnsi="Book Antiqua"/>
          <w:sz w:val="24"/>
          <w:szCs w:val="24"/>
        </w:rPr>
        <w:t xml:space="preserve">Michael and Marian </w:t>
      </w:r>
      <w:proofErr w:type="spellStart"/>
      <w:r w:rsidRPr="00EA4641">
        <w:rPr>
          <w:rFonts w:ascii="Book Antiqua" w:hAnsi="Book Antiqua"/>
          <w:sz w:val="24"/>
          <w:szCs w:val="24"/>
        </w:rPr>
        <w:t>Ilitch</w:t>
      </w:r>
      <w:proofErr w:type="spellEnd"/>
      <w:r w:rsidRPr="00EA4641">
        <w:rPr>
          <w:rFonts w:ascii="Book Antiqua" w:hAnsi="Book Antiqua"/>
          <w:sz w:val="24"/>
          <w:szCs w:val="24"/>
        </w:rPr>
        <w:t xml:space="preserve"> Department of Surgery, 6C-University Health Center,</w:t>
      </w:r>
      <w:r w:rsidR="00EA464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EA4641">
        <w:rPr>
          <w:rFonts w:ascii="Book Antiqua" w:hAnsi="Book Antiqua"/>
          <w:sz w:val="24"/>
          <w:szCs w:val="24"/>
          <w:lang w:val="de-DE"/>
        </w:rPr>
        <w:t>Detroit, MI 48201, United States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  <w:r w:rsidRPr="00EA4641">
        <w:rPr>
          <w:rFonts w:ascii="Book Antiqua" w:hAnsi="Book Antiqua"/>
          <w:b/>
          <w:lang w:val="de-DE"/>
        </w:rPr>
        <w:t>Author contributions</w:t>
      </w:r>
      <w:r w:rsidRPr="00EA4641">
        <w:rPr>
          <w:rFonts w:ascii="Book Antiqua" w:hAnsi="Book Antiqua"/>
          <w:lang w:val="de-DE"/>
        </w:rPr>
        <w:t>: Martin JV and Sugawa C contributed to the initial drafting and editing of manuscript</w:t>
      </w:r>
      <w:r w:rsidR="00EA4641">
        <w:rPr>
          <w:rFonts w:ascii="Book Antiqua" w:eastAsiaTheme="minorEastAsia" w:hAnsi="Book Antiqua" w:hint="eastAsia"/>
          <w:lang w:val="de-DE" w:eastAsia="zh-CN"/>
        </w:rPr>
        <w:t xml:space="preserve">; </w:t>
      </w:r>
      <w:r w:rsidRPr="00EA4641">
        <w:rPr>
          <w:rFonts w:ascii="Book Antiqua" w:hAnsi="Book Antiqua"/>
          <w:lang w:val="de-DE"/>
        </w:rPr>
        <w:t>Sugawa C obtained clinical data.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 Unicode MS"/>
          <w:color w:val="000000"/>
        </w:rPr>
      </w:pPr>
    </w:p>
    <w:p w:rsidR="008C3E1A" w:rsidRPr="00EA4641" w:rsidRDefault="008C3E1A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/>
          <w:b/>
          <w:bCs/>
          <w:iCs/>
          <w:color w:val="000000"/>
          <w:lang w:eastAsia="zh-CN"/>
        </w:rPr>
      </w:pPr>
      <w:bookmarkStart w:id="3" w:name="OLE_LINK5"/>
      <w:bookmarkStart w:id="4" w:name="OLE_LINK4"/>
      <w:bookmarkStart w:id="5" w:name="OLE_LINK534"/>
      <w:bookmarkStart w:id="6" w:name="OLE_LINK380"/>
      <w:bookmarkStart w:id="7" w:name="OLE_LINK379"/>
      <w:r w:rsidRPr="00EA4641">
        <w:rPr>
          <w:rFonts w:ascii="Book Antiqua" w:hAnsi="Book Antiqua"/>
          <w:b/>
          <w:bCs/>
          <w:iCs/>
          <w:color w:val="000000"/>
        </w:rPr>
        <w:t>Institutional review board</w:t>
      </w:r>
      <w:r w:rsidRPr="00EA4641">
        <w:rPr>
          <w:rFonts w:ascii="Book Antiqua" w:hAnsi="Book Antiqua"/>
          <w:b/>
          <w:bCs/>
          <w:iCs/>
        </w:rPr>
        <w:t xml:space="preserve"> statement</w:t>
      </w:r>
      <w:r w:rsidRPr="00EA4641">
        <w:rPr>
          <w:rFonts w:ascii="Book Antiqua" w:hAnsi="Book Antiqua"/>
          <w:b/>
          <w:bCs/>
          <w:iCs/>
          <w:color w:val="000000"/>
        </w:rPr>
        <w:t>:</w:t>
      </w:r>
      <w:r w:rsidR="002C1E79">
        <w:rPr>
          <w:rFonts w:ascii="Book Antiqua" w:eastAsiaTheme="minorEastAsia" w:hAnsi="Book Antiqua" w:hint="eastAsia"/>
          <w:b/>
          <w:bCs/>
          <w:iCs/>
          <w:color w:val="000000"/>
          <w:lang w:eastAsia="zh-CN"/>
        </w:rPr>
        <w:t xml:space="preserve"> </w:t>
      </w:r>
      <w:r w:rsidRPr="00EA4641">
        <w:rPr>
          <w:rFonts w:ascii="Book Antiqua" w:hAnsi="Book Antiqua"/>
          <w:lang w:val="de-DE"/>
        </w:rPr>
        <w:t xml:space="preserve">This case report was exempt from the Institutional Review Board standards at Wayne State University. </w:t>
      </w:r>
      <w:r w:rsidR="00EA4641">
        <w:rPr>
          <w:rFonts w:ascii="Book Antiqua" w:eastAsiaTheme="minorEastAsia" w:hAnsi="Book Antiqua" w:hint="eastAsia"/>
          <w:lang w:val="de-DE" w:eastAsia="zh-CN"/>
        </w:rPr>
        <w:t xml:space="preserve"> </w:t>
      </w:r>
    </w:p>
    <w:p w:rsidR="008C3E1A" w:rsidRPr="00EA4641" w:rsidRDefault="008C3E1A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bCs/>
          <w:iCs/>
          <w:color w:val="000000"/>
          <w:lang w:eastAsia="zh-CN"/>
        </w:rPr>
      </w:pPr>
      <w:bookmarkStart w:id="8" w:name="OLE_LINK69"/>
      <w:bookmarkStart w:id="9" w:name="OLE_LINK9"/>
      <w:bookmarkEnd w:id="3"/>
      <w:bookmarkEnd w:id="4"/>
      <w:r w:rsidRPr="00EA4641">
        <w:rPr>
          <w:rFonts w:ascii="Book Antiqua" w:eastAsia="宋体" w:hAnsi="Book Antiqua"/>
          <w:b/>
          <w:bCs/>
          <w:iCs/>
          <w:color w:val="000000"/>
          <w:lang w:eastAsia="zh-CN"/>
        </w:rPr>
        <w:t xml:space="preserve"> </w:t>
      </w:r>
      <w:bookmarkEnd w:id="8"/>
      <w:bookmarkEnd w:id="9"/>
    </w:p>
    <w:p w:rsidR="008C3E1A" w:rsidRDefault="008C3E1A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/>
          <w:bCs/>
          <w:iCs/>
          <w:color w:val="000000"/>
          <w:lang w:eastAsia="zh-CN"/>
        </w:rPr>
      </w:pPr>
      <w:r w:rsidRPr="00EA4641">
        <w:rPr>
          <w:rFonts w:ascii="Book Antiqua" w:hAnsi="Book Antiqua"/>
          <w:b/>
          <w:bCs/>
          <w:iCs/>
          <w:color w:val="000000"/>
        </w:rPr>
        <w:t>Informed consent</w:t>
      </w:r>
      <w:r w:rsidRPr="00EA4641">
        <w:rPr>
          <w:rFonts w:ascii="Book Antiqua" w:hAnsi="Book Antiqua"/>
          <w:b/>
          <w:bCs/>
          <w:iCs/>
        </w:rPr>
        <w:t xml:space="preserve"> statement</w:t>
      </w:r>
      <w:r w:rsidRPr="00EA4641">
        <w:rPr>
          <w:rFonts w:ascii="Book Antiqua" w:hAnsi="Book Antiqua"/>
          <w:b/>
          <w:bCs/>
          <w:iCs/>
          <w:color w:val="000000"/>
        </w:rPr>
        <w:t>:</w:t>
      </w:r>
      <w:r w:rsidR="002C1E79">
        <w:rPr>
          <w:rFonts w:ascii="Book Antiqua" w:eastAsiaTheme="minorEastAsia" w:hAnsi="Book Antiqua" w:hint="eastAsia"/>
          <w:b/>
          <w:bCs/>
          <w:iCs/>
          <w:color w:val="000000"/>
          <w:lang w:eastAsia="zh-CN"/>
        </w:rPr>
        <w:t xml:space="preserve"> </w:t>
      </w:r>
      <w:r w:rsidRPr="00EA4641">
        <w:rPr>
          <w:rFonts w:ascii="Book Antiqua" w:hAnsi="Book Antiqua"/>
          <w:bCs/>
          <w:iCs/>
          <w:color w:val="000000"/>
        </w:rPr>
        <w:t>Formal consent not required for case reports that have all 18 protected hea</w:t>
      </w:r>
      <w:r w:rsidR="00EA4641">
        <w:rPr>
          <w:rFonts w:ascii="Book Antiqua" w:hAnsi="Book Antiqua"/>
          <w:bCs/>
          <w:iCs/>
          <w:color w:val="000000"/>
        </w:rPr>
        <w:t>lth information de-identified.</w:t>
      </w:r>
      <w:r w:rsidR="00EA4641">
        <w:rPr>
          <w:rFonts w:ascii="Book Antiqua" w:eastAsiaTheme="minorEastAsia" w:hAnsi="Book Antiqua" w:hint="eastAsia"/>
          <w:bCs/>
          <w:iCs/>
          <w:color w:val="000000"/>
          <w:lang w:eastAsia="zh-CN"/>
        </w:rPr>
        <w:t xml:space="preserve"> </w:t>
      </w:r>
    </w:p>
    <w:p w:rsidR="00EA4641" w:rsidRPr="002C1E79" w:rsidRDefault="00EA4641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lang w:eastAsia="zh-CN"/>
        </w:rPr>
      </w:pPr>
    </w:p>
    <w:p w:rsidR="008C3E1A" w:rsidRPr="00EA4641" w:rsidRDefault="008C3E1A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lang w:eastAsia="zh-CN"/>
        </w:rPr>
      </w:pPr>
      <w:bookmarkStart w:id="10" w:name="OLE_LINK527"/>
      <w:bookmarkStart w:id="11" w:name="OLE_LINK526"/>
      <w:r w:rsidRPr="00EA4641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Pr="00EA4641">
        <w:rPr>
          <w:rFonts w:ascii="Book Antiqua" w:hAnsi="Book Antiqua"/>
          <w:b/>
          <w:bCs/>
          <w:iCs/>
        </w:rPr>
        <w:t xml:space="preserve"> statement</w:t>
      </w:r>
      <w:r w:rsidRPr="00EA4641">
        <w:rPr>
          <w:rFonts w:ascii="Book Antiqua" w:hAnsi="Book Antiqua" w:cs="TimesNewRomanPS-BoldItalicMT"/>
          <w:b/>
          <w:bCs/>
          <w:iCs/>
          <w:color w:val="000000"/>
        </w:rPr>
        <w:t xml:space="preserve">: </w:t>
      </w:r>
      <w:r w:rsidRPr="00EA4641">
        <w:rPr>
          <w:rFonts w:ascii="Book Antiqua" w:hAnsi="Book Antiqua" w:cs="TimesNewRomanPS-BoldItalicMT"/>
          <w:bCs/>
          <w:iCs/>
          <w:color w:val="000000"/>
        </w:rPr>
        <w:t xml:space="preserve">The authors have no conflicts of interest to disclose.  </w:t>
      </w:r>
      <w:r w:rsidR="00EA4641">
        <w:rPr>
          <w:rFonts w:ascii="Book Antiqua" w:eastAsiaTheme="minorEastAsia" w:hAnsi="Book Antiqua" w:cs="TimesNewRomanPS-BoldItalicMT" w:hint="eastAsia"/>
          <w:bCs/>
          <w:iCs/>
          <w:color w:val="000000"/>
          <w:lang w:eastAsia="zh-CN"/>
        </w:rPr>
        <w:t xml:space="preserve"> </w:t>
      </w:r>
    </w:p>
    <w:p w:rsidR="008C3E1A" w:rsidRPr="00EA4641" w:rsidRDefault="008C3E1A" w:rsidP="002C1E79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12" w:name="OLE_LINK441"/>
      <w:bookmarkStart w:id="13" w:name="OLE_LINK183"/>
      <w:bookmarkStart w:id="14" w:name="OLE_LINK155"/>
      <w:bookmarkEnd w:id="5"/>
      <w:bookmarkEnd w:id="6"/>
      <w:bookmarkEnd w:id="7"/>
      <w:bookmarkEnd w:id="10"/>
      <w:bookmarkEnd w:id="11"/>
      <w:r w:rsidRPr="00EA4641">
        <w:rPr>
          <w:rFonts w:ascii="Book Antiqua" w:hAnsi="Book Antiqua"/>
          <w:b/>
          <w:color w:val="000000"/>
        </w:rPr>
        <w:t xml:space="preserve">Open-Access: </w:t>
      </w:r>
      <w:r w:rsidRPr="00EA4641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</w:t>
      </w:r>
      <w:r w:rsidRPr="00EA4641">
        <w:rPr>
          <w:rFonts w:ascii="Book Antiqua" w:hAnsi="Book Antiqua"/>
          <w:color w:val="000000"/>
        </w:rPr>
        <w:lastRenderedPageBreak/>
        <w:t>derivative works on different terms, provided the original work is properly cited and the use is non-commercial. See: http://creativecommons.org/licenses/by-nc/4.0/</w:t>
      </w:r>
    </w:p>
    <w:bookmarkEnd w:id="12"/>
    <w:bookmarkEnd w:id="13"/>
    <w:bookmarkEnd w:id="14"/>
    <w:p w:rsidR="008C3E1A" w:rsidRPr="00EA4641" w:rsidRDefault="008C3E1A" w:rsidP="002C1E79">
      <w:pPr>
        <w:spacing w:line="360" w:lineRule="auto"/>
        <w:jc w:val="both"/>
        <w:rPr>
          <w:rFonts w:ascii="Book Antiqua" w:eastAsia="宋体" w:hAnsi="Book Antiqua" w:cs="Arial Unicode MS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 Unicode MS"/>
          <w:color w:val="000000"/>
        </w:rPr>
      </w:pPr>
      <w:r w:rsidRPr="00EA4641">
        <w:rPr>
          <w:rFonts w:ascii="Book Antiqua" w:hAnsi="Book Antiqua" w:cs="Arial Unicode MS"/>
          <w:b/>
          <w:color w:val="000000"/>
        </w:rPr>
        <w:t xml:space="preserve">Manuscript source: </w:t>
      </w:r>
      <w:r w:rsidRPr="00EA4641">
        <w:rPr>
          <w:rFonts w:ascii="Book Antiqua" w:hAnsi="Book Antiqua" w:cs="Arial Unicode MS"/>
          <w:color w:val="000000"/>
        </w:rPr>
        <w:t>Unsolicited manuscript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  <w:r w:rsidRPr="00EA4641">
        <w:rPr>
          <w:rFonts w:ascii="Book Antiqua" w:hAnsi="Book Antiqua"/>
          <w:b/>
          <w:lang w:val="de-DE"/>
        </w:rPr>
        <w:t>Correspondence to:</w:t>
      </w:r>
      <w:r w:rsidR="00EA4641">
        <w:rPr>
          <w:rFonts w:ascii="Book Antiqua" w:eastAsiaTheme="minorEastAsia" w:hAnsi="Book Antiqua" w:hint="eastAsia"/>
          <w:b/>
          <w:lang w:val="de-DE" w:eastAsia="zh-CN"/>
        </w:rPr>
        <w:t xml:space="preserve"> </w:t>
      </w:r>
      <w:r w:rsidR="00EA4641">
        <w:rPr>
          <w:rFonts w:ascii="Book Antiqua" w:hAnsi="Book Antiqua"/>
          <w:b/>
          <w:lang w:val="de-DE"/>
        </w:rPr>
        <w:t>Choichi Sugawa, MD</w:t>
      </w:r>
      <w:r w:rsidRPr="00EA4641">
        <w:rPr>
          <w:rFonts w:ascii="Book Antiqua" w:hAnsi="Book Antiqua"/>
          <w:b/>
          <w:lang w:val="de-DE"/>
        </w:rPr>
        <w:t xml:space="preserve">, Professor, </w:t>
      </w:r>
      <w:r w:rsidRPr="00EA4641">
        <w:rPr>
          <w:rFonts w:ascii="Book Antiqua" w:hAnsi="Book Antiqua"/>
        </w:rPr>
        <w:t xml:space="preserve">Michael and Marian </w:t>
      </w:r>
      <w:proofErr w:type="spellStart"/>
      <w:r w:rsidRPr="00EA4641">
        <w:rPr>
          <w:rFonts w:ascii="Book Antiqua" w:hAnsi="Book Antiqua"/>
        </w:rPr>
        <w:t>Ilitch</w:t>
      </w:r>
      <w:proofErr w:type="spellEnd"/>
      <w:r w:rsidRPr="00EA4641">
        <w:rPr>
          <w:rFonts w:ascii="Book Antiqua" w:hAnsi="Book Antiqua"/>
        </w:rPr>
        <w:t xml:space="preserve"> Department of Surgery, 6-C University Health Center,  4201 Saint Antoine St., </w:t>
      </w:r>
      <w:r w:rsidRPr="00EA4641">
        <w:rPr>
          <w:rFonts w:ascii="Book Antiqua" w:hAnsi="Book Antiqua"/>
          <w:lang w:val="de-DE"/>
        </w:rPr>
        <w:t xml:space="preserve">Detroit, MI 48201, United States. </w:t>
      </w:r>
      <w:hyperlink r:id="rId7" w:history="1">
        <w:r w:rsidRPr="00EA4641">
          <w:rPr>
            <w:rStyle w:val="Hyperlink"/>
            <w:rFonts w:ascii="Book Antiqua" w:hAnsi="Book Antiqua"/>
            <w:lang w:val="de-DE"/>
          </w:rPr>
          <w:t>csugawa@med.wayne.edu</w:t>
        </w:r>
      </w:hyperlink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  <w:r w:rsidRPr="00EA4641">
        <w:rPr>
          <w:rFonts w:ascii="Book Antiqua" w:hAnsi="Book Antiqua"/>
          <w:b/>
          <w:lang w:val="de-DE"/>
        </w:rPr>
        <w:t>Telephone</w:t>
      </w:r>
      <w:r w:rsidRPr="00EA4641">
        <w:rPr>
          <w:rFonts w:ascii="Book Antiqua" w:hAnsi="Book Antiqua"/>
          <w:lang w:val="de-DE"/>
        </w:rPr>
        <w:t>+1-313-5775001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lang w:val="de-DE"/>
        </w:rPr>
      </w:pPr>
      <w:r w:rsidRPr="00EA4641">
        <w:rPr>
          <w:rFonts w:ascii="Book Antiqua" w:hAnsi="Book Antiqua"/>
          <w:b/>
          <w:lang w:val="de-DE"/>
        </w:rPr>
        <w:t>Fax</w:t>
      </w:r>
      <w:r w:rsidRPr="00EA4641">
        <w:rPr>
          <w:rFonts w:ascii="Book Antiqua" w:hAnsi="Book Antiqua"/>
          <w:lang w:val="de-DE"/>
        </w:rPr>
        <w:t>:+1-313-5775310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bookmarkStart w:id="15" w:name="OLE_LINK557"/>
      <w:bookmarkStart w:id="16" w:name="OLE_LINK528"/>
      <w:bookmarkStart w:id="17" w:name="OLE_LINK117"/>
      <w:bookmarkStart w:id="18" w:name="OLE_LINK477"/>
      <w:bookmarkStart w:id="19" w:name="OLE_LINK476"/>
      <w:r w:rsidRPr="00EA4641">
        <w:rPr>
          <w:rFonts w:ascii="Book Antiqua" w:hAnsi="Book Antiqua"/>
          <w:b/>
        </w:rPr>
        <w:t>Received:</w:t>
      </w:r>
      <w:r w:rsidR="00EA4641" w:rsidRPr="00EA4641">
        <w:rPr>
          <w:rFonts w:ascii="Book Antiqua" w:eastAsiaTheme="minorEastAsia" w:hAnsi="Book Antiqua" w:hint="eastAsia"/>
          <w:lang w:eastAsia="zh-CN"/>
        </w:rPr>
        <w:t xml:space="preserve"> March 28, 2017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 xml:space="preserve">Peer-review started: </w:t>
      </w:r>
      <w:r w:rsidR="00EA4641" w:rsidRPr="00EA4641">
        <w:rPr>
          <w:rFonts w:ascii="Book Antiqua" w:eastAsiaTheme="minorEastAsia" w:hAnsi="Book Antiqua" w:hint="eastAsia"/>
          <w:lang w:eastAsia="zh-CN"/>
        </w:rPr>
        <w:t xml:space="preserve">March </w:t>
      </w:r>
      <w:r w:rsidR="00EA4641">
        <w:rPr>
          <w:rFonts w:ascii="Book Antiqua" w:eastAsiaTheme="minorEastAsia" w:hAnsi="Book Antiqua" w:hint="eastAsia"/>
          <w:lang w:eastAsia="zh-CN"/>
        </w:rPr>
        <w:t>31</w:t>
      </w:r>
      <w:r w:rsidR="00EA4641" w:rsidRPr="00EA4641">
        <w:rPr>
          <w:rFonts w:ascii="Book Antiqua" w:eastAsiaTheme="minorEastAsia" w:hAnsi="Book Antiqua" w:hint="eastAsia"/>
          <w:lang w:eastAsia="zh-CN"/>
        </w:rPr>
        <w:t>, 2017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EA4641">
        <w:rPr>
          <w:rFonts w:ascii="Book Antiqua" w:hAnsi="Book Antiqua"/>
          <w:b/>
        </w:rPr>
        <w:t xml:space="preserve">First decision: </w:t>
      </w:r>
      <w:r w:rsidR="00EA4641" w:rsidRPr="00EA4641">
        <w:rPr>
          <w:rFonts w:ascii="Book Antiqua" w:eastAsiaTheme="minorEastAsia" w:hAnsi="Book Antiqua" w:hint="eastAsia"/>
          <w:lang w:eastAsia="zh-CN"/>
        </w:rPr>
        <w:t>June 16, 2017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  <w:b/>
        </w:rPr>
        <w:t xml:space="preserve">Revised: </w:t>
      </w:r>
      <w:r w:rsidR="00EA4641" w:rsidRPr="00EA4641">
        <w:rPr>
          <w:rFonts w:ascii="Book Antiqua" w:eastAsiaTheme="minorEastAsia" w:hAnsi="Book Antiqua" w:hint="eastAsia"/>
          <w:lang w:eastAsia="zh-CN"/>
        </w:rPr>
        <w:t>July 6, 2017</w:t>
      </w:r>
    </w:p>
    <w:p w:rsidR="008C3E1A" w:rsidRPr="00D337E0" w:rsidRDefault="008C3E1A" w:rsidP="00D337E0">
      <w:pPr>
        <w:rPr>
          <w:rFonts w:ascii="Book Antiqua" w:hAnsi="Book Antiqua" w:cs="宋体"/>
          <w:iCs/>
        </w:rPr>
      </w:pPr>
      <w:r w:rsidRPr="00EA4641">
        <w:rPr>
          <w:rFonts w:ascii="Book Antiqua" w:hAnsi="Book Antiqua"/>
          <w:b/>
        </w:rPr>
        <w:t xml:space="preserve">Accepted: </w:t>
      </w:r>
      <w:bookmarkStart w:id="20" w:name="_GoBack"/>
      <w:bookmarkEnd w:id="20"/>
      <w:r w:rsidR="00D337E0">
        <w:rPr>
          <w:rStyle w:val="Emphasis"/>
        </w:rPr>
        <w:t>August 2</w:t>
      </w:r>
      <w:r w:rsidR="00D337E0" w:rsidRPr="00607C41">
        <w:rPr>
          <w:rStyle w:val="Emphasis"/>
          <w:rFonts w:cs="宋体"/>
        </w:rPr>
        <w:t>,</w:t>
      </w:r>
      <w:r w:rsidR="00D337E0" w:rsidRPr="00607C41">
        <w:rPr>
          <w:rStyle w:val="Emphasis"/>
        </w:rPr>
        <w:t xml:space="preserve"> 2017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>Article in press: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>Published online:</w:t>
      </w:r>
    </w:p>
    <w:bookmarkEnd w:id="15"/>
    <w:bookmarkEnd w:id="16"/>
    <w:bookmarkEnd w:id="17"/>
    <w:bookmarkEnd w:id="18"/>
    <w:bookmarkEnd w:id="19"/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br w:type="page"/>
      </w:r>
      <w:r w:rsidRPr="00EA4641">
        <w:rPr>
          <w:rFonts w:ascii="Book Antiqua" w:hAnsi="Book Antiqua"/>
          <w:b/>
        </w:rPr>
        <w:lastRenderedPageBreak/>
        <w:t>Abstract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t>Hydrogen peroxide is a common over-the-counter solution that has developed a growing body of literature regarding toxic ingestion.  Intentional ingestion of high concentration hydrogen peroxide for health purposes has gained popularity in certain patient populations; purported benefits are due to the increased oxygen released into the blood stream.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We present for evaluation one such case with associated imaging that presented to our urban medical center.</w:t>
      </w:r>
      <w:r w:rsidR="002C1E79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A brief review of the literature was also performed noting current recommendations regarding both outcomes and indications for endoscopy as well as hyperbaric oxygen therapy following ingestion of hydrogen peroxide.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Our patient was a 51-year-old white female who presented with foamy hematemesis after ingesting 10 drops of 35% hydrogen peroxide as part of a home remedy to cleanse her colon and improve blood oxygenation.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In addition to hematemesis, she also reported diffuse abdominal pain with sore throat and hoarse voice.</w:t>
      </w:r>
      <w:r w:rsidR="002C1E79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Her imaging demonstrated portal venous gas and gastric edema.</w:t>
      </w:r>
      <w:r w:rsidR="002C1E79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 xml:space="preserve">She was admitted for hyperbaric oxygen therapy and underwent upper endoscopy demonstrating diffuse esophagitis and gastritis with white exudate and multiple </w:t>
      </w:r>
      <w:proofErr w:type="spellStart"/>
      <w:r w:rsidRPr="00EA4641">
        <w:rPr>
          <w:rFonts w:ascii="Book Antiqua" w:hAnsi="Book Antiqua"/>
        </w:rPr>
        <w:t>petechiae</w:t>
      </w:r>
      <w:proofErr w:type="spellEnd"/>
      <w:r w:rsidRPr="00EA4641">
        <w:rPr>
          <w:rFonts w:ascii="Book Antiqua" w:hAnsi="Book Antiqua"/>
        </w:rPr>
        <w:t>.</w:t>
      </w:r>
      <w:r w:rsidR="002C1E79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She was later discharged home in stable condition and was lost to follow-up.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hAnsi="Book Antiqua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A4641">
        <w:rPr>
          <w:rFonts w:ascii="Book Antiqua" w:hAnsi="Book Antiqua"/>
          <w:b/>
        </w:rPr>
        <w:t>Key words</w:t>
      </w:r>
      <w:r w:rsidRPr="00EA4641">
        <w:rPr>
          <w:rFonts w:ascii="Book Antiqua" w:hAnsi="Book Antiqua"/>
        </w:rPr>
        <w:t xml:space="preserve">: </w:t>
      </w:r>
      <w:r w:rsidR="00EA4641" w:rsidRPr="00EA4641">
        <w:rPr>
          <w:rFonts w:ascii="Book Antiqua" w:hAnsi="Book Antiqua"/>
        </w:rPr>
        <w:t xml:space="preserve">Hydrogen </w:t>
      </w:r>
      <w:r w:rsidRPr="00EA4641">
        <w:rPr>
          <w:rFonts w:ascii="Book Antiqua" w:hAnsi="Book Antiqua"/>
        </w:rPr>
        <w:t xml:space="preserve">peroxide; </w:t>
      </w:r>
      <w:r w:rsidR="00EA4641" w:rsidRPr="00EA4641">
        <w:rPr>
          <w:rFonts w:ascii="Book Antiqua" w:hAnsi="Book Antiqua"/>
        </w:rPr>
        <w:t xml:space="preserve">Caustic </w:t>
      </w:r>
      <w:r w:rsidRPr="00EA4641">
        <w:rPr>
          <w:rFonts w:ascii="Book Antiqua" w:hAnsi="Book Antiqua"/>
        </w:rPr>
        <w:t xml:space="preserve">injury; </w:t>
      </w:r>
      <w:proofErr w:type="gramStart"/>
      <w:r w:rsidR="00EA4641" w:rsidRPr="00EA4641">
        <w:rPr>
          <w:rFonts w:ascii="Book Antiqua" w:hAnsi="Book Antiqua"/>
        </w:rPr>
        <w:t>Hyperbaric</w:t>
      </w:r>
      <w:proofErr w:type="gramEnd"/>
      <w:r w:rsidR="00EA4641" w:rsidRPr="00EA4641">
        <w:rPr>
          <w:rFonts w:ascii="Book Antiqua" w:hAnsi="Book Antiqua"/>
        </w:rPr>
        <w:t xml:space="preserve"> </w:t>
      </w:r>
      <w:r w:rsidRPr="00EA4641">
        <w:rPr>
          <w:rFonts w:ascii="Book Antiqua" w:hAnsi="Book Antiqua"/>
        </w:rPr>
        <w:t xml:space="preserve">oxygen therapy; </w:t>
      </w:r>
      <w:r w:rsidR="00EA4641" w:rsidRPr="00EA4641">
        <w:rPr>
          <w:rFonts w:ascii="Book Antiqua" w:hAnsi="Book Antiqua"/>
        </w:rPr>
        <w:t xml:space="preserve">Arterial </w:t>
      </w:r>
      <w:r w:rsidRPr="00EA4641">
        <w:rPr>
          <w:rFonts w:ascii="Book Antiqua" w:hAnsi="Book Antiqua"/>
        </w:rPr>
        <w:t xml:space="preserve">gas emboli; </w:t>
      </w:r>
      <w:r w:rsidR="00EA4641" w:rsidRPr="00EA4641">
        <w:rPr>
          <w:rFonts w:ascii="Book Antiqua" w:hAnsi="Book Antiqua"/>
        </w:rPr>
        <w:t xml:space="preserve">Ingestion </w:t>
      </w:r>
      <w:r w:rsidRPr="00EA4641">
        <w:rPr>
          <w:rFonts w:ascii="Book Antiqua" w:hAnsi="Book Antiqua"/>
        </w:rPr>
        <w:t>of hydrogen peroxide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EA4641" w:rsidRDefault="00EA4641" w:rsidP="002C1E79">
      <w:pPr>
        <w:spacing w:line="360" w:lineRule="auto"/>
        <w:rPr>
          <w:rFonts w:ascii="Book Antiqua" w:hAnsi="Book Antiqua" w:cs="Arial"/>
        </w:rPr>
      </w:pPr>
      <w:bookmarkStart w:id="21" w:name="OLE_LINK55"/>
      <w:bookmarkStart w:id="22" w:name="OLE_LINK56"/>
      <w:bookmarkStart w:id="23" w:name="OLE_LINK89"/>
      <w:bookmarkStart w:id="24" w:name="OLE_LINK116"/>
      <w:bookmarkStart w:id="25" w:name="OLE_LINK105"/>
      <w:proofErr w:type="gramStart"/>
      <w:r w:rsidRPr="0071780A">
        <w:rPr>
          <w:rFonts w:ascii="Book Antiqua" w:hAnsi="Book Antiqua"/>
          <w:b/>
        </w:rPr>
        <w:t>©</w:t>
      </w:r>
      <w:bookmarkEnd w:id="21"/>
      <w:bookmarkEnd w:id="22"/>
      <w:r w:rsidRPr="0071780A">
        <w:rPr>
          <w:rFonts w:ascii="Book Antiqua" w:hAnsi="Book Antiqua" w:hint="eastAsia"/>
          <w:b/>
        </w:rPr>
        <w:t xml:space="preserve"> </w:t>
      </w:r>
      <w:r w:rsidRPr="0071780A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</w:rPr>
        <w:t>7</w:t>
      </w:r>
      <w:r w:rsidRPr="0071780A">
        <w:rPr>
          <w:rFonts w:ascii="Book Antiqua" w:hAnsi="Book Antiqua" w:cs="Arial"/>
          <w:b/>
        </w:rPr>
        <w:t>.</w:t>
      </w:r>
      <w:proofErr w:type="gramEnd"/>
      <w:r w:rsidRPr="0071780A">
        <w:rPr>
          <w:rFonts w:ascii="Book Antiqua" w:hAnsi="Book Antiqua" w:cs="Arial"/>
          <w:b/>
        </w:rPr>
        <w:t xml:space="preserve"> </w:t>
      </w:r>
      <w:r w:rsidRPr="00B55A90">
        <w:rPr>
          <w:rFonts w:ascii="Book Antiqua" w:hAnsi="Book Antiqua" w:cs="Arial"/>
        </w:rPr>
        <w:t xml:space="preserve">Published by </w:t>
      </w:r>
      <w:proofErr w:type="spellStart"/>
      <w:r w:rsidRPr="00B55A90">
        <w:rPr>
          <w:rFonts w:ascii="Book Antiqua" w:hAnsi="Book Antiqua" w:cs="Arial"/>
        </w:rPr>
        <w:t>Baishideng</w:t>
      </w:r>
      <w:proofErr w:type="spellEnd"/>
      <w:r w:rsidRPr="00B55A90">
        <w:rPr>
          <w:rFonts w:ascii="Book Antiqua" w:hAnsi="Book Antiqua" w:cs="Arial"/>
        </w:rPr>
        <w:t xml:space="preserve"> Publishing Group Inc. All rights reserved.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bookmarkEnd w:id="23"/>
    <w:bookmarkEnd w:id="24"/>
    <w:bookmarkEnd w:id="25"/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  <w:b/>
        </w:rPr>
        <w:t>Core tip</w:t>
      </w:r>
      <w:r w:rsidRPr="00EA4641">
        <w:rPr>
          <w:rFonts w:ascii="Book Antiqua" w:hAnsi="Book Antiqua"/>
        </w:rPr>
        <w:t xml:space="preserve">: In patients presenting with </w:t>
      </w:r>
      <w:proofErr w:type="spellStart"/>
      <w:r w:rsidRPr="00EA4641">
        <w:rPr>
          <w:rFonts w:ascii="Book Antiqua" w:hAnsi="Book Antiqua"/>
        </w:rPr>
        <w:t>unresolving</w:t>
      </w:r>
      <w:proofErr w:type="spellEnd"/>
      <w:r w:rsidRPr="00EA4641">
        <w:rPr>
          <w:rFonts w:ascii="Book Antiqua" w:hAnsi="Book Antiqua"/>
        </w:rPr>
        <w:t xml:space="preserve"> </w:t>
      </w:r>
      <w:proofErr w:type="spellStart"/>
      <w:r w:rsidRPr="00EA4641">
        <w:rPr>
          <w:rFonts w:ascii="Book Antiqua" w:hAnsi="Book Antiqua"/>
        </w:rPr>
        <w:t>epigastric</w:t>
      </w:r>
      <w:proofErr w:type="spellEnd"/>
      <w:r w:rsidRPr="00EA4641">
        <w:rPr>
          <w:rFonts w:ascii="Book Antiqua" w:hAnsi="Book Antiqua"/>
        </w:rPr>
        <w:t xml:space="preserve"> and hematemesis following ingestion of hydrogen peroxide, evaluation with endoscopy is indicated. CT and/or MRI </w:t>
      </w:r>
      <w:r w:rsidR="00EA4641" w:rsidRPr="00EA4641">
        <w:rPr>
          <w:rFonts w:ascii="Book Antiqua" w:hAnsi="Book Antiqua"/>
        </w:rPr>
        <w:t>are</w:t>
      </w:r>
      <w:r w:rsidRPr="00EA4641">
        <w:rPr>
          <w:rFonts w:ascii="Book Antiqua" w:hAnsi="Book Antiqua"/>
        </w:rPr>
        <w:t xml:space="preserve"> also indicated to evaluate for formation of arterial gas emboli.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 xml:space="preserve">Therapy is primarily supportive, ± hyperbaric oxygen </w:t>
      </w:r>
      <w:r w:rsidRPr="00EA4641">
        <w:rPr>
          <w:rFonts w:ascii="Book Antiqua" w:hAnsi="Book Antiqua"/>
        </w:rPr>
        <w:lastRenderedPageBreak/>
        <w:t>therapy depending on presence of neurological symptoms, presence of gas emboli, and availability of resources.</w:t>
      </w:r>
    </w:p>
    <w:p w:rsidR="002C1E79" w:rsidRPr="002C1E79" w:rsidRDefault="002C1E79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EA4641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A4641">
        <w:rPr>
          <w:rFonts w:ascii="Book Antiqua" w:hAnsi="Book Antiqua"/>
          <w:sz w:val="24"/>
          <w:szCs w:val="24"/>
        </w:rPr>
        <w:t xml:space="preserve">Martin JV, </w:t>
      </w:r>
      <w:proofErr w:type="spellStart"/>
      <w:r w:rsidRPr="00EA4641">
        <w:rPr>
          <w:rFonts w:ascii="Book Antiqua" w:hAnsi="Book Antiqua"/>
          <w:sz w:val="24"/>
          <w:szCs w:val="24"/>
        </w:rPr>
        <w:t>Sugawa</w:t>
      </w:r>
      <w:proofErr w:type="spellEnd"/>
      <w:r w:rsidRPr="00EA4641">
        <w:rPr>
          <w:rFonts w:ascii="Book Antiqua" w:hAnsi="Book Antiqua"/>
          <w:sz w:val="24"/>
          <w:szCs w:val="24"/>
        </w:rPr>
        <w:t xml:space="preserve"> C</w:t>
      </w:r>
      <w:r w:rsidRPr="00EA4641">
        <w:rPr>
          <w:rFonts w:ascii="Book Antiqua" w:hAnsi="Book Antiqua"/>
        </w:rPr>
        <w:t xml:space="preserve">. </w:t>
      </w:r>
      <w:r w:rsidRPr="00EA4641">
        <w:rPr>
          <w:rFonts w:ascii="Book Antiqua" w:hAnsi="Book Antiqua"/>
          <w:sz w:val="24"/>
          <w:szCs w:val="24"/>
        </w:rPr>
        <w:t>Hydroge</w:t>
      </w:r>
      <w:r w:rsidR="00EA4641" w:rsidRPr="00EA4641">
        <w:rPr>
          <w:rFonts w:ascii="Book Antiqua" w:hAnsi="Book Antiqua"/>
          <w:sz w:val="24"/>
          <w:szCs w:val="24"/>
        </w:rPr>
        <w:t>n peroxide ingestion with injury to upper gastrointestinal tract.</w:t>
      </w:r>
      <w:r w:rsidR="00EA464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A4641" w:rsidRPr="00EA4641">
        <w:rPr>
          <w:rFonts w:ascii="Book Antiqua" w:hAnsi="Book Antiqua" w:cs="宋体"/>
          <w:i/>
          <w:color w:val="000000"/>
        </w:rPr>
        <w:t>World J</w:t>
      </w:r>
      <w:r w:rsidR="00EA4641">
        <w:rPr>
          <w:rFonts w:ascii="Book Antiqua" w:hAnsi="Book Antiqua" w:cs="宋体" w:hint="eastAsia"/>
          <w:i/>
          <w:color w:val="000000"/>
          <w:lang w:eastAsia="zh-CN"/>
        </w:rPr>
        <w:t xml:space="preserve"> </w:t>
      </w:r>
      <w:proofErr w:type="spellStart"/>
      <w:r w:rsidR="00EA4641" w:rsidRPr="00EA4641">
        <w:rPr>
          <w:rFonts w:ascii="Book Antiqua" w:hAnsi="Book Antiqua" w:cs="宋体"/>
          <w:i/>
          <w:color w:val="000000"/>
        </w:rPr>
        <w:t>Clin</w:t>
      </w:r>
      <w:proofErr w:type="spellEnd"/>
      <w:r w:rsidR="00EA4641">
        <w:rPr>
          <w:rFonts w:ascii="Book Antiqua" w:hAnsi="Book Antiqua" w:cs="宋体" w:hint="eastAsia"/>
          <w:i/>
          <w:color w:val="000000"/>
          <w:lang w:eastAsia="zh-CN"/>
        </w:rPr>
        <w:t xml:space="preserve"> </w:t>
      </w:r>
      <w:r w:rsidR="00EA4641" w:rsidRPr="00EA4641">
        <w:rPr>
          <w:rFonts w:ascii="Book Antiqua" w:hAnsi="Book Antiqua" w:cs="宋体"/>
          <w:i/>
          <w:color w:val="000000"/>
        </w:rPr>
        <w:t>Cases</w:t>
      </w:r>
      <w:r w:rsidR="00EA4641" w:rsidRPr="00EA4641">
        <w:rPr>
          <w:rFonts w:ascii="Book Antiqua" w:hAnsi="Book Antiqua" w:cs="宋体" w:hint="eastAsia"/>
          <w:color w:val="000000"/>
          <w:lang w:eastAsia="zh-CN"/>
        </w:rPr>
        <w:t xml:space="preserve"> 2017; </w:t>
      </w:r>
      <w:proofErr w:type="gramStart"/>
      <w:r w:rsidR="00EA4641" w:rsidRPr="00EA4641">
        <w:rPr>
          <w:rFonts w:ascii="Book Antiqua" w:hAnsi="Book Antiqua" w:cs="宋体" w:hint="eastAsia"/>
          <w:color w:val="000000"/>
          <w:lang w:eastAsia="zh-CN"/>
        </w:rPr>
        <w:t>In</w:t>
      </w:r>
      <w:proofErr w:type="gramEnd"/>
      <w:r w:rsidR="00EA4641" w:rsidRPr="00EA4641">
        <w:rPr>
          <w:rFonts w:ascii="Book Antiqua" w:hAnsi="Book Antiqua" w:cs="宋体" w:hint="eastAsia"/>
          <w:color w:val="000000"/>
          <w:lang w:eastAsia="zh-CN"/>
        </w:rPr>
        <w:t xml:space="preserve"> press</w:t>
      </w:r>
    </w:p>
    <w:p w:rsidR="008C3E1A" w:rsidRPr="00EA4641" w:rsidRDefault="008C3E1A" w:rsidP="002C1E79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</w:rPr>
        <w:br w:type="page"/>
      </w:r>
      <w:r w:rsidRPr="00EA4641">
        <w:rPr>
          <w:rFonts w:ascii="Book Antiqua" w:hAnsi="Book Antiqua"/>
          <w:b/>
        </w:rPr>
        <w:lastRenderedPageBreak/>
        <w:t>INTRODUCTION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</w:rPr>
        <w:t xml:space="preserve">Hydrogen peroxide is a common over-the-counter solution that has developed a growing body of literature regarding toxic </w:t>
      </w:r>
      <w:proofErr w:type="gramStart"/>
      <w:r w:rsidRPr="00EA4641">
        <w:rPr>
          <w:rFonts w:ascii="Book Antiqua" w:hAnsi="Book Antiqua"/>
        </w:rPr>
        <w:t>ingestion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1-5]</w:t>
      </w:r>
      <w:r w:rsidR="002C1E79">
        <w:rPr>
          <w:rFonts w:ascii="Book Antiqua" w:eastAsiaTheme="minorEastAsia" w:hAnsi="Book Antiqua" w:hint="eastAsia"/>
          <w:lang w:eastAsia="zh-CN"/>
        </w:rPr>
        <w:t xml:space="preserve">. </w:t>
      </w:r>
      <w:r w:rsidRPr="00EA4641">
        <w:rPr>
          <w:rFonts w:ascii="Book Antiqua" w:hAnsi="Book Antiqua"/>
        </w:rPr>
        <w:t>The main mechanisms for toxicity include direct lipid peroxidation, oxygen gas p</w:t>
      </w:r>
      <w:r w:rsidR="00EA4641">
        <w:rPr>
          <w:rFonts w:ascii="Book Antiqua" w:hAnsi="Book Antiqua"/>
        </w:rPr>
        <w:t xml:space="preserve">roduction, and corrosive </w:t>
      </w:r>
      <w:proofErr w:type="gramStart"/>
      <w:r w:rsidR="00EA4641">
        <w:rPr>
          <w:rFonts w:ascii="Book Antiqua" w:hAnsi="Book Antiqua"/>
        </w:rPr>
        <w:t>injury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1]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  <w:r w:rsidR="00E4696D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Reported toxicities and fatalities tend to involve higher concentrations (&gt;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35%)</w:t>
      </w:r>
      <w:r w:rsidR="00EA4641">
        <w:rPr>
          <w:rFonts w:ascii="Book Antiqua" w:hAnsi="Book Antiqua"/>
        </w:rPr>
        <w:t xml:space="preserve"> and pediatric </w:t>
      </w:r>
      <w:proofErr w:type="gramStart"/>
      <w:r w:rsidR="00EA4641">
        <w:rPr>
          <w:rFonts w:ascii="Book Antiqua" w:hAnsi="Book Antiqua"/>
        </w:rPr>
        <w:t>patients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1]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t>Intentional ingestion of high concentration hydrogen peroxide for health purposes has gained popularity in certain patient populations; purported benefits are due to the increased oxygen released into the blood stream.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We present for evaluation one such case with associated imaging.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hAnsi="Book Antiqua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>CASE REPORT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t xml:space="preserve">A 51-year-old white female presented to our urban medical center with foamy hematemesis after ingesting 10 drops of 35% hydrogen peroxide as part of a home remedy to cleanse her colon and improve blood oxygenation.  In addition to hematemesis, she also reported diffuse abdominal pain with sore throat and hoarse voice.  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t>At the time of presentation, vitals were normal and stable.  Her initial abdominal exam was benign and she was neurologically intact.  Labs were within normal limits save for a leukocytosis of 12.6 thousand/mm</w:t>
      </w:r>
      <w:r w:rsidRPr="00EA4641">
        <w:rPr>
          <w:rFonts w:ascii="Book Antiqua" w:hAnsi="Book Antiqua"/>
          <w:vertAlign w:val="superscript"/>
        </w:rPr>
        <w:t>3</w:t>
      </w:r>
      <w:r w:rsidR="00EA4641">
        <w:rPr>
          <w:rFonts w:ascii="Book Antiqua" w:hAnsi="Book Antiqua"/>
        </w:rPr>
        <w:t xml:space="preserve">. </w:t>
      </w:r>
      <w:r w:rsidRPr="00EA4641">
        <w:rPr>
          <w:rFonts w:ascii="Book Antiqua" w:hAnsi="Book Antiqua"/>
        </w:rPr>
        <w:t xml:space="preserve">CT imaging obtained at admission demonstrated portal venous gas, gastric </w:t>
      </w:r>
      <w:proofErr w:type="spellStart"/>
      <w:r w:rsidRPr="00EA4641">
        <w:rPr>
          <w:rFonts w:ascii="Book Antiqua" w:hAnsi="Book Antiqua"/>
        </w:rPr>
        <w:t>pneumatosis</w:t>
      </w:r>
      <w:proofErr w:type="spellEnd"/>
      <w:r w:rsidRPr="00EA4641">
        <w:rPr>
          <w:rFonts w:ascii="Book Antiqua" w:hAnsi="Book Antiqua"/>
        </w:rPr>
        <w:t>, and gastric edema (Figure 1).  She was given a proton-pump inhibitor and admitted for hyperbaric oxygen therapy (HBT) to be followed by upper endoscopy evaluation.</w:t>
      </w:r>
    </w:p>
    <w:p w:rsidR="008C3E1A" w:rsidRPr="00EA4641" w:rsidRDefault="008C3E1A" w:rsidP="002C1E79">
      <w:pPr>
        <w:pStyle w:val="Normal0"/>
        <w:tabs>
          <w:tab w:val="left" w:pos="24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Book Antiqua" w:hAnsi="Book Antiqua" w:cs="Times New Roman"/>
          <w:shd w:val="clear" w:color="auto" w:fill="FFFFFF"/>
        </w:rPr>
      </w:pPr>
      <w:r w:rsidRPr="00EA4641">
        <w:rPr>
          <w:rFonts w:ascii="Book Antiqua" w:hAnsi="Book Antiqua"/>
        </w:rPr>
        <w:tab/>
      </w:r>
      <w:r w:rsidRPr="00EA4641">
        <w:rPr>
          <w:rFonts w:ascii="Book Antiqua" w:hAnsi="Book Antiqua"/>
        </w:rPr>
        <w:tab/>
        <w:t xml:space="preserve">Esophagogastroduodenoscopy performed the following morning revealed a </w:t>
      </w:r>
      <w:r w:rsidRPr="00EA4641">
        <w:rPr>
          <w:rFonts w:ascii="Book Antiqua" w:hAnsi="Book Antiqua" w:cs="Times New Roman"/>
          <w:shd w:val="clear" w:color="auto" w:fill="FFFFFF"/>
        </w:rPr>
        <w:t xml:space="preserve">small hiatal hernia, diffuse esophagitis and gastritis with white exudate and multiple </w:t>
      </w:r>
      <w:proofErr w:type="spellStart"/>
      <w:r w:rsidRPr="00EA4641">
        <w:rPr>
          <w:rFonts w:ascii="Book Antiqua" w:hAnsi="Book Antiqua" w:cs="Times New Roman"/>
          <w:shd w:val="clear" w:color="auto" w:fill="FFFFFF"/>
        </w:rPr>
        <w:t>petechiae</w:t>
      </w:r>
      <w:proofErr w:type="spellEnd"/>
      <w:r w:rsidRPr="00EA4641">
        <w:rPr>
          <w:rFonts w:ascii="Book Antiqua" w:hAnsi="Book Antiqua" w:cs="Times New Roman"/>
          <w:shd w:val="clear" w:color="auto" w:fill="FFFFFF"/>
        </w:rPr>
        <w:t xml:space="preserve">, and two areas of </w:t>
      </w:r>
      <w:proofErr w:type="spellStart"/>
      <w:r w:rsidRPr="00EA4641">
        <w:rPr>
          <w:rFonts w:ascii="Book Antiqua" w:hAnsi="Book Antiqua" w:cs="Times New Roman"/>
          <w:shd w:val="clear" w:color="auto" w:fill="FFFFFF"/>
        </w:rPr>
        <w:t>duodenitis</w:t>
      </w:r>
      <w:proofErr w:type="spellEnd"/>
      <w:r w:rsidRPr="00EA4641">
        <w:rPr>
          <w:rFonts w:ascii="Book Antiqua" w:hAnsi="Book Antiqua" w:cs="Times New Roman"/>
          <w:shd w:val="clear" w:color="auto" w:fill="FFFFFF"/>
        </w:rPr>
        <w:t xml:space="preserve"> (Figures 2 and 3).  Gastric biopsies later demonstrated only active, chronic gastritis with marked congestion and </w:t>
      </w:r>
      <w:proofErr w:type="spellStart"/>
      <w:r w:rsidRPr="00EA4641">
        <w:rPr>
          <w:rFonts w:ascii="Book Antiqua" w:hAnsi="Book Antiqua" w:cs="Times New Roman"/>
          <w:shd w:val="clear" w:color="auto" w:fill="FFFFFF"/>
        </w:rPr>
        <w:t>extravasated</w:t>
      </w:r>
      <w:proofErr w:type="spellEnd"/>
      <w:r w:rsidRPr="00EA4641">
        <w:rPr>
          <w:rFonts w:ascii="Book Antiqua" w:hAnsi="Book Antiqua" w:cs="Times New Roman"/>
          <w:shd w:val="clear" w:color="auto" w:fill="FFFFFF"/>
        </w:rPr>
        <w:t xml:space="preserve"> blood.</w:t>
      </w:r>
      <w:r w:rsidR="00EA4641">
        <w:rPr>
          <w:rFonts w:ascii="Book Antiqua" w:hAnsi="Book Antiqua" w:cs="Times New Roman" w:hint="eastAsia"/>
          <w:shd w:val="clear" w:color="auto" w:fill="FFFFFF"/>
          <w:lang w:eastAsia="zh-CN"/>
        </w:rPr>
        <w:t xml:space="preserve"> </w:t>
      </w:r>
      <w:r w:rsidRPr="00EA4641">
        <w:rPr>
          <w:rFonts w:ascii="Book Antiqua" w:hAnsi="Book Antiqua" w:cs="Times New Roman"/>
          <w:shd w:val="clear" w:color="auto" w:fill="FFFFFF"/>
        </w:rPr>
        <w:t xml:space="preserve">Following her endoscopy and </w:t>
      </w:r>
      <w:r w:rsidRPr="00EA4641">
        <w:rPr>
          <w:rFonts w:ascii="Book Antiqua" w:hAnsi="Book Antiqua" w:cs="Times New Roman"/>
          <w:shd w:val="clear" w:color="auto" w:fill="FFFFFF"/>
        </w:rPr>
        <w:lastRenderedPageBreak/>
        <w:t>hyperbaric oxygen therapy, patient tolerated a liquid diet and was deemed stable for discharge home later that day.</w:t>
      </w:r>
      <w:r w:rsidR="00EA4641">
        <w:rPr>
          <w:rFonts w:ascii="Book Antiqua" w:hAnsi="Book Antiqua" w:cs="Times New Roman" w:hint="eastAsia"/>
          <w:shd w:val="clear" w:color="auto" w:fill="FFFFFF"/>
          <w:lang w:eastAsia="zh-CN"/>
        </w:rPr>
        <w:t xml:space="preserve"> </w:t>
      </w:r>
      <w:r w:rsidRPr="00EA4641">
        <w:rPr>
          <w:rFonts w:ascii="Book Antiqua" w:hAnsi="Book Antiqua" w:cs="Times New Roman"/>
          <w:shd w:val="clear" w:color="auto" w:fill="FFFFFF"/>
        </w:rPr>
        <w:t>Patient was lost to follow-up.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>DISCUSSION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</w:rPr>
        <w:t>Mortality associated with hydrogen peroxide ingestion usually involves the formation of arterial gas emboli (</w:t>
      </w:r>
      <w:r w:rsidR="00EA4641" w:rsidRPr="00EA4641">
        <w:rPr>
          <w:rFonts w:ascii="Book Antiqua" w:hAnsi="Book Antiqua"/>
        </w:rPr>
        <w:t>AGE</w:t>
      </w:r>
      <w:r w:rsidRPr="00EA4641">
        <w:rPr>
          <w:rFonts w:ascii="Book Antiqua" w:hAnsi="Book Antiqua"/>
        </w:rPr>
        <w:t>) and the d</w:t>
      </w:r>
      <w:r w:rsidR="00EA4641">
        <w:rPr>
          <w:rFonts w:ascii="Book Antiqua" w:hAnsi="Book Antiqua"/>
        </w:rPr>
        <w:t xml:space="preserve">evelopment of cerebral </w:t>
      </w:r>
      <w:proofErr w:type="gramStart"/>
      <w:r w:rsidR="00EA4641">
        <w:rPr>
          <w:rFonts w:ascii="Book Antiqua" w:hAnsi="Book Antiqua"/>
        </w:rPr>
        <w:t>embolism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1-3]</w:t>
      </w:r>
      <w:r w:rsidR="00EA4641">
        <w:rPr>
          <w:rFonts w:ascii="Book Antiqua" w:eastAsiaTheme="minorEastAsia" w:hAnsi="Book Antiqua" w:hint="eastAsia"/>
          <w:lang w:eastAsia="zh-CN"/>
        </w:rPr>
        <w:t xml:space="preserve">. </w:t>
      </w:r>
      <w:r w:rsidRPr="00EA4641">
        <w:rPr>
          <w:rFonts w:ascii="Book Antiqua" w:hAnsi="Book Antiqua"/>
        </w:rPr>
        <w:t>Perforation may occur, but is not as commonly described as AGE.</w:t>
      </w:r>
      <w:r w:rsidR="00EA4641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 xml:space="preserve">The most common injury noted on upper endoscopy following ingestion is a Grade I caustic mucosal injury which tends to resolve spontaneously without further </w:t>
      </w:r>
      <w:proofErr w:type="spellStart"/>
      <w:proofErr w:type="gramStart"/>
      <w:r w:rsidRPr="00EA4641">
        <w:rPr>
          <w:rFonts w:ascii="Book Antiqua" w:hAnsi="Book Antiqua"/>
        </w:rPr>
        <w:t>sequelae</w:t>
      </w:r>
      <w:proofErr w:type="spellEnd"/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6]</w:t>
      </w:r>
      <w:r w:rsidR="00EA4641">
        <w:rPr>
          <w:rFonts w:ascii="Book Antiqua" w:eastAsiaTheme="minorEastAsia" w:hAnsi="Book Antiqua" w:hint="eastAsia"/>
          <w:lang w:eastAsia="zh-CN"/>
        </w:rPr>
        <w:t xml:space="preserve">. </w:t>
      </w:r>
      <w:r w:rsidRPr="00EA4641">
        <w:rPr>
          <w:rFonts w:ascii="Book Antiqua" w:hAnsi="Book Antiqua"/>
        </w:rPr>
        <w:t>The “snow-white” sign may be visualized, an area of mucosa that has a blanched appearance secondary to blood being driven away by rapid oxygen production; this is demonstrated on our endosco</w:t>
      </w:r>
      <w:r w:rsidR="00EA4641">
        <w:rPr>
          <w:rFonts w:ascii="Book Antiqua" w:hAnsi="Book Antiqua"/>
        </w:rPr>
        <w:t>pic image (Figure 2 left panel)</w:t>
      </w:r>
      <w:r w:rsidRPr="00EA4641">
        <w:rPr>
          <w:rFonts w:ascii="Book Antiqua" w:hAnsi="Book Antiqua"/>
          <w:vertAlign w:val="superscript"/>
        </w:rPr>
        <w:t>[1]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</w:rPr>
        <w:t xml:space="preserve">Management of hydrogen peroxide ingestion consists mainly of supportive care and endoscopic evaluation if hematemesis or </w:t>
      </w:r>
      <w:proofErr w:type="spellStart"/>
      <w:r w:rsidRPr="00EA4641">
        <w:rPr>
          <w:rFonts w:ascii="Book Antiqua" w:hAnsi="Book Antiqua"/>
        </w:rPr>
        <w:t>unresolving</w:t>
      </w:r>
      <w:proofErr w:type="spellEnd"/>
      <w:r w:rsidRPr="00EA4641">
        <w:rPr>
          <w:rFonts w:ascii="Book Antiqua" w:hAnsi="Book Antiqua"/>
        </w:rPr>
        <w:t xml:space="preserve"> </w:t>
      </w:r>
      <w:proofErr w:type="spellStart"/>
      <w:r w:rsidRPr="00EA4641">
        <w:rPr>
          <w:rFonts w:ascii="Book Antiqua" w:hAnsi="Book Antiqua"/>
        </w:rPr>
        <w:t>epigastric</w:t>
      </w:r>
      <w:proofErr w:type="spellEnd"/>
      <w:r w:rsidRPr="00EA4641">
        <w:rPr>
          <w:rFonts w:ascii="Book Antiqua" w:hAnsi="Book Antiqua"/>
        </w:rPr>
        <w:t xml:space="preserve"> pain develops, typically in asso</w:t>
      </w:r>
      <w:r w:rsidR="00EA4641">
        <w:rPr>
          <w:rFonts w:ascii="Book Antiqua" w:hAnsi="Book Antiqua"/>
        </w:rPr>
        <w:t xml:space="preserve">ciation with concentrated </w:t>
      </w:r>
      <w:proofErr w:type="gramStart"/>
      <w:r w:rsidR="00EA4641">
        <w:rPr>
          <w:rFonts w:ascii="Book Antiqua" w:hAnsi="Book Antiqua"/>
        </w:rPr>
        <w:t>doses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1]</w:t>
      </w:r>
      <w:r w:rsidR="00EA4641">
        <w:rPr>
          <w:rFonts w:ascii="Book Antiqua" w:eastAsiaTheme="minorEastAsia" w:hAnsi="Book Antiqua" w:hint="eastAsia"/>
          <w:lang w:eastAsia="zh-CN"/>
        </w:rPr>
        <w:t xml:space="preserve">. </w:t>
      </w:r>
      <w:r w:rsidRPr="00EA4641">
        <w:rPr>
          <w:rFonts w:ascii="Book Antiqua" w:hAnsi="Book Antiqua"/>
        </w:rPr>
        <w:t>CT/MRI imaging is indicated to evaluate for formation of AGE, especially with the development of neurological symptoms.</w:t>
      </w:r>
      <w:r w:rsidR="002C1E79">
        <w:rPr>
          <w:rFonts w:ascii="Book Antiqua" w:eastAsiaTheme="minorEastAsia" w:hAnsi="Book Antiqua" w:hint="eastAsia"/>
          <w:lang w:eastAsia="zh-CN"/>
        </w:rPr>
        <w:t xml:space="preserve"> </w:t>
      </w:r>
      <w:r w:rsidRPr="00EA4641">
        <w:rPr>
          <w:rFonts w:ascii="Book Antiqua" w:hAnsi="Book Antiqua"/>
        </w:rPr>
        <w:t>HBT has been shown to be helpful in such cases and is generally associated with complete resolution of symptoms; delayed ther</w:t>
      </w:r>
      <w:r w:rsidR="00EA4641">
        <w:rPr>
          <w:rFonts w:ascii="Book Antiqua" w:hAnsi="Book Antiqua"/>
        </w:rPr>
        <w:t xml:space="preserve">apy may contribute to </w:t>
      </w:r>
      <w:proofErr w:type="gramStart"/>
      <w:r w:rsidR="00EA4641">
        <w:rPr>
          <w:rFonts w:ascii="Book Antiqua" w:hAnsi="Book Antiqua"/>
        </w:rPr>
        <w:t>mortality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2</w:t>
      </w:r>
      <w:r w:rsidR="00EA4641">
        <w:rPr>
          <w:rFonts w:ascii="Book Antiqua" w:eastAsiaTheme="minorEastAsia" w:hAnsi="Book Antiqua" w:hint="eastAsia"/>
          <w:vertAlign w:val="superscript"/>
          <w:lang w:eastAsia="zh-CN"/>
        </w:rPr>
        <w:t>-</w:t>
      </w:r>
      <w:r w:rsidRPr="00EA4641">
        <w:rPr>
          <w:rFonts w:ascii="Book Antiqua" w:hAnsi="Book Antiqua"/>
          <w:vertAlign w:val="superscript"/>
        </w:rPr>
        <w:t>4]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</w:p>
    <w:p w:rsidR="008C3E1A" w:rsidRPr="00EA4641" w:rsidRDefault="008C3E1A" w:rsidP="002C1E79">
      <w:pPr>
        <w:spacing w:line="360" w:lineRule="auto"/>
        <w:ind w:firstLine="720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/>
        </w:rPr>
        <w:t>While neurological symptoms are definitive indications for HBT, its role in the presence of portal veno</w:t>
      </w:r>
      <w:r w:rsidR="00EA4641">
        <w:rPr>
          <w:rFonts w:ascii="Book Antiqua" w:hAnsi="Book Antiqua"/>
        </w:rPr>
        <w:t xml:space="preserve">us gas is still being </w:t>
      </w:r>
      <w:proofErr w:type="gramStart"/>
      <w:r w:rsidR="00EA4641">
        <w:rPr>
          <w:rFonts w:ascii="Book Antiqua" w:hAnsi="Book Antiqua"/>
        </w:rPr>
        <w:t>evaluated</w:t>
      </w:r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2,3]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  <w:r w:rsidRPr="00EA4641">
        <w:rPr>
          <w:rFonts w:ascii="Book Antiqua" w:hAnsi="Book Antiqua"/>
        </w:rPr>
        <w:t xml:space="preserve"> Several centers with ready access to HBT have suggested that the mere presence of portal venous gas indicates need for HBT.  While it would seem a prudent measure to prevent further progression of gas emboli, a case report does exist of conservatively managed portal venous gas without HBT and without subsequent negative </w:t>
      </w:r>
      <w:proofErr w:type="spellStart"/>
      <w:proofErr w:type="gramStart"/>
      <w:r w:rsidRPr="00EA4641">
        <w:rPr>
          <w:rFonts w:ascii="Book Antiqua" w:hAnsi="Book Antiqua"/>
        </w:rPr>
        <w:t>sequelae</w:t>
      </w:r>
      <w:proofErr w:type="spellEnd"/>
      <w:r w:rsidRPr="00EA4641">
        <w:rPr>
          <w:rFonts w:ascii="Book Antiqua" w:hAnsi="Book Antiqua"/>
          <w:vertAlign w:val="superscript"/>
        </w:rPr>
        <w:t>[</w:t>
      </w:r>
      <w:proofErr w:type="gramEnd"/>
      <w:r w:rsidRPr="00EA4641">
        <w:rPr>
          <w:rFonts w:ascii="Book Antiqua" w:hAnsi="Book Antiqua"/>
          <w:vertAlign w:val="superscript"/>
        </w:rPr>
        <w:t>7]</w:t>
      </w:r>
      <w:r w:rsidR="00EA4641">
        <w:rPr>
          <w:rFonts w:ascii="Book Antiqua" w:eastAsiaTheme="minorEastAsia" w:hAnsi="Book Antiqua" w:hint="eastAsia"/>
          <w:lang w:eastAsia="zh-CN"/>
        </w:rPr>
        <w:t>.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</w:rPr>
        <w:br w:type="page"/>
      </w:r>
      <w:bookmarkStart w:id="26" w:name="OLE_LINK250"/>
      <w:bookmarkStart w:id="27" w:name="OLE_LINK249"/>
      <w:bookmarkStart w:id="28" w:name="OLE_LINK531"/>
      <w:bookmarkStart w:id="29" w:name="OLE_LINK444"/>
      <w:bookmarkStart w:id="30" w:name="OLE_LINK443"/>
      <w:bookmarkStart w:id="31" w:name="OLE_LINK91"/>
      <w:bookmarkStart w:id="32" w:name="OLE_LINK90"/>
      <w:r w:rsidRPr="00EA4641">
        <w:rPr>
          <w:rFonts w:ascii="Book Antiqua" w:hAnsi="Book Antiqua"/>
          <w:b/>
        </w:rPr>
        <w:lastRenderedPageBreak/>
        <w:t>COMMENTS</w:t>
      </w: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i/>
        </w:rPr>
      </w:pPr>
      <w:r w:rsidRPr="00EA4641">
        <w:rPr>
          <w:rFonts w:ascii="Book Antiqua" w:hAnsi="Book Antiqua"/>
          <w:b/>
          <w:i/>
        </w:rPr>
        <w:t>Case characteristics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 xml:space="preserve">Our patient presented with </w:t>
      </w:r>
      <w:proofErr w:type="spellStart"/>
      <w:r w:rsidRPr="00EA4641">
        <w:rPr>
          <w:rFonts w:ascii="Book Antiqua" w:hAnsi="Book Antiqua" w:cs="Arial"/>
          <w:color w:val="000000"/>
        </w:rPr>
        <w:t>epigastric</w:t>
      </w:r>
      <w:proofErr w:type="spellEnd"/>
      <w:r w:rsidRPr="00EA4641">
        <w:rPr>
          <w:rFonts w:ascii="Book Antiqua" w:hAnsi="Book Antiqua" w:cs="Arial"/>
          <w:color w:val="000000"/>
        </w:rPr>
        <w:t xml:space="preserve"> pain, foamy hematemesis, sore throat, and hoarseness.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宋体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Clinical diagnosis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>Physical exam demonstrated a benign abdomen and no neurological deficits.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Differential diagnosis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 xml:space="preserve">Presentation concerning for perforation of gastrointestinal tract with possible arterial gas emboli, evaluated by </w:t>
      </w:r>
      <w:r w:rsidR="00E4696D" w:rsidRPr="00E4696D">
        <w:rPr>
          <w:rFonts w:ascii="Book Antiqua" w:hAnsi="Book Antiqua" w:cs="Arial"/>
          <w:color w:val="000000"/>
        </w:rPr>
        <w:t xml:space="preserve">computed tomography </w:t>
      </w:r>
      <w:r w:rsidRPr="00EA4641">
        <w:rPr>
          <w:rFonts w:ascii="Book Antiqua" w:hAnsi="Book Antiqua" w:cs="Arial"/>
          <w:color w:val="000000"/>
        </w:rPr>
        <w:t>and EGD.</w:t>
      </w:r>
    </w:p>
    <w:p w:rsidR="00EA4641" w:rsidRPr="00E4696D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Laboratory diagnosis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>Electrolytes and complete blood count obtained demonstrating only leukocytosis of 12.6 thousand/mm</w:t>
      </w:r>
      <w:r w:rsidRPr="00EA4641">
        <w:rPr>
          <w:rFonts w:ascii="Book Antiqua" w:hAnsi="Book Antiqua" w:cs="Arial"/>
          <w:color w:val="000000"/>
          <w:vertAlign w:val="superscript"/>
        </w:rPr>
        <w:t>3</w:t>
      </w:r>
      <w:r w:rsidRPr="00EA4641">
        <w:rPr>
          <w:rFonts w:ascii="Book Antiqua" w:hAnsi="Book Antiqua" w:cs="Arial"/>
          <w:color w:val="000000"/>
        </w:rPr>
        <w:t>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Imaging diagnosis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 w:cs="Arial"/>
          <w:color w:val="000000"/>
        </w:rPr>
        <w:t xml:space="preserve">CT Abdomen demonstrated </w:t>
      </w:r>
      <w:r w:rsidRPr="00EA4641">
        <w:rPr>
          <w:rFonts w:ascii="Book Antiqua" w:hAnsi="Book Antiqua"/>
        </w:rPr>
        <w:t xml:space="preserve">portal venous gas, gastric </w:t>
      </w:r>
      <w:proofErr w:type="spellStart"/>
      <w:r w:rsidRPr="00EA4641">
        <w:rPr>
          <w:rFonts w:ascii="Book Antiqua" w:hAnsi="Book Antiqua"/>
        </w:rPr>
        <w:t>pneumatosis</w:t>
      </w:r>
      <w:proofErr w:type="spellEnd"/>
      <w:r w:rsidRPr="00EA4641">
        <w:rPr>
          <w:rFonts w:ascii="Book Antiqua" w:hAnsi="Book Antiqua"/>
        </w:rPr>
        <w:t>, and gastric edema.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Pathological diagnosis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 xml:space="preserve">Gastric biopsy demonstrated </w:t>
      </w:r>
      <w:r w:rsidRPr="00EA4641">
        <w:rPr>
          <w:rFonts w:ascii="Book Antiqua" w:hAnsi="Book Antiqua"/>
          <w:shd w:val="clear" w:color="auto" w:fill="FFFFFF"/>
        </w:rPr>
        <w:t xml:space="preserve">active, chronic gastritis with marked congestion and </w:t>
      </w:r>
      <w:proofErr w:type="spellStart"/>
      <w:r w:rsidRPr="00EA4641">
        <w:rPr>
          <w:rFonts w:ascii="Book Antiqua" w:hAnsi="Book Antiqua"/>
          <w:shd w:val="clear" w:color="auto" w:fill="FFFFFF"/>
        </w:rPr>
        <w:t>extravasated</w:t>
      </w:r>
      <w:proofErr w:type="spellEnd"/>
      <w:r w:rsidRPr="00EA4641">
        <w:rPr>
          <w:rFonts w:ascii="Book Antiqua" w:hAnsi="Book Antiqua"/>
          <w:shd w:val="clear" w:color="auto" w:fill="FFFFFF"/>
        </w:rPr>
        <w:t xml:space="preserve"> blood.</w:t>
      </w:r>
      <w:r w:rsidRPr="00EA4641">
        <w:rPr>
          <w:rFonts w:ascii="Book Antiqua" w:hAnsi="Book Antiqua" w:cs="Arial"/>
          <w:color w:val="000000"/>
        </w:rPr>
        <w:t xml:space="preserve"> 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Treatment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>Patient was kept NPO; treated with IV fluids, a proton-pump inhibitor, and hyperbaric oxygen therapy; and evaluated by EGD.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/>
          <w:b/>
          <w:i/>
        </w:rPr>
        <w:t>Related reports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A4641">
        <w:rPr>
          <w:rFonts w:ascii="Book Antiqua" w:hAnsi="Book Antiqua" w:cs="Arial"/>
          <w:color w:val="000000"/>
        </w:rPr>
        <w:lastRenderedPageBreak/>
        <w:t xml:space="preserve">EGD demonstrated </w:t>
      </w:r>
      <w:r w:rsidRPr="00EA4641">
        <w:rPr>
          <w:rFonts w:ascii="Book Antiqua" w:hAnsi="Book Antiqua"/>
        </w:rPr>
        <w:t xml:space="preserve">a </w:t>
      </w:r>
      <w:r w:rsidRPr="00EA4641">
        <w:rPr>
          <w:rFonts w:ascii="Book Antiqua" w:hAnsi="Book Antiqua"/>
          <w:shd w:val="clear" w:color="auto" w:fill="FFFFFF"/>
        </w:rPr>
        <w:t xml:space="preserve">small hiatal hernia, diffuse esophagitis and gastritis with white exudate and multiple </w:t>
      </w:r>
      <w:proofErr w:type="spellStart"/>
      <w:r w:rsidRPr="00EA4641">
        <w:rPr>
          <w:rFonts w:ascii="Book Antiqua" w:hAnsi="Book Antiqua"/>
          <w:shd w:val="clear" w:color="auto" w:fill="FFFFFF"/>
        </w:rPr>
        <w:t>petechiae</w:t>
      </w:r>
      <w:proofErr w:type="spellEnd"/>
      <w:r w:rsidRPr="00EA4641">
        <w:rPr>
          <w:rFonts w:ascii="Book Antiqua" w:hAnsi="Book Antiqua"/>
          <w:shd w:val="clear" w:color="auto" w:fill="FFFFFF"/>
        </w:rPr>
        <w:t xml:space="preserve">, and two areas of </w:t>
      </w:r>
      <w:proofErr w:type="spellStart"/>
      <w:r w:rsidRPr="00EA4641">
        <w:rPr>
          <w:rFonts w:ascii="Book Antiqua" w:hAnsi="Book Antiqua"/>
          <w:shd w:val="clear" w:color="auto" w:fill="FFFFFF"/>
        </w:rPr>
        <w:t>duodenitis</w:t>
      </w:r>
      <w:proofErr w:type="spellEnd"/>
      <w:r w:rsidRPr="00EA4641">
        <w:rPr>
          <w:rFonts w:ascii="Book Antiqua" w:hAnsi="Book Antiqua"/>
        </w:rPr>
        <w:t>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 w:cs="Arial"/>
          <w:b/>
          <w:i/>
          <w:color w:val="000000"/>
        </w:rPr>
      </w:pPr>
      <w:r w:rsidRPr="00EA4641">
        <w:rPr>
          <w:rFonts w:ascii="Book Antiqua" w:hAnsi="Book Antiqua" w:cs="Arial"/>
          <w:b/>
          <w:i/>
          <w:color w:val="000000"/>
        </w:rPr>
        <w:t>Experiences and lessons</w:t>
      </w: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 w:cs="Arial"/>
          <w:color w:val="000000"/>
          <w:lang w:eastAsia="zh-CN"/>
        </w:rPr>
      </w:pPr>
      <w:r w:rsidRPr="00EA4641">
        <w:rPr>
          <w:rFonts w:ascii="Book Antiqua" w:hAnsi="Book Antiqua" w:cs="Arial"/>
          <w:color w:val="000000"/>
        </w:rPr>
        <w:t>Hydrogen peroxide ingestion generally requires conservative management and may benefit from hyperbaric oxygen therapy.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  <w:b/>
          <w:i/>
        </w:rPr>
      </w:pPr>
      <w:r w:rsidRPr="00EA4641">
        <w:rPr>
          <w:rFonts w:ascii="Book Antiqua" w:hAnsi="Book Antiqua"/>
          <w:b/>
          <w:i/>
        </w:rPr>
        <w:t>Peer-review</w:t>
      </w:r>
    </w:p>
    <w:bookmarkEnd w:id="26"/>
    <w:bookmarkEnd w:id="27"/>
    <w:p w:rsidR="008C3E1A" w:rsidRPr="00EA4641" w:rsidRDefault="00EA4641" w:rsidP="002C1E7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EA4641">
        <w:rPr>
          <w:rFonts w:ascii="Book Antiqua" w:hAnsi="Book Antiqua" w:cs="Arial"/>
          <w:color w:val="000000"/>
        </w:rPr>
        <w:t xml:space="preserve">The authors demonstrated a case of 51-year-old white female presented to our urban medical center with foamy hematemesis after ingesting 10 drops of 35% hydrogen peroxide. The present study was well investigated and will give us </w:t>
      </w:r>
      <w:proofErr w:type="gramStart"/>
      <w:r w:rsidRPr="00EA4641">
        <w:rPr>
          <w:rFonts w:ascii="Book Antiqua" w:hAnsi="Book Antiqua" w:cs="Arial"/>
          <w:color w:val="000000"/>
        </w:rPr>
        <w:t>an important</w:t>
      </w:r>
      <w:proofErr w:type="gramEnd"/>
      <w:r w:rsidRPr="00EA4641">
        <w:rPr>
          <w:rFonts w:ascii="Book Antiqua" w:hAnsi="Book Antiqua" w:cs="Arial"/>
          <w:color w:val="000000"/>
        </w:rPr>
        <w:t xml:space="preserve"> information in the field of clinical gastroenterology.</w:t>
      </w:r>
    </w:p>
    <w:bookmarkEnd w:id="28"/>
    <w:bookmarkEnd w:id="29"/>
    <w:bookmarkEnd w:id="30"/>
    <w:p w:rsidR="008C3E1A" w:rsidRPr="00EA4641" w:rsidRDefault="008C3E1A" w:rsidP="002C1E7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p w:rsidR="008C3E1A" w:rsidRPr="00EA4641" w:rsidRDefault="008C3E1A" w:rsidP="002C1E7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</w:p>
    <w:bookmarkEnd w:id="31"/>
    <w:bookmarkEnd w:id="32"/>
    <w:p w:rsidR="008C3E1A" w:rsidRPr="00EA4641" w:rsidRDefault="008C3E1A" w:rsidP="002C1E79">
      <w:pPr>
        <w:spacing w:line="360" w:lineRule="auto"/>
        <w:jc w:val="both"/>
        <w:rPr>
          <w:rFonts w:ascii="Book Antiqua" w:hAnsi="Book Antiqua"/>
        </w:rPr>
      </w:pPr>
    </w:p>
    <w:p w:rsidR="008C3E1A" w:rsidRDefault="008C3E1A" w:rsidP="002C1E79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EA4641">
        <w:rPr>
          <w:rFonts w:ascii="Book Antiqua" w:hAnsi="Book Antiqua"/>
          <w:b/>
        </w:rPr>
        <w:br w:type="page"/>
      </w:r>
      <w:r w:rsidRPr="00EA4641">
        <w:rPr>
          <w:rFonts w:ascii="Book Antiqua" w:hAnsi="Book Antiqua"/>
          <w:b/>
        </w:rPr>
        <w:lastRenderedPageBreak/>
        <w:t>REFERENCES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r w:rsidRPr="00596005">
        <w:rPr>
          <w:rFonts w:ascii="Book Antiqua" w:eastAsia="宋体" w:hAnsi="Book Antiqua" w:cs="Tahoma"/>
        </w:rPr>
        <w:t>1 </w:t>
      </w:r>
      <w:r w:rsidRPr="00596005">
        <w:rPr>
          <w:rFonts w:ascii="Book Antiqua" w:eastAsia="宋体" w:hAnsi="Book Antiqua" w:cs="Tahoma"/>
          <w:b/>
          <w:bCs/>
        </w:rPr>
        <w:t xml:space="preserve">Watt </w:t>
      </w:r>
      <w:proofErr w:type="gramStart"/>
      <w:r w:rsidRPr="00596005">
        <w:rPr>
          <w:rFonts w:ascii="Book Antiqua" w:eastAsia="宋体" w:hAnsi="Book Antiqua" w:cs="Tahoma"/>
          <w:b/>
          <w:bCs/>
        </w:rPr>
        <w:t>BE</w:t>
      </w:r>
      <w:proofErr w:type="gramEnd"/>
      <w:r w:rsidRPr="00596005">
        <w:rPr>
          <w:rFonts w:ascii="Book Antiqua" w:eastAsia="宋体" w:hAnsi="Book Antiqua" w:cs="Tahoma"/>
        </w:rPr>
        <w:t xml:space="preserve">, </w:t>
      </w:r>
      <w:proofErr w:type="spellStart"/>
      <w:r w:rsidRPr="00596005">
        <w:rPr>
          <w:rFonts w:ascii="Book Antiqua" w:eastAsia="宋体" w:hAnsi="Book Antiqua" w:cs="Tahoma"/>
        </w:rPr>
        <w:t>Proudfoot</w:t>
      </w:r>
      <w:proofErr w:type="spellEnd"/>
      <w:r w:rsidRPr="00596005">
        <w:rPr>
          <w:rFonts w:ascii="Book Antiqua" w:eastAsia="宋体" w:hAnsi="Book Antiqua" w:cs="Tahoma"/>
        </w:rPr>
        <w:t xml:space="preserve"> AT, Vale JA. </w:t>
      </w:r>
      <w:proofErr w:type="gramStart"/>
      <w:r w:rsidRPr="00596005">
        <w:rPr>
          <w:rFonts w:ascii="Book Antiqua" w:eastAsia="宋体" w:hAnsi="Book Antiqua" w:cs="Tahoma"/>
        </w:rPr>
        <w:t>Hydrogen peroxide poisoning.</w:t>
      </w:r>
      <w:proofErr w:type="gramEnd"/>
      <w:r w:rsidRPr="00596005">
        <w:rPr>
          <w:rFonts w:ascii="Book Antiqua" w:eastAsia="宋体" w:hAnsi="Book Antiqua" w:cs="Tahoma"/>
        </w:rPr>
        <w:t> </w:t>
      </w:r>
      <w:proofErr w:type="spellStart"/>
      <w:r w:rsidRPr="00596005">
        <w:rPr>
          <w:rFonts w:ascii="Book Antiqua" w:eastAsia="宋体" w:hAnsi="Book Antiqua" w:cs="Tahoma"/>
          <w:i/>
          <w:iCs/>
        </w:rPr>
        <w:t>Toxicol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Rev</w:t>
      </w:r>
      <w:r w:rsidRPr="00596005">
        <w:rPr>
          <w:rFonts w:ascii="Book Antiqua" w:eastAsia="宋体" w:hAnsi="Book Antiqua" w:cs="Tahoma"/>
        </w:rPr>
        <w:t> 2004; </w:t>
      </w:r>
      <w:r w:rsidRPr="00596005">
        <w:rPr>
          <w:rFonts w:ascii="Book Antiqua" w:eastAsia="宋体" w:hAnsi="Book Antiqua" w:cs="Tahoma"/>
          <w:b/>
          <w:bCs/>
        </w:rPr>
        <w:t>23</w:t>
      </w:r>
      <w:r w:rsidRPr="00596005">
        <w:rPr>
          <w:rFonts w:ascii="Book Antiqua" w:eastAsia="宋体" w:hAnsi="Book Antiqua" w:cs="Tahoma"/>
        </w:rPr>
        <w:t>: 51-57 [PMID: 15298493]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r w:rsidRPr="00596005">
        <w:rPr>
          <w:rFonts w:ascii="Book Antiqua" w:eastAsia="宋体" w:hAnsi="Book Antiqua" w:cs="Tahoma"/>
        </w:rPr>
        <w:t>2 </w:t>
      </w:r>
      <w:r w:rsidRPr="00596005">
        <w:rPr>
          <w:rFonts w:ascii="Book Antiqua" w:eastAsia="宋体" w:hAnsi="Book Antiqua" w:cs="Tahoma"/>
          <w:b/>
          <w:bCs/>
        </w:rPr>
        <w:t>Byrne B</w:t>
      </w:r>
      <w:r w:rsidRPr="00596005">
        <w:rPr>
          <w:rFonts w:ascii="Book Antiqua" w:eastAsia="宋体" w:hAnsi="Book Antiqua" w:cs="Tahoma"/>
        </w:rPr>
        <w:t xml:space="preserve">, Sherwin R, Courage C, Baylor A, </w:t>
      </w:r>
      <w:proofErr w:type="spellStart"/>
      <w:r w:rsidRPr="00596005">
        <w:rPr>
          <w:rFonts w:ascii="Book Antiqua" w:eastAsia="宋体" w:hAnsi="Book Antiqua" w:cs="Tahoma"/>
        </w:rPr>
        <w:t>Dolcourt</w:t>
      </w:r>
      <w:proofErr w:type="spellEnd"/>
      <w:r w:rsidRPr="00596005">
        <w:rPr>
          <w:rFonts w:ascii="Book Antiqua" w:eastAsia="宋体" w:hAnsi="Book Antiqua" w:cs="Tahoma"/>
        </w:rPr>
        <w:t xml:space="preserve"> B, </w:t>
      </w:r>
      <w:proofErr w:type="spellStart"/>
      <w:r w:rsidRPr="00596005">
        <w:rPr>
          <w:rFonts w:ascii="Book Antiqua" w:eastAsia="宋体" w:hAnsi="Book Antiqua" w:cs="Tahoma"/>
        </w:rPr>
        <w:t>Brudzewski</w:t>
      </w:r>
      <w:proofErr w:type="spellEnd"/>
      <w:r w:rsidRPr="00596005">
        <w:rPr>
          <w:rFonts w:ascii="Book Antiqua" w:eastAsia="宋体" w:hAnsi="Book Antiqua" w:cs="Tahoma"/>
        </w:rPr>
        <w:t xml:space="preserve"> JR, </w:t>
      </w:r>
      <w:proofErr w:type="spellStart"/>
      <w:r w:rsidRPr="00596005">
        <w:rPr>
          <w:rFonts w:ascii="Book Antiqua" w:eastAsia="宋体" w:hAnsi="Book Antiqua" w:cs="Tahoma"/>
        </w:rPr>
        <w:t>Mosteller</w:t>
      </w:r>
      <w:proofErr w:type="spellEnd"/>
      <w:r w:rsidRPr="00596005">
        <w:rPr>
          <w:rFonts w:ascii="Book Antiqua" w:eastAsia="宋体" w:hAnsi="Book Antiqua" w:cs="Tahoma"/>
        </w:rPr>
        <w:t xml:space="preserve"> J, Wilson RF. Hyperbaric oxygen therapy for systemic gas embolism after hydrogen peroxide ingestion. </w:t>
      </w:r>
      <w:r w:rsidRPr="00596005">
        <w:rPr>
          <w:rFonts w:ascii="Book Antiqua" w:eastAsia="宋体" w:hAnsi="Book Antiqua" w:cs="Tahoma"/>
          <w:i/>
          <w:iCs/>
        </w:rPr>
        <w:t xml:space="preserve">J </w:t>
      </w:r>
      <w:proofErr w:type="spellStart"/>
      <w:r w:rsidRPr="00596005">
        <w:rPr>
          <w:rFonts w:ascii="Book Antiqua" w:eastAsia="宋体" w:hAnsi="Book Antiqua" w:cs="Tahoma"/>
          <w:i/>
          <w:iCs/>
        </w:rPr>
        <w:t>Emerg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Med</w:t>
      </w:r>
      <w:r w:rsidRPr="00596005">
        <w:rPr>
          <w:rFonts w:ascii="Book Antiqua" w:eastAsia="宋体" w:hAnsi="Book Antiqua" w:cs="Tahoma"/>
        </w:rPr>
        <w:t> 2014; </w:t>
      </w:r>
      <w:r w:rsidRPr="00596005">
        <w:rPr>
          <w:rFonts w:ascii="Book Antiqua" w:eastAsia="宋体" w:hAnsi="Book Antiqua" w:cs="Tahoma"/>
          <w:b/>
          <w:bCs/>
        </w:rPr>
        <w:t>46</w:t>
      </w:r>
      <w:r w:rsidRPr="00596005">
        <w:rPr>
          <w:rFonts w:ascii="Book Antiqua" w:eastAsia="宋体" w:hAnsi="Book Antiqua" w:cs="Tahoma"/>
        </w:rPr>
        <w:t>: 171-175 [PMID: 24268898 DOI: 10.1016/j.jemermed.2013.08.091]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r w:rsidRPr="00596005">
        <w:rPr>
          <w:rFonts w:ascii="Book Antiqua" w:eastAsia="宋体" w:hAnsi="Book Antiqua" w:cs="Tahoma"/>
        </w:rPr>
        <w:t>3 </w:t>
      </w:r>
      <w:proofErr w:type="spellStart"/>
      <w:r w:rsidRPr="00596005">
        <w:rPr>
          <w:rFonts w:ascii="Book Antiqua" w:eastAsia="宋体" w:hAnsi="Book Antiqua" w:cs="Tahoma"/>
          <w:b/>
          <w:bCs/>
        </w:rPr>
        <w:t>Hendriksen</w:t>
      </w:r>
      <w:proofErr w:type="spellEnd"/>
      <w:r w:rsidRPr="00596005">
        <w:rPr>
          <w:rFonts w:ascii="Book Antiqua" w:eastAsia="宋体" w:hAnsi="Book Antiqua" w:cs="Tahoma"/>
          <w:b/>
          <w:bCs/>
        </w:rPr>
        <w:t xml:space="preserve"> SM</w:t>
      </w:r>
      <w:r w:rsidRPr="00596005">
        <w:rPr>
          <w:rFonts w:ascii="Book Antiqua" w:eastAsia="宋体" w:hAnsi="Book Antiqua" w:cs="Tahoma"/>
        </w:rPr>
        <w:t xml:space="preserve">, </w:t>
      </w:r>
      <w:proofErr w:type="spellStart"/>
      <w:r w:rsidRPr="00596005">
        <w:rPr>
          <w:rFonts w:ascii="Book Antiqua" w:eastAsia="宋体" w:hAnsi="Book Antiqua" w:cs="Tahoma"/>
        </w:rPr>
        <w:t>Menth</w:t>
      </w:r>
      <w:proofErr w:type="spellEnd"/>
      <w:r w:rsidRPr="00596005">
        <w:rPr>
          <w:rFonts w:ascii="Book Antiqua" w:eastAsia="宋体" w:hAnsi="Book Antiqua" w:cs="Tahoma"/>
        </w:rPr>
        <w:t xml:space="preserve"> NL, </w:t>
      </w:r>
      <w:proofErr w:type="spellStart"/>
      <w:r w:rsidRPr="00596005">
        <w:rPr>
          <w:rFonts w:ascii="Book Antiqua" w:eastAsia="宋体" w:hAnsi="Book Antiqua" w:cs="Tahoma"/>
        </w:rPr>
        <w:t>Westgard</w:t>
      </w:r>
      <w:proofErr w:type="spellEnd"/>
      <w:r w:rsidRPr="00596005">
        <w:rPr>
          <w:rFonts w:ascii="Book Antiqua" w:eastAsia="宋体" w:hAnsi="Book Antiqua" w:cs="Tahoma"/>
        </w:rPr>
        <w:t xml:space="preserve"> BC, Cole JB, Walter JW, Masters TC, Logue CJ. </w:t>
      </w:r>
      <w:proofErr w:type="gramStart"/>
      <w:r w:rsidRPr="00596005">
        <w:rPr>
          <w:rFonts w:ascii="Book Antiqua" w:eastAsia="宋体" w:hAnsi="Book Antiqua" w:cs="Tahoma"/>
        </w:rPr>
        <w:t>Hyperbaric oxygen therapy for the prevention of arterial gas embolism in food grade hydrogen peroxide ingestion.</w:t>
      </w:r>
      <w:proofErr w:type="gramEnd"/>
      <w:r w:rsidRPr="00596005">
        <w:rPr>
          <w:rFonts w:ascii="Book Antiqua" w:eastAsia="宋体" w:hAnsi="Book Antiqua" w:cs="Tahoma"/>
        </w:rPr>
        <w:t> </w:t>
      </w:r>
      <w:r w:rsidRPr="00596005">
        <w:rPr>
          <w:rFonts w:ascii="Book Antiqua" w:eastAsia="宋体" w:hAnsi="Book Antiqua" w:cs="Tahoma"/>
          <w:i/>
          <w:iCs/>
        </w:rPr>
        <w:t xml:space="preserve">Am J </w:t>
      </w:r>
      <w:proofErr w:type="spellStart"/>
      <w:r w:rsidRPr="00596005">
        <w:rPr>
          <w:rFonts w:ascii="Book Antiqua" w:eastAsia="宋体" w:hAnsi="Book Antiqua" w:cs="Tahoma"/>
          <w:i/>
          <w:iCs/>
        </w:rPr>
        <w:t>Emerg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Med</w:t>
      </w:r>
      <w:r w:rsidRPr="00596005">
        <w:rPr>
          <w:rFonts w:ascii="Book Antiqua" w:eastAsia="宋体" w:hAnsi="Book Antiqua" w:cs="Tahoma"/>
        </w:rPr>
        <w:t> 2017; </w:t>
      </w:r>
      <w:r w:rsidRPr="00596005">
        <w:rPr>
          <w:rFonts w:ascii="Book Antiqua" w:eastAsia="宋体" w:hAnsi="Book Antiqua" w:cs="Tahoma"/>
          <w:b/>
          <w:bCs/>
        </w:rPr>
        <w:t>35</w:t>
      </w:r>
      <w:r w:rsidRPr="00596005">
        <w:rPr>
          <w:rFonts w:ascii="Book Antiqua" w:eastAsia="宋体" w:hAnsi="Book Antiqua" w:cs="Tahoma"/>
        </w:rPr>
        <w:t>: 809.e5-809.e8 [PMID: 28069419 DOI: 10.1016/j.ajem.2016.12.027]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r w:rsidRPr="00596005">
        <w:rPr>
          <w:rFonts w:ascii="Book Antiqua" w:eastAsia="宋体" w:hAnsi="Book Antiqua" w:cs="Tahoma"/>
        </w:rPr>
        <w:t>4 </w:t>
      </w:r>
      <w:proofErr w:type="spellStart"/>
      <w:r w:rsidRPr="00596005">
        <w:rPr>
          <w:rFonts w:ascii="Book Antiqua" w:eastAsia="宋体" w:hAnsi="Book Antiqua" w:cs="Tahoma"/>
          <w:b/>
          <w:bCs/>
        </w:rPr>
        <w:t>Ikiz</w:t>
      </w:r>
      <w:proofErr w:type="spellEnd"/>
      <w:r w:rsidRPr="00596005">
        <w:rPr>
          <w:rFonts w:ascii="Book Antiqua" w:eastAsia="宋体" w:hAnsi="Book Antiqua" w:cs="Tahoma"/>
          <w:b/>
          <w:bCs/>
        </w:rPr>
        <w:t xml:space="preserve"> MA</w:t>
      </w:r>
      <w:r w:rsidRPr="00596005">
        <w:rPr>
          <w:rFonts w:ascii="Book Antiqua" w:eastAsia="宋体" w:hAnsi="Book Antiqua" w:cs="Tahoma"/>
        </w:rPr>
        <w:t xml:space="preserve">, Yakut HI, Kurt F, </w:t>
      </w:r>
      <w:proofErr w:type="spellStart"/>
      <w:r w:rsidRPr="00596005">
        <w:rPr>
          <w:rFonts w:ascii="Book Antiqua" w:eastAsia="宋体" w:hAnsi="Book Antiqua" w:cs="Tahoma"/>
        </w:rPr>
        <w:t>Sahin</w:t>
      </w:r>
      <w:proofErr w:type="spellEnd"/>
      <w:r w:rsidRPr="00596005">
        <w:rPr>
          <w:rFonts w:ascii="Book Antiqua" w:eastAsia="宋体" w:hAnsi="Book Antiqua" w:cs="Tahoma"/>
        </w:rPr>
        <w:t xml:space="preserve"> S, </w:t>
      </w:r>
      <w:proofErr w:type="spellStart"/>
      <w:r w:rsidRPr="00596005">
        <w:rPr>
          <w:rFonts w:ascii="Book Antiqua" w:eastAsia="宋体" w:hAnsi="Book Antiqua" w:cs="Tahoma"/>
        </w:rPr>
        <w:t>Yalçin</w:t>
      </w:r>
      <w:proofErr w:type="spellEnd"/>
      <w:r w:rsidRPr="00596005">
        <w:rPr>
          <w:rFonts w:ascii="Book Antiqua" w:eastAsia="宋体" w:hAnsi="Book Antiqua" w:cs="Tahoma"/>
        </w:rPr>
        <w:t xml:space="preserve"> HN, </w:t>
      </w:r>
      <w:proofErr w:type="spellStart"/>
      <w:r w:rsidRPr="00596005">
        <w:rPr>
          <w:rFonts w:ascii="Book Antiqua" w:eastAsia="宋体" w:hAnsi="Book Antiqua" w:cs="Tahoma"/>
        </w:rPr>
        <w:t>Baştemur</w:t>
      </w:r>
      <w:proofErr w:type="spellEnd"/>
      <w:r w:rsidRPr="00596005">
        <w:rPr>
          <w:rFonts w:ascii="Book Antiqua" w:eastAsia="宋体" w:hAnsi="Book Antiqua" w:cs="Tahoma"/>
        </w:rPr>
        <w:t xml:space="preserve"> M, </w:t>
      </w:r>
      <w:proofErr w:type="spellStart"/>
      <w:r w:rsidRPr="00596005">
        <w:rPr>
          <w:rFonts w:ascii="Book Antiqua" w:eastAsia="宋体" w:hAnsi="Book Antiqua" w:cs="Tahoma"/>
        </w:rPr>
        <w:t>Kalkan</w:t>
      </w:r>
      <w:proofErr w:type="spellEnd"/>
      <w:r w:rsidRPr="00596005">
        <w:rPr>
          <w:rFonts w:ascii="Book Antiqua" w:eastAsia="宋体" w:hAnsi="Book Antiqua" w:cs="Tahoma"/>
        </w:rPr>
        <w:t xml:space="preserve"> G. Hydrogen peroxide solution ingestion caused brain death of a 3-year-old girl. </w:t>
      </w:r>
      <w:proofErr w:type="spellStart"/>
      <w:r w:rsidRPr="00596005">
        <w:rPr>
          <w:rFonts w:ascii="Book Antiqua" w:eastAsia="宋体" w:hAnsi="Book Antiqua" w:cs="Tahoma"/>
          <w:i/>
          <w:iCs/>
        </w:rPr>
        <w:t>Pediatr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</w:t>
      </w:r>
      <w:proofErr w:type="spellStart"/>
      <w:r w:rsidRPr="00596005">
        <w:rPr>
          <w:rFonts w:ascii="Book Antiqua" w:eastAsia="宋体" w:hAnsi="Book Antiqua" w:cs="Tahoma"/>
          <w:i/>
          <w:iCs/>
        </w:rPr>
        <w:t>Emerg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Care</w:t>
      </w:r>
      <w:r w:rsidRPr="00596005">
        <w:rPr>
          <w:rFonts w:ascii="Book Antiqua" w:eastAsia="宋体" w:hAnsi="Book Antiqua" w:cs="Tahoma"/>
        </w:rPr>
        <w:t> 2013; </w:t>
      </w:r>
      <w:r w:rsidRPr="00596005">
        <w:rPr>
          <w:rFonts w:ascii="Book Antiqua" w:eastAsia="宋体" w:hAnsi="Book Antiqua" w:cs="Tahoma"/>
          <w:b/>
          <w:bCs/>
        </w:rPr>
        <w:t>29</w:t>
      </w:r>
      <w:r w:rsidRPr="00596005">
        <w:rPr>
          <w:rFonts w:ascii="Book Antiqua" w:eastAsia="宋体" w:hAnsi="Book Antiqua" w:cs="Tahoma"/>
        </w:rPr>
        <w:t>: 502-503 [PMID: 23558268 DOI: 10.1097/PEC.0b013e31828a387b]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r w:rsidRPr="00596005">
        <w:rPr>
          <w:rFonts w:ascii="Book Antiqua" w:eastAsia="宋体" w:hAnsi="Book Antiqua" w:cs="Tahoma"/>
        </w:rPr>
        <w:t>5 </w:t>
      </w:r>
      <w:proofErr w:type="spellStart"/>
      <w:r w:rsidRPr="00596005">
        <w:rPr>
          <w:rFonts w:ascii="Book Antiqua" w:eastAsia="宋体" w:hAnsi="Book Antiqua" w:cs="Tahoma"/>
          <w:b/>
          <w:bCs/>
        </w:rPr>
        <w:t>Indorato</w:t>
      </w:r>
      <w:proofErr w:type="spellEnd"/>
      <w:r w:rsidRPr="00596005">
        <w:rPr>
          <w:rFonts w:ascii="Book Antiqua" w:eastAsia="宋体" w:hAnsi="Book Antiqua" w:cs="Tahoma"/>
          <w:b/>
          <w:bCs/>
        </w:rPr>
        <w:t xml:space="preserve"> F</w:t>
      </w:r>
      <w:r w:rsidRPr="00596005">
        <w:rPr>
          <w:rFonts w:ascii="Book Antiqua" w:eastAsia="宋体" w:hAnsi="Book Antiqua" w:cs="Tahoma"/>
        </w:rPr>
        <w:t xml:space="preserve">, </w:t>
      </w:r>
      <w:proofErr w:type="spellStart"/>
      <w:r w:rsidRPr="00596005">
        <w:rPr>
          <w:rFonts w:ascii="Book Antiqua" w:eastAsia="宋体" w:hAnsi="Book Antiqua" w:cs="Tahoma"/>
        </w:rPr>
        <w:t>Raffino</w:t>
      </w:r>
      <w:proofErr w:type="spellEnd"/>
      <w:r w:rsidRPr="00596005">
        <w:rPr>
          <w:rFonts w:ascii="Book Antiqua" w:eastAsia="宋体" w:hAnsi="Book Antiqua" w:cs="Tahoma"/>
        </w:rPr>
        <w:t xml:space="preserve"> C, </w:t>
      </w:r>
      <w:proofErr w:type="spellStart"/>
      <w:r w:rsidRPr="00596005">
        <w:rPr>
          <w:rFonts w:ascii="Book Antiqua" w:eastAsia="宋体" w:hAnsi="Book Antiqua" w:cs="Tahoma"/>
        </w:rPr>
        <w:t>Tropea</w:t>
      </w:r>
      <w:proofErr w:type="spellEnd"/>
      <w:r w:rsidRPr="00596005">
        <w:rPr>
          <w:rFonts w:ascii="Book Antiqua" w:eastAsia="宋体" w:hAnsi="Book Antiqua" w:cs="Tahoma"/>
        </w:rPr>
        <w:t xml:space="preserve"> FM, </w:t>
      </w:r>
      <w:proofErr w:type="spellStart"/>
      <w:r w:rsidRPr="00596005">
        <w:rPr>
          <w:rFonts w:ascii="Book Antiqua" w:eastAsia="宋体" w:hAnsi="Book Antiqua" w:cs="Tahoma"/>
        </w:rPr>
        <w:t>Barbera</w:t>
      </w:r>
      <w:proofErr w:type="spellEnd"/>
      <w:r w:rsidRPr="00596005">
        <w:rPr>
          <w:rFonts w:ascii="Book Antiqua" w:eastAsia="宋体" w:hAnsi="Book Antiqua" w:cs="Tahoma"/>
        </w:rPr>
        <w:t xml:space="preserve"> N, </w:t>
      </w:r>
      <w:proofErr w:type="spellStart"/>
      <w:r w:rsidRPr="00596005">
        <w:rPr>
          <w:rFonts w:ascii="Book Antiqua" w:eastAsia="宋体" w:hAnsi="Book Antiqua" w:cs="Tahoma"/>
        </w:rPr>
        <w:t>Grieco</w:t>
      </w:r>
      <w:proofErr w:type="spellEnd"/>
      <w:r w:rsidRPr="00596005">
        <w:rPr>
          <w:rFonts w:ascii="Book Antiqua" w:eastAsia="宋体" w:hAnsi="Book Antiqua" w:cs="Tahoma"/>
        </w:rPr>
        <w:t xml:space="preserve"> A, </w:t>
      </w:r>
      <w:proofErr w:type="spellStart"/>
      <w:r w:rsidRPr="00596005">
        <w:rPr>
          <w:rFonts w:ascii="Book Antiqua" w:eastAsia="宋体" w:hAnsi="Book Antiqua" w:cs="Tahoma"/>
        </w:rPr>
        <w:t>Bartoloni</w:t>
      </w:r>
      <w:proofErr w:type="spellEnd"/>
      <w:r w:rsidRPr="00596005">
        <w:rPr>
          <w:rFonts w:ascii="Book Antiqua" w:eastAsia="宋体" w:hAnsi="Book Antiqua" w:cs="Tahoma"/>
        </w:rPr>
        <w:t xml:space="preserve"> G. Fatal accidental ingestion of 35 % hydrogen peroxide by a 2-year-old female: case report and literature review. </w:t>
      </w:r>
      <w:r w:rsidRPr="00596005">
        <w:rPr>
          <w:rFonts w:ascii="Book Antiqua" w:eastAsia="宋体" w:hAnsi="Book Antiqua" w:cs="Tahoma"/>
          <w:i/>
          <w:iCs/>
        </w:rPr>
        <w:t xml:space="preserve">Forensic </w:t>
      </w:r>
      <w:proofErr w:type="spellStart"/>
      <w:r w:rsidRPr="00596005">
        <w:rPr>
          <w:rFonts w:ascii="Book Antiqua" w:eastAsia="宋体" w:hAnsi="Book Antiqua" w:cs="Tahoma"/>
          <w:i/>
          <w:iCs/>
        </w:rPr>
        <w:t>Sci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Med </w:t>
      </w:r>
      <w:proofErr w:type="spellStart"/>
      <w:r w:rsidRPr="00596005">
        <w:rPr>
          <w:rFonts w:ascii="Book Antiqua" w:eastAsia="宋体" w:hAnsi="Book Antiqua" w:cs="Tahoma"/>
          <w:i/>
          <w:iCs/>
        </w:rPr>
        <w:t>Pathol</w:t>
      </w:r>
      <w:proofErr w:type="spellEnd"/>
      <w:r w:rsidRPr="00596005">
        <w:rPr>
          <w:rFonts w:ascii="Book Antiqua" w:eastAsia="宋体" w:hAnsi="Book Antiqua" w:cs="Tahoma"/>
        </w:rPr>
        <w:t> 2014; </w:t>
      </w:r>
      <w:r w:rsidRPr="00596005">
        <w:rPr>
          <w:rFonts w:ascii="Book Antiqua" w:eastAsia="宋体" w:hAnsi="Book Antiqua" w:cs="Tahoma"/>
          <w:b/>
          <w:bCs/>
        </w:rPr>
        <w:t>10</w:t>
      </w:r>
      <w:r w:rsidRPr="00596005">
        <w:rPr>
          <w:rFonts w:ascii="Book Antiqua" w:eastAsia="宋体" w:hAnsi="Book Antiqua" w:cs="Tahoma"/>
        </w:rPr>
        <w:t>: 443-447 [PMID: 24692088 DOI: 10.1007/s12024-014-9560-9]</w:t>
      </w:r>
    </w:p>
    <w:p w:rsidR="00EA4641" w:rsidRPr="00596005" w:rsidRDefault="00EA4641" w:rsidP="002C1E79">
      <w:pPr>
        <w:shd w:val="clear" w:color="auto" w:fill="F9F9F9"/>
        <w:spacing w:line="360" w:lineRule="auto"/>
        <w:jc w:val="both"/>
        <w:textAlignment w:val="top"/>
        <w:rPr>
          <w:rFonts w:ascii="Book Antiqua" w:eastAsia="宋体" w:hAnsi="Book Antiqua" w:cs="Tahoma"/>
        </w:rPr>
      </w:pPr>
      <w:proofErr w:type="gramStart"/>
      <w:r w:rsidRPr="00596005">
        <w:rPr>
          <w:rFonts w:ascii="Book Antiqua" w:eastAsia="宋体" w:hAnsi="Book Antiqua" w:cs="Tahoma"/>
        </w:rPr>
        <w:t>6 </w:t>
      </w:r>
      <w:proofErr w:type="spellStart"/>
      <w:r w:rsidRPr="00596005">
        <w:rPr>
          <w:rFonts w:ascii="Book Antiqua" w:eastAsia="宋体" w:hAnsi="Book Antiqua" w:cs="Tahoma"/>
          <w:b/>
          <w:bCs/>
        </w:rPr>
        <w:t>Tohda</w:t>
      </w:r>
      <w:proofErr w:type="spellEnd"/>
      <w:r w:rsidRPr="00596005">
        <w:rPr>
          <w:rFonts w:ascii="Book Antiqua" w:eastAsia="宋体" w:hAnsi="Book Antiqua" w:cs="Tahoma"/>
          <w:b/>
          <w:bCs/>
        </w:rPr>
        <w:t xml:space="preserve"> G</w:t>
      </w:r>
      <w:r w:rsidRPr="00596005">
        <w:rPr>
          <w:rFonts w:ascii="Book Antiqua" w:eastAsia="宋体" w:hAnsi="Book Antiqua" w:cs="Tahoma"/>
        </w:rPr>
        <w:t xml:space="preserve">, </w:t>
      </w:r>
      <w:proofErr w:type="spellStart"/>
      <w:r w:rsidRPr="00596005">
        <w:rPr>
          <w:rFonts w:ascii="Book Antiqua" w:eastAsia="宋体" w:hAnsi="Book Antiqua" w:cs="Tahoma"/>
        </w:rPr>
        <w:t>Sugawa</w:t>
      </w:r>
      <w:proofErr w:type="spellEnd"/>
      <w:r w:rsidRPr="00596005">
        <w:rPr>
          <w:rFonts w:ascii="Book Antiqua" w:eastAsia="宋体" w:hAnsi="Book Antiqua" w:cs="Tahoma"/>
        </w:rPr>
        <w:t xml:space="preserve"> C, Gayer C, Chino A, McGuire TW, Lucas CE.</w:t>
      </w:r>
      <w:proofErr w:type="gramEnd"/>
      <w:r w:rsidRPr="00596005">
        <w:rPr>
          <w:rFonts w:ascii="Book Antiqua" w:eastAsia="宋体" w:hAnsi="Book Antiqua" w:cs="Tahoma"/>
        </w:rPr>
        <w:t xml:space="preserve"> </w:t>
      </w:r>
      <w:proofErr w:type="gramStart"/>
      <w:r w:rsidRPr="00596005">
        <w:rPr>
          <w:rFonts w:ascii="Book Antiqua" w:eastAsia="宋体" w:hAnsi="Book Antiqua" w:cs="Tahoma"/>
        </w:rPr>
        <w:t>Clinical evaluation and management of caustic injury in the upper gastrointestinal tract in 95 adult patients in an urban medical center.</w:t>
      </w:r>
      <w:proofErr w:type="gramEnd"/>
      <w:r w:rsidRPr="00596005">
        <w:rPr>
          <w:rFonts w:ascii="Book Antiqua" w:eastAsia="宋体" w:hAnsi="Book Antiqua" w:cs="Tahoma"/>
        </w:rPr>
        <w:t> </w:t>
      </w:r>
      <w:proofErr w:type="spellStart"/>
      <w:r w:rsidRPr="00596005">
        <w:rPr>
          <w:rFonts w:ascii="Book Antiqua" w:eastAsia="宋体" w:hAnsi="Book Antiqua" w:cs="Tahoma"/>
          <w:i/>
          <w:iCs/>
        </w:rPr>
        <w:t>Surg</w:t>
      </w:r>
      <w:proofErr w:type="spellEnd"/>
      <w:r w:rsidRPr="00596005">
        <w:rPr>
          <w:rFonts w:ascii="Book Antiqua" w:eastAsia="宋体" w:hAnsi="Book Antiqua" w:cs="Tahoma"/>
          <w:i/>
          <w:iCs/>
        </w:rPr>
        <w:t xml:space="preserve"> </w:t>
      </w:r>
      <w:proofErr w:type="spellStart"/>
      <w:r w:rsidRPr="00596005">
        <w:rPr>
          <w:rFonts w:ascii="Book Antiqua" w:eastAsia="宋体" w:hAnsi="Book Antiqua" w:cs="Tahoma"/>
          <w:i/>
          <w:iCs/>
        </w:rPr>
        <w:t>Endosc</w:t>
      </w:r>
      <w:proofErr w:type="spellEnd"/>
      <w:r w:rsidRPr="00596005">
        <w:rPr>
          <w:rFonts w:ascii="Book Antiqua" w:eastAsia="宋体" w:hAnsi="Book Antiqua" w:cs="Tahoma"/>
        </w:rPr>
        <w:t> 2008; </w:t>
      </w:r>
      <w:r w:rsidRPr="00596005">
        <w:rPr>
          <w:rFonts w:ascii="Book Antiqua" w:eastAsia="宋体" w:hAnsi="Book Antiqua" w:cs="Tahoma"/>
          <w:b/>
          <w:bCs/>
        </w:rPr>
        <w:t>22</w:t>
      </w:r>
      <w:r w:rsidRPr="00596005">
        <w:rPr>
          <w:rFonts w:ascii="Book Antiqua" w:eastAsia="宋体" w:hAnsi="Book Antiqua" w:cs="Tahoma"/>
        </w:rPr>
        <w:t>: 1119-1125 [PMID: 17965918 DOI: 10.1007/s00464-007-9620-2]</w:t>
      </w:r>
    </w:p>
    <w:p w:rsidR="00EA4641" w:rsidRPr="00596005" w:rsidRDefault="00EA4641" w:rsidP="002C1E79">
      <w:pPr>
        <w:spacing w:line="360" w:lineRule="auto"/>
        <w:jc w:val="both"/>
        <w:rPr>
          <w:rFonts w:ascii="Book Antiqua" w:hAnsi="Book Antiqua"/>
        </w:rPr>
      </w:pPr>
      <w:r w:rsidRPr="00596005">
        <w:rPr>
          <w:rFonts w:ascii="Book Antiqua" w:eastAsia="宋体" w:hAnsi="Book Antiqua" w:cs="Tahoma"/>
        </w:rPr>
        <w:t>7 </w:t>
      </w:r>
      <w:proofErr w:type="spellStart"/>
      <w:r w:rsidRPr="00596005">
        <w:rPr>
          <w:rFonts w:ascii="Book Antiqua" w:eastAsia="宋体" w:hAnsi="Book Antiqua" w:cs="Tahoma"/>
          <w:b/>
          <w:bCs/>
        </w:rPr>
        <w:t>Zengin</w:t>
      </w:r>
      <w:proofErr w:type="spellEnd"/>
      <w:r w:rsidRPr="00596005">
        <w:rPr>
          <w:rFonts w:ascii="Book Antiqua" w:eastAsia="宋体" w:hAnsi="Book Antiqua" w:cs="Tahoma"/>
          <w:b/>
          <w:bCs/>
        </w:rPr>
        <w:t xml:space="preserve"> S</w:t>
      </w:r>
      <w:r w:rsidRPr="00596005">
        <w:rPr>
          <w:rFonts w:ascii="Book Antiqua" w:eastAsia="宋体" w:hAnsi="Book Antiqua" w:cs="Tahoma"/>
        </w:rPr>
        <w:t xml:space="preserve">, Al B, </w:t>
      </w:r>
      <w:proofErr w:type="spellStart"/>
      <w:r w:rsidRPr="00596005">
        <w:rPr>
          <w:rFonts w:ascii="Book Antiqua" w:eastAsia="宋体" w:hAnsi="Book Antiqua" w:cs="Tahoma"/>
        </w:rPr>
        <w:t>Genç</w:t>
      </w:r>
      <w:proofErr w:type="spellEnd"/>
      <w:r w:rsidRPr="00596005">
        <w:rPr>
          <w:rFonts w:ascii="Book Antiqua" w:eastAsia="宋体" w:hAnsi="Book Antiqua" w:cs="Tahoma"/>
        </w:rPr>
        <w:t xml:space="preserve"> S, </w:t>
      </w:r>
      <w:proofErr w:type="spellStart"/>
      <w:r w:rsidRPr="00596005">
        <w:rPr>
          <w:rFonts w:ascii="Book Antiqua" w:eastAsia="宋体" w:hAnsi="Book Antiqua" w:cs="Tahoma"/>
        </w:rPr>
        <w:t>Yarbil</w:t>
      </w:r>
      <w:proofErr w:type="spellEnd"/>
      <w:r w:rsidRPr="00596005">
        <w:rPr>
          <w:rFonts w:ascii="Book Antiqua" w:eastAsia="宋体" w:hAnsi="Book Antiqua" w:cs="Tahoma"/>
        </w:rPr>
        <w:t xml:space="preserve"> P, </w:t>
      </w:r>
      <w:proofErr w:type="spellStart"/>
      <w:r w:rsidRPr="00596005">
        <w:rPr>
          <w:rFonts w:ascii="Book Antiqua" w:eastAsia="宋体" w:hAnsi="Book Antiqua" w:cs="Tahoma"/>
        </w:rPr>
        <w:t>Yilmaz</w:t>
      </w:r>
      <w:proofErr w:type="spellEnd"/>
      <w:r w:rsidRPr="00596005">
        <w:rPr>
          <w:rFonts w:ascii="Book Antiqua" w:eastAsia="宋体" w:hAnsi="Book Antiqua" w:cs="Tahoma"/>
        </w:rPr>
        <w:t xml:space="preserve"> DA, </w:t>
      </w:r>
      <w:proofErr w:type="spellStart"/>
      <w:r w:rsidRPr="00596005">
        <w:rPr>
          <w:rFonts w:ascii="Book Antiqua" w:eastAsia="宋体" w:hAnsi="Book Antiqua" w:cs="Tahoma"/>
        </w:rPr>
        <w:t>Gulsen</w:t>
      </w:r>
      <w:proofErr w:type="spellEnd"/>
      <w:r w:rsidRPr="00596005">
        <w:rPr>
          <w:rFonts w:ascii="Book Antiqua" w:eastAsia="宋体" w:hAnsi="Book Antiqua" w:cs="Tahoma"/>
        </w:rPr>
        <w:t xml:space="preserve"> MT. A rare case of portal vein gas: accidental hydrogen peroxide ingestion. </w:t>
      </w:r>
      <w:r w:rsidRPr="00596005">
        <w:rPr>
          <w:rFonts w:ascii="Book Antiqua" w:eastAsia="宋体" w:hAnsi="Book Antiqua" w:cs="Tahoma"/>
          <w:i/>
          <w:iCs/>
        </w:rPr>
        <w:t>BMJ Case Rep</w:t>
      </w:r>
      <w:r w:rsidRPr="00596005">
        <w:rPr>
          <w:rFonts w:ascii="Book Antiqua" w:eastAsia="宋体" w:hAnsi="Book Antiqua" w:cs="Tahoma"/>
        </w:rPr>
        <w:t> 2012; </w:t>
      </w:r>
      <w:r w:rsidRPr="00596005">
        <w:rPr>
          <w:rFonts w:ascii="Book Antiqua" w:eastAsia="宋体" w:hAnsi="Book Antiqua" w:cs="Tahoma"/>
          <w:b/>
          <w:bCs/>
        </w:rPr>
        <w:t>2012</w:t>
      </w:r>
      <w:r w:rsidRPr="00596005">
        <w:rPr>
          <w:rFonts w:ascii="Book Antiqua" w:eastAsia="宋体" w:hAnsi="Book Antiqua" w:cs="Tahoma"/>
        </w:rPr>
        <w:t>: [PMID: 22669852 DOI: 10.1136/bcr.01.2012.5602]</w:t>
      </w:r>
    </w:p>
    <w:p w:rsidR="00EA4641" w:rsidRPr="00EA4641" w:rsidRDefault="00EA4641" w:rsidP="002C1E79">
      <w:pPr>
        <w:spacing w:line="360" w:lineRule="auto"/>
        <w:jc w:val="both"/>
        <w:rPr>
          <w:rFonts w:ascii="Book Antiqua" w:eastAsiaTheme="minorEastAsia" w:hAnsi="Book Antiqua" w:cs="Segoe UI"/>
          <w:lang w:eastAsia="zh-CN"/>
        </w:rPr>
      </w:pPr>
    </w:p>
    <w:p w:rsidR="00EA4641" w:rsidRPr="008E0A88" w:rsidRDefault="00EA4641" w:rsidP="002C1E79">
      <w:pPr>
        <w:pStyle w:val="ListParagraph"/>
        <w:spacing w:line="360" w:lineRule="auto"/>
        <w:ind w:firstLineChars="0" w:firstLine="0"/>
        <w:rPr>
          <w:rFonts w:ascii="Book Antiqua" w:eastAsia="宋体" w:hAnsi="Book Antiqua"/>
          <w:b/>
          <w:bCs/>
          <w:color w:val="000000"/>
          <w:lang w:eastAsia="zh-CN"/>
        </w:rPr>
      </w:pPr>
      <w:r w:rsidRPr="00712F63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EA4641">
        <w:rPr>
          <w:rFonts w:ascii="Book Antiqua" w:hAnsi="Book Antiqua"/>
          <w:bCs/>
          <w:color w:val="000000"/>
        </w:rPr>
        <w:t>Naito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Y</w:t>
      </w:r>
      <w:r w:rsidR="002C1E79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="002C1E79">
        <w:rPr>
          <w:rFonts w:ascii="Book Antiqua" w:eastAsiaTheme="minorEastAsia" w:hAnsi="Book Antiqua" w:hint="eastAsia"/>
          <w:b/>
          <w:bCs/>
          <w:color w:val="000000"/>
          <w:lang w:eastAsia="zh-CN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2C1E79">
        <w:rPr>
          <w:rFonts w:ascii="Book Antiqua" w:eastAsiaTheme="minorEastAsia" w:hAnsi="Book Antiqua" w:hint="eastAsia"/>
          <w:b/>
          <w:bCs/>
          <w:color w:val="000000"/>
          <w:lang w:eastAsia="zh-CN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Specialty type: </w:t>
      </w:r>
      <w:r w:rsidR="00E57444" w:rsidRPr="00E57444">
        <w:rPr>
          <w:rFonts w:ascii="Book Antiqua" w:hAnsi="Book Antiqua" w:cs="Helvetica"/>
        </w:rPr>
        <w:t>Medicine, Research and Experimental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t xml:space="preserve">Country of origin: </w:t>
      </w:r>
      <w:r w:rsidRPr="00EA4641">
        <w:rPr>
          <w:rFonts w:ascii="Book Antiqua" w:hAnsi="Book Antiqua"/>
          <w:lang w:val="de-DE"/>
        </w:rPr>
        <w:t>United States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8F0DB6">
        <w:rPr>
          <w:rFonts w:ascii="Book Antiqua" w:hAnsi="Book Antiqua" w:cs="Helvetica"/>
          <w:b/>
        </w:rPr>
        <w:lastRenderedPageBreak/>
        <w:t>Peer-review report classification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A (Excellent): </w:t>
      </w:r>
      <w:r w:rsidRPr="008F0DB6">
        <w:rPr>
          <w:rFonts w:ascii="Book Antiqua" w:hAnsi="Book Antiqua" w:cs="Helvetica" w:hint="eastAsia"/>
        </w:rPr>
        <w:t>0</w:t>
      </w:r>
    </w:p>
    <w:p w:rsidR="00EA4641" w:rsidRPr="00EA4641" w:rsidRDefault="00EA4641" w:rsidP="002C1E79">
      <w:pPr>
        <w:shd w:val="clear" w:color="auto" w:fill="FFFFFF"/>
        <w:snapToGrid w:val="0"/>
        <w:spacing w:line="360" w:lineRule="auto"/>
        <w:rPr>
          <w:rFonts w:ascii="Book Antiqua" w:eastAsiaTheme="minorEastAsia" w:hAnsi="Book Antiqua" w:cs="Helvetica"/>
          <w:lang w:eastAsia="zh-CN"/>
        </w:rPr>
      </w:pPr>
      <w:r w:rsidRPr="008F0DB6">
        <w:rPr>
          <w:rFonts w:ascii="Book Antiqua" w:hAnsi="Book Antiqua" w:cs="Helvetica"/>
        </w:rPr>
        <w:t xml:space="preserve">Grade B (Very good): </w:t>
      </w:r>
      <w:r>
        <w:rPr>
          <w:rFonts w:ascii="Book Antiqua" w:eastAsiaTheme="minorEastAsia" w:hAnsi="Book Antiqua" w:cs="Helvetica" w:hint="eastAsia"/>
          <w:lang w:eastAsia="zh-CN"/>
        </w:rPr>
        <w:t>B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C (Good): </w:t>
      </w:r>
      <w:r w:rsidRPr="008F0DB6">
        <w:rPr>
          <w:rFonts w:ascii="Book Antiqua" w:hAnsi="Book Antiqua" w:cs="Helvetica" w:hint="eastAsia"/>
        </w:rPr>
        <w:t>0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D (Fair): </w:t>
      </w:r>
      <w:r w:rsidRPr="008F0DB6">
        <w:rPr>
          <w:rFonts w:ascii="Book Antiqua" w:hAnsi="Book Antiqua" w:cs="Helvetica" w:hint="eastAsia"/>
        </w:rPr>
        <w:t>0</w:t>
      </w:r>
    </w:p>
    <w:p w:rsidR="00EA4641" w:rsidRPr="008F0DB6" w:rsidRDefault="00EA4641" w:rsidP="002C1E7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8F0DB6">
        <w:rPr>
          <w:rFonts w:ascii="Book Antiqua" w:hAnsi="Book Antiqua" w:cs="Helvetica"/>
        </w:rPr>
        <w:t xml:space="preserve">Grade E (Poor): </w:t>
      </w:r>
      <w:r w:rsidRPr="008F0DB6">
        <w:rPr>
          <w:rFonts w:ascii="Book Antiqua" w:hAnsi="Book Antiqua" w:cs="Helvetica" w:hint="eastAsia"/>
        </w:rPr>
        <w:t>0</w:t>
      </w:r>
    </w:p>
    <w:p w:rsidR="00EA4641" w:rsidRDefault="00EA4641" w:rsidP="002C1E7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8C3E1A" w:rsidRPr="00EA4641" w:rsidRDefault="008C3E1A" w:rsidP="002C1E79">
      <w:pPr>
        <w:shd w:val="clear" w:color="auto" w:fill="FFFFFF"/>
        <w:spacing w:line="360" w:lineRule="auto"/>
        <w:jc w:val="both"/>
        <w:rPr>
          <w:rFonts w:ascii="Book Antiqua" w:hAnsi="Book Antiqua" w:cs="Arial"/>
        </w:rPr>
      </w:pPr>
    </w:p>
    <w:p w:rsidR="008C3E1A" w:rsidRPr="00EA4641" w:rsidRDefault="008C3E1A" w:rsidP="002C1E79">
      <w:pPr>
        <w:jc w:val="both"/>
        <w:rPr>
          <w:rFonts w:ascii="Book Antiqua" w:hAnsi="Book Antiqua"/>
        </w:rPr>
      </w:pPr>
      <w:r w:rsidRPr="00EA4641">
        <w:rPr>
          <w:rFonts w:ascii="Book Antiqua" w:hAnsi="Book Antiqua"/>
          <w:noProof/>
        </w:rPr>
        <w:drawing>
          <wp:inline distT="0" distB="0" distL="0" distR="0" wp14:anchorId="33CE9933" wp14:editId="17D8123F">
            <wp:extent cx="4952365" cy="5998210"/>
            <wp:effectExtent l="0" t="0" r="635" b="2540"/>
            <wp:docPr id="7" name="图片 7" descr="CT Images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 Images Revi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A" w:rsidRPr="00EA4641" w:rsidRDefault="008C3E1A" w:rsidP="002C1E79">
      <w:pPr>
        <w:jc w:val="both"/>
        <w:rPr>
          <w:rFonts w:ascii="Book Antiqua" w:hAnsi="Book Antiqua"/>
        </w:rPr>
      </w:pPr>
    </w:p>
    <w:p w:rsidR="008C3E1A" w:rsidRPr="00EA4641" w:rsidRDefault="008C3E1A" w:rsidP="002C1E79">
      <w:pPr>
        <w:tabs>
          <w:tab w:val="left" w:pos="7791"/>
        </w:tabs>
        <w:jc w:val="both"/>
        <w:rPr>
          <w:rFonts w:ascii="Book Antiqua" w:hAnsi="Book Antiqua"/>
        </w:rPr>
      </w:pPr>
    </w:p>
    <w:p w:rsidR="008C3E1A" w:rsidRPr="00EA4641" w:rsidRDefault="008C3E1A" w:rsidP="002C1E79">
      <w:pPr>
        <w:tabs>
          <w:tab w:val="left" w:pos="7791"/>
        </w:tabs>
        <w:spacing w:line="360" w:lineRule="auto"/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 xml:space="preserve">Figure 1 </w:t>
      </w:r>
      <w:r w:rsidR="00E4696D" w:rsidRPr="00E4696D">
        <w:rPr>
          <w:rFonts w:ascii="Book Antiqua" w:hAnsi="Book Antiqua"/>
          <w:b/>
        </w:rPr>
        <w:t>Computed tomography</w:t>
      </w:r>
      <w:r w:rsidRPr="00EA4641">
        <w:rPr>
          <w:rFonts w:ascii="Book Antiqua" w:hAnsi="Book Antiqua"/>
          <w:b/>
        </w:rPr>
        <w:t xml:space="preserve"> abdomen demonstrating portal venous gas as well as gastric </w:t>
      </w:r>
      <w:proofErr w:type="spellStart"/>
      <w:r w:rsidRPr="00EA4641">
        <w:rPr>
          <w:rFonts w:ascii="Book Antiqua" w:hAnsi="Book Antiqua"/>
          <w:b/>
        </w:rPr>
        <w:t>pneumatosis</w:t>
      </w:r>
      <w:proofErr w:type="spellEnd"/>
      <w:r w:rsidRPr="00EA4641">
        <w:rPr>
          <w:rFonts w:ascii="Book Antiqua" w:hAnsi="Book Antiqua"/>
          <w:b/>
        </w:rPr>
        <w:t xml:space="preserve"> and edema (portal venous gas and gastric </w:t>
      </w:r>
      <w:proofErr w:type="spellStart"/>
      <w:r w:rsidRPr="00EA4641">
        <w:rPr>
          <w:rFonts w:ascii="Book Antiqua" w:hAnsi="Book Antiqua"/>
          <w:b/>
        </w:rPr>
        <w:t>pneumatosis</w:t>
      </w:r>
      <w:proofErr w:type="spellEnd"/>
      <w:r w:rsidRPr="00EA4641">
        <w:rPr>
          <w:rFonts w:ascii="Book Antiqua" w:hAnsi="Book Antiqua"/>
          <w:b/>
        </w:rPr>
        <w:t xml:space="preserve"> noted with thin arrows, gastric edema noted with thick arrow).</w:t>
      </w:r>
    </w:p>
    <w:p w:rsidR="008C3E1A" w:rsidRPr="00EA4641" w:rsidRDefault="008C3E1A" w:rsidP="002C1E79">
      <w:pPr>
        <w:tabs>
          <w:tab w:val="left" w:pos="7791"/>
        </w:tabs>
        <w:spacing w:line="360" w:lineRule="auto"/>
        <w:jc w:val="both"/>
        <w:rPr>
          <w:rFonts w:ascii="Book Antiqua" w:hAnsi="Book Antiqua"/>
        </w:rPr>
      </w:pPr>
      <w:r w:rsidRPr="00EA4641">
        <w:rPr>
          <w:rFonts w:ascii="Book Antiqua" w:hAnsi="Book Antiqua"/>
          <w:b/>
        </w:rPr>
        <w:br w:type="page"/>
      </w:r>
    </w:p>
    <w:p w:rsidR="008C3E1A" w:rsidRPr="00EA4641" w:rsidRDefault="008C3E1A" w:rsidP="002C1E79">
      <w:pPr>
        <w:jc w:val="both"/>
        <w:rPr>
          <w:rFonts w:ascii="Book Antiqua" w:hAnsi="Book Antiqua"/>
        </w:rPr>
      </w:pPr>
      <w:r w:rsidRPr="00EA4641">
        <w:rPr>
          <w:rFonts w:ascii="Book Antiqua" w:hAnsi="Book Antiqua"/>
          <w:noProof/>
        </w:rPr>
        <w:lastRenderedPageBreak/>
        <w:drawing>
          <wp:inline distT="0" distB="0" distL="0" distR="0" wp14:anchorId="5740B0C2" wp14:editId="67C9F351">
            <wp:extent cx="2487295" cy="3503930"/>
            <wp:effectExtent l="0" t="0" r="8255" b="1270"/>
            <wp:docPr id="4" name="图片 4" descr="caustic egd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tic egd6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41">
        <w:rPr>
          <w:rFonts w:ascii="Book Antiqua" w:hAnsi="Book Antiqua"/>
          <w:noProof/>
        </w:rPr>
        <w:drawing>
          <wp:inline distT="0" distB="0" distL="0" distR="0" wp14:anchorId="49885965" wp14:editId="0EDA51E9">
            <wp:extent cx="2369820" cy="3503930"/>
            <wp:effectExtent l="0" t="0" r="0" b="1270"/>
            <wp:docPr id="3" name="图片 3" descr="caustic eg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stic egd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A" w:rsidRPr="00EA4641" w:rsidRDefault="008C3E1A" w:rsidP="002C1E79">
      <w:pPr>
        <w:jc w:val="both"/>
        <w:rPr>
          <w:rFonts w:ascii="Book Antiqua" w:hAnsi="Book Antiqua"/>
        </w:rPr>
      </w:pPr>
    </w:p>
    <w:p w:rsidR="008C3E1A" w:rsidRPr="00EA4641" w:rsidRDefault="008C3E1A" w:rsidP="002C1E79">
      <w:pPr>
        <w:tabs>
          <w:tab w:val="left" w:pos="7791"/>
        </w:tabs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 xml:space="preserve">Figure 2 EGD demonstrating esophagitis with multiple </w:t>
      </w:r>
      <w:proofErr w:type="spellStart"/>
      <w:r w:rsidRPr="00EA4641">
        <w:rPr>
          <w:rFonts w:ascii="Book Antiqua" w:hAnsi="Book Antiqua"/>
          <w:b/>
        </w:rPr>
        <w:t>petechiae</w:t>
      </w:r>
      <w:proofErr w:type="spellEnd"/>
      <w:r w:rsidRPr="00EA4641">
        <w:rPr>
          <w:rFonts w:ascii="Book Antiqua" w:hAnsi="Book Antiqua"/>
          <w:b/>
        </w:rPr>
        <w:t xml:space="preserve"> and white exudate.</w:t>
      </w:r>
    </w:p>
    <w:p w:rsidR="008C3E1A" w:rsidRPr="00EA4641" w:rsidRDefault="008C3E1A" w:rsidP="002C1E79">
      <w:pPr>
        <w:jc w:val="both"/>
        <w:rPr>
          <w:rFonts w:ascii="Book Antiqua" w:hAnsi="Book Antiqua"/>
        </w:rPr>
      </w:pPr>
      <w:r w:rsidRPr="00EA4641">
        <w:rPr>
          <w:rFonts w:ascii="Book Antiqua" w:hAnsi="Book Antiqua"/>
        </w:rPr>
        <w:br w:type="page"/>
      </w:r>
      <w:r w:rsidRPr="00EA4641">
        <w:rPr>
          <w:rFonts w:ascii="Book Antiqua" w:hAnsi="Book Antiqua"/>
          <w:noProof/>
        </w:rPr>
        <w:lastRenderedPageBreak/>
        <w:drawing>
          <wp:inline distT="0" distB="0" distL="0" distR="0" wp14:anchorId="6884FF6E" wp14:editId="51480A1C">
            <wp:extent cx="2720975" cy="3526155"/>
            <wp:effectExtent l="0" t="0" r="3175" b="0"/>
            <wp:docPr id="2" name="图片 2" descr="caustic eg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ustic egd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41">
        <w:rPr>
          <w:rFonts w:ascii="Book Antiqua" w:hAnsi="Book Antiqua"/>
          <w:noProof/>
        </w:rPr>
        <w:drawing>
          <wp:inline distT="0" distB="0" distL="0" distR="0" wp14:anchorId="53B8A445" wp14:editId="6D82CB92">
            <wp:extent cx="2677160" cy="3526155"/>
            <wp:effectExtent l="0" t="0" r="8890" b="0"/>
            <wp:docPr id="1" name="图片 1" descr="caustic eg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stic egd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A" w:rsidRPr="00EA4641" w:rsidRDefault="008C3E1A" w:rsidP="002C1E79">
      <w:pPr>
        <w:jc w:val="both"/>
        <w:rPr>
          <w:rFonts w:ascii="Book Antiqua" w:hAnsi="Book Antiqua"/>
        </w:rPr>
      </w:pPr>
    </w:p>
    <w:p w:rsidR="008C3E1A" w:rsidRDefault="008C3E1A" w:rsidP="002C1E79">
      <w:pPr>
        <w:jc w:val="both"/>
        <w:rPr>
          <w:rFonts w:ascii="Book Antiqua" w:hAnsi="Book Antiqua"/>
          <w:b/>
        </w:rPr>
      </w:pPr>
      <w:r w:rsidRPr="00EA4641">
        <w:rPr>
          <w:rFonts w:ascii="Book Antiqua" w:hAnsi="Book Antiqua"/>
          <w:b/>
        </w:rPr>
        <w:t xml:space="preserve">Figure 3 EGD demonstrating diffuse gastritis (Left) and areas of </w:t>
      </w:r>
      <w:proofErr w:type="spellStart"/>
      <w:r w:rsidRPr="00EA4641">
        <w:rPr>
          <w:rFonts w:ascii="Book Antiqua" w:hAnsi="Book Antiqua"/>
          <w:b/>
        </w:rPr>
        <w:t>duodenitis</w:t>
      </w:r>
      <w:proofErr w:type="spellEnd"/>
      <w:r w:rsidRPr="00EA4641">
        <w:rPr>
          <w:rFonts w:ascii="Book Antiqua" w:hAnsi="Book Antiqua"/>
          <w:b/>
        </w:rPr>
        <w:t xml:space="preserve"> (Right).</w:t>
      </w:r>
    </w:p>
    <w:p w:rsidR="008C3E1A" w:rsidRDefault="008C3E1A" w:rsidP="002C1E79">
      <w:pPr>
        <w:tabs>
          <w:tab w:val="left" w:pos="7791"/>
        </w:tabs>
        <w:jc w:val="both"/>
        <w:rPr>
          <w:rFonts w:ascii="Book Antiqua" w:hAnsi="Book Antiqua"/>
        </w:rPr>
      </w:pPr>
    </w:p>
    <w:p w:rsidR="00A43197" w:rsidRDefault="00D337E0" w:rsidP="002C1E79">
      <w:pPr>
        <w:jc w:val="both"/>
      </w:pPr>
    </w:p>
    <w:sectPr w:rsidR="00A4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E" w:rsidRDefault="004D3FCE" w:rsidP="008C3E1A">
      <w:r>
        <w:separator/>
      </w:r>
    </w:p>
  </w:endnote>
  <w:endnote w:type="continuationSeparator" w:id="0">
    <w:p w:rsidR="004D3FCE" w:rsidRDefault="004D3FCE" w:rsidP="008C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E" w:rsidRDefault="004D3FCE" w:rsidP="008C3E1A">
      <w:r>
        <w:separator/>
      </w:r>
    </w:p>
  </w:footnote>
  <w:footnote w:type="continuationSeparator" w:id="0">
    <w:p w:rsidR="004D3FCE" w:rsidRDefault="004D3FCE" w:rsidP="008C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6"/>
    <w:rsid w:val="00211CDD"/>
    <w:rsid w:val="002A543E"/>
    <w:rsid w:val="002C1E79"/>
    <w:rsid w:val="004D3FCE"/>
    <w:rsid w:val="00621746"/>
    <w:rsid w:val="00865734"/>
    <w:rsid w:val="008C3E1A"/>
    <w:rsid w:val="008D26C1"/>
    <w:rsid w:val="00995871"/>
    <w:rsid w:val="00AE7A85"/>
    <w:rsid w:val="00D337E0"/>
    <w:rsid w:val="00DE5BC0"/>
    <w:rsid w:val="00E4696D"/>
    <w:rsid w:val="00E57444"/>
    <w:rsid w:val="00EA4641"/>
    <w:rsid w:val="00F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1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E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3E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C3E1A"/>
    <w:rPr>
      <w:sz w:val="18"/>
      <w:szCs w:val="18"/>
    </w:rPr>
  </w:style>
  <w:style w:type="character" w:styleId="Hyperlink">
    <w:name w:val="Hyperlink"/>
    <w:uiPriority w:val="99"/>
    <w:semiHidden/>
    <w:unhideWhenUsed/>
    <w:rsid w:val="008C3E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A"/>
    <w:pPr>
      <w:spacing w:before="100" w:beforeAutospacing="1" w:after="100" w:afterAutospacing="1"/>
    </w:pPr>
    <w:rPr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1A"/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1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8C3E1A"/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Normal0">
    <w:name w:val="[Normal]"/>
    <w:uiPriority w:val="99"/>
    <w:rsid w:val="008C3E1A"/>
    <w:pPr>
      <w:autoSpaceDE w:val="0"/>
      <w:autoSpaceDN w:val="0"/>
      <w:adjustRightInd w:val="0"/>
    </w:pPr>
    <w:rPr>
      <w:rFonts w:ascii="Arial" w:eastAsia="宋体" w:hAnsi="Arial" w:cs="Arial"/>
      <w:kern w:val="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8C3E1A"/>
    <w:rPr>
      <w:rFonts w:ascii="Times New Roman" w:hAnsi="Times New Roman" w:cs="Times New Roman" w:hint="default"/>
      <w:sz w:val="21"/>
      <w:szCs w:val="21"/>
    </w:rPr>
  </w:style>
  <w:style w:type="character" w:styleId="Strong">
    <w:name w:val="Strong"/>
    <w:basedOn w:val="DefaultParagraphFont"/>
    <w:uiPriority w:val="22"/>
    <w:qFormat/>
    <w:rsid w:val="008C3E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1A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A4641"/>
    <w:pPr>
      <w:suppressAutoHyphens/>
      <w:ind w:firstLineChars="200" w:firstLine="420"/>
    </w:pPr>
    <w:rPr>
      <w:rFonts w:eastAsia="Lucida Sans Unicode" w:cs="Mangal"/>
      <w:kern w:val="1"/>
      <w:szCs w:val="21"/>
      <w:lang w:val="it-IT" w:eastAsia="hi-IN" w:bidi="hi-IN"/>
    </w:rPr>
  </w:style>
  <w:style w:type="character" w:styleId="Emphasis">
    <w:name w:val="Emphasis"/>
    <w:qFormat/>
    <w:rsid w:val="00D337E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1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E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3E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C3E1A"/>
    <w:rPr>
      <w:sz w:val="18"/>
      <w:szCs w:val="18"/>
    </w:rPr>
  </w:style>
  <w:style w:type="character" w:styleId="Hyperlink">
    <w:name w:val="Hyperlink"/>
    <w:uiPriority w:val="99"/>
    <w:semiHidden/>
    <w:unhideWhenUsed/>
    <w:rsid w:val="008C3E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A"/>
    <w:pPr>
      <w:spacing w:before="100" w:beforeAutospacing="1" w:after="100" w:afterAutospacing="1"/>
    </w:pPr>
    <w:rPr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1A"/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1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8C3E1A"/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Normal0">
    <w:name w:val="[Normal]"/>
    <w:uiPriority w:val="99"/>
    <w:rsid w:val="008C3E1A"/>
    <w:pPr>
      <w:autoSpaceDE w:val="0"/>
      <w:autoSpaceDN w:val="0"/>
      <w:adjustRightInd w:val="0"/>
    </w:pPr>
    <w:rPr>
      <w:rFonts w:ascii="Arial" w:eastAsia="宋体" w:hAnsi="Arial" w:cs="Arial"/>
      <w:kern w:val="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8C3E1A"/>
    <w:rPr>
      <w:rFonts w:ascii="Times New Roman" w:hAnsi="Times New Roman" w:cs="Times New Roman" w:hint="default"/>
      <w:sz w:val="21"/>
      <w:szCs w:val="21"/>
    </w:rPr>
  </w:style>
  <w:style w:type="character" w:styleId="Strong">
    <w:name w:val="Strong"/>
    <w:basedOn w:val="DefaultParagraphFont"/>
    <w:uiPriority w:val="22"/>
    <w:qFormat/>
    <w:rsid w:val="008C3E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1A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A4641"/>
    <w:pPr>
      <w:suppressAutoHyphens/>
      <w:ind w:firstLineChars="200" w:firstLine="420"/>
    </w:pPr>
    <w:rPr>
      <w:rFonts w:eastAsia="Lucida Sans Unicode" w:cs="Mangal"/>
      <w:kern w:val="1"/>
      <w:szCs w:val="21"/>
      <w:lang w:val="it-IT" w:eastAsia="hi-IN" w:bidi="hi-IN"/>
    </w:rPr>
  </w:style>
  <w:style w:type="character" w:styleId="Emphasis">
    <w:name w:val="Emphasis"/>
    <w:qFormat/>
    <w:rsid w:val="00D337E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ugawa@med.wayne.edu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1701</Words>
  <Characters>9698</Characters>
  <Application>Microsoft Macintosh Word</Application>
  <DocSecurity>0</DocSecurity>
  <Lines>80</Lines>
  <Paragraphs>22</Paragraphs>
  <ScaleCrop>false</ScaleCrop>
  <Company>Hewlett-Packard Company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Na Ma</cp:lastModifiedBy>
  <cp:revision>2</cp:revision>
  <dcterms:created xsi:type="dcterms:W3CDTF">2017-08-02T20:28:00Z</dcterms:created>
  <dcterms:modified xsi:type="dcterms:W3CDTF">2017-08-02T20:28:00Z</dcterms:modified>
</cp:coreProperties>
</file>