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F2" w:rsidRPr="002C00BA" w:rsidRDefault="007048F2" w:rsidP="00FF0F1E">
      <w:pPr>
        <w:spacing w:after="0" w:line="360" w:lineRule="auto"/>
        <w:jc w:val="both"/>
        <w:rPr>
          <w:rFonts w:ascii="Book Antiqua" w:hAnsi="Book Antiqua"/>
          <w:b/>
          <w:sz w:val="24"/>
          <w:szCs w:val="24"/>
          <w:lang w:eastAsia="zh-CN"/>
        </w:rPr>
      </w:pPr>
      <w:r w:rsidRPr="002C00BA">
        <w:rPr>
          <w:rFonts w:ascii="Book Antiqua" w:hAnsi="Book Antiqua"/>
          <w:b/>
          <w:sz w:val="24"/>
          <w:szCs w:val="24"/>
          <w:lang w:eastAsia="zh-CN"/>
        </w:rPr>
        <w:t>Name of journal: World Journal of Gastrointestinal Pharmacology and Therapeutics</w:t>
      </w:r>
    </w:p>
    <w:p w:rsidR="007048F2" w:rsidRPr="002C00BA" w:rsidRDefault="007048F2" w:rsidP="00FF0F1E">
      <w:pPr>
        <w:spacing w:after="0" w:line="360" w:lineRule="auto"/>
        <w:jc w:val="both"/>
        <w:rPr>
          <w:rFonts w:ascii="Book Antiqua" w:hAnsi="Book Antiqua"/>
          <w:b/>
          <w:sz w:val="24"/>
          <w:szCs w:val="24"/>
          <w:lang w:eastAsia="zh-CN"/>
        </w:rPr>
      </w:pPr>
      <w:r w:rsidRPr="002C00BA">
        <w:rPr>
          <w:rFonts w:ascii="Book Antiqua" w:hAnsi="Book Antiqua"/>
          <w:b/>
          <w:sz w:val="24"/>
          <w:szCs w:val="24"/>
          <w:lang w:eastAsia="zh-CN"/>
        </w:rPr>
        <w:t>ESPS Manuscript NO: 3487</w:t>
      </w:r>
    </w:p>
    <w:p w:rsidR="007048F2" w:rsidRPr="002C00BA" w:rsidRDefault="007048F2" w:rsidP="001E630E">
      <w:pPr>
        <w:spacing w:after="0" w:line="360" w:lineRule="auto"/>
        <w:jc w:val="both"/>
        <w:rPr>
          <w:rFonts w:ascii="Book Antiqua" w:hAnsi="Book Antiqua"/>
          <w:b/>
          <w:sz w:val="24"/>
          <w:szCs w:val="24"/>
          <w:lang w:eastAsia="zh-CN"/>
        </w:rPr>
      </w:pPr>
      <w:r>
        <w:rPr>
          <w:rFonts w:ascii="Book Antiqua" w:hAnsi="Book Antiqua"/>
          <w:b/>
          <w:sz w:val="24"/>
          <w:szCs w:val="24"/>
          <w:lang w:eastAsia="zh-CN"/>
        </w:rPr>
        <w:t>Columns: MINI</w:t>
      </w:r>
      <w:r w:rsidRPr="002C00BA">
        <w:rPr>
          <w:rFonts w:ascii="Book Antiqua" w:hAnsi="Book Antiqua"/>
          <w:b/>
          <w:sz w:val="24"/>
          <w:szCs w:val="24"/>
          <w:lang w:eastAsia="zh-CN"/>
        </w:rPr>
        <w:t>REVIEW</w:t>
      </w:r>
      <w:r>
        <w:rPr>
          <w:rFonts w:ascii="Book Antiqua" w:hAnsi="Book Antiqua"/>
          <w:b/>
          <w:sz w:val="24"/>
          <w:szCs w:val="24"/>
          <w:lang w:eastAsia="zh-CN"/>
        </w:rPr>
        <w:t>S</w:t>
      </w:r>
    </w:p>
    <w:p w:rsidR="007048F2" w:rsidRDefault="007048F2" w:rsidP="001E630E">
      <w:pPr>
        <w:spacing w:after="0" w:line="360" w:lineRule="auto"/>
        <w:jc w:val="both"/>
        <w:rPr>
          <w:rFonts w:ascii="Book Antiqua" w:hAnsi="Book Antiqua"/>
          <w:sz w:val="24"/>
          <w:szCs w:val="24"/>
          <w:lang w:eastAsia="zh-CN"/>
        </w:rPr>
      </w:pPr>
    </w:p>
    <w:p w:rsidR="007048F2" w:rsidRPr="00402AEE" w:rsidRDefault="007048F2" w:rsidP="001E630E">
      <w:pPr>
        <w:spacing w:after="0" w:line="360" w:lineRule="auto"/>
        <w:jc w:val="both"/>
        <w:rPr>
          <w:rFonts w:ascii="Book Antiqua" w:hAnsi="Book Antiqua"/>
          <w:b/>
          <w:sz w:val="24"/>
          <w:szCs w:val="24"/>
        </w:rPr>
      </w:pPr>
      <w:r w:rsidRPr="00402AEE">
        <w:rPr>
          <w:rFonts w:ascii="Book Antiqua" w:hAnsi="Book Antiqua"/>
          <w:b/>
          <w:sz w:val="24"/>
          <w:szCs w:val="24"/>
        </w:rPr>
        <w:t>Emerging causes of iron deficiency anemia refractory to oral iron supplementation</w:t>
      </w:r>
    </w:p>
    <w:p w:rsidR="007048F2" w:rsidRPr="001E630E" w:rsidRDefault="007048F2" w:rsidP="001E630E">
      <w:pPr>
        <w:spacing w:after="0" w:line="360" w:lineRule="auto"/>
        <w:jc w:val="both"/>
        <w:rPr>
          <w:rFonts w:ascii="Book Antiqua" w:hAnsi="Book Antiqua"/>
          <w:sz w:val="24"/>
          <w:szCs w:val="24"/>
          <w:lang w:eastAsia="zh-CN"/>
        </w:rPr>
      </w:pPr>
    </w:p>
    <w:p w:rsidR="007048F2" w:rsidRPr="001E630E" w:rsidRDefault="007048F2" w:rsidP="001E630E">
      <w:pPr>
        <w:spacing w:after="0" w:line="360" w:lineRule="auto"/>
        <w:jc w:val="both"/>
        <w:rPr>
          <w:rFonts w:ascii="Book Antiqua" w:hAnsi="Book Antiqua"/>
          <w:sz w:val="24"/>
          <w:szCs w:val="24"/>
          <w:lang w:eastAsia="zh-CN"/>
        </w:rPr>
      </w:pPr>
      <w:r w:rsidRPr="001E630E">
        <w:rPr>
          <w:rFonts w:ascii="Book Antiqua" w:hAnsi="Book Antiqua"/>
          <w:sz w:val="24"/>
          <w:szCs w:val="24"/>
        </w:rPr>
        <w:t>Warsch</w:t>
      </w:r>
      <w:r w:rsidRPr="001E630E">
        <w:rPr>
          <w:rFonts w:ascii="Book Antiqua" w:eastAsia="Arial Unicode MS" w:hAnsi="Book Antiqua" w:cs="Arial Unicode MS"/>
          <w:b/>
          <w:sz w:val="24"/>
          <w:szCs w:val="24"/>
        </w:rPr>
        <w:t xml:space="preserve"> </w:t>
      </w:r>
      <w:r w:rsidRPr="00402AEE">
        <w:rPr>
          <w:rFonts w:ascii="Book Antiqua" w:eastAsia="Arial Unicode MS" w:hAnsi="Book Antiqua" w:cs="Arial Unicode MS"/>
          <w:sz w:val="24"/>
          <w:szCs w:val="24"/>
          <w:lang w:eastAsia="zh-CN"/>
        </w:rPr>
        <w:t xml:space="preserve">S </w:t>
      </w:r>
      <w:r w:rsidRPr="00402AEE">
        <w:rPr>
          <w:rFonts w:ascii="Book Antiqua" w:eastAsia="Arial Unicode MS" w:hAnsi="Book Antiqua" w:cs="Arial Unicode MS"/>
          <w:i/>
          <w:sz w:val="24"/>
          <w:szCs w:val="24"/>
          <w:lang w:eastAsia="zh-CN"/>
        </w:rPr>
        <w:t>et al.</w:t>
      </w:r>
      <w:r>
        <w:rPr>
          <w:rFonts w:ascii="Book Antiqua" w:eastAsia="Arial Unicode MS" w:hAnsi="Book Antiqua" w:cs="Arial Unicode MS"/>
          <w:b/>
          <w:sz w:val="24"/>
          <w:szCs w:val="24"/>
          <w:lang w:eastAsia="zh-CN"/>
        </w:rPr>
        <w:t xml:space="preserve"> </w:t>
      </w:r>
      <w:r w:rsidRPr="00402AEE">
        <w:rPr>
          <w:rFonts w:ascii="Book Antiqua" w:eastAsia="Arial Unicode MS" w:hAnsi="Book Antiqua" w:cs="Arial Unicode MS"/>
          <w:sz w:val="24"/>
          <w:szCs w:val="24"/>
        </w:rPr>
        <w:t>Emerging uses of IV iron</w:t>
      </w:r>
    </w:p>
    <w:p w:rsidR="007048F2" w:rsidRPr="001E630E" w:rsidRDefault="007048F2" w:rsidP="001E630E">
      <w:pPr>
        <w:spacing w:after="0" w:line="360" w:lineRule="auto"/>
        <w:jc w:val="both"/>
        <w:rPr>
          <w:rFonts w:ascii="Book Antiqua" w:hAnsi="Book Antiqua"/>
          <w:sz w:val="24"/>
          <w:szCs w:val="24"/>
          <w:lang w:eastAsia="zh-CN"/>
        </w:rPr>
      </w:pPr>
    </w:p>
    <w:p w:rsidR="007048F2" w:rsidRPr="001E630E" w:rsidRDefault="007048F2" w:rsidP="001E630E">
      <w:pPr>
        <w:spacing w:after="0" w:line="360" w:lineRule="auto"/>
        <w:jc w:val="both"/>
        <w:rPr>
          <w:rFonts w:ascii="Book Antiqua" w:hAnsi="Book Antiqua"/>
          <w:sz w:val="24"/>
          <w:szCs w:val="24"/>
        </w:rPr>
      </w:pPr>
      <w:r w:rsidRPr="001E630E">
        <w:rPr>
          <w:rFonts w:ascii="Book Antiqua" w:hAnsi="Book Antiqua"/>
          <w:sz w:val="24"/>
          <w:szCs w:val="24"/>
        </w:rPr>
        <w:t>Sean Warsch, John Byrnes</w:t>
      </w:r>
    </w:p>
    <w:p w:rsidR="007048F2" w:rsidRDefault="007048F2" w:rsidP="001E630E">
      <w:pPr>
        <w:spacing w:after="0" w:line="360" w:lineRule="auto"/>
        <w:jc w:val="both"/>
        <w:rPr>
          <w:rFonts w:ascii="Book Antiqua" w:hAnsi="Book Antiqua"/>
          <w:b/>
          <w:sz w:val="24"/>
          <w:szCs w:val="24"/>
          <w:lang w:eastAsia="zh-CN"/>
        </w:rPr>
      </w:pPr>
    </w:p>
    <w:p w:rsidR="007048F2" w:rsidRPr="001E630E" w:rsidRDefault="007048F2" w:rsidP="001E630E">
      <w:pPr>
        <w:spacing w:after="0" w:line="360" w:lineRule="auto"/>
        <w:jc w:val="both"/>
        <w:rPr>
          <w:rFonts w:ascii="Book Antiqua" w:hAnsi="Book Antiqua"/>
          <w:sz w:val="24"/>
          <w:szCs w:val="24"/>
        </w:rPr>
      </w:pPr>
      <w:r w:rsidRPr="001E630E">
        <w:rPr>
          <w:rFonts w:ascii="Book Antiqua" w:hAnsi="Book Antiqua"/>
          <w:b/>
          <w:sz w:val="24"/>
          <w:szCs w:val="24"/>
        </w:rPr>
        <w:t xml:space="preserve">Sean Warsch, John Byrnes, </w:t>
      </w:r>
      <w:smartTag w:uri="urn:schemas-microsoft-com:office:smarttags" w:element="PlaceName">
        <w:r w:rsidRPr="001E630E">
          <w:rPr>
            <w:rFonts w:ascii="Book Antiqua" w:hAnsi="Book Antiqua"/>
            <w:sz w:val="24"/>
            <w:szCs w:val="24"/>
          </w:rPr>
          <w:t>Sylvester</w:t>
        </w:r>
      </w:smartTag>
      <w:r w:rsidRPr="001E630E">
        <w:rPr>
          <w:rFonts w:ascii="Book Antiqua" w:hAnsi="Book Antiqua"/>
          <w:sz w:val="24"/>
          <w:szCs w:val="24"/>
        </w:rPr>
        <w:t xml:space="preserve"> </w:t>
      </w:r>
      <w:smartTag w:uri="urn:schemas-microsoft-com:office:smarttags" w:element="PlaceName">
        <w:r w:rsidRPr="001E630E">
          <w:rPr>
            <w:rFonts w:ascii="Book Antiqua" w:hAnsi="Book Antiqua"/>
            <w:sz w:val="24"/>
            <w:szCs w:val="24"/>
          </w:rPr>
          <w:t>Comprehensive</w:t>
        </w:r>
      </w:smartTag>
      <w:r w:rsidRPr="001E630E">
        <w:rPr>
          <w:rFonts w:ascii="Book Antiqua" w:hAnsi="Book Antiqua"/>
          <w:sz w:val="24"/>
          <w:szCs w:val="24"/>
        </w:rPr>
        <w:t xml:space="preserve"> </w:t>
      </w:r>
      <w:smartTag w:uri="urn:schemas-microsoft-com:office:smarttags" w:element="PlaceName">
        <w:r w:rsidRPr="001E630E">
          <w:rPr>
            <w:rFonts w:ascii="Book Antiqua" w:hAnsi="Book Antiqua"/>
            <w:sz w:val="24"/>
            <w:szCs w:val="24"/>
          </w:rPr>
          <w:t>Cancer</w:t>
        </w:r>
      </w:smartTag>
      <w:r w:rsidRPr="001E630E">
        <w:rPr>
          <w:rFonts w:ascii="Book Antiqua" w:hAnsi="Book Antiqua"/>
          <w:sz w:val="24"/>
          <w:szCs w:val="24"/>
        </w:rPr>
        <w:t xml:space="preserve"> </w:t>
      </w:r>
      <w:smartTag w:uri="urn:schemas-microsoft-com:office:smarttags" w:element="PlaceType">
        <w:r w:rsidRPr="001E630E">
          <w:rPr>
            <w:rFonts w:ascii="Book Antiqua" w:hAnsi="Book Antiqua"/>
            <w:sz w:val="24"/>
            <w:szCs w:val="24"/>
          </w:rPr>
          <w:t>Center</w:t>
        </w:r>
      </w:smartTag>
      <w:r w:rsidRPr="001E630E">
        <w:rPr>
          <w:rFonts w:ascii="Book Antiqua" w:hAnsi="Book Antiqua"/>
          <w:sz w:val="24"/>
          <w:szCs w:val="24"/>
        </w:rPr>
        <w:t xml:space="preserve">, </w:t>
      </w:r>
      <w:smartTag w:uri="urn:schemas-microsoft-com:office:smarttags" w:element="City">
        <w:smartTag w:uri="urn:schemas-microsoft-com:office:smarttags" w:element="place">
          <w:smartTag w:uri="urn:schemas-microsoft-com:office:smarttags" w:element="City">
            <w:r>
              <w:rPr>
                <w:rFonts w:ascii="Book Antiqua" w:hAnsi="Book Antiqua"/>
                <w:sz w:val="24"/>
                <w:szCs w:val="24"/>
              </w:rPr>
              <w:t>Miami</w:t>
            </w:r>
          </w:smartTag>
          <w:r>
            <w:rPr>
              <w:rFonts w:ascii="Book Antiqua" w:hAnsi="Book Antiqua"/>
              <w:sz w:val="24"/>
              <w:szCs w:val="24"/>
            </w:rPr>
            <w:t xml:space="preserve">, </w:t>
          </w:r>
          <w:smartTag w:uri="urn:schemas-microsoft-com:office:smarttags" w:element="State">
            <w:r>
              <w:rPr>
                <w:rFonts w:ascii="Book Antiqua" w:hAnsi="Book Antiqua"/>
                <w:sz w:val="24"/>
                <w:szCs w:val="24"/>
              </w:rPr>
              <w:t>FL</w:t>
            </w:r>
          </w:smartTag>
          <w:r w:rsidRPr="001E630E">
            <w:rPr>
              <w:rFonts w:ascii="Book Antiqua" w:hAnsi="Book Antiqua"/>
              <w:sz w:val="24"/>
              <w:szCs w:val="24"/>
            </w:rPr>
            <w:t xml:space="preserve"> </w:t>
          </w:r>
          <w:smartTag w:uri="urn:schemas-microsoft-com:office:smarttags" w:element="PostalCode">
            <w:r w:rsidRPr="001E630E">
              <w:rPr>
                <w:rFonts w:ascii="Book Antiqua" w:hAnsi="Book Antiqua"/>
                <w:sz w:val="24"/>
                <w:szCs w:val="24"/>
              </w:rPr>
              <w:t>33136</w:t>
            </w:r>
          </w:smartTag>
          <w:r w:rsidRPr="001E630E">
            <w:rPr>
              <w:rFonts w:ascii="Book Antiqua" w:hAnsi="Book Antiqua"/>
              <w:sz w:val="24"/>
              <w:szCs w:val="24"/>
            </w:rPr>
            <w:t xml:space="preserve">, </w:t>
          </w:r>
          <w:smartTag w:uri="urn:schemas-microsoft-com:office:smarttags" w:element="country-region">
            <w:r w:rsidRPr="001E630E">
              <w:rPr>
                <w:rFonts w:ascii="Book Antiqua" w:hAnsi="Book Antiqua"/>
                <w:sz w:val="24"/>
                <w:szCs w:val="24"/>
              </w:rPr>
              <w:t>United States</w:t>
            </w:r>
          </w:smartTag>
        </w:smartTag>
      </w:smartTag>
      <w:r w:rsidRPr="001E630E">
        <w:rPr>
          <w:rFonts w:ascii="Book Antiqua" w:hAnsi="Book Antiqua"/>
          <w:sz w:val="24"/>
          <w:szCs w:val="24"/>
        </w:rPr>
        <w:t xml:space="preserve"> </w:t>
      </w:r>
    </w:p>
    <w:p w:rsidR="007048F2" w:rsidRPr="001E630E" w:rsidRDefault="007048F2" w:rsidP="001E630E">
      <w:pPr>
        <w:spacing w:after="0" w:line="360" w:lineRule="auto"/>
        <w:jc w:val="both"/>
        <w:rPr>
          <w:rFonts w:ascii="Book Antiqua" w:hAnsi="Book Antiqua"/>
          <w:sz w:val="24"/>
          <w:szCs w:val="24"/>
          <w:lang w:eastAsia="zh-CN"/>
        </w:rPr>
      </w:pPr>
    </w:p>
    <w:p w:rsidR="007048F2" w:rsidRPr="001E630E" w:rsidRDefault="007048F2" w:rsidP="001E630E">
      <w:pPr>
        <w:spacing w:after="0" w:line="360" w:lineRule="auto"/>
        <w:jc w:val="both"/>
        <w:rPr>
          <w:rFonts w:ascii="Book Antiqua" w:hAnsi="Book Antiqua"/>
          <w:sz w:val="24"/>
          <w:szCs w:val="24"/>
          <w:lang w:eastAsia="zh-CN"/>
        </w:rPr>
      </w:pPr>
      <w:r w:rsidRPr="001E630E">
        <w:rPr>
          <w:rFonts w:ascii="Book Antiqua" w:hAnsi="Book Antiqua"/>
          <w:b/>
          <w:sz w:val="24"/>
          <w:szCs w:val="24"/>
        </w:rPr>
        <w:t xml:space="preserve">Author contributions: </w:t>
      </w:r>
      <w:r w:rsidRPr="001E630E">
        <w:rPr>
          <w:rFonts w:ascii="Book Antiqua" w:hAnsi="Book Antiqua"/>
          <w:sz w:val="24"/>
          <w:szCs w:val="24"/>
        </w:rPr>
        <w:t>Both authors contributed to data collection and writing of the manuscript</w:t>
      </w:r>
      <w:r>
        <w:rPr>
          <w:rFonts w:ascii="Book Antiqua" w:hAnsi="Book Antiqua"/>
          <w:sz w:val="24"/>
          <w:szCs w:val="24"/>
          <w:lang w:eastAsia="zh-CN"/>
        </w:rPr>
        <w:t>.</w:t>
      </w:r>
    </w:p>
    <w:p w:rsidR="007048F2" w:rsidRPr="001E630E" w:rsidRDefault="007048F2" w:rsidP="001E630E">
      <w:pPr>
        <w:spacing w:after="0" w:line="360" w:lineRule="auto"/>
        <w:jc w:val="both"/>
        <w:rPr>
          <w:rFonts w:ascii="Book Antiqua" w:hAnsi="Book Antiqua"/>
          <w:sz w:val="24"/>
          <w:szCs w:val="24"/>
        </w:rPr>
      </w:pPr>
    </w:p>
    <w:p w:rsidR="007048F2" w:rsidRPr="001E630E" w:rsidRDefault="007048F2" w:rsidP="001E630E">
      <w:pPr>
        <w:spacing w:after="0" w:line="360" w:lineRule="auto"/>
        <w:jc w:val="both"/>
        <w:rPr>
          <w:rFonts w:ascii="Book Antiqua" w:hAnsi="Book Antiqua"/>
          <w:sz w:val="24"/>
          <w:szCs w:val="24"/>
          <w:u w:val="single"/>
        </w:rPr>
      </w:pPr>
      <w:r w:rsidRPr="001E630E">
        <w:rPr>
          <w:rFonts w:ascii="Book Antiqua" w:hAnsi="Book Antiqua"/>
          <w:b/>
          <w:sz w:val="24"/>
          <w:szCs w:val="24"/>
        </w:rPr>
        <w:t>Correspondence to: John Byrnes, MD, Professor,</w:t>
      </w:r>
      <w:r w:rsidRPr="001E630E">
        <w:rPr>
          <w:rFonts w:ascii="Book Antiqua" w:hAnsi="Book Antiqua"/>
          <w:sz w:val="24"/>
          <w:szCs w:val="24"/>
        </w:rPr>
        <w:t xml:space="preserve"> Sylvester Comprehensive Cancer Center, 1475 NW 12</w:t>
      </w:r>
      <w:r w:rsidRPr="001E630E">
        <w:rPr>
          <w:rFonts w:ascii="Book Antiqua" w:hAnsi="Book Antiqua"/>
          <w:sz w:val="24"/>
          <w:szCs w:val="24"/>
          <w:vertAlign w:val="superscript"/>
        </w:rPr>
        <w:t>th</w:t>
      </w:r>
      <w:r>
        <w:rPr>
          <w:rFonts w:ascii="Book Antiqua" w:hAnsi="Book Antiqua"/>
          <w:sz w:val="24"/>
          <w:szCs w:val="24"/>
        </w:rPr>
        <w:t xml:space="preserve"> Ave, Miami, FL</w:t>
      </w:r>
      <w:r w:rsidRPr="001E630E">
        <w:rPr>
          <w:rFonts w:ascii="Book Antiqua" w:hAnsi="Book Antiqua"/>
          <w:sz w:val="24"/>
          <w:szCs w:val="24"/>
        </w:rPr>
        <w:t xml:space="preserve"> 33136, United States. </w:t>
      </w:r>
      <w:hyperlink r:id="rId7" w:history="1">
        <w:r w:rsidRPr="001E630E">
          <w:rPr>
            <w:rStyle w:val="aa"/>
            <w:rFonts w:ascii="Book Antiqua" w:hAnsi="Book Antiqua"/>
            <w:sz w:val="24"/>
            <w:szCs w:val="24"/>
          </w:rPr>
          <w:t>jbyrnes@med.miami.edu</w:t>
        </w:r>
      </w:hyperlink>
    </w:p>
    <w:p w:rsidR="007048F2" w:rsidRPr="001E630E" w:rsidRDefault="007048F2" w:rsidP="001E630E">
      <w:pPr>
        <w:spacing w:after="0" w:line="360" w:lineRule="auto"/>
        <w:jc w:val="both"/>
        <w:rPr>
          <w:rFonts w:ascii="Book Antiqua" w:hAnsi="Book Antiqua"/>
          <w:sz w:val="24"/>
          <w:szCs w:val="24"/>
        </w:rPr>
      </w:pPr>
    </w:p>
    <w:p w:rsidR="007048F2" w:rsidRPr="001E630E" w:rsidRDefault="007048F2" w:rsidP="001E630E">
      <w:pPr>
        <w:spacing w:after="0" w:line="360" w:lineRule="auto"/>
        <w:jc w:val="both"/>
        <w:rPr>
          <w:rFonts w:ascii="Book Antiqua" w:hAnsi="Book Antiqua"/>
          <w:sz w:val="24"/>
          <w:szCs w:val="24"/>
          <w:lang w:eastAsia="zh-CN"/>
        </w:rPr>
      </w:pPr>
      <w:r w:rsidRPr="001E630E">
        <w:rPr>
          <w:rFonts w:ascii="Book Antiqua" w:hAnsi="Book Antiqua"/>
          <w:b/>
          <w:sz w:val="24"/>
          <w:szCs w:val="24"/>
        </w:rPr>
        <w:t xml:space="preserve">Telephone: </w:t>
      </w:r>
      <w:r w:rsidRPr="00BE5E95">
        <w:rPr>
          <w:rFonts w:ascii="Book Antiqua" w:hAnsi="Book Antiqua"/>
          <w:sz w:val="24"/>
          <w:szCs w:val="24"/>
          <w:lang w:eastAsia="zh-CN"/>
        </w:rPr>
        <w:t>+1-</w:t>
      </w:r>
      <w:r>
        <w:rPr>
          <w:rFonts w:ascii="Book Antiqua" w:hAnsi="Book Antiqua"/>
          <w:sz w:val="24"/>
          <w:szCs w:val="24"/>
        </w:rPr>
        <w:t>305-243</w:t>
      </w:r>
      <w:r w:rsidRPr="001E630E">
        <w:rPr>
          <w:rFonts w:ascii="Book Antiqua" w:hAnsi="Book Antiqua"/>
          <w:sz w:val="24"/>
          <w:szCs w:val="24"/>
        </w:rPr>
        <w:t>6611</w:t>
      </w:r>
      <w:r w:rsidRPr="001E630E">
        <w:rPr>
          <w:rFonts w:ascii="Book Antiqua" w:hAnsi="Book Antiqua"/>
          <w:b/>
          <w:sz w:val="24"/>
          <w:szCs w:val="24"/>
          <w:lang w:eastAsia="zh-CN"/>
        </w:rPr>
        <w:t xml:space="preserve">   Fax: </w:t>
      </w:r>
      <w:r w:rsidRPr="00BE5E95">
        <w:rPr>
          <w:rFonts w:ascii="Book Antiqua" w:hAnsi="Book Antiqua"/>
          <w:sz w:val="24"/>
          <w:szCs w:val="24"/>
          <w:lang w:eastAsia="zh-CN"/>
        </w:rPr>
        <w:t>+1-</w:t>
      </w:r>
      <w:r>
        <w:rPr>
          <w:rFonts w:ascii="Book Antiqua" w:hAnsi="Book Antiqua"/>
          <w:sz w:val="24"/>
          <w:szCs w:val="24"/>
        </w:rPr>
        <w:t>305-243</w:t>
      </w:r>
      <w:r w:rsidRPr="001E630E">
        <w:rPr>
          <w:rFonts w:ascii="Book Antiqua" w:hAnsi="Book Antiqua"/>
          <w:sz w:val="24"/>
          <w:szCs w:val="24"/>
        </w:rPr>
        <w:t>5239</w:t>
      </w:r>
    </w:p>
    <w:p w:rsidR="007048F2" w:rsidRPr="001E630E" w:rsidRDefault="007048F2" w:rsidP="001E630E">
      <w:pPr>
        <w:spacing w:after="0" w:line="360" w:lineRule="auto"/>
        <w:jc w:val="both"/>
        <w:rPr>
          <w:rFonts w:ascii="Book Antiqua" w:hAnsi="Book Antiqua"/>
          <w:sz w:val="24"/>
          <w:szCs w:val="24"/>
        </w:rPr>
      </w:pPr>
    </w:p>
    <w:p w:rsidR="007048F2" w:rsidRPr="004151C3" w:rsidRDefault="007048F2" w:rsidP="004151C3">
      <w:pPr>
        <w:spacing w:line="360" w:lineRule="auto"/>
        <w:rPr>
          <w:rFonts w:ascii="Book Antiqua" w:hAnsi="Book Antiqua"/>
          <w:sz w:val="24"/>
          <w:lang w:eastAsia="zh-CN"/>
        </w:rPr>
      </w:pPr>
      <w:r w:rsidRPr="008150D2">
        <w:rPr>
          <w:rFonts w:ascii="Book Antiqua" w:hAnsi="Book Antiqua"/>
          <w:b/>
          <w:sz w:val="24"/>
        </w:rPr>
        <w:t xml:space="preserve">Received: </w:t>
      </w:r>
      <w:r w:rsidRPr="004151C3">
        <w:rPr>
          <w:rFonts w:ascii="Book Antiqua" w:hAnsi="Book Antiqua"/>
          <w:sz w:val="24"/>
        </w:rPr>
        <w:t xml:space="preserve"> </w:t>
      </w:r>
      <w:r w:rsidRPr="004151C3">
        <w:rPr>
          <w:rFonts w:ascii="Book Antiqua" w:hAnsi="Book Antiqua"/>
          <w:sz w:val="24"/>
          <w:lang w:eastAsia="zh-CN"/>
        </w:rPr>
        <w:t>May 1, 2013</w:t>
      </w:r>
      <w:r>
        <w:rPr>
          <w:rFonts w:ascii="Book Antiqua" w:hAnsi="Book Antiqua"/>
          <w:b/>
          <w:sz w:val="24"/>
        </w:rPr>
        <w:t xml:space="preserve"> </w:t>
      </w:r>
      <w:r w:rsidRPr="008150D2">
        <w:rPr>
          <w:rFonts w:ascii="Book Antiqua" w:hAnsi="Book Antiqua"/>
          <w:b/>
          <w:sz w:val="24"/>
        </w:rPr>
        <w:t>Revised:</w:t>
      </w:r>
      <w:r>
        <w:rPr>
          <w:rFonts w:ascii="Book Antiqua" w:hAnsi="Book Antiqua"/>
          <w:b/>
          <w:sz w:val="24"/>
        </w:rPr>
        <w:t xml:space="preserve"> </w:t>
      </w:r>
      <w:r w:rsidRPr="008150D2">
        <w:rPr>
          <w:rFonts w:ascii="Book Antiqua" w:hAnsi="Book Antiqua"/>
          <w:b/>
          <w:sz w:val="24"/>
        </w:rPr>
        <w:t xml:space="preserve"> </w:t>
      </w:r>
      <w:r w:rsidRPr="004151C3">
        <w:rPr>
          <w:rFonts w:ascii="Book Antiqua" w:hAnsi="Book Antiqua"/>
          <w:sz w:val="24"/>
          <w:lang w:eastAsia="zh-CN"/>
        </w:rPr>
        <w:t xml:space="preserve">June </w:t>
      </w:r>
      <w:r>
        <w:rPr>
          <w:rFonts w:ascii="Book Antiqua" w:hAnsi="Book Antiqua"/>
          <w:sz w:val="24"/>
          <w:lang w:eastAsia="zh-CN"/>
        </w:rPr>
        <w:t>20</w:t>
      </w:r>
      <w:r w:rsidRPr="004151C3">
        <w:rPr>
          <w:rFonts w:ascii="Book Antiqua" w:hAnsi="Book Antiqua"/>
          <w:sz w:val="24"/>
          <w:lang w:eastAsia="zh-CN"/>
        </w:rPr>
        <w:t>, 2013</w:t>
      </w:r>
    </w:p>
    <w:p w:rsidR="00EF4002" w:rsidRDefault="007048F2" w:rsidP="00EF4002">
      <w:pPr>
        <w:rPr>
          <w:rFonts w:ascii="Book Antiqua" w:hAnsi="Book Antiqua"/>
          <w:sz w:val="24"/>
          <w:szCs w:val="24"/>
        </w:rPr>
      </w:pPr>
      <w:r w:rsidRPr="008150D2">
        <w:rPr>
          <w:rFonts w:ascii="Book Antiqua" w:hAnsi="Book Antiqua"/>
          <w:b/>
          <w:sz w:val="24"/>
        </w:rPr>
        <w:t xml:space="preserve">Accepted: </w:t>
      </w:r>
      <w:r>
        <w:rPr>
          <w:rFonts w:ascii="Book Antiqua" w:hAnsi="Book Antiqua"/>
          <w:b/>
          <w:sz w:val="24"/>
        </w:rPr>
        <w:t xml:space="preserve"> </w:t>
      </w:r>
      <w:r w:rsidR="00EF4002" w:rsidRPr="00494806">
        <w:rPr>
          <w:rFonts w:ascii="Book Antiqua" w:hAnsi="Book Antiqua"/>
          <w:sz w:val="24"/>
          <w:szCs w:val="24"/>
        </w:rPr>
        <w:t>June 28, 2013</w:t>
      </w:r>
    </w:p>
    <w:p w:rsidR="007048F2" w:rsidRDefault="007048F2" w:rsidP="004151C3">
      <w:pPr>
        <w:spacing w:line="360" w:lineRule="auto"/>
        <w:rPr>
          <w:rFonts w:ascii="Book Antiqua" w:hAnsi="Book Antiqua"/>
          <w:b/>
          <w:sz w:val="24"/>
        </w:rPr>
      </w:pPr>
    </w:p>
    <w:p w:rsidR="007048F2" w:rsidRPr="008150D2" w:rsidRDefault="007048F2" w:rsidP="004151C3">
      <w:pPr>
        <w:spacing w:line="360" w:lineRule="auto"/>
        <w:rPr>
          <w:rFonts w:ascii="Book Antiqua" w:hAnsi="Book Antiqua" w:cs="宋体"/>
          <w:bCs/>
          <w:color w:val="000000"/>
          <w:sz w:val="24"/>
        </w:rPr>
      </w:pPr>
      <w:r w:rsidRPr="008150D2">
        <w:rPr>
          <w:rFonts w:ascii="Book Antiqua" w:hAnsi="Book Antiqua"/>
          <w:b/>
          <w:sz w:val="24"/>
        </w:rPr>
        <w:t>Published online:</w:t>
      </w:r>
    </w:p>
    <w:p w:rsidR="007048F2" w:rsidRPr="001E630E" w:rsidRDefault="007048F2" w:rsidP="001E630E">
      <w:pPr>
        <w:spacing w:after="0" w:line="360" w:lineRule="auto"/>
        <w:jc w:val="both"/>
        <w:rPr>
          <w:rFonts w:ascii="Book Antiqua" w:hAnsi="Book Antiqua"/>
          <w:sz w:val="24"/>
          <w:szCs w:val="24"/>
        </w:rPr>
      </w:pPr>
    </w:p>
    <w:p w:rsidR="007048F2" w:rsidRPr="001E630E" w:rsidRDefault="007048F2" w:rsidP="001E630E">
      <w:pPr>
        <w:spacing w:after="0" w:line="360" w:lineRule="auto"/>
        <w:jc w:val="both"/>
        <w:rPr>
          <w:rFonts w:ascii="Book Antiqua" w:hAnsi="Book Antiqua"/>
          <w:sz w:val="24"/>
          <w:szCs w:val="24"/>
        </w:rPr>
      </w:pPr>
    </w:p>
    <w:p w:rsidR="007048F2" w:rsidRDefault="007048F2" w:rsidP="001E630E">
      <w:pPr>
        <w:spacing w:after="0" w:line="360" w:lineRule="auto"/>
        <w:jc w:val="both"/>
        <w:rPr>
          <w:rFonts w:ascii="Book Antiqua" w:hAnsi="Book Antiqua"/>
          <w:b/>
          <w:sz w:val="24"/>
          <w:szCs w:val="24"/>
          <w:lang w:eastAsia="zh-CN"/>
        </w:rPr>
      </w:pPr>
    </w:p>
    <w:p w:rsidR="007048F2" w:rsidRDefault="007048F2" w:rsidP="001E630E">
      <w:pPr>
        <w:spacing w:after="0" w:line="360" w:lineRule="auto"/>
        <w:jc w:val="both"/>
        <w:rPr>
          <w:rFonts w:ascii="Book Antiqua" w:hAnsi="Book Antiqua"/>
          <w:b/>
          <w:sz w:val="24"/>
          <w:szCs w:val="24"/>
          <w:lang w:eastAsia="zh-CN"/>
        </w:rPr>
      </w:pPr>
    </w:p>
    <w:p w:rsidR="007048F2" w:rsidRPr="001F4231" w:rsidRDefault="007048F2" w:rsidP="001E630E">
      <w:pPr>
        <w:spacing w:after="0" w:line="360" w:lineRule="auto"/>
        <w:jc w:val="both"/>
        <w:rPr>
          <w:rFonts w:ascii="Book Antiqua" w:hAnsi="Book Antiqua"/>
          <w:b/>
          <w:sz w:val="24"/>
          <w:szCs w:val="24"/>
          <w:lang w:eastAsia="zh-CN"/>
        </w:rPr>
      </w:pPr>
      <w:r w:rsidRPr="001F4231">
        <w:rPr>
          <w:rFonts w:ascii="Book Antiqua" w:hAnsi="Book Antiqua"/>
          <w:b/>
          <w:sz w:val="24"/>
          <w:szCs w:val="24"/>
        </w:rPr>
        <w:t>Abstract</w:t>
      </w:r>
    </w:p>
    <w:p w:rsidR="007048F2" w:rsidRPr="001E630E" w:rsidRDefault="007048F2" w:rsidP="001E630E">
      <w:pPr>
        <w:spacing w:after="0" w:line="360" w:lineRule="auto"/>
        <w:jc w:val="both"/>
        <w:rPr>
          <w:rFonts w:ascii="Book Antiqua" w:hAnsi="Book Antiqua"/>
          <w:sz w:val="24"/>
          <w:szCs w:val="24"/>
        </w:rPr>
      </w:pPr>
      <w:r w:rsidRPr="001E630E">
        <w:rPr>
          <w:rFonts w:ascii="Book Antiqua" w:hAnsi="Book Antiqua"/>
          <w:sz w:val="24"/>
          <w:szCs w:val="24"/>
        </w:rPr>
        <w:t>While oral iron supplementation is commonly used throughout many clinical setting, treatment with intravenous (IV) iron has historically been reserved for specific settings, such as chronic kidney disease, gynecologic issues, and anemia associated with cancer and its treatments. However, the use of IV iron has begun to gain popularity in the treatment of iron deficiency anemia (IDA) associated with two conditions that are being seen more frequently than in years past: patients who are status post gastric bypass procedure and those with inflammatory bowel disease (IBD). The Roux-en-Y procedure involves connecting a gastric pouch to the jejunum, creating a blind loop consisting of distal stomach, duodenum, and proximal jejunum that connects to the Ro</w:t>
      </w:r>
      <w:r>
        <w:rPr>
          <w:rFonts w:ascii="Book Antiqua" w:hAnsi="Book Antiqua"/>
          <w:sz w:val="24"/>
          <w:szCs w:val="24"/>
        </w:rPr>
        <w:t>ux limb to form a common tract.</w:t>
      </w:r>
      <w:r w:rsidRPr="001E630E">
        <w:rPr>
          <w:rFonts w:ascii="Book Antiqua" w:hAnsi="Book Antiqua"/>
          <w:sz w:val="24"/>
          <w:szCs w:val="24"/>
        </w:rPr>
        <w:t xml:space="preserve"> IDA occurs in 6</w:t>
      </w:r>
      <w:r>
        <w:rPr>
          <w:rFonts w:ascii="Book Antiqua" w:hAnsi="Book Antiqua"/>
          <w:sz w:val="24"/>
          <w:szCs w:val="24"/>
          <w:lang w:eastAsia="zh-CN"/>
        </w:rPr>
        <w:t>%</w:t>
      </w:r>
      <w:r w:rsidRPr="001E630E">
        <w:rPr>
          <w:rFonts w:ascii="Book Antiqua" w:hAnsi="Book Antiqua"/>
          <w:sz w:val="24"/>
          <w:szCs w:val="24"/>
        </w:rPr>
        <w:t xml:space="preserve">-50% of patients who have undergone a gastric bypass, the </w:t>
      </w:r>
      <w:r>
        <w:rPr>
          <w:rFonts w:ascii="Book Antiqua" w:hAnsi="Book Antiqua"/>
          <w:sz w:val="24"/>
          <w:szCs w:val="24"/>
        </w:rPr>
        <w:t xml:space="preserve">etiology being multifactorial. </w:t>
      </w:r>
      <w:r w:rsidRPr="001E630E">
        <w:rPr>
          <w:rFonts w:ascii="Book Antiqua" w:hAnsi="Book Antiqua"/>
          <w:sz w:val="24"/>
          <w:szCs w:val="24"/>
        </w:rPr>
        <w:t>The proximal gastric pouch, the primary site of gastric acid secretion, is bypassed, resulting in a decreased ability to metabolize molecular iron. Once metabolized, most iron is absorbed in the duodenum, which is entirely bypassed. After undergoing bypass procedures, most patients significantly limit their intake of red meat, another factor c</w:t>
      </w:r>
      <w:r>
        <w:rPr>
          <w:rFonts w:ascii="Book Antiqua" w:hAnsi="Book Antiqua"/>
          <w:sz w:val="24"/>
          <w:szCs w:val="24"/>
        </w:rPr>
        <w:t>ontributing to post-bypass IDA.</w:t>
      </w:r>
      <w:r w:rsidRPr="001E630E">
        <w:rPr>
          <w:rFonts w:ascii="Book Antiqua" w:hAnsi="Book Antiqua"/>
          <w:sz w:val="24"/>
          <w:szCs w:val="24"/>
        </w:rPr>
        <w:t xml:space="preserve"> Chronic anemia occurs in approximately 1/3 of patients who suffer from IBD, and almost half of all IBD patients are iron deficient. IBD leads to IDA through multiple mechanisms, including chronic intestinal blood loss, decreased absorption capabilities of the duodenum secondary to inflammation, and an inability of many IBD patients to tolerate the side e</w:t>
      </w:r>
      <w:r>
        <w:rPr>
          <w:rFonts w:ascii="Book Antiqua" w:hAnsi="Book Antiqua"/>
          <w:sz w:val="24"/>
          <w:szCs w:val="24"/>
        </w:rPr>
        <w:t>ffects of oral ferrous sulfate.</w:t>
      </w:r>
      <w:r w:rsidRPr="001E630E">
        <w:rPr>
          <w:rFonts w:ascii="Book Antiqua" w:hAnsi="Book Antiqua"/>
          <w:sz w:val="24"/>
          <w:szCs w:val="24"/>
        </w:rPr>
        <w:t xml:space="preserve"> In this study, we reviewed the charts of all patients who received IV iron at Sylvester Comprehensive Cancer Center/University of </w:t>
      </w:r>
      <w:smartTag w:uri="urn:schemas-microsoft-com:office:smarttags" w:element="chmetcnv">
        <w:smartTagPr>
          <w:attr w:name="UnitName" w:val="g"/>
          <w:attr w:name="SourceValue" w:val="12"/>
          <w:attr w:name="HasSpace" w:val="True"/>
          <w:attr w:name="Negative" w:val="False"/>
          <w:attr w:name="NumberType" w:val="1"/>
          <w:attr w:name="TCSC" w:val="0"/>
        </w:smartTagPr>
        <w:smartTag w:uri="urn:schemas-microsoft-com:office:smarttags" w:element="place">
          <w:smartTag w:uri="urn:schemas-microsoft-com:office:smarttags" w:element="City">
            <w:r w:rsidRPr="001E630E">
              <w:rPr>
                <w:rFonts w:ascii="Book Antiqua" w:hAnsi="Book Antiqua"/>
                <w:sz w:val="24"/>
                <w:szCs w:val="24"/>
              </w:rPr>
              <w:t>Miami</w:t>
            </w:r>
          </w:smartTag>
        </w:smartTag>
      </w:smartTag>
      <w:r w:rsidRPr="001E630E">
        <w:rPr>
          <w:rFonts w:ascii="Book Antiqua" w:hAnsi="Book Antiqua"/>
          <w:sz w:val="24"/>
          <w:szCs w:val="24"/>
        </w:rPr>
        <w:t xml:space="preserve"> Hospital Clinic from January 2007 to May 2012. The most common indications for IV iron were for issues related to cancer and its treatment (21.9%), IBD (20.1</w:t>
      </w:r>
      <w:r>
        <w:rPr>
          <w:rFonts w:ascii="Book Antiqua" w:hAnsi="Book Antiqua"/>
          <w:sz w:val="24"/>
          <w:szCs w:val="24"/>
        </w:rPr>
        <w:t>%), and gastric bypass (15.0%).</w:t>
      </w:r>
      <w:r w:rsidRPr="001E630E">
        <w:rPr>
          <w:rFonts w:ascii="Book Antiqua" w:hAnsi="Book Antiqua"/>
          <w:sz w:val="24"/>
          <w:szCs w:val="24"/>
        </w:rPr>
        <w:t xml:space="preserve"> Of the 262 patients who received IV iron, 230 received iron sucros</w:t>
      </w:r>
      <w:r>
        <w:rPr>
          <w:rFonts w:ascii="Book Antiqua" w:hAnsi="Book Antiqua"/>
          <w:sz w:val="24"/>
          <w:szCs w:val="24"/>
        </w:rPr>
        <w:t>e and 36 received iron dextran.</w:t>
      </w:r>
      <w:r w:rsidRPr="001E630E">
        <w:rPr>
          <w:rFonts w:ascii="Book Antiqua" w:hAnsi="Book Antiqua"/>
          <w:sz w:val="24"/>
          <w:szCs w:val="24"/>
        </w:rPr>
        <w:t xml:space="preserve"> While doses of 100, 200, 300, and 400</w:t>
      </w:r>
      <w:r>
        <w:rPr>
          <w:rFonts w:ascii="Book Antiqua" w:hAnsi="Book Antiqua"/>
          <w:sz w:val="24"/>
          <w:szCs w:val="24"/>
          <w:lang w:eastAsia="zh-CN"/>
        </w:rPr>
        <w:t xml:space="preserve"> </w:t>
      </w:r>
      <w:r w:rsidRPr="001E630E">
        <w:rPr>
          <w:rFonts w:ascii="Book Antiqua" w:hAnsi="Book Antiqua"/>
          <w:sz w:val="24"/>
          <w:szCs w:val="24"/>
        </w:rPr>
        <w:t>mg of iron sucrose were given, 100 and 200</w:t>
      </w:r>
      <w:r>
        <w:rPr>
          <w:rFonts w:ascii="Book Antiqua" w:hAnsi="Book Antiqua"/>
          <w:sz w:val="24"/>
          <w:szCs w:val="24"/>
          <w:lang w:eastAsia="zh-CN"/>
        </w:rPr>
        <w:t xml:space="preserve"> </w:t>
      </w:r>
      <w:r w:rsidRPr="001E630E">
        <w:rPr>
          <w:rFonts w:ascii="Book Antiqua" w:hAnsi="Book Antiqua"/>
          <w:sz w:val="24"/>
          <w:szCs w:val="24"/>
        </w:rPr>
        <w:t xml:space="preserve">mg were by far the most common dosages used, 122 </w:t>
      </w:r>
      <w:r w:rsidRPr="001E630E">
        <w:rPr>
          <w:rFonts w:ascii="Book Antiqua" w:hAnsi="Book Antiqua"/>
          <w:sz w:val="24"/>
          <w:szCs w:val="24"/>
        </w:rPr>
        <w:lastRenderedPageBreak/>
        <w:t>and 120 times, respectively</w:t>
      </w:r>
      <w:r>
        <w:rPr>
          <w:rFonts w:ascii="Book Antiqua" w:hAnsi="Book Antiqua"/>
          <w:sz w:val="24"/>
          <w:szCs w:val="24"/>
        </w:rPr>
        <w:t>.</w:t>
      </w:r>
      <w:r w:rsidRPr="001E630E">
        <w:rPr>
          <w:rFonts w:ascii="Book Antiqua" w:hAnsi="Book Antiqua"/>
          <w:sz w:val="24"/>
          <w:szCs w:val="24"/>
        </w:rPr>
        <w:t xml:space="preserve"> The number of dosages of iron sucrose given ranged from 1 to 46, with a mean </w:t>
      </w:r>
      <w:r>
        <w:rPr>
          <w:rFonts w:ascii="Book Antiqua" w:hAnsi="Book Antiqua"/>
          <w:sz w:val="24"/>
          <w:szCs w:val="24"/>
        </w:rPr>
        <w:t>of 5.5 and a median of 4 doses.</w:t>
      </w:r>
      <w:r w:rsidRPr="001E630E">
        <w:rPr>
          <w:rFonts w:ascii="Book Antiqua" w:hAnsi="Book Antiqua"/>
          <w:sz w:val="24"/>
          <w:szCs w:val="24"/>
        </w:rPr>
        <w:t xml:space="preserve"> The average dose of iron dextran given was 870.5</w:t>
      </w:r>
      <w:r>
        <w:rPr>
          <w:rFonts w:ascii="Book Antiqua" w:hAnsi="Book Antiqua"/>
          <w:sz w:val="24"/>
          <w:szCs w:val="24"/>
          <w:lang w:eastAsia="zh-CN"/>
        </w:rPr>
        <w:t xml:space="preserve"> </w:t>
      </w:r>
      <w:r w:rsidRPr="001E630E">
        <w:rPr>
          <w:rFonts w:ascii="Book Antiqua" w:hAnsi="Book Antiqua"/>
          <w:sz w:val="24"/>
          <w:szCs w:val="24"/>
        </w:rPr>
        <w:t>mg, with 1000</w:t>
      </w:r>
      <w:r>
        <w:rPr>
          <w:rFonts w:ascii="Book Antiqua" w:hAnsi="Book Antiqua"/>
          <w:sz w:val="24"/>
          <w:szCs w:val="24"/>
          <w:lang w:eastAsia="zh-CN"/>
        </w:rPr>
        <w:t xml:space="preserve"> </w:t>
      </w:r>
      <w:r w:rsidRPr="001E630E">
        <w:rPr>
          <w:rFonts w:ascii="Book Antiqua" w:hAnsi="Book Antiqua"/>
          <w:sz w:val="24"/>
          <w:szCs w:val="24"/>
        </w:rPr>
        <w:t>mg bei</w:t>
      </w:r>
      <w:r>
        <w:rPr>
          <w:rFonts w:ascii="Book Antiqua" w:hAnsi="Book Antiqua"/>
          <w:sz w:val="24"/>
          <w:szCs w:val="24"/>
        </w:rPr>
        <w:t>ng the most common dosage used.</w:t>
      </w:r>
      <w:r w:rsidRPr="001E630E">
        <w:rPr>
          <w:rFonts w:ascii="Book Antiqua" w:hAnsi="Book Antiqua"/>
          <w:sz w:val="24"/>
          <w:szCs w:val="24"/>
        </w:rPr>
        <w:t xml:space="preserve"> Most patients (22 of 36) who received iron </w:t>
      </w:r>
      <w:r>
        <w:rPr>
          <w:rFonts w:ascii="Book Antiqua" w:hAnsi="Book Antiqua"/>
          <w:sz w:val="24"/>
          <w:szCs w:val="24"/>
        </w:rPr>
        <w:t>dextran only received one dose.</w:t>
      </w:r>
      <w:r w:rsidRPr="001E630E">
        <w:rPr>
          <w:rFonts w:ascii="Book Antiqua" w:hAnsi="Book Antiqua"/>
          <w:sz w:val="24"/>
          <w:szCs w:val="24"/>
        </w:rPr>
        <w:t xml:space="preserve"> While patients with traditional indications for IV iron, such as gynecologic issues and kidney disease, still were represented in this study, we expect to see a continued increase in physicians using IV iron for emerging gastrointestinal indications, especially considering the increased safety of new low-molecular formulations.</w:t>
      </w:r>
    </w:p>
    <w:p w:rsidR="007048F2" w:rsidRPr="001E630E" w:rsidRDefault="007048F2" w:rsidP="001E630E">
      <w:pPr>
        <w:spacing w:after="0" w:line="360" w:lineRule="auto"/>
        <w:jc w:val="both"/>
        <w:rPr>
          <w:rFonts w:ascii="Book Antiqua" w:hAnsi="Book Antiqua"/>
          <w:sz w:val="24"/>
          <w:szCs w:val="24"/>
        </w:rPr>
      </w:pPr>
    </w:p>
    <w:p w:rsidR="007048F2" w:rsidRDefault="007048F2" w:rsidP="001E630E">
      <w:pPr>
        <w:spacing w:after="0" w:line="360" w:lineRule="auto"/>
        <w:jc w:val="both"/>
        <w:rPr>
          <w:rFonts w:ascii="Book Antiqua" w:hAnsi="Book Antiqua"/>
          <w:sz w:val="24"/>
          <w:lang w:eastAsia="zh-CN"/>
        </w:rPr>
      </w:pPr>
      <w:r>
        <w:rPr>
          <w:rFonts w:ascii="Book Antiqua" w:hAnsi="Book Antiqua"/>
          <w:sz w:val="24"/>
        </w:rPr>
        <w:t>© 2013</w:t>
      </w:r>
      <w:r w:rsidRPr="00D26319">
        <w:rPr>
          <w:rFonts w:ascii="Book Antiqua" w:hAnsi="Book Antiqua"/>
          <w:sz w:val="24"/>
        </w:rPr>
        <w:t xml:space="preserve"> Baishideng. All rights reserved.</w:t>
      </w:r>
    </w:p>
    <w:p w:rsidR="007048F2" w:rsidRPr="001E630E" w:rsidRDefault="007048F2" w:rsidP="001E630E">
      <w:pPr>
        <w:spacing w:after="0" w:line="360" w:lineRule="auto"/>
        <w:jc w:val="both"/>
        <w:rPr>
          <w:rFonts w:ascii="Book Antiqua" w:hAnsi="Book Antiqua"/>
          <w:sz w:val="24"/>
          <w:szCs w:val="24"/>
          <w:lang w:eastAsia="zh-CN"/>
        </w:rPr>
      </w:pPr>
    </w:p>
    <w:p w:rsidR="007048F2" w:rsidRPr="00F41335" w:rsidRDefault="007048F2" w:rsidP="001E630E">
      <w:pPr>
        <w:spacing w:after="0" w:line="360" w:lineRule="auto"/>
        <w:jc w:val="both"/>
        <w:rPr>
          <w:rFonts w:ascii="Book Antiqua" w:hAnsi="Book Antiqua"/>
          <w:sz w:val="24"/>
          <w:szCs w:val="24"/>
        </w:rPr>
      </w:pPr>
      <w:r w:rsidRPr="001A7A03">
        <w:rPr>
          <w:rFonts w:ascii="Book Antiqua" w:hAnsi="Book Antiqua"/>
          <w:b/>
          <w:sz w:val="24"/>
        </w:rPr>
        <w:t>Key words:</w:t>
      </w:r>
      <w:r>
        <w:rPr>
          <w:rFonts w:ascii="Book Antiqua" w:hAnsi="Book Antiqua"/>
          <w:b/>
          <w:sz w:val="24"/>
          <w:lang w:eastAsia="zh-CN"/>
        </w:rPr>
        <w:t xml:space="preserve"> </w:t>
      </w:r>
      <w:r w:rsidRPr="00F41335">
        <w:rPr>
          <w:rFonts w:ascii="Book Antiqua" w:eastAsia="Arial Unicode MS" w:hAnsi="Book Antiqua" w:cs="Arial Unicode MS"/>
          <w:sz w:val="24"/>
          <w:szCs w:val="24"/>
        </w:rPr>
        <w:t>Anemia; Iron deficiency anemia; Intravenous iron; Gastric bypass; Inflammatory bowel disease; Crohn’s disease; Ulcerative colitis; Chemotherapy-associated anemia</w:t>
      </w:r>
    </w:p>
    <w:p w:rsidR="007048F2" w:rsidRPr="001E630E" w:rsidRDefault="007048F2" w:rsidP="001E630E">
      <w:pPr>
        <w:spacing w:after="0" w:line="360" w:lineRule="auto"/>
        <w:jc w:val="both"/>
        <w:rPr>
          <w:rFonts w:ascii="Book Antiqua" w:hAnsi="Book Antiqua"/>
          <w:sz w:val="24"/>
          <w:szCs w:val="24"/>
        </w:rPr>
      </w:pPr>
    </w:p>
    <w:p w:rsidR="007048F2" w:rsidRPr="00F41335" w:rsidRDefault="007048F2" w:rsidP="001E630E">
      <w:pPr>
        <w:spacing w:after="0" w:line="360" w:lineRule="auto"/>
        <w:jc w:val="both"/>
        <w:rPr>
          <w:rFonts w:ascii="Book Antiqua" w:hAnsi="Book Antiqua"/>
          <w:sz w:val="24"/>
          <w:szCs w:val="24"/>
        </w:rPr>
      </w:pPr>
      <w:r w:rsidRPr="001E630E">
        <w:rPr>
          <w:rFonts w:ascii="Book Antiqua" w:eastAsia="Arial Unicode MS" w:hAnsi="Book Antiqua" w:cs="Arial Unicode MS"/>
          <w:b/>
          <w:sz w:val="24"/>
          <w:szCs w:val="24"/>
        </w:rPr>
        <w:t xml:space="preserve">Core tip: </w:t>
      </w:r>
      <w:r w:rsidRPr="00F41335">
        <w:rPr>
          <w:rFonts w:ascii="Book Antiqua" w:eastAsia="Arial Unicode MS" w:hAnsi="Book Antiqua" w:cs="Arial Unicode MS"/>
          <w:sz w:val="24"/>
          <w:szCs w:val="24"/>
        </w:rPr>
        <w:t>Decreased absorption of oral iron leading to iron deficiency is a significant cause of anemia in several patient groups, including those status post gastric bypass surgery and those with inflammatory bowel disease. In these patients, oral iron supplementation is unlikely to correct the deficiency. Intravenous iron is a safe, effective treatment strategy for overcoming the iron deficit seen in these patients, resulting in better outcomes and improved quality of life.</w:t>
      </w:r>
    </w:p>
    <w:p w:rsidR="007048F2" w:rsidRPr="001E630E" w:rsidRDefault="007048F2" w:rsidP="001E630E">
      <w:pPr>
        <w:spacing w:after="0" w:line="360" w:lineRule="auto"/>
        <w:jc w:val="both"/>
        <w:rPr>
          <w:rFonts w:ascii="Book Antiqua" w:hAnsi="Book Antiqua"/>
          <w:sz w:val="24"/>
          <w:szCs w:val="24"/>
        </w:rPr>
      </w:pPr>
    </w:p>
    <w:p w:rsidR="007048F2" w:rsidRPr="00EA5653" w:rsidRDefault="007048F2" w:rsidP="00EA5653">
      <w:pPr>
        <w:spacing w:after="0" w:line="360" w:lineRule="auto"/>
        <w:jc w:val="both"/>
        <w:rPr>
          <w:rFonts w:ascii="Book Antiqua" w:hAnsi="Book Antiqua"/>
          <w:sz w:val="24"/>
          <w:szCs w:val="24"/>
          <w:lang w:eastAsia="zh-CN"/>
        </w:rPr>
      </w:pPr>
      <w:r w:rsidRPr="001E630E">
        <w:rPr>
          <w:rFonts w:ascii="Book Antiqua" w:hAnsi="Book Antiqua"/>
          <w:sz w:val="24"/>
          <w:szCs w:val="24"/>
        </w:rPr>
        <w:t>Warsch</w:t>
      </w:r>
      <w:r>
        <w:rPr>
          <w:rFonts w:ascii="Book Antiqua" w:hAnsi="Book Antiqua"/>
          <w:sz w:val="24"/>
          <w:szCs w:val="24"/>
          <w:lang w:eastAsia="zh-CN"/>
        </w:rPr>
        <w:t xml:space="preserve"> S</w:t>
      </w:r>
      <w:bookmarkStart w:id="0" w:name="_GoBack"/>
      <w:bookmarkEnd w:id="0"/>
      <w:r w:rsidRPr="001E630E">
        <w:rPr>
          <w:rFonts w:ascii="Book Antiqua" w:hAnsi="Book Antiqua"/>
          <w:sz w:val="24"/>
          <w:szCs w:val="24"/>
        </w:rPr>
        <w:t>, Byrnes</w:t>
      </w:r>
      <w:r>
        <w:rPr>
          <w:rFonts w:ascii="Book Antiqua" w:hAnsi="Book Antiqua"/>
          <w:sz w:val="24"/>
          <w:szCs w:val="24"/>
          <w:lang w:eastAsia="zh-CN"/>
        </w:rPr>
        <w:t xml:space="preserve"> J. </w:t>
      </w:r>
      <w:r w:rsidRPr="00EA5653">
        <w:rPr>
          <w:rFonts w:ascii="Book Antiqua" w:hAnsi="Book Antiqua"/>
          <w:sz w:val="24"/>
          <w:szCs w:val="24"/>
        </w:rPr>
        <w:t>Emerging causes of iron deficiency anemia refractory to oral iron supplementation</w:t>
      </w:r>
    </w:p>
    <w:p w:rsidR="007048F2" w:rsidRPr="001E630E" w:rsidRDefault="007048F2" w:rsidP="00EA5653">
      <w:pPr>
        <w:spacing w:after="0" w:line="360" w:lineRule="auto"/>
        <w:jc w:val="both"/>
        <w:rPr>
          <w:rFonts w:ascii="Book Antiqua" w:hAnsi="Book Antiqua"/>
          <w:sz w:val="24"/>
          <w:szCs w:val="24"/>
          <w:lang w:eastAsia="zh-CN"/>
        </w:rPr>
      </w:pPr>
    </w:p>
    <w:p w:rsidR="007048F2" w:rsidRPr="008150D2" w:rsidRDefault="007048F2" w:rsidP="00EA5653">
      <w:pPr>
        <w:spacing w:line="360" w:lineRule="auto"/>
        <w:rPr>
          <w:rFonts w:ascii="Book Antiqua" w:hAnsi="Book Antiqua"/>
          <w:sz w:val="24"/>
        </w:rPr>
      </w:pPr>
      <w:r w:rsidRPr="008150D2">
        <w:rPr>
          <w:rFonts w:ascii="Book Antiqua" w:hAnsi="Book Antiqua"/>
          <w:b/>
          <w:sz w:val="24"/>
        </w:rPr>
        <w:t>Available from:</w:t>
      </w:r>
      <w:r w:rsidRPr="008150D2">
        <w:rPr>
          <w:rFonts w:ascii="Book Antiqua" w:hAnsi="Book Antiqua"/>
          <w:sz w:val="24"/>
        </w:rPr>
        <w:t xml:space="preserve">  </w:t>
      </w:r>
    </w:p>
    <w:p w:rsidR="007048F2" w:rsidRPr="001E630E" w:rsidRDefault="007048F2" w:rsidP="00EA5653">
      <w:pPr>
        <w:spacing w:after="0" w:line="360" w:lineRule="auto"/>
        <w:jc w:val="both"/>
        <w:rPr>
          <w:rFonts w:ascii="Book Antiqua" w:hAnsi="Book Antiqua"/>
          <w:sz w:val="24"/>
          <w:szCs w:val="24"/>
        </w:rPr>
      </w:pPr>
      <w:r w:rsidRPr="008150D2">
        <w:rPr>
          <w:rFonts w:ascii="Book Antiqua" w:hAnsi="Book Antiqua"/>
          <w:b/>
          <w:sz w:val="24"/>
        </w:rPr>
        <w:t>DOI:</w:t>
      </w:r>
    </w:p>
    <w:p w:rsidR="007048F2" w:rsidRPr="001E630E" w:rsidRDefault="007048F2" w:rsidP="001E630E">
      <w:pPr>
        <w:spacing w:after="0" w:line="360" w:lineRule="auto"/>
        <w:jc w:val="both"/>
        <w:rPr>
          <w:rFonts w:ascii="Book Antiqua" w:hAnsi="Book Antiqua"/>
          <w:sz w:val="24"/>
          <w:szCs w:val="24"/>
        </w:rPr>
      </w:pPr>
    </w:p>
    <w:p w:rsidR="007048F2" w:rsidRDefault="007048F2" w:rsidP="001E630E">
      <w:pPr>
        <w:spacing w:after="0" w:line="360" w:lineRule="auto"/>
        <w:jc w:val="both"/>
        <w:rPr>
          <w:rFonts w:ascii="Book Antiqua" w:hAnsi="Book Antiqua"/>
          <w:b/>
          <w:sz w:val="24"/>
          <w:lang w:eastAsia="zh-CN"/>
        </w:rPr>
      </w:pPr>
    </w:p>
    <w:p w:rsidR="007048F2" w:rsidRDefault="007048F2" w:rsidP="001E630E">
      <w:pPr>
        <w:spacing w:after="0" w:line="360" w:lineRule="auto"/>
        <w:jc w:val="both"/>
        <w:rPr>
          <w:rFonts w:ascii="Book Antiqua" w:hAnsi="Book Antiqua"/>
          <w:b/>
          <w:sz w:val="24"/>
          <w:lang w:eastAsia="zh-CN"/>
        </w:rPr>
      </w:pPr>
    </w:p>
    <w:p w:rsidR="007048F2" w:rsidRDefault="007048F2" w:rsidP="001E630E">
      <w:pPr>
        <w:spacing w:after="0" w:line="360" w:lineRule="auto"/>
        <w:jc w:val="both"/>
        <w:rPr>
          <w:rFonts w:ascii="Book Antiqua" w:hAnsi="Book Antiqua"/>
          <w:sz w:val="24"/>
          <w:szCs w:val="24"/>
          <w:lang w:eastAsia="zh-CN"/>
        </w:rPr>
      </w:pPr>
      <w:r w:rsidRPr="001A7A03">
        <w:rPr>
          <w:rFonts w:ascii="Book Antiqua" w:hAnsi="Book Antiqua"/>
          <w:b/>
          <w:sz w:val="24"/>
        </w:rPr>
        <w:t>INTRODUCTION</w:t>
      </w:r>
      <w:r w:rsidRPr="001E630E">
        <w:rPr>
          <w:rFonts w:ascii="Book Antiqua" w:hAnsi="Book Antiqua"/>
          <w:sz w:val="24"/>
          <w:szCs w:val="24"/>
        </w:rPr>
        <w:t xml:space="preserve"> </w:t>
      </w:r>
    </w:p>
    <w:p w:rsidR="007048F2" w:rsidRPr="001E630E" w:rsidRDefault="007048F2" w:rsidP="001E630E">
      <w:pPr>
        <w:spacing w:after="0" w:line="360" w:lineRule="auto"/>
        <w:jc w:val="both"/>
        <w:rPr>
          <w:rFonts w:ascii="Book Antiqua" w:hAnsi="Book Antiqua"/>
          <w:sz w:val="24"/>
          <w:szCs w:val="24"/>
        </w:rPr>
      </w:pPr>
      <w:r w:rsidRPr="001E630E">
        <w:rPr>
          <w:rFonts w:ascii="Book Antiqua" w:hAnsi="Book Antiqua"/>
          <w:sz w:val="24"/>
          <w:szCs w:val="24"/>
        </w:rPr>
        <w:t>Intravenous iron has been available for medical use for over 60 years. Traditional indications for its use include medical conditions such as inflammatory bowel disease (IBD), chronic kidney disease (CKD), chronic inflammatory arthritis, congestive heart failure, pregnancy and postpartum state, and cancer, as well as orthopedic, cardiac, colorectal, and gynecologic procedures</w:t>
      </w:r>
      <w:r w:rsidRPr="001E630E">
        <w:rPr>
          <w:rFonts w:ascii="Book Antiqua" w:hAnsi="Book Antiqua"/>
          <w:sz w:val="24"/>
          <w:szCs w:val="24"/>
          <w:vertAlign w:val="superscript"/>
        </w:rPr>
        <w:t>[1]</w:t>
      </w:r>
      <w:r w:rsidRPr="001E630E">
        <w:rPr>
          <w:rFonts w:ascii="Book Antiqua" w:hAnsi="Book Antiqua"/>
          <w:sz w:val="24"/>
          <w:szCs w:val="24"/>
        </w:rPr>
        <w:t xml:space="preserve">. The development of recombinant human erythropoietin (EPO) in the late </w:t>
      </w:r>
      <w:smartTag w:uri="urn:schemas-microsoft-com:office:smarttags" w:element="chmetcnv">
        <w:smartTagPr>
          <w:attr w:name="UnitName" w:val="g"/>
          <w:attr w:name="SourceValue" w:val="12"/>
          <w:attr w:name="HasSpace" w:val="True"/>
          <w:attr w:name="Negative" w:val="False"/>
          <w:attr w:name="NumberType" w:val="1"/>
          <w:attr w:name="TCSC" w:val="0"/>
        </w:smartTagPr>
        <w:r w:rsidRPr="001E630E">
          <w:rPr>
            <w:rFonts w:ascii="Book Antiqua" w:hAnsi="Book Antiqua"/>
            <w:sz w:val="24"/>
            <w:szCs w:val="24"/>
          </w:rPr>
          <w:t>1980’</w:t>
        </w:r>
      </w:smartTag>
      <w:r w:rsidRPr="001E630E">
        <w:rPr>
          <w:rFonts w:ascii="Book Antiqua" w:hAnsi="Book Antiqua"/>
          <w:sz w:val="24"/>
          <w:szCs w:val="24"/>
        </w:rPr>
        <w:t>s led to a renewed interest in its use as combination therapy in the setting of such conditions as CKD and malignancies.  In a randomized study of 132 hemodialysis patients, the use of intravenous (IV) iron as an adjunct to EPO led to a greater increase in hemoglobin (Hgb) levels, the need for fewer doses of EPO, and less adverse effects associated with EPO use</w:t>
      </w:r>
      <w:r w:rsidRPr="001E630E">
        <w:rPr>
          <w:rFonts w:ascii="Book Antiqua" w:hAnsi="Book Antiqua"/>
          <w:sz w:val="24"/>
          <w:szCs w:val="24"/>
          <w:vertAlign w:val="superscript"/>
        </w:rPr>
        <w:t>[2]</w:t>
      </w:r>
      <w:r w:rsidRPr="001E630E">
        <w:rPr>
          <w:rFonts w:ascii="Book Antiqua" w:hAnsi="Book Antiqua"/>
          <w:sz w:val="24"/>
          <w:szCs w:val="24"/>
        </w:rPr>
        <w:t xml:space="preserve">. </w:t>
      </w:r>
    </w:p>
    <w:p w:rsidR="007048F2" w:rsidRPr="001E630E" w:rsidRDefault="007048F2" w:rsidP="00E12A1D">
      <w:pPr>
        <w:spacing w:after="0" w:line="360" w:lineRule="auto"/>
        <w:ind w:firstLineChars="100" w:firstLine="240"/>
        <w:jc w:val="both"/>
        <w:rPr>
          <w:rFonts w:ascii="Book Antiqua" w:hAnsi="Book Antiqua"/>
          <w:sz w:val="24"/>
          <w:szCs w:val="24"/>
        </w:rPr>
      </w:pPr>
      <w:r w:rsidRPr="001E630E">
        <w:rPr>
          <w:rFonts w:ascii="Book Antiqua" w:hAnsi="Book Antiqua"/>
          <w:sz w:val="24"/>
          <w:szCs w:val="24"/>
        </w:rPr>
        <w:t>Iron dextran can lead to both l</w:t>
      </w:r>
      <w:r>
        <w:rPr>
          <w:rFonts w:ascii="Book Antiqua" w:hAnsi="Book Antiqua"/>
          <w:sz w:val="24"/>
          <w:szCs w:val="24"/>
        </w:rPr>
        <w:t>ocal and systemic side effects.</w:t>
      </w:r>
      <w:r w:rsidRPr="001E630E">
        <w:rPr>
          <w:rFonts w:ascii="Book Antiqua" w:hAnsi="Book Antiqua"/>
          <w:sz w:val="24"/>
          <w:szCs w:val="24"/>
        </w:rPr>
        <w:t xml:space="preserve"> The most commonly reported local reactions include pruritus, pain, phlebitis, and muscle necrosis</w:t>
      </w:r>
      <w:r w:rsidRPr="001E630E">
        <w:rPr>
          <w:rFonts w:ascii="Book Antiqua" w:hAnsi="Book Antiqua"/>
          <w:sz w:val="24"/>
          <w:szCs w:val="24"/>
          <w:vertAlign w:val="superscript"/>
        </w:rPr>
        <w:t>[3]</w:t>
      </w:r>
      <w:r w:rsidRPr="001E630E">
        <w:rPr>
          <w:rFonts w:ascii="Book Antiqua" w:hAnsi="Book Antiqua"/>
          <w:sz w:val="24"/>
          <w:szCs w:val="24"/>
        </w:rPr>
        <w:t>. A retrospective study of patients who received IV iron for CKD compared the safety of the dextran to the sucrose preparation</w:t>
      </w:r>
      <w:r w:rsidRPr="001E630E">
        <w:rPr>
          <w:rFonts w:ascii="Book Antiqua" w:hAnsi="Book Antiqua"/>
          <w:sz w:val="24"/>
          <w:szCs w:val="24"/>
          <w:vertAlign w:val="superscript"/>
        </w:rPr>
        <w:t>[4]</w:t>
      </w:r>
      <w:r w:rsidRPr="001E630E">
        <w:rPr>
          <w:rFonts w:ascii="Book Antiqua" w:hAnsi="Book Antiqua"/>
          <w:sz w:val="24"/>
          <w:szCs w:val="24"/>
        </w:rPr>
        <w:t>. A total of 979 doses of dextran and 504 of sucrose were given, with 3 minor adverse events (AEs) occurring in the dextran gr</w:t>
      </w:r>
      <w:r>
        <w:rPr>
          <w:rFonts w:ascii="Book Antiqua" w:hAnsi="Book Antiqua"/>
          <w:sz w:val="24"/>
          <w:szCs w:val="24"/>
        </w:rPr>
        <w:t xml:space="preserve">oup and </w:t>
      </w:r>
      <w:smartTag w:uri="urn:schemas-microsoft-com:office:smarttags" w:element="chmetcnv">
        <w:smartTagPr>
          <w:attr w:name="UnitName" w:val="g"/>
          <w:attr w:name="SourceValue" w:val="12"/>
          <w:attr w:name="HasSpace" w:val="True"/>
          <w:attr w:name="Negative" w:val="False"/>
          <w:attr w:name="NumberType" w:val="1"/>
          <w:attr w:name="TCSC" w:val="0"/>
        </w:smartTagPr>
        <w:r>
          <w:rPr>
            <w:rFonts w:ascii="Book Antiqua" w:hAnsi="Book Antiqua"/>
            <w:sz w:val="24"/>
            <w:szCs w:val="24"/>
          </w:rPr>
          <w:t>1 in</w:t>
        </w:r>
      </w:smartTag>
      <w:r>
        <w:rPr>
          <w:rFonts w:ascii="Book Antiqua" w:hAnsi="Book Antiqua"/>
          <w:sz w:val="24"/>
          <w:szCs w:val="24"/>
        </w:rPr>
        <w:t xml:space="preserve"> the sucrose group.</w:t>
      </w:r>
      <w:r w:rsidRPr="001E630E">
        <w:rPr>
          <w:rFonts w:ascii="Book Antiqua" w:hAnsi="Book Antiqua"/>
          <w:sz w:val="24"/>
          <w:szCs w:val="24"/>
        </w:rPr>
        <w:t xml:space="preserve"> No serious AEs or anaphylactic reactions</w:t>
      </w:r>
      <w:r>
        <w:rPr>
          <w:rFonts w:ascii="Book Antiqua" w:hAnsi="Book Antiqua"/>
          <w:sz w:val="24"/>
          <w:szCs w:val="24"/>
        </w:rPr>
        <w:t xml:space="preserve"> were reported in either group.</w:t>
      </w:r>
      <w:r w:rsidRPr="001E630E">
        <w:rPr>
          <w:rFonts w:ascii="Book Antiqua" w:hAnsi="Book Antiqua"/>
          <w:sz w:val="24"/>
          <w:szCs w:val="24"/>
        </w:rPr>
        <w:t xml:space="preserve"> Another retrospective study examined 619 patients who had received IV iron over a 2 year period</w:t>
      </w:r>
      <w:r w:rsidRPr="001E630E">
        <w:rPr>
          <w:rFonts w:ascii="Book Antiqua" w:hAnsi="Book Antiqua"/>
          <w:sz w:val="24"/>
          <w:szCs w:val="24"/>
          <w:vertAlign w:val="superscript"/>
        </w:rPr>
        <w:t>[5]</w:t>
      </w:r>
      <w:r w:rsidRPr="001E630E">
        <w:rPr>
          <w:rFonts w:ascii="Book Antiqua" w:hAnsi="Book Antiqua"/>
          <w:sz w:val="24"/>
          <w:szCs w:val="24"/>
        </w:rPr>
        <w:t>. Overall, there were 32 reported AEs, but no serious AEs or anaphylactic reactions</w:t>
      </w:r>
      <w:r>
        <w:rPr>
          <w:rFonts w:ascii="Book Antiqua" w:hAnsi="Book Antiqua"/>
          <w:sz w:val="24"/>
          <w:szCs w:val="24"/>
        </w:rPr>
        <w:t>.</w:t>
      </w:r>
      <w:r w:rsidRPr="001E630E">
        <w:rPr>
          <w:rFonts w:ascii="Book Antiqua" w:hAnsi="Book Antiqua"/>
          <w:sz w:val="24"/>
          <w:szCs w:val="24"/>
        </w:rPr>
        <w:t xml:space="preserve"> Larger retrospective studies have shown the rate of serious AEs with iron dextran to range from 0.0002% to 0.032%, with rates of serious AEs due to iron sucrose much lower</w:t>
      </w:r>
      <w:r w:rsidRPr="001E630E">
        <w:rPr>
          <w:rFonts w:ascii="Book Antiqua" w:hAnsi="Book Antiqua"/>
          <w:sz w:val="24"/>
          <w:szCs w:val="24"/>
          <w:vertAlign w:val="superscript"/>
        </w:rPr>
        <w:t>[6]</w:t>
      </w:r>
      <w:r w:rsidRPr="001E630E">
        <w:rPr>
          <w:rFonts w:ascii="Book Antiqua" w:hAnsi="Book Antiqua"/>
          <w:sz w:val="24"/>
          <w:szCs w:val="24"/>
        </w:rPr>
        <w:t>. The primary reason for the increased safety of iron sucrose is likely due to the fact that iron sucrose induces less sensitivity reactions that iron dextran does.</w:t>
      </w:r>
      <w:r>
        <w:rPr>
          <w:rFonts w:ascii="Book Antiqua" w:hAnsi="Book Antiqua"/>
          <w:sz w:val="24"/>
          <w:szCs w:val="24"/>
          <w:lang w:eastAsia="zh-CN"/>
        </w:rPr>
        <w:t xml:space="preserve"> </w:t>
      </w:r>
      <w:r w:rsidRPr="001E630E">
        <w:rPr>
          <w:rFonts w:ascii="Book Antiqua" w:hAnsi="Book Antiqua"/>
          <w:sz w:val="24"/>
          <w:szCs w:val="24"/>
        </w:rPr>
        <w:t>A large safety review showed that sucrose induced 3.3 allergy episodes per million doses, while dextran led to 8.7 allergy events per million doses</w:t>
      </w:r>
      <w:r w:rsidRPr="001E630E">
        <w:rPr>
          <w:rFonts w:ascii="Book Antiqua" w:hAnsi="Book Antiqua"/>
          <w:sz w:val="24"/>
          <w:szCs w:val="24"/>
          <w:vertAlign w:val="superscript"/>
        </w:rPr>
        <w:t>[7]</w:t>
      </w:r>
      <w:r w:rsidRPr="001E630E">
        <w:rPr>
          <w:rFonts w:ascii="Book Antiqua" w:hAnsi="Book Antiqua"/>
          <w:sz w:val="24"/>
          <w:szCs w:val="24"/>
        </w:rPr>
        <w:t xml:space="preserve">. </w:t>
      </w:r>
    </w:p>
    <w:p w:rsidR="007048F2" w:rsidRPr="001E630E" w:rsidRDefault="007048F2" w:rsidP="001078D3">
      <w:pPr>
        <w:spacing w:after="0" w:line="360" w:lineRule="auto"/>
        <w:ind w:firstLineChars="100" w:firstLine="240"/>
        <w:jc w:val="both"/>
        <w:rPr>
          <w:rFonts w:ascii="Book Antiqua" w:hAnsi="Book Antiqua"/>
          <w:sz w:val="24"/>
          <w:szCs w:val="24"/>
        </w:rPr>
      </w:pPr>
      <w:r w:rsidRPr="001E630E">
        <w:rPr>
          <w:rFonts w:ascii="Book Antiqua" w:hAnsi="Book Antiqua"/>
          <w:sz w:val="24"/>
          <w:szCs w:val="24"/>
        </w:rPr>
        <w:t xml:space="preserve">The Roux-en-Y procedure, the most commonly used method of gastric bypass surgeries, involves connecting a gastric pouch to the jejunum, creating a blind loop </w:t>
      </w:r>
      <w:r w:rsidRPr="001E630E">
        <w:rPr>
          <w:rFonts w:ascii="Book Antiqua" w:hAnsi="Book Antiqua"/>
          <w:sz w:val="24"/>
          <w:szCs w:val="24"/>
        </w:rPr>
        <w:lastRenderedPageBreak/>
        <w:t>consisting of distal stomach, duodenum, and proximal jejunum that is connected to the Ro</w:t>
      </w:r>
      <w:r>
        <w:rPr>
          <w:rFonts w:ascii="Book Antiqua" w:hAnsi="Book Antiqua"/>
          <w:sz w:val="24"/>
          <w:szCs w:val="24"/>
        </w:rPr>
        <w:t>ux limb to form a common tract.</w:t>
      </w:r>
      <w:r w:rsidRPr="001E630E">
        <w:rPr>
          <w:rFonts w:ascii="Book Antiqua" w:hAnsi="Book Antiqua"/>
          <w:sz w:val="24"/>
          <w:szCs w:val="24"/>
        </w:rPr>
        <w:t xml:space="preserve"> A retrospective study of 150 patients who received gastric bypass found that 36.8% developed anemia</w:t>
      </w:r>
      <w:r w:rsidRPr="001E630E">
        <w:rPr>
          <w:rFonts w:ascii="Book Antiqua" w:hAnsi="Book Antiqua"/>
          <w:sz w:val="24"/>
          <w:szCs w:val="24"/>
          <w:vertAlign w:val="superscript"/>
        </w:rPr>
        <w:t>[8]</w:t>
      </w:r>
      <w:r w:rsidRPr="001E630E">
        <w:rPr>
          <w:rFonts w:ascii="Book Antiqua" w:hAnsi="Book Antiqua"/>
          <w:sz w:val="24"/>
          <w:szCs w:val="24"/>
        </w:rPr>
        <w:t>. The mean time from operation to the development of anemia was 20 mo</w:t>
      </w:r>
      <w:r>
        <w:rPr>
          <w:rFonts w:ascii="Book Antiqua" w:hAnsi="Book Antiqua"/>
          <w:sz w:val="24"/>
          <w:szCs w:val="24"/>
        </w:rPr>
        <w:t>.</w:t>
      </w:r>
      <w:r w:rsidRPr="001E630E">
        <w:rPr>
          <w:rFonts w:ascii="Book Antiqua" w:hAnsi="Book Antiqua"/>
          <w:sz w:val="24"/>
          <w:szCs w:val="24"/>
        </w:rPr>
        <w:t xml:space="preserve"> Almost 50% had a low serum iron concentration.  A more recent prospective study followed 348 patients who had undergone gastric bypass for a 10 year period and found that 54% developed anemia, while 47% were iron deficient, with iron deficiency being much more common in women than in men</w:t>
      </w:r>
      <w:r w:rsidRPr="001E630E">
        <w:rPr>
          <w:rFonts w:ascii="Book Antiqua" w:hAnsi="Book Antiqua"/>
          <w:sz w:val="24"/>
          <w:szCs w:val="24"/>
          <w:vertAlign w:val="superscript"/>
        </w:rPr>
        <w:t>[9]</w:t>
      </w:r>
      <w:r w:rsidRPr="001E630E">
        <w:rPr>
          <w:rFonts w:ascii="Book Antiqua" w:hAnsi="Book Antiqua"/>
          <w:sz w:val="24"/>
          <w:szCs w:val="24"/>
        </w:rPr>
        <w:t xml:space="preserve">. </w:t>
      </w:r>
    </w:p>
    <w:p w:rsidR="007048F2" w:rsidRPr="001E630E" w:rsidRDefault="007048F2" w:rsidP="001078D3">
      <w:pPr>
        <w:spacing w:after="0" w:line="360" w:lineRule="auto"/>
        <w:ind w:firstLineChars="100" w:firstLine="240"/>
        <w:jc w:val="both"/>
        <w:rPr>
          <w:rFonts w:ascii="Book Antiqua" w:hAnsi="Book Antiqua"/>
          <w:sz w:val="24"/>
          <w:szCs w:val="24"/>
        </w:rPr>
      </w:pPr>
      <w:r w:rsidRPr="001E630E">
        <w:rPr>
          <w:rFonts w:ascii="Book Antiqua" w:hAnsi="Book Antiqua"/>
          <w:sz w:val="24"/>
          <w:szCs w:val="24"/>
        </w:rPr>
        <w:t xml:space="preserve">While the etiology of </w:t>
      </w:r>
      <w:r>
        <w:rPr>
          <w:rFonts w:ascii="Book Antiqua" w:hAnsi="Book Antiqua"/>
          <w:sz w:val="24"/>
          <w:szCs w:val="24"/>
        </w:rPr>
        <w:t>iron deficiency anemia (IDA)</w:t>
      </w:r>
      <w:r w:rsidRPr="001E630E">
        <w:rPr>
          <w:rFonts w:ascii="Book Antiqua" w:hAnsi="Book Antiqua"/>
          <w:sz w:val="24"/>
          <w:szCs w:val="24"/>
        </w:rPr>
        <w:t xml:space="preserve"> in this population</w:t>
      </w:r>
      <w:r>
        <w:rPr>
          <w:rFonts w:ascii="Book Antiqua" w:hAnsi="Book Antiqua"/>
          <w:sz w:val="24"/>
          <w:szCs w:val="24"/>
          <w:lang w:eastAsia="zh-CN"/>
        </w:rPr>
        <w:t xml:space="preserve"> </w:t>
      </w:r>
      <w:r w:rsidRPr="001E630E">
        <w:rPr>
          <w:rFonts w:ascii="Book Antiqua" w:hAnsi="Book Antiqua"/>
          <w:sz w:val="24"/>
          <w:szCs w:val="24"/>
        </w:rPr>
        <w:t>is often multifactorial, there are three causes that are cited most commonly: avoidance of red meat, diminished gastric acid secretion, and exclusion of the duodenum</w:t>
      </w:r>
      <w:r w:rsidRPr="001E630E">
        <w:rPr>
          <w:rFonts w:ascii="Book Antiqua" w:hAnsi="Book Antiqua"/>
          <w:sz w:val="24"/>
          <w:szCs w:val="24"/>
          <w:vertAlign w:val="superscript"/>
        </w:rPr>
        <w:t>[10]</w:t>
      </w:r>
      <w:r w:rsidRPr="001E630E">
        <w:rPr>
          <w:rFonts w:ascii="Book Antiqua" w:hAnsi="Book Antiqua"/>
          <w:sz w:val="24"/>
          <w:szCs w:val="24"/>
        </w:rPr>
        <w:t xml:space="preserve">. Red meat is the primary source of iron in </w:t>
      </w:r>
      <w:smartTag w:uri="urn:schemas-microsoft-com:office:smarttags" w:element="chmetcnv">
        <w:smartTagPr>
          <w:attr w:name="UnitName" w:val="g"/>
          <w:attr w:name="SourceValue" w:val="12"/>
          <w:attr w:name="HasSpace" w:val="True"/>
          <w:attr w:name="Negative" w:val="False"/>
          <w:attr w:name="NumberType" w:val="1"/>
          <w:attr w:name="TCSC" w:val="0"/>
        </w:smartTagPr>
        <w:r w:rsidRPr="001E630E">
          <w:rPr>
            <w:rFonts w:ascii="Book Antiqua" w:hAnsi="Book Antiqua"/>
            <w:sz w:val="24"/>
            <w:szCs w:val="24"/>
          </w:rPr>
          <w:t>North America</w:t>
        </w:r>
      </w:smartTag>
      <w:r w:rsidRPr="001E630E">
        <w:rPr>
          <w:rFonts w:ascii="Book Antiqua" w:hAnsi="Book Antiqua"/>
          <w:sz w:val="24"/>
          <w:szCs w:val="24"/>
        </w:rPr>
        <w:t>, with heme accounting for two-thirds of total body iron, while molecular iron accounts for the other third</w:t>
      </w:r>
      <w:r w:rsidRPr="001E630E">
        <w:rPr>
          <w:rFonts w:ascii="Book Antiqua" w:hAnsi="Book Antiqua"/>
          <w:sz w:val="24"/>
          <w:szCs w:val="24"/>
          <w:vertAlign w:val="superscript"/>
        </w:rPr>
        <w:t>[11]</w:t>
      </w:r>
      <w:r w:rsidRPr="001E630E">
        <w:rPr>
          <w:rFonts w:ascii="Book Antiqua" w:hAnsi="Book Antiqua"/>
          <w:sz w:val="24"/>
          <w:szCs w:val="24"/>
        </w:rPr>
        <w:t>. Studies, as well as common experience, have shown that after patients undergo gastric bypass they are less able to to</w:t>
      </w:r>
      <w:r>
        <w:rPr>
          <w:rFonts w:ascii="Book Antiqua" w:hAnsi="Book Antiqua"/>
          <w:sz w:val="24"/>
          <w:szCs w:val="24"/>
        </w:rPr>
        <w:t xml:space="preserve">lerate the intake of red meat. </w:t>
      </w:r>
      <w:r w:rsidRPr="001E630E">
        <w:rPr>
          <w:rFonts w:ascii="Book Antiqua" w:hAnsi="Book Antiqua"/>
          <w:sz w:val="24"/>
          <w:szCs w:val="24"/>
        </w:rPr>
        <w:t>One study of 69 patients found that 39% experienced emesis as a result of eating high fiber meats</w:t>
      </w:r>
      <w:r w:rsidRPr="001E630E">
        <w:rPr>
          <w:rFonts w:ascii="Book Antiqua" w:hAnsi="Book Antiqua"/>
          <w:sz w:val="24"/>
          <w:szCs w:val="24"/>
          <w:vertAlign w:val="superscript"/>
        </w:rPr>
        <w:t>[12]</w:t>
      </w:r>
      <w:r w:rsidRPr="001E630E">
        <w:rPr>
          <w:rFonts w:ascii="Book Antiqua" w:hAnsi="Book Antiqua"/>
          <w:sz w:val="24"/>
          <w:szCs w:val="24"/>
        </w:rPr>
        <w:t>. Molecular iron must be solubilized in an acidic environment before it can be absorbed</w:t>
      </w:r>
      <w:r w:rsidRPr="001E630E">
        <w:rPr>
          <w:rFonts w:ascii="Book Antiqua" w:hAnsi="Book Antiqua"/>
          <w:sz w:val="24"/>
          <w:szCs w:val="24"/>
          <w:vertAlign w:val="superscript"/>
        </w:rPr>
        <w:t>[11]</w:t>
      </w:r>
      <w:r w:rsidRPr="001E630E">
        <w:rPr>
          <w:rFonts w:ascii="Book Antiqua" w:hAnsi="Book Antiqua"/>
          <w:sz w:val="24"/>
          <w:szCs w:val="24"/>
        </w:rPr>
        <w:t>. In bypass procedures, the proximal gastric pouch, the primary site of gastric acid secre</w:t>
      </w:r>
      <w:r>
        <w:rPr>
          <w:rFonts w:ascii="Book Antiqua" w:hAnsi="Book Antiqua"/>
          <w:sz w:val="24"/>
          <w:szCs w:val="24"/>
        </w:rPr>
        <w:t>tion, is bypassed.</w:t>
      </w:r>
      <w:r w:rsidRPr="001E630E">
        <w:rPr>
          <w:rFonts w:ascii="Book Antiqua" w:hAnsi="Book Antiqua"/>
          <w:sz w:val="24"/>
          <w:szCs w:val="24"/>
        </w:rPr>
        <w:t xml:space="preserve"> In a prospective study of eight patients who underwent a gastric</w:t>
      </w:r>
      <w:r>
        <w:rPr>
          <w:rFonts w:ascii="Book Antiqua" w:hAnsi="Book Antiqua"/>
          <w:sz w:val="24"/>
          <w:szCs w:val="24"/>
        </w:rPr>
        <w:t xml:space="preserve"> bypass procedure, Behrns </w:t>
      </w:r>
      <w:r w:rsidRPr="001078D3">
        <w:rPr>
          <w:rFonts w:ascii="Book Antiqua" w:hAnsi="Book Antiqua"/>
          <w:i/>
          <w:sz w:val="24"/>
          <w:szCs w:val="24"/>
        </w:rPr>
        <w:t>et al</w:t>
      </w:r>
      <w:r w:rsidRPr="001E630E">
        <w:rPr>
          <w:rFonts w:ascii="Book Antiqua" w:hAnsi="Book Antiqua"/>
          <w:sz w:val="24"/>
          <w:szCs w:val="24"/>
          <w:vertAlign w:val="superscript"/>
        </w:rPr>
        <w:t>[13]</w:t>
      </w:r>
      <w:r w:rsidRPr="001E630E">
        <w:rPr>
          <w:rFonts w:ascii="Book Antiqua" w:hAnsi="Book Antiqua"/>
          <w:sz w:val="24"/>
          <w:szCs w:val="24"/>
        </w:rPr>
        <w:t xml:space="preserve"> demonstrated a marked decreased in gastric acid secretion in the stomachs of patients after they had undergone bypass, compared to pre-procedure levels. As a result of this lack of parietal cells, molecular iron is unable to get optimally metabolized.  Once metabolized, most iron is absorbed at the duodenal brush border after it has been reduced from its ferric to ferrous form by ferric reductase</w:t>
      </w:r>
      <w:r w:rsidRPr="001E630E">
        <w:rPr>
          <w:rFonts w:ascii="Book Antiqua" w:hAnsi="Book Antiqua"/>
          <w:sz w:val="24"/>
          <w:szCs w:val="24"/>
          <w:vertAlign w:val="superscript"/>
        </w:rPr>
        <w:t>[14]</w:t>
      </w:r>
      <w:r>
        <w:rPr>
          <w:rFonts w:ascii="Book Antiqua" w:hAnsi="Book Antiqua"/>
          <w:sz w:val="24"/>
          <w:szCs w:val="24"/>
        </w:rPr>
        <w:t>.</w:t>
      </w:r>
      <w:r w:rsidRPr="001E630E">
        <w:rPr>
          <w:rFonts w:ascii="Book Antiqua" w:hAnsi="Book Antiqua"/>
          <w:sz w:val="24"/>
          <w:szCs w:val="24"/>
        </w:rPr>
        <w:t xml:space="preserve"> However, in standard Roux-en-Y procedures, the duodenum is entirely bypassed, leading to marked decreased ability to absorb iron.</w:t>
      </w:r>
    </w:p>
    <w:p w:rsidR="007048F2" w:rsidRPr="001E630E" w:rsidRDefault="007048F2" w:rsidP="00DF037E">
      <w:pPr>
        <w:autoSpaceDE w:val="0"/>
        <w:autoSpaceDN w:val="0"/>
        <w:adjustRightInd w:val="0"/>
        <w:spacing w:after="0" w:line="360" w:lineRule="auto"/>
        <w:ind w:firstLineChars="100" w:firstLine="240"/>
        <w:jc w:val="both"/>
        <w:rPr>
          <w:rFonts w:ascii="Book Antiqua" w:hAnsi="Book Antiqua" w:cs="TimesNewRomanPS"/>
          <w:sz w:val="24"/>
          <w:szCs w:val="24"/>
          <w:lang w:eastAsia="zh-CN"/>
        </w:rPr>
      </w:pPr>
      <w:r w:rsidRPr="001E630E">
        <w:rPr>
          <w:rFonts w:ascii="Book Antiqua" w:hAnsi="Book Antiqua" w:cs="TimesNewRomanPS"/>
          <w:sz w:val="24"/>
          <w:szCs w:val="24"/>
        </w:rPr>
        <w:t>Other factors that may contribute to iron deficiency include gastritis involving the gastric pouch, esophagitis, and gastric ulcers</w:t>
      </w:r>
      <w:r w:rsidRPr="001E630E">
        <w:rPr>
          <w:rFonts w:ascii="Book Antiqua" w:hAnsi="Book Antiqua" w:cs="TimesNewRomanPS"/>
          <w:sz w:val="24"/>
          <w:szCs w:val="24"/>
          <w:vertAlign w:val="superscript"/>
        </w:rPr>
        <w:t>[15]</w:t>
      </w:r>
      <w:r w:rsidRPr="001E630E">
        <w:rPr>
          <w:rFonts w:ascii="Book Antiqua" w:hAnsi="Book Antiqua" w:cs="TimesNewRomanPS"/>
          <w:sz w:val="24"/>
          <w:szCs w:val="24"/>
        </w:rPr>
        <w:t xml:space="preserve">. While patients are recommended to take multivitamin supplements after undergoing gastric bypass to prevent nutritional </w:t>
      </w:r>
      <w:r w:rsidRPr="001E630E">
        <w:rPr>
          <w:rFonts w:ascii="Book Antiqua" w:hAnsi="Book Antiqua" w:cs="TimesNewRomanPS"/>
          <w:sz w:val="24"/>
          <w:szCs w:val="24"/>
        </w:rPr>
        <w:lastRenderedPageBreak/>
        <w:t xml:space="preserve">deficiencies, patients may still be at risk for the development of IDA. In a randomized, blinded, prospective study of 56 menstruating women who had recently undergone gastric bypass, Brolin </w:t>
      </w:r>
      <w:r w:rsidRPr="002143DB">
        <w:rPr>
          <w:rFonts w:ascii="Book Antiqua" w:hAnsi="Book Antiqua" w:cs="TimesNewRomanPS"/>
          <w:i/>
          <w:sz w:val="24"/>
          <w:szCs w:val="24"/>
        </w:rPr>
        <w:t>et al</w:t>
      </w:r>
      <w:r w:rsidRPr="001E630E">
        <w:rPr>
          <w:rFonts w:ascii="Book Antiqua" w:hAnsi="Book Antiqua" w:cs="TimesNewRomanPS"/>
          <w:sz w:val="24"/>
          <w:szCs w:val="24"/>
          <w:vertAlign w:val="superscript"/>
        </w:rPr>
        <w:t>[16]</w:t>
      </w:r>
      <w:r w:rsidRPr="001E630E">
        <w:rPr>
          <w:rFonts w:ascii="Book Antiqua" w:hAnsi="Book Antiqua" w:cs="TimesNewRomanPS"/>
          <w:sz w:val="24"/>
          <w:szCs w:val="24"/>
        </w:rPr>
        <w:t xml:space="preserve"> found that twice daily ferrous sulfate, at a dose of 320</w:t>
      </w:r>
      <w:r>
        <w:rPr>
          <w:rFonts w:ascii="Book Antiqua" w:hAnsi="Book Antiqua" w:cs="TimesNewRomanPS"/>
          <w:sz w:val="24"/>
          <w:szCs w:val="24"/>
          <w:lang w:eastAsia="zh-CN"/>
        </w:rPr>
        <w:t xml:space="preserve"> </w:t>
      </w:r>
      <w:r w:rsidRPr="001E630E">
        <w:rPr>
          <w:rFonts w:ascii="Book Antiqua" w:hAnsi="Book Antiqua" w:cs="TimesNewRomanPS"/>
          <w:sz w:val="24"/>
          <w:szCs w:val="24"/>
        </w:rPr>
        <w:t>mg, was able to prevent iron deficiency</w:t>
      </w:r>
      <w:r>
        <w:rPr>
          <w:rFonts w:ascii="Book Antiqua" w:hAnsi="Book Antiqua" w:cs="TimesNewRomanPS"/>
          <w:sz w:val="24"/>
          <w:szCs w:val="24"/>
        </w:rPr>
        <w:t>.</w:t>
      </w:r>
      <w:r w:rsidRPr="001E630E">
        <w:rPr>
          <w:rFonts w:ascii="Book Antiqua" w:hAnsi="Book Antiqua" w:cs="TimesNewRomanPS"/>
          <w:sz w:val="24"/>
          <w:szCs w:val="24"/>
        </w:rPr>
        <w:t xml:space="preserve"> However, oral iron tablets are often difficult to tolerate, especially in patients who have undergone gastric bypass procedures, and there is still no consensus on the most effective method to limit the development of iron deficiency in this population.</w:t>
      </w:r>
    </w:p>
    <w:p w:rsidR="007048F2" w:rsidRPr="00DF037E" w:rsidRDefault="007048F2" w:rsidP="00DF037E">
      <w:pPr>
        <w:autoSpaceDE w:val="0"/>
        <w:autoSpaceDN w:val="0"/>
        <w:adjustRightInd w:val="0"/>
        <w:spacing w:after="0" w:line="360" w:lineRule="auto"/>
        <w:ind w:firstLineChars="100" w:firstLine="240"/>
        <w:jc w:val="both"/>
        <w:rPr>
          <w:rFonts w:ascii="Book Antiqua" w:hAnsi="Book Antiqua" w:cs="TimesNewRomanPS"/>
          <w:sz w:val="24"/>
          <w:szCs w:val="24"/>
          <w:lang w:eastAsia="zh-CN"/>
        </w:rPr>
      </w:pPr>
      <w:r w:rsidRPr="001E630E">
        <w:rPr>
          <w:rFonts w:ascii="Book Antiqua" w:hAnsi="Book Antiqua" w:cs="TimesNewRomanPS"/>
          <w:sz w:val="24"/>
          <w:szCs w:val="24"/>
        </w:rPr>
        <w:t>Current guidelines recommend that patients who have undergone a malabsorptive procedure take 40-65</w:t>
      </w:r>
      <w:r>
        <w:rPr>
          <w:rFonts w:ascii="Book Antiqua" w:hAnsi="Book Antiqua" w:cs="TimesNewRomanPS"/>
          <w:sz w:val="24"/>
          <w:szCs w:val="24"/>
          <w:lang w:eastAsia="zh-CN"/>
        </w:rPr>
        <w:t xml:space="preserve"> </w:t>
      </w:r>
      <w:r w:rsidRPr="001E630E">
        <w:rPr>
          <w:rFonts w:ascii="Book Antiqua" w:hAnsi="Book Antiqua" w:cs="TimesNewRomanPS"/>
          <w:sz w:val="24"/>
          <w:szCs w:val="24"/>
        </w:rPr>
        <w:t>mg of oral iron daily to prevent the development of iron deficiency</w:t>
      </w:r>
      <w:r w:rsidRPr="001E630E">
        <w:rPr>
          <w:rFonts w:ascii="Book Antiqua" w:hAnsi="Book Antiqua" w:cs="TimesNewRomanPS"/>
          <w:sz w:val="24"/>
          <w:szCs w:val="24"/>
          <w:vertAlign w:val="superscript"/>
        </w:rPr>
        <w:t>[17]</w:t>
      </w:r>
      <w:r w:rsidRPr="001E630E">
        <w:rPr>
          <w:rFonts w:ascii="Book Antiqua" w:hAnsi="Book Antiqua" w:cs="TimesNewRomanPS"/>
          <w:sz w:val="24"/>
          <w:szCs w:val="24"/>
        </w:rPr>
        <w:t>. However, these guidelines acknowledge that patients may have difficulty tolerating oral supplementation and do not account for the fact that many patients may be iron deficient prior to undergoing the procedure</w:t>
      </w:r>
      <w:r>
        <w:rPr>
          <w:rFonts w:ascii="Book Antiqua" w:hAnsi="Book Antiqua" w:cs="TimesNewRomanPS"/>
          <w:sz w:val="24"/>
          <w:szCs w:val="24"/>
        </w:rPr>
        <w:t>.</w:t>
      </w:r>
      <w:r w:rsidRPr="001E630E">
        <w:rPr>
          <w:rFonts w:ascii="Book Antiqua" w:hAnsi="Book Antiqua" w:cs="TimesNewRomanPS"/>
          <w:sz w:val="24"/>
          <w:szCs w:val="24"/>
        </w:rPr>
        <w:t xml:space="preserve"> The guidelines also state that once iron deficiency has developed, patients may be refractory to oral iron, requiring IV iron as a means to replenish their iron stores.</w:t>
      </w:r>
    </w:p>
    <w:p w:rsidR="007048F2" w:rsidRPr="001E630E" w:rsidRDefault="007048F2" w:rsidP="00DF037E">
      <w:pPr>
        <w:spacing w:after="0" w:line="360" w:lineRule="auto"/>
        <w:ind w:firstLineChars="100" w:firstLine="240"/>
        <w:jc w:val="both"/>
        <w:rPr>
          <w:rFonts w:ascii="Book Antiqua" w:hAnsi="Book Antiqua"/>
          <w:sz w:val="24"/>
          <w:szCs w:val="24"/>
        </w:rPr>
      </w:pPr>
      <w:r w:rsidRPr="001E630E">
        <w:rPr>
          <w:rFonts w:ascii="Book Antiqua" w:hAnsi="Book Antiqua"/>
          <w:sz w:val="24"/>
          <w:szCs w:val="24"/>
        </w:rPr>
        <w:t>Anemia occurs in approximately 1/3 of patients who suffer from IBD, and almost half of all IBD patients are iron deficient</w:t>
      </w:r>
      <w:r w:rsidRPr="001E630E">
        <w:rPr>
          <w:rFonts w:ascii="Book Antiqua" w:hAnsi="Book Antiqua"/>
          <w:sz w:val="24"/>
          <w:szCs w:val="24"/>
          <w:vertAlign w:val="superscript"/>
        </w:rPr>
        <w:t>[18]</w:t>
      </w:r>
      <w:r w:rsidRPr="001E630E">
        <w:rPr>
          <w:rFonts w:ascii="Book Antiqua" w:hAnsi="Book Antiqua"/>
          <w:sz w:val="24"/>
          <w:szCs w:val="24"/>
        </w:rPr>
        <w:t>. Anemia in IBD is due to a combination of chronic intestinal blood loss, decreased absorption capabilities of the duodenum secondary to inflammation, the underlying inflammatory conditions that lead to anemia of chronic disease (ACD), and an inability of many IBD patients to tolerate the side effects of oral ferrous sulfate</w:t>
      </w:r>
      <w:r w:rsidRPr="001E630E">
        <w:rPr>
          <w:rFonts w:ascii="Book Antiqua" w:hAnsi="Book Antiqua"/>
          <w:sz w:val="24"/>
          <w:szCs w:val="24"/>
          <w:vertAlign w:val="superscript"/>
        </w:rPr>
        <w:t>[18]</w:t>
      </w:r>
      <w:r w:rsidRPr="001E630E">
        <w:rPr>
          <w:rFonts w:ascii="Book Antiqua" w:hAnsi="Book Antiqua"/>
          <w:sz w:val="24"/>
          <w:szCs w:val="24"/>
        </w:rPr>
        <w:t>. When patients are in an active inflammatory state secondary to their IBD, successfully treating anemia in IBD is significantly more difficult, making control of IBD paramount to the management of anemia in IBD</w:t>
      </w:r>
      <w:r w:rsidRPr="001E630E">
        <w:rPr>
          <w:rFonts w:ascii="Book Antiqua" w:hAnsi="Book Antiqua"/>
          <w:sz w:val="24"/>
          <w:szCs w:val="24"/>
          <w:vertAlign w:val="superscript"/>
        </w:rPr>
        <w:t>[19]</w:t>
      </w:r>
      <w:r w:rsidRPr="001E630E">
        <w:rPr>
          <w:rFonts w:ascii="Book Antiqua" w:hAnsi="Book Antiqua"/>
          <w:sz w:val="24"/>
          <w:szCs w:val="24"/>
        </w:rPr>
        <w:t xml:space="preserve">. </w:t>
      </w:r>
    </w:p>
    <w:p w:rsidR="007048F2" w:rsidRPr="001E630E" w:rsidRDefault="007048F2" w:rsidP="00DF037E">
      <w:pPr>
        <w:spacing w:after="0" w:line="360" w:lineRule="auto"/>
        <w:ind w:firstLineChars="100" w:firstLine="240"/>
        <w:jc w:val="both"/>
        <w:rPr>
          <w:rFonts w:ascii="Book Antiqua" w:hAnsi="Book Antiqua"/>
          <w:sz w:val="24"/>
          <w:szCs w:val="24"/>
        </w:rPr>
      </w:pPr>
      <w:r w:rsidRPr="001E630E">
        <w:rPr>
          <w:rFonts w:ascii="Book Antiqua" w:hAnsi="Book Antiqua"/>
          <w:sz w:val="24"/>
          <w:szCs w:val="24"/>
        </w:rPr>
        <w:t>Several randomized trials have evaluated the efficacy of iron versus oral supplementation in anemic patients with IBD.</w:t>
      </w:r>
      <w:r>
        <w:rPr>
          <w:rFonts w:ascii="Book Antiqua" w:hAnsi="Book Antiqua"/>
          <w:sz w:val="24"/>
          <w:szCs w:val="24"/>
          <w:lang w:eastAsia="zh-CN"/>
        </w:rPr>
        <w:t xml:space="preserve"> </w:t>
      </w:r>
      <w:r>
        <w:rPr>
          <w:rFonts w:ascii="Book Antiqua" w:hAnsi="Book Antiqua"/>
          <w:sz w:val="24"/>
          <w:szCs w:val="24"/>
        </w:rPr>
        <w:t xml:space="preserve">Lindgren </w:t>
      </w:r>
      <w:r w:rsidRPr="00DF037E">
        <w:rPr>
          <w:rFonts w:ascii="Book Antiqua" w:hAnsi="Book Antiqua"/>
          <w:i/>
          <w:sz w:val="24"/>
          <w:szCs w:val="24"/>
        </w:rPr>
        <w:t>et al</w:t>
      </w:r>
      <w:r w:rsidRPr="001E630E">
        <w:rPr>
          <w:rFonts w:ascii="Book Antiqua" w:hAnsi="Book Antiqua"/>
          <w:sz w:val="24"/>
          <w:szCs w:val="24"/>
          <w:vertAlign w:val="superscript"/>
        </w:rPr>
        <w:t>[20]</w:t>
      </w:r>
      <w:r w:rsidRPr="001E630E">
        <w:rPr>
          <w:rFonts w:ascii="Book Antiqua" w:hAnsi="Book Antiqua"/>
          <w:sz w:val="24"/>
          <w:szCs w:val="24"/>
        </w:rPr>
        <w:t xml:space="preserve"> randomized 91 patients with IBD and anemia to receive oral iron sulfate or IV iron sucrose for 20 w</w:t>
      </w:r>
      <w:r>
        <w:rPr>
          <w:rFonts w:ascii="Book Antiqua" w:hAnsi="Book Antiqua"/>
          <w:sz w:val="24"/>
          <w:szCs w:val="24"/>
          <w:lang w:eastAsia="zh-CN"/>
        </w:rPr>
        <w:t>k</w:t>
      </w:r>
      <w:r w:rsidRPr="001E630E">
        <w:rPr>
          <w:rFonts w:ascii="Book Antiqua" w:hAnsi="Book Antiqua"/>
          <w:sz w:val="24"/>
          <w:szCs w:val="24"/>
        </w:rPr>
        <w:t>. The IV iron group tolerated the treatment better and saw a greater amount of patients increase their Hgb by &gt;</w:t>
      </w:r>
      <w:r>
        <w:rPr>
          <w:rFonts w:ascii="Book Antiqua" w:hAnsi="Book Antiqua"/>
          <w:sz w:val="24"/>
          <w:szCs w:val="24"/>
          <w:lang w:eastAsia="zh-CN"/>
        </w:rPr>
        <w:t xml:space="preserve"> </w:t>
      </w:r>
      <w:r w:rsidRPr="001E630E">
        <w:rPr>
          <w:rFonts w:ascii="Book Antiqua" w:hAnsi="Book Antiqua"/>
          <w:sz w:val="24"/>
          <w:szCs w:val="24"/>
        </w:rPr>
        <w:t>2</w:t>
      </w:r>
      <w:r>
        <w:rPr>
          <w:rFonts w:ascii="Book Antiqua" w:hAnsi="Book Antiqua"/>
          <w:sz w:val="24"/>
          <w:szCs w:val="24"/>
          <w:lang w:eastAsia="zh-CN"/>
        </w:rPr>
        <w:t xml:space="preserve"> </w:t>
      </w:r>
      <w:r w:rsidRPr="001E630E">
        <w:rPr>
          <w:rFonts w:ascii="Book Antiqua" w:hAnsi="Book Antiqua"/>
          <w:sz w:val="24"/>
          <w:szCs w:val="24"/>
        </w:rPr>
        <w:t>g/dL (66% to 47%), have a resolution of their anemia (16% to 41%), and reach their re</w:t>
      </w:r>
      <w:r>
        <w:rPr>
          <w:rFonts w:ascii="Book Antiqua" w:hAnsi="Book Antiqua"/>
          <w:sz w:val="24"/>
          <w:szCs w:val="24"/>
        </w:rPr>
        <w:t>ference Hgb level (42% to 22%).</w:t>
      </w:r>
      <w:r w:rsidRPr="001E630E">
        <w:rPr>
          <w:rFonts w:ascii="Book Antiqua" w:hAnsi="Book Antiqua"/>
          <w:sz w:val="24"/>
          <w:szCs w:val="24"/>
        </w:rPr>
        <w:t xml:space="preserve"> Another study randomized 200 patients with anemia and IBD to receive IV or oral iron in a 2:1 ratio</w:t>
      </w:r>
      <w:r w:rsidRPr="001E630E">
        <w:rPr>
          <w:rFonts w:ascii="Book Antiqua" w:hAnsi="Book Antiqua"/>
          <w:sz w:val="24"/>
          <w:szCs w:val="24"/>
          <w:vertAlign w:val="superscript"/>
        </w:rPr>
        <w:t>[21]</w:t>
      </w:r>
      <w:r>
        <w:rPr>
          <w:rFonts w:ascii="Book Antiqua" w:hAnsi="Book Antiqua"/>
          <w:sz w:val="24"/>
          <w:szCs w:val="24"/>
        </w:rPr>
        <w:t xml:space="preserve">.  </w:t>
      </w:r>
      <w:r w:rsidRPr="001E630E">
        <w:rPr>
          <w:rFonts w:ascii="Book Antiqua" w:hAnsi="Book Antiqua"/>
          <w:sz w:val="24"/>
          <w:szCs w:val="24"/>
        </w:rPr>
        <w:t xml:space="preserve">The study met </w:t>
      </w:r>
      <w:r w:rsidRPr="001E630E">
        <w:rPr>
          <w:rFonts w:ascii="Book Antiqua" w:hAnsi="Book Antiqua"/>
          <w:sz w:val="24"/>
          <w:szCs w:val="24"/>
        </w:rPr>
        <w:lastRenderedPageBreak/>
        <w:t>its primary endpoint, which was to prove non-inferiority of IV iron in increasing Hgb levels over a 12 w</w:t>
      </w:r>
      <w:r>
        <w:rPr>
          <w:rFonts w:ascii="Book Antiqua" w:hAnsi="Book Antiqua"/>
          <w:sz w:val="24"/>
          <w:szCs w:val="24"/>
        </w:rPr>
        <w:t>k course.</w:t>
      </w:r>
      <w:r w:rsidRPr="001E630E">
        <w:rPr>
          <w:rFonts w:ascii="Book Antiqua" w:hAnsi="Book Antiqua"/>
          <w:sz w:val="24"/>
          <w:szCs w:val="24"/>
        </w:rPr>
        <w:t xml:space="preserve"> Of note, that rate of discontinuation of therapy due to AEs was 7.9% in the oral group compared to 1.5% in the IV group.</w:t>
      </w:r>
    </w:p>
    <w:p w:rsidR="007048F2" w:rsidRPr="001E630E" w:rsidRDefault="007048F2" w:rsidP="00DF037E">
      <w:pPr>
        <w:spacing w:after="0" w:line="360" w:lineRule="auto"/>
        <w:ind w:firstLineChars="100" w:firstLine="240"/>
        <w:jc w:val="both"/>
        <w:rPr>
          <w:rFonts w:ascii="Book Antiqua" w:hAnsi="Book Antiqua"/>
          <w:sz w:val="24"/>
          <w:szCs w:val="24"/>
        </w:rPr>
      </w:pPr>
      <w:r w:rsidRPr="001E630E">
        <w:rPr>
          <w:rFonts w:ascii="Book Antiqua" w:hAnsi="Book Antiqua"/>
          <w:sz w:val="24"/>
          <w:szCs w:val="24"/>
        </w:rPr>
        <w:t>New guidelines recommend IV iron as first line therapy for IDA in patients with IBD. Absolute indications for the use of IV iron include a hemoglobin &lt; 10</w:t>
      </w:r>
      <w:r>
        <w:rPr>
          <w:rFonts w:ascii="Book Antiqua" w:hAnsi="Book Antiqua"/>
          <w:sz w:val="24"/>
          <w:szCs w:val="24"/>
          <w:lang w:eastAsia="zh-CN"/>
        </w:rPr>
        <w:t xml:space="preserve"> </w:t>
      </w:r>
      <w:r w:rsidRPr="001E630E">
        <w:rPr>
          <w:rFonts w:ascii="Book Antiqua" w:hAnsi="Book Antiqua"/>
          <w:sz w:val="24"/>
          <w:szCs w:val="24"/>
        </w:rPr>
        <w:t>g/dL, intolerance or inappropriate response to oral iron supplementation, severe disease activity, use of EPO, and patient preference</w:t>
      </w:r>
      <w:r w:rsidRPr="001E630E">
        <w:rPr>
          <w:rFonts w:ascii="Book Antiqua" w:hAnsi="Book Antiqua"/>
          <w:sz w:val="24"/>
          <w:szCs w:val="24"/>
          <w:vertAlign w:val="superscript"/>
        </w:rPr>
        <w:t>[22]</w:t>
      </w:r>
      <w:r>
        <w:rPr>
          <w:rFonts w:ascii="Book Antiqua" w:hAnsi="Book Antiqua"/>
          <w:sz w:val="24"/>
          <w:szCs w:val="24"/>
        </w:rPr>
        <w:t>.</w:t>
      </w:r>
      <w:r w:rsidRPr="001E630E">
        <w:rPr>
          <w:rFonts w:ascii="Book Antiqua" w:hAnsi="Book Antiqua"/>
          <w:sz w:val="24"/>
          <w:szCs w:val="24"/>
        </w:rPr>
        <w:t xml:space="preserve">  IV iron leads to a more rapid and prolonged response compared to oral therapy, and is better tolerated and leads t</w:t>
      </w:r>
      <w:r>
        <w:rPr>
          <w:rFonts w:ascii="Book Antiqua" w:hAnsi="Book Antiqua"/>
          <w:sz w:val="24"/>
          <w:szCs w:val="24"/>
        </w:rPr>
        <w:t>o an improved quality of life.</w:t>
      </w:r>
      <w:r>
        <w:rPr>
          <w:rFonts w:ascii="Book Antiqua" w:hAnsi="Book Antiqua"/>
          <w:sz w:val="24"/>
          <w:szCs w:val="24"/>
          <w:lang w:eastAsia="zh-CN"/>
        </w:rPr>
        <w:t xml:space="preserve"> </w:t>
      </w:r>
      <w:r w:rsidRPr="001E630E">
        <w:rPr>
          <w:rFonts w:ascii="Book Antiqua" w:hAnsi="Book Antiqua"/>
          <w:sz w:val="24"/>
          <w:szCs w:val="24"/>
        </w:rPr>
        <w:t>Furthermore, recent evidence has shown that oral iron can actually have a deleterious effect in patients with IBD, including an increase in oxidative stress, disease activity, and intestinal inflammation, as well as increasing the risk of colorectal cancer, as seen in animal models</w:t>
      </w:r>
      <w:r w:rsidRPr="001E630E">
        <w:rPr>
          <w:rFonts w:ascii="Book Antiqua" w:hAnsi="Book Antiqua"/>
          <w:sz w:val="24"/>
          <w:szCs w:val="24"/>
          <w:vertAlign w:val="superscript"/>
        </w:rPr>
        <w:t>[22]</w:t>
      </w:r>
      <w:r>
        <w:rPr>
          <w:rFonts w:ascii="Book Antiqua" w:hAnsi="Book Antiqua"/>
          <w:sz w:val="24"/>
          <w:szCs w:val="24"/>
        </w:rPr>
        <w:t>.</w:t>
      </w:r>
      <w:r w:rsidRPr="001E630E">
        <w:rPr>
          <w:rFonts w:ascii="Book Antiqua" w:hAnsi="Book Antiqua"/>
          <w:sz w:val="24"/>
          <w:szCs w:val="24"/>
        </w:rPr>
        <w:t xml:space="preserve"> IV iron is beneficial even in cases where the anemia is attributable to ACD, which is defined as ferritin &gt; 100</w:t>
      </w:r>
      <w:r>
        <w:rPr>
          <w:rFonts w:ascii="Book Antiqua" w:hAnsi="Book Antiqua"/>
          <w:sz w:val="24"/>
          <w:szCs w:val="24"/>
          <w:lang w:eastAsia="zh-CN"/>
        </w:rPr>
        <w:t xml:space="preserve"> </w:t>
      </w:r>
      <w:r w:rsidRPr="001E630E">
        <w:rPr>
          <w:rFonts w:ascii="Book Antiqua" w:hAnsi="Book Antiqua"/>
          <w:sz w:val="24"/>
          <w:szCs w:val="24"/>
        </w:rPr>
        <w:t>µg/L and transferrin saturation &lt; 16% in the setting of anemia</w:t>
      </w:r>
      <w:r w:rsidRPr="001E630E">
        <w:rPr>
          <w:rFonts w:ascii="Book Antiqua" w:hAnsi="Book Antiqua"/>
          <w:sz w:val="24"/>
          <w:szCs w:val="24"/>
          <w:vertAlign w:val="superscript"/>
        </w:rPr>
        <w:t>[23]</w:t>
      </w:r>
      <w:r w:rsidRPr="001E630E">
        <w:rPr>
          <w:rFonts w:ascii="Book Antiqua" w:hAnsi="Book Antiqua"/>
          <w:sz w:val="24"/>
          <w:szCs w:val="24"/>
        </w:rPr>
        <w:t xml:space="preserve">. </w:t>
      </w:r>
    </w:p>
    <w:p w:rsidR="007048F2" w:rsidRPr="001E630E" w:rsidRDefault="007048F2" w:rsidP="00433B98">
      <w:pPr>
        <w:spacing w:after="0" w:line="360" w:lineRule="auto"/>
        <w:ind w:firstLineChars="100" w:firstLine="240"/>
        <w:jc w:val="both"/>
        <w:rPr>
          <w:rFonts w:ascii="Book Antiqua" w:hAnsi="Book Antiqua"/>
          <w:sz w:val="24"/>
          <w:szCs w:val="24"/>
        </w:rPr>
      </w:pPr>
      <w:r w:rsidRPr="001E630E">
        <w:rPr>
          <w:rFonts w:ascii="Book Antiqua" w:hAnsi="Book Antiqua"/>
          <w:sz w:val="24"/>
          <w:szCs w:val="24"/>
        </w:rPr>
        <w:t>The combination of EPO plus IV iron has been shown to be an effective method to reduce the need for blood transfusion in patients with cancer who suffer from chemotherapy-induced anemia, as well as ACD. European Organization for Research and Treatment of Cancer (EORTC) guidelines recommend that patients receiving chemotherapy and/or radiotherapy who develop Hgb levels between 9-11 g/dL and display symptoms of anemia be considered for EPO treatment.  Patients with Hgb &lt; 9 g/dL will likely need blood transfusions, at least as initial treatment</w:t>
      </w:r>
      <w:r w:rsidRPr="001E630E">
        <w:rPr>
          <w:rFonts w:ascii="Book Antiqua" w:hAnsi="Book Antiqua"/>
          <w:sz w:val="24"/>
          <w:szCs w:val="24"/>
          <w:vertAlign w:val="superscript"/>
        </w:rPr>
        <w:t>[24]</w:t>
      </w:r>
      <w:r w:rsidRPr="001E630E">
        <w:rPr>
          <w:rFonts w:ascii="Book Antiqua" w:hAnsi="Book Antiqua"/>
          <w:sz w:val="24"/>
          <w:szCs w:val="24"/>
        </w:rPr>
        <w:t xml:space="preserve">. </w:t>
      </w:r>
    </w:p>
    <w:p w:rsidR="007048F2" w:rsidRPr="001E630E" w:rsidRDefault="007048F2" w:rsidP="00D73B44">
      <w:pPr>
        <w:spacing w:after="0" w:line="360" w:lineRule="auto"/>
        <w:ind w:firstLineChars="100" w:firstLine="240"/>
        <w:jc w:val="both"/>
        <w:rPr>
          <w:rFonts w:ascii="Book Antiqua" w:hAnsi="Book Antiqua"/>
          <w:sz w:val="24"/>
          <w:szCs w:val="24"/>
        </w:rPr>
      </w:pPr>
      <w:r w:rsidRPr="001E630E">
        <w:rPr>
          <w:rFonts w:ascii="Book Antiqua" w:hAnsi="Book Antiqua"/>
          <w:sz w:val="24"/>
          <w:szCs w:val="24"/>
        </w:rPr>
        <w:t>In a randomized trial of 477 women with IDA secondary to heavy uterine bleeding, patients were randomized to receive either weekly IV iron or oral ferrous sulfate 325</w:t>
      </w:r>
      <w:r>
        <w:rPr>
          <w:rFonts w:ascii="Book Antiqua" w:hAnsi="Book Antiqua"/>
          <w:sz w:val="24"/>
          <w:szCs w:val="24"/>
          <w:lang w:eastAsia="zh-CN"/>
        </w:rPr>
        <w:t xml:space="preserve"> </w:t>
      </w:r>
      <w:r w:rsidRPr="001E630E">
        <w:rPr>
          <w:rFonts w:ascii="Book Antiqua" w:hAnsi="Book Antiqua"/>
          <w:sz w:val="24"/>
          <w:szCs w:val="24"/>
        </w:rPr>
        <w:t>mg three times a day</w:t>
      </w:r>
      <w:r>
        <w:rPr>
          <w:rFonts w:ascii="Book Antiqua" w:hAnsi="Book Antiqua"/>
          <w:sz w:val="24"/>
          <w:szCs w:val="24"/>
        </w:rPr>
        <w:t xml:space="preserve"> for six weeks.</w:t>
      </w:r>
      <w:r w:rsidRPr="001E630E">
        <w:rPr>
          <w:rFonts w:ascii="Book Antiqua" w:hAnsi="Book Antiqua"/>
          <w:sz w:val="24"/>
          <w:szCs w:val="24"/>
        </w:rPr>
        <w:t xml:space="preserve"> Compared to those in the oral repletion group, more patients who received IV iron achieved a &gt;</w:t>
      </w:r>
      <w:r>
        <w:rPr>
          <w:rFonts w:ascii="Book Antiqua" w:hAnsi="Book Antiqua"/>
          <w:sz w:val="24"/>
          <w:szCs w:val="24"/>
          <w:lang w:eastAsia="zh-CN"/>
        </w:rPr>
        <w:t xml:space="preserve"> </w:t>
      </w:r>
      <w:r w:rsidRPr="001E630E">
        <w:rPr>
          <w:rFonts w:ascii="Book Antiqua" w:hAnsi="Book Antiqua"/>
          <w:sz w:val="24"/>
          <w:szCs w:val="24"/>
        </w:rPr>
        <w:t>2</w:t>
      </w:r>
      <w:r>
        <w:rPr>
          <w:rFonts w:ascii="Book Antiqua" w:hAnsi="Book Antiqua"/>
          <w:sz w:val="24"/>
          <w:szCs w:val="24"/>
          <w:lang w:eastAsia="zh-CN"/>
        </w:rPr>
        <w:t xml:space="preserve"> </w:t>
      </w:r>
      <w:r w:rsidRPr="001E630E">
        <w:rPr>
          <w:rFonts w:ascii="Book Antiqua" w:hAnsi="Book Antiqua"/>
          <w:sz w:val="24"/>
          <w:szCs w:val="24"/>
        </w:rPr>
        <w:t>g/dL increase in Hgb (82% to 62%), a &gt;</w:t>
      </w:r>
      <w:r>
        <w:rPr>
          <w:rFonts w:ascii="Book Antiqua" w:hAnsi="Book Antiqua"/>
          <w:sz w:val="24"/>
          <w:szCs w:val="24"/>
          <w:lang w:eastAsia="zh-CN"/>
        </w:rPr>
        <w:t xml:space="preserve"> </w:t>
      </w:r>
      <w:r w:rsidRPr="001E630E">
        <w:rPr>
          <w:rFonts w:ascii="Book Antiqua" w:hAnsi="Book Antiqua"/>
          <w:sz w:val="24"/>
          <w:szCs w:val="24"/>
        </w:rPr>
        <w:t>3</w:t>
      </w:r>
      <w:r>
        <w:rPr>
          <w:rFonts w:ascii="Book Antiqua" w:hAnsi="Book Antiqua"/>
          <w:sz w:val="24"/>
          <w:szCs w:val="24"/>
          <w:lang w:eastAsia="zh-CN"/>
        </w:rPr>
        <w:t xml:space="preserve"> </w:t>
      </w:r>
      <w:r w:rsidRPr="001E630E">
        <w:rPr>
          <w:rFonts w:ascii="Book Antiqua" w:hAnsi="Book Antiqua"/>
          <w:sz w:val="24"/>
          <w:szCs w:val="24"/>
        </w:rPr>
        <w:t>g/dL increase in Hgb (53% to 36%), and a correction of Hgb levels, defined as Hgb &gt; 12</w:t>
      </w:r>
      <w:r>
        <w:rPr>
          <w:rFonts w:ascii="Book Antiqua" w:hAnsi="Book Antiqua"/>
          <w:sz w:val="24"/>
          <w:szCs w:val="24"/>
          <w:lang w:eastAsia="zh-CN"/>
        </w:rPr>
        <w:t xml:space="preserve"> </w:t>
      </w:r>
      <w:r w:rsidRPr="001E630E">
        <w:rPr>
          <w:rFonts w:ascii="Book Antiqua" w:hAnsi="Book Antiqua"/>
          <w:sz w:val="24"/>
          <w:szCs w:val="24"/>
        </w:rPr>
        <w:t>g/dL (73% to 50%), with no serious adverse effects reported in either group</w:t>
      </w:r>
      <w:r w:rsidRPr="001E630E">
        <w:rPr>
          <w:rFonts w:ascii="Book Antiqua" w:hAnsi="Book Antiqua"/>
          <w:sz w:val="24"/>
          <w:szCs w:val="24"/>
          <w:vertAlign w:val="superscript"/>
        </w:rPr>
        <w:t>[25]</w:t>
      </w:r>
      <w:r w:rsidRPr="001E630E">
        <w:rPr>
          <w:rFonts w:ascii="Book Antiqua" w:hAnsi="Book Antiqua"/>
          <w:sz w:val="24"/>
          <w:szCs w:val="24"/>
        </w:rPr>
        <w:t xml:space="preserve">. </w:t>
      </w:r>
    </w:p>
    <w:p w:rsidR="007048F2" w:rsidRPr="001E630E" w:rsidRDefault="007048F2" w:rsidP="001E630E">
      <w:pPr>
        <w:spacing w:after="0" w:line="360" w:lineRule="auto"/>
        <w:jc w:val="both"/>
        <w:rPr>
          <w:rFonts w:ascii="Book Antiqua" w:hAnsi="Book Antiqua"/>
          <w:sz w:val="24"/>
          <w:szCs w:val="24"/>
        </w:rPr>
      </w:pPr>
    </w:p>
    <w:p w:rsidR="007048F2" w:rsidRDefault="007048F2" w:rsidP="001E630E">
      <w:pPr>
        <w:spacing w:after="0" w:line="360" w:lineRule="auto"/>
        <w:jc w:val="both"/>
        <w:rPr>
          <w:rFonts w:ascii="Book Antiqua" w:hAnsi="Book Antiqua"/>
          <w:sz w:val="24"/>
          <w:szCs w:val="24"/>
        </w:rPr>
      </w:pPr>
      <w:r w:rsidRPr="00C01E71">
        <w:rPr>
          <w:rFonts w:ascii="Book Antiqua" w:hAnsi="Book Antiqua"/>
          <w:sz w:val="24"/>
          <w:szCs w:val="24"/>
        </w:rPr>
        <w:t> </w:t>
      </w:r>
      <w:hyperlink r:id="rId8" w:history="1">
        <w:r w:rsidRPr="00C01E71">
          <w:rPr>
            <w:rFonts w:ascii="Book Antiqua" w:hAnsi="Book Antiqua"/>
            <w:sz w:val="24"/>
            <w:szCs w:val="24"/>
          </w:rPr>
          <w:t>RESEARCH</w:t>
        </w:r>
      </w:hyperlink>
      <w:r w:rsidRPr="001E630E">
        <w:rPr>
          <w:rFonts w:ascii="Book Antiqua" w:hAnsi="Book Antiqua"/>
          <w:sz w:val="24"/>
          <w:szCs w:val="24"/>
        </w:rPr>
        <w:t xml:space="preserve"> </w:t>
      </w:r>
    </w:p>
    <w:p w:rsidR="007048F2" w:rsidRPr="001E630E" w:rsidRDefault="007048F2" w:rsidP="001E630E">
      <w:pPr>
        <w:spacing w:after="0" w:line="360" w:lineRule="auto"/>
        <w:jc w:val="both"/>
        <w:rPr>
          <w:rFonts w:ascii="Book Antiqua" w:hAnsi="Book Antiqua"/>
          <w:sz w:val="24"/>
          <w:szCs w:val="24"/>
        </w:rPr>
      </w:pPr>
      <w:r w:rsidRPr="001E630E">
        <w:rPr>
          <w:rFonts w:ascii="Book Antiqua" w:hAnsi="Book Antiqua"/>
          <w:sz w:val="24"/>
          <w:szCs w:val="24"/>
        </w:rPr>
        <w:lastRenderedPageBreak/>
        <w:t>After obtaining approval through the University Institutional Review Board, we searched Intellidose, the electronic program that records medication administration, for all instances in which intravenous iron was administered at Sylvester Comprehensive Cancer Center/University of Miami Hospital Clinic from January 2007 to May 2012.  We documented the type of iron used, number of administrations, and dosages.  We then searched UChart, an electronic medical record used by the university, to ascertain the indications for IV iron based on the patients’ known diagnoses.</w:t>
      </w:r>
    </w:p>
    <w:p w:rsidR="007048F2" w:rsidRPr="001E630E" w:rsidRDefault="007048F2" w:rsidP="00D17539">
      <w:pPr>
        <w:spacing w:after="0" w:line="360" w:lineRule="auto"/>
        <w:ind w:firstLineChars="100" w:firstLine="240"/>
        <w:jc w:val="both"/>
        <w:rPr>
          <w:rFonts w:ascii="Book Antiqua" w:hAnsi="Book Antiqua"/>
          <w:sz w:val="24"/>
          <w:szCs w:val="24"/>
        </w:rPr>
      </w:pPr>
      <w:r w:rsidRPr="001E630E">
        <w:rPr>
          <w:rFonts w:ascii="Book Antiqua" w:hAnsi="Book Antiqua"/>
          <w:sz w:val="24"/>
          <w:szCs w:val="24"/>
        </w:rPr>
        <w:t>A total of 262 patients recei</w:t>
      </w:r>
      <w:r>
        <w:rPr>
          <w:rFonts w:ascii="Book Antiqua" w:hAnsi="Book Antiqua"/>
          <w:sz w:val="24"/>
          <w:szCs w:val="24"/>
        </w:rPr>
        <w:t>ved IV iron.</w:t>
      </w:r>
      <w:r w:rsidRPr="001E630E">
        <w:rPr>
          <w:rFonts w:ascii="Book Antiqua" w:hAnsi="Book Antiqua"/>
          <w:sz w:val="24"/>
          <w:szCs w:val="24"/>
        </w:rPr>
        <w:t xml:space="preserve"> Several patients had mul</w:t>
      </w:r>
      <w:r>
        <w:rPr>
          <w:rFonts w:ascii="Book Antiqua" w:hAnsi="Book Antiqua"/>
          <w:sz w:val="24"/>
          <w:szCs w:val="24"/>
        </w:rPr>
        <w:t xml:space="preserve">tiple indications for IV iron. </w:t>
      </w:r>
      <w:r w:rsidRPr="001E630E">
        <w:rPr>
          <w:rFonts w:ascii="Book Antiqua" w:hAnsi="Book Antiqua"/>
          <w:sz w:val="24"/>
          <w:szCs w:val="24"/>
        </w:rPr>
        <w:t>The most common indications for IV iron were for issues related to cancer and its treatment (21.9%), IBD (20.1%</w:t>
      </w:r>
      <w:r>
        <w:rPr>
          <w:rFonts w:ascii="Book Antiqua" w:hAnsi="Book Antiqua"/>
          <w:sz w:val="24"/>
          <w:szCs w:val="24"/>
        </w:rPr>
        <w:t xml:space="preserve">), and gastric bypass (15.0%). </w:t>
      </w:r>
      <w:r w:rsidRPr="001E630E">
        <w:rPr>
          <w:rFonts w:ascii="Book Antiqua" w:hAnsi="Book Antiqua"/>
          <w:sz w:val="24"/>
          <w:szCs w:val="24"/>
        </w:rPr>
        <w:t>Other indications included gynecologic issues (13%), a gastrointestinal bleed or disorder other than IBD (9%), and hematologic malignancies or disorders (8%)</w:t>
      </w:r>
      <w:r>
        <w:rPr>
          <w:rFonts w:ascii="Book Antiqua" w:hAnsi="Book Antiqua"/>
          <w:sz w:val="24"/>
          <w:szCs w:val="24"/>
          <w:lang w:eastAsia="zh-CN"/>
        </w:rPr>
        <w:t xml:space="preserve"> </w:t>
      </w:r>
      <w:r w:rsidRPr="001E630E">
        <w:rPr>
          <w:rFonts w:ascii="Book Antiqua" w:hAnsi="Book Antiqua"/>
          <w:sz w:val="24"/>
          <w:szCs w:val="24"/>
        </w:rPr>
        <w:t>(Table</w:t>
      </w:r>
      <w:r>
        <w:rPr>
          <w:rFonts w:ascii="Book Antiqua" w:hAnsi="Book Antiqua"/>
          <w:sz w:val="24"/>
          <w:szCs w:val="24"/>
          <w:lang w:eastAsia="zh-CN"/>
        </w:rPr>
        <w:t>s</w:t>
      </w:r>
      <w:r w:rsidRPr="001E630E">
        <w:rPr>
          <w:rFonts w:ascii="Book Antiqua" w:hAnsi="Book Antiqua"/>
          <w:sz w:val="24"/>
          <w:szCs w:val="24"/>
        </w:rPr>
        <w:t xml:space="preserve"> 1,</w:t>
      </w:r>
      <w:r>
        <w:rPr>
          <w:rFonts w:ascii="Book Antiqua" w:hAnsi="Book Antiqua"/>
          <w:sz w:val="24"/>
          <w:szCs w:val="24"/>
          <w:lang w:eastAsia="zh-CN"/>
        </w:rPr>
        <w:t xml:space="preserve"> </w:t>
      </w:r>
      <w:r w:rsidRPr="001E630E">
        <w:rPr>
          <w:rFonts w:ascii="Book Antiqua" w:hAnsi="Book Antiqua"/>
          <w:sz w:val="24"/>
          <w:szCs w:val="24"/>
        </w:rPr>
        <w:t xml:space="preserve">2). </w:t>
      </w:r>
    </w:p>
    <w:p w:rsidR="007048F2" w:rsidRPr="001E630E" w:rsidRDefault="007048F2" w:rsidP="00A324DC">
      <w:pPr>
        <w:spacing w:after="0" w:line="360" w:lineRule="auto"/>
        <w:ind w:firstLineChars="100" w:firstLine="240"/>
        <w:jc w:val="both"/>
        <w:rPr>
          <w:rFonts w:ascii="Book Antiqua" w:hAnsi="Book Antiqua"/>
          <w:sz w:val="24"/>
          <w:szCs w:val="24"/>
          <w:lang w:eastAsia="zh-CN"/>
        </w:rPr>
      </w:pPr>
      <w:r w:rsidRPr="001E630E">
        <w:rPr>
          <w:rFonts w:ascii="Book Antiqua" w:hAnsi="Book Antiqua"/>
          <w:sz w:val="24"/>
          <w:szCs w:val="24"/>
        </w:rPr>
        <w:t>Of the 262 patients who received IV iron, 230 received iron sucros</w:t>
      </w:r>
      <w:r>
        <w:rPr>
          <w:rFonts w:ascii="Book Antiqua" w:hAnsi="Book Antiqua"/>
          <w:sz w:val="24"/>
          <w:szCs w:val="24"/>
        </w:rPr>
        <w:t>e and 36 received iron dextran.</w:t>
      </w:r>
      <w:r w:rsidRPr="001E630E">
        <w:rPr>
          <w:rFonts w:ascii="Book Antiqua" w:hAnsi="Book Antiqua"/>
          <w:sz w:val="24"/>
          <w:szCs w:val="24"/>
        </w:rPr>
        <w:t xml:space="preserve"> While doses of 100, 200, 300, and 400</w:t>
      </w:r>
      <w:r>
        <w:rPr>
          <w:rFonts w:ascii="Book Antiqua" w:hAnsi="Book Antiqua"/>
          <w:sz w:val="24"/>
          <w:szCs w:val="24"/>
          <w:lang w:eastAsia="zh-CN"/>
        </w:rPr>
        <w:t xml:space="preserve"> </w:t>
      </w:r>
      <w:r w:rsidRPr="001E630E">
        <w:rPr>
          <w:rFonts w:ascii="Book Antiqua" w:hAnsi="Book Antiqua"/>
          <w:sz w:val="24"/>
          <w:szCs w:val="24"/>
        </w:rPr>
        <w:t>mg of iron sucrose were given, 100 and 200</w:t>
      </w:r>
      <w:r>
        <w:rPr>
          <w:rFonts w:ascii="Book Antiqua" w:hAnsi="Book Antiqua"/>
          <w:sz w:val="24"/>
          <w:szCs w:val="24"/>
          <w:lang w:eastAsia="zh-CN"/>
        </w:rPr>
        <w:t xml:space="preserve"> </w:t>
      </w:r>
      <w:r w:rsidRPr="001E630E">
        <w:rPr>
          <w:rFonts w:ascii="Book Antiqua" w:hAnsi="Book Antiqua"/>
          <w:sz w:val="24"/>
          <w:szCs w:val="24"/>
        </w:rPr>
        <w:t xml:space="preserve">mg were by far the most common dosages used, 122 and 120 times, respectively.  The number of dosages of iron sucrose given ranged from 1 to 46, with a mean </w:t>
      </w:r>
      <w:r>
        <w:rPr>
          <w:rFonts w:ascii="Book Antiqua" w:hAnsi="Book Antiqua"/>
          <w:sz w:val="24"/>
          <w:szCs w:val="24"/>
        </w:rPr>
        <w:t>of 5.5 and a median of 4 doses.</w:t>
      </w:r>
      <w:r w:rsidRPr="001E630E">
        <w:rPr>
          <w:rFonts w:ascii="Book Antiqua" w:hAnsi="Book Antiqua"/>
          <w:sz w:val="24"/>
          <w:szCs w:val="24"/>
        </w:rPr>
        <w:t xml:space="preserve"> The average dose of iron dextran given was 870.5</w:t>
      </w:r>
      <w:r>
        <w:rPr>
          <w:rFonts w:ascii="Book Antiqua" w:hAnsi="Book Antiqua"/>
          <w:sz w:val="24"/>
          <w:szCs w:val="24"/>
          <w:lang w:eastAsia="zh-CN"/>
        </w:rPr>
        <w:t xml:space="preserve"> </w:t>
      </w:r>
      <w:r w:rsidRPr="001E630E">
        <w:rPr>
          <w:rFonts w:ascii="Book Antiqua" w:hAnsi="Book Antiqua"/>
          <w:sz w:val="24"/>
          <w:szCs w:val="24"/>
        </w:rPr>
        <w:t>mg, with 1000mg bein</w:t>
      </w:r>
      <w:r>
        <w:rPr>
          <w:rFonts w:ascii="Book Antiqua" w:hAnsi="Book Antiqua"/>
          <w:sz w:val="24"/>
          <w:szCs w:val="24"/>
        </w:rPr>
        <w:t xml:space="preserve">g the most common dosage used. </w:t>
      </w:r>
      <w:r w:rsidRPr="001E630E">
        <w:rPr>
          <w:rFonts w:ascii="Book Antiqua" w:hAnsi="Book Antiqua"/>
          <w:sz w:val="24"/>
          <w:szCs w:val="24"/>
        </w:rPr>
        <w:t>Most patients (22 of 36) who received iron dextran only received one dose</w:t>
      </w:r>
      <w:r>
        <w:rPr>
          <w:rFonts w:ascii="Book Antiqua" w:hAnsi="Book Antiqua"/>
          <w:sz w:val="24"/>
          <w:szCs w:val="24"/>
          <w:lang w:eastAsia="zh-CN"/>
        </w:rPr>
        <w:t>.</w:t>
      </w:r>
    </w:p>
    <w:p w:rsidR="007048F2" w:rsidRPr="001E630E" w:rsidRDefault="007048F2" w:rsidP="001E630E">
      <w:pPr>
        <w:spacing w:after="0" w:line="360" w:lineRule="auto"/>
        <w:jc w:val="both"/>
        <w:rPr>
          <w:rFonts w:ascii="Book Antiqua" w:hAnsi="Book Antiqua"/>
          <w:sz w:val="24"/>
          <w:szCs w:val="24"/>
        </w:rPr>
      </w:pPr>
    </w:p>
    <w:p w:rsidR="007048F2" w:rsidRPr="00A324DC" w:rsidRDefault="007048F2" w:rsidP="001E630E">
      <w:pPr>
        <w:spacing w:after="0" w:line="360" w:lineRule="auto"/>
        <w:jc w:val="both"/>
        <w:rPr>
          <w:rFonts w:ascii="Book Antiqua" w:hAnsi="Book Antiqua"/>
          <w:b/>
          <w:sz w:val="24"/>
          <w:szCs w:val="24"/>
          <w:lang w:eastAsia="zh-CN"/>
        </w:rPr>
      </w:pPr>
      <w:r>
        <w:rPr>
          <w:rFonts w:ascii="Book Antiqua" w:hAnsi="Book Antiqua"/>
          <w:b/>
          <w:sz w:val="24"/>
          <w:szCs w:val="24"/>
        </w:rPr>
        <w:t>CONCLUSION</w:t>
      </w:r>
    </w:p>
    <w:p w:rsidR="007048F2" w:rsidRPr="001E630E" w:rsidRDefault="007048F2" w:rsidP="001E630E">
      <w:pPr>
        <w:spacing w:after="0" w:line="360" w:lineRule="auto"/>
        <w:jc w:val="both"/>
        <w:rPr>
          <w:rFonts w:ascii="Book Antiqua" w:hAnsi="Book Antiqua"/>
          <w:sz w:val="24"/>
          <w:szCs w:val="24"/>
        </w:rPr>
      </w:pPr>
      <w:r w:rsidRPr="001E630E">
        <w:rPr>
          <w:rFonts w:ascii="Book Antiqua" w:hAnsi="Book Antiqua"/>
          <w:sz w:val="24"/>
          <w:szCs w:val="24"/>
        </w:rPr>
        <w:t xml:space="preserve">While we expect IV iron to continue to be used for traditional indications, such as CKD and conditions associated with malignancies, we also expect to see a rise in its use for emerging indications, such as in patients status post gastric bypass procedures and in patients with IBD.  Our study supports this claim, as 35% of the patients who received IV iron at our institution received it for one of </w:t>
      </w:r>
      <w:r>
        <w:rPr>
          <w:rFonts w:ascii="Book Antiqua" w:hAnsi="Book Antiqua"/>
          <w:sz w:val="24"/>
          <w:szCs w:val="24"/>
        </w:rPr>
        <w:t>these two emerging indications.</w:t>
      </w:r>
      <w:r w:rsidRPr="001E630E">
        <w:rPr>
          <w:rFonts w:ascii="Book Antiqua" w:hAnsi="Book Antiqua"/>
          <w:sz w:val="24"/>
          <w:szCs w:val="24"/>
        </w:rPr>
        <w:t xml:space="preserve"> Large studies have demonstrated the safety of iron dextran, and iron sucrose appears to</w:t>
      </w:r>
      <w:r>
        <w:rPr>
          <w:rFonts w:ascii="Book Antiqua" w:hAnsi="Book Antiqua"/>
          <w:sz w:val="24"/>
          <w:szCs w:val="24"/>
        </w:rPr>
        <w:t xml:space="preserve"> be an even safer alternative. </w:t>
      </w:r>
      <w:r w:rsidRPr="001E630E">
        <w:rPr>
          <w:rFonts w:ascii="Book Antiqua" w:hAnsi="Book Antiqua"/>
          <w:sz w:val="24"/>
          <w:szCs w:val="24"/>
        </w:rPr>
        <w:t xml:space="preserve">IV iron avoids many of the downsides of oral supplementation, such as decreased GI tolerance, absorption issues, and the ability to correct the </w:t>
      </w:r>
      <w:r w:rsidRPr="001E630E">
        <w:rPr>
          <w:rFonts w:ascii="Book Antiqua" w:hAnsi="Book Antiqua"/>
          <w:sz w:val="24"/>
          <w:szCs w:val="24"/>
        </w:rPr>
        <w:lastRenderedPageBreak/>
        <w:t xml:space="preserve">deficiency with a short course of treatments, as opposed to long-term oral repletion.  IV iron in combination with EPO has also been shown to decrease the need for blood transfusions.  While oral iron remains front-line therapy for IDA, we expect to see IV iron used sooner in the course of treatment for GI-related </w:t>
      </w:r>
      <w:r>
        <w:rPr>
          <w:rFonts w:ascii="Book Antiqua" w:hAnsi="Book Antiqua"/>
          <w:sz w:val="24"/>
          <w:szCs w:val="24"/>
        </w:rPr>
        <w:t>deficiencies.</w:t>
      </w:r>
      <w:r>
        <w:rPr>
          <w:rFonts w:ascii="Book Antiqua" w:hAnsi="Book Antiqua"/>
          <w:sz w:val="24"/>
          <w:szCs w:val="24"/>
          <w:lang w:eastAsia="zh-CN"/>
        </w:rPr>
        <w:t xml:space="preserve"> </w:t>
      </w:r>
      <w:r w:rsidRPr="001E630E">
        <w:rPr>
          <w:rFonts w:ascii="Book Antiqua" w:hAnsi="Book Antiqua"/>
          <w:sz w:val="24"/>
          <w:szCs w:val="24"/>
        </w:rPr>
        <w:t>This issue is likely to become more important in the future, as increasing numbers of patients undergo gastric bypass procedures and the prevalence of IBD continues to rise</w:t>
      </w:r>
      <w:r w:rsidRPr="001E630E">
        <w:rPr>
          <w:rFonts w:ascii="Book Antiqua" w:hAnsi="Book Antiqua"/>
          <w:sz w:val="24"/>
          <w:szCs w:val="24"/>
          <w:vertAlign w:val="superscript"/>
        </w:rPr>
        <w:t>[26]</w:t>
      </w:r>
      <w:r w:rsidRPr="001E630E">
        <w:rPr>
          <w:rFonts w:ascii="Book Antiqua" w:hAnsi="Book Antiqua"/>
          <w:sz w:val="24"/>
          <w:szCs w:val="24"/>
        </w:rPr>
        <w:t xml:space="preserve">. </w:t>
      </w:r>
    </w:p>
    <w:p w:rsidR="007048F2" w:rsidRPr="001E630E" w:rsidRDefault="007048F2" w:rsidP="001E630E">
      <w:pPr>
        <w:spacing w:after="0" w:line="360" w:lineRule="auto"/>
        <w:jc w:val="both"/>
        <w:rPr>
          <w:rFonts w:ascii="Book Antiqua" w:hAnsi="Book Antiqua"/>
          <w:sz w:val="24"/>
          <w:szCs w:val="24"/>
        </w:rPr>
      </w:pPr>
    </w:p>
    <w:p w:rsidR="007048F2" w:rsidRPr="001E630E" w:rsidRDefault="007048F2" w:rsidP="001E630E">
      <w:pPr>
        <w:spacing w:after="0" w:line="360" w:lineRule="auto"/>
        <w:jc w:val="both"/>
        <w:rPr>
          <w:rFonts w:ascii="Book Antiqua" w:hAnsi="Book Antiqua"/>
          <w:sz w:val="24"/>
          <w:szCs w:val="24"/>
        </w:rPr>
      </w:pPr>
    </w:p>
    <w:p w:rsidR="007048F2" w:rsidRPr="00C02323" w:rsidRDefault="007048F2" w:rsidP="00C02323">
      <w:pPr>
        <w:spacing w:after="0" w:line="360" w:lineRule="auto"/>
        <w:jc w:val="both"/>
        <w:rPr>
          <w:rFonts w:ascii="Book Antiqua" w:hAnsi="Book Antiqua"/>
          <w:b/>
          <w:sz w:val="24"/>
          <w:szCs w:val="24"/>
        </w:rPr>
      </w:pPr>
      <w:r w:rsidRPr="00C02323">
        <w:rPr>
          <w:rFonts w:ascii="Book Antiqua" w:hAnsi="Book Antiqua"/>
          <w:b/>
          <w:sz w:val="24"/>
          <w:szCs w:val="24"/>
        </w:rPr>
        <w:t>REFERENCES</w:t>
      </w:r>
    </w:p>
    <w:p w:rsidR="007048F2" w:rsidRPr="00C02323" w:rsidRDefault="007048F2" w:rsidP="00C02323">
      <w:pPr>
        <w:spacing w:after="0" w:line="360" w:lineRule="auto"/>
        <w:jc w:val="both"/>
        <w:rPr>
          <w:rFonts w:ascii="Book Antiqua" w:hAnsi="Book Antiqua" w:cs="宋体"/>
          <w:sz w:val="24"/>
          <w:szCs w:val="24"/>
          <w:lang w:eastAsia="zh-CN"/>
        </w:rPr>
      </w:pPr>
      <w:r w:rsidRPr="00C02323">
        <w:rPr>
          <w:rFonts w:ascii="Book Antiqua" w:hAnsi="Book Antiqua" w:cs="宋体"/>
          <w:sz w:val="24"/>
          <w:szCs w:val="24"/>
          <w:lang w:eastAsia="zh-CN"/>
        </w:rPr>
        <w:t>1 Mu</w:t>
      </w:r>
      <w:r w:rsidRPr="00C02323">
        <w:rPr>
          <w:rFonts w:ascii="Book Antiqua" w:hAnsi="Book Antiqua" w:cs="Arial Unicode MS"/>
          <w:sz w:val="24"/>
          <w:szCs w:val="24"/>
          <w:lang w:eastAsia="zh-CN"/>
        </w:rPr>
        <w:t>ñ</w:t>
      </w:r>
      <w:r w:rsidRPr="00C02323">
        <w:rPr>
          <w:rFonts w:ascii="Book Antiqua" w:hAnsi="Book Antiqua" w:cs="宋体"/>
          <w:sz w:val="24"/>
          <w:szCs w:val="24"/>
          <w:lang w:eastAsia="zh-CN"/>
        </w:rPr>
        <w:t>oz M, Breymann C, Garc</w:t>
      </w:r>
      <w:r w:rsidRPr="00C02323">
        <w:rPr>
          <w:rFonts w:ascii="Book Antiqua" w:hAnsi="Book Antiqua" w:cs="Arial Unicode MS"/>
          <w:sz w:val="24"/>
          <w:szCs w:val="24"/>
          <w:lang w:eastAsia="zh-CN"/>
        </w:rPr>
        <w:t>í</w:t>
      </w:r>
      <w:r w:rsidRPr="00C02323">
        <w:rPr>
          <w:rFonts w:ascii="Book Antiqua" w:hAnsi="Book Antiqua" w:cs="宋体"/>
          <w:sz w:val="24"/>
          <w:szCs w:val="24"/>
          <w:lang w:eastAsia="zh-CN"/>
        </w:rPr>
        <w:t>a-Erce JA, G</w:t>
      </w:r>
      <w:r w:rsidRPr="00C02323">
        <w:rPr>
          <w:rFonts w:ascii="Book Antiqua" w:hAnsi="Book Antiqua" w:cs="Arial Unicode MS"/>
          <w:sz w:val="24"/>
          <w:szCs w:val="24"/>
          <w:lang w:eastAsia="zh-CN"/>
        </w:rPr>
        <w:t>ó</w:t>
      </w:r>
      <w:r w:rsidRPr="00C02323">
        <w:rPr>
          <w:rFonts w:ascii="Book Antiqua" w:hAnsi="Book Antiqua" w:cs="宋体"/>
          <w:sz w:val="24"/>
          <w:szCs w:val="24"/>
          <w:lang w:eastAsia="zh-CN"/>
        </w:rPr>
        <w:t>mez-Ram</w:t>
      </w:r>
      <w:r w:rsidRPr="00C02323">
        <w:rPr>
          <w:rFonts w:ascii="Book Antiqua" w:hAnsi="Book Antiqua" w:cs="Arial Unicode MS"/>
          <w:sz w:val="24"/>
          <w:szCs w:val="24"/>
          <w:lang w:eastAsia="zh-CN"/>
        </w:rPr>
        <w:t>í</w:t>
      </w:r>
      <w:r w:rsidRPr="00C02323">
        <w:rPr>
          <w:rFonts w:ascii="Book Antiqua" w:hAnsi="Book Antiqua" w:cs="宋体"/>
          <w:sz w:val="24"/>
          <w:szCs w:val="24"/>
          <w:lang w:eastAsia="zh-CN"/>
        </w:rPr>
        <w:t xml:space="preserve">rez S, Comin J, Bisbe E. Efficacy and safety of intravenous iron therapy as an alternative/adjunct to allogeneic blood transfusion. </w:t>
      </w:r>
      <w:r w:rsidRPr="00C02323">
        <w:rPr>
          <w:rFonts w:ascii="Book Antiqua" w:hAnsi="Book Antiqua" w:cs="宋体"/>
          <w:i/>
          <w:sz w:val="24"/>
          <w:szCs w:val="24"/>
          <w:lang w:eastAsia="zh-CN"/>
        </w:rPr>
        <w:t>Vox Sang</w:t>
      </w:r>
      <w:r w:rsidRPr="00C02323">
        <w:rPr>
          <w:rFonts w:ascii="Book Antiqua" w:hAnsi="Book Antiqua" w:cs="宋体"/>
          <w:sz w:val="24"/>
          <w:szCs w:val="24"/>
          <w:lang w:eastAsia="zh-CN"/>
        </w:rPr>
        <w:t xml:space="preserve"> 2008; </w:t>
      </w:r>
      <w:r w:rsidRPr="00C02323">
        <w:rPr>
          <w:rFonts w:ascii="Book Antiqua" w:hAnsi="Book Antiqua" w:cs="宋体"/>
          <w:b/>
          <w:sz w:val="24"/>
          <w:szCs w:val="24"/>
          <w:lang w:eastAsia="zh-CN"/>
        </w:rPr>
        <w:t>94:</w:t>
      </w:r>
      <w:r w:rsidRPr="00C02323">
        <w:rPr>
          <w:rFonts w:ascii="Book Antiqua" w:hAnsi="Book Antiqua" w:cs="宋体"/>
          <w:sz w:val="24"/>
          <w:szCs w:val="24"/>
          <w:lang w:eastAsia="zh-CN"/>
        </w:rPr>
        <w:t xml:space="preserve"> 172-83 [PMID</w:t>
      </w:r>
      <w:r>
        <w:rPr>
          <w:rFonts w:ascii="Book Antiqua" w:hAnsi="Book Antiqua" w:cs="宋体"/>
          <w:sz w:val="24"/>
          <w:szCs w:val="24"/>
          <w:lang w:eastAsia="zh-CN"/>
        </w:rPr>
        <w:t>:</w:t>
      </w:r>
      <w:r w:rsidRPr="00C02323">
        <w:rPr>
          <w:rFonts w:ascii="Book Antiqua" w:hAnsi="Book Antiqua" w:cs="宋体"/>
          <w:sz w:val="24"/>
          <w:szCs w:val="24"/>
          <w:lang w:eastAsia="zh-CN"/>
        </w:rPr>
        <w:t xml:space="preserve"> 18069918 DOI: 10.1111/j.1423-0410.2007.01014.x]</w:t>
      </w:r>
    </w:p>
    <w:p w:rsidR="007048F2" w:rsidRPr="00C02323" w:rsidRDefault="007048F2" w:rsidP="00C02323">
      <w:pPr>
        <w:spacing w:after="0" w:line="360" w:lineRule="auto"/>
        <w:jc w:val="both"/>
        <w:rPr>
          <w:rFonts w:ascii="Book Antiqua" w:hAnsi="Book Antiqua" w:cs="宋体"/>
          <w:sz w:val="24"/>
          <w:szCs w:val="24"/>
          <w:lang w:eastAsia="zh-CN"/>
        </w:rPr>
      </w:pPr>
      <w:r w:rsidRPr="00C02323">
        <w:rPr>
          <w:rFonts w:ascii="Book Antiqua" w:hAnsi="Book Antiqua" w:cs="宋体"/>
          <w:sz w:val="24"/>
          <w:szCs w:val="24"/>
          <w:lang w:eastAsia="zh-CN"/>
        </w:rPr>
        <w:t>2 </w:t>
      </w:r>
      <w:r w:rsidRPr="00C02323">
        <w:rPr>
          <w:rFonts w:ascii="Book Antiqua" w:hAnsi="Book Antiqua" w:cs="宋体"/>
          <w:b/>
          <w:bCs/>
          <w:sz w:val="24"/>
          <w:szCs w:val="24"/>
          <w:lang w:eastAsia="zh-CN"/>
        </w:rPr>
        <w:t>Kapoian T</w:t>
      </w:r>
      <w:r w:rsidRPr="00C02323">
        <w:rPr>
          <w:rFonts w:ascii="Book Antiqua" w:hAnsi="Book Antiqua" w:cs="宋体"/>
          <w:sz w:val="24"/>
          <w:szCs w:val="24"/>
          <w:lang w:eastAsia="zh-CN"/>
        </w:rPr>
        <w:t>, O'Mara NB, Singh AK, Moran J, Rizkala AR, Geronemus R, Kopelman RC, Dahl NV, Coyne DW. Ferric gluconate reduces epoetin requirements in hemodialysis patients with elevated ferritin. </w:t>
      </w:r>
      <w:r w:rsidRPr="00C02323">
        <w:rPr>
          <w:rFonts w:ascii="Book Antiqua" w:hAnsi="Book Antiqua" w:cs="宋体"/>
          <w:i/>
          <w:iCs/>
          <w:sz w:val="24"/>
          <w:szCs w:val="24"/>
          <w:lang w:eastAsia="zh-CN"/>
        </w:rPr>
        <w:t>J Am Soc Nephrol</w:t>
      </w:r>
      <w:r w:rsidRPr="00C02323">
        <w:rPr>
          <w:rFonts w:ascii="Book Antiqua" w:hAnsi="Book Antiqua" w:cs="宋体"/>
          <w:sz w:val="24"/>
          <w:szCs w:val="24"/>
          <w:lang w:eastAsia="zh-CN"/>
        </w:rPr>
        <w:t> 2008; </w:t>
      </w:r>
      <w:r w:rsidRPr="00C02323">
        <w:rPr>
          <w:rFonts w:ascii="Book Antiqua" w:hAnsi="Book Antiqua" w:cs="宋体"/>
          <w:b/>
          <w:bCs/>
          <w:sz w:val="24"/>
          <w:szCs w:val="24"/>
          <w:lang w:eastAsia="zh-CN"/>
        </w:rPr>
        <w:t>19</w:t>
      </w:r>
      <w:r w:rsidRPr="00C02323">
        <w:rPr>
          <w:rFonts w:ascii="Book Antiqua" w:hAnsi="Book Antiqua" w:cs="宋体"/>
          <w:sz w:val="24"/>
          <w:szCs w:val="24"/>
          <w:lang w:eastAsia="zh-CN"/>
        </w:rPr>
        <w:t>: 372-379 [PMID: 18216316 DOI: 10.1681/ASN.2007050606]</w:t>
      </w:r>
    </w:p>
    <w:p w:rsidR="007048F2" w:rsidRPr="00C02323" w:rsidRDefault="007048F2" w:rsidP="00C02323">
      <w:pPr>
        <w:spacing w:after="0" w:line="360" w:lineRule="auto"/>
        <w:jc w:val="both"/>
        <w:rPr>
          <w:rFonts w:ascii="Book Antiqua" w:hAnsi="Book Antiqua" w:cs="宋体"/>
          <w:sz w:val="24"/>
          <w:szCs w:val="24"/>
          <w:lang w:eastAsia="zh-CN"/>
        </w:rPr>
      </w:pPr>
      <w:r w:rsidRPr="00C02323">
        <w:rPr>
          <w:rFonts w:ascii="Book Antiqua" w:hAnsi="Book Antiqua" w:cs="宋体"/>
          <w:sz w:val="24"/>
          <w:szCs w:val="24"/>
          <w:lang w:eastAsia="zh-CN"/>
        </w:rPr>
        <w:t>3 </w:t>
      </w:r>
      <w:r w:rsidRPr="00C02323">
        <w:rPr>
          <w:rFonts w:ascii="Book Antiqua" w:hAnsi="Book Antiqua" w:cs="宋体"/>
          <w:b/>
          <w:bCs/>
          <w:sz w:val="24"/>
          <w:szCs w:val="24"/>
          <w:lang w:eastAsia="zh-CN"/>
        </w:rPr>
        <w:t>Fishbane S</w:t>
      </w:r>
      <w:r w:rsidRPr="00C02323">
        <w:rPr>
          <w:rFonts w:ascii="Book Antiqua" w:hAnsi="Book Antiqua" w:cs="宋体"/>
          <w:sz w:val="24"/>
          <w:szCs w:val="24"/>
          <w:lang w:eastAsia="zh-CN"/>
        </w:rPr>
        <w:t>, Ungureanu VD, Maesaka JK, Kaupke CJ, Lim V, Wish J. The safety of intravenous iron dextran in hemodialysis patients. </w:t>
      </w:r>
      <w:r w:rsidRPr="00C02323">
        <w:rPr>
          <w:rFonts w:ascii="Book Antiqua" w:hAnsi="Book Antiqua" w:cs="宋体"/>
          <w:i/>
          <w:iCs/>
          <w:sz w:val="24"/>
          <w:szCs w:val="24"/>
          <w:lang w:eastAsia="zh-CN"/>
        </w:rPr>
        <w:t>Am J Kidney Dis</w:t>
      </w:r>
      <w:r w:rsidRPr="00C02323">
        <w:rPr>
          <w:rFonts w:ascii="Book Antiqua" w:hAnsi="Book Antiqua" w:cs="宋体"/>
          <w:sz w:val="24"/>
          <w:szCs w:val="24"/>
          <w:lang w:eastAsia="zh-CN"/>
        </w:rPr>
        <w:t> 1996; </w:t>
      </w:r>
      <w:r w:rsidRPr="00C02323">
        <w:rPr>
          <w:rFonts w:ascii="Book Antiqua" w:hAnsi="Book Antiqua" w:cs="宋体"/>
          <w:b/>
          <w:bCs/>
          <w:sz w:val="24"/>
          <w:szCs w:val="24"/>
          <w:lang w:eastAsia="zh-CN"/>
        </w:rPr>
        <w:t>28</w:t>
      </w:r>
      <w:r w:rsidRPr="00C02323">
        <w:rPr>
          <w:rFonts w:ascii="Book Antiqua" w:hAnsi="Book Antiqua" w:cs="宋体"/>
          <w:sz w:val="24"/>
          <w:szCs w:val="24"/>
          <w:lang w:eastAsia="zh-CN"/>
        </w:rPr>
        <w:t>: 529-534 [PMID: 8840942 DOI: 10.1016/S0272-6386(96)90463-1]</w:t>
      </w:r>
    </w:p>
    <w:p w:rsidR="007048F2" w:rsidRPr="00C02323" w:rsidRDefault="007048F2" w:rsidP="00C02323">
      <w:pPr>
        <w:spacing w:after="0" w:line="360" w:lineRule="auto"/>
        <w:jc w:val="both"/>
        <w:rPr>
          <w:rFonts w:ascii="Book Antiqua" w:hAnsi="Book Antiqua" w:cs="宋体"/>
          <w:sz w:val="24"/>
          <w:szCs w:val="24"/>
          <w:lang w:eastAsia="zh-CN"/>
        </w:rPr>
      </w:pPr>
      <w:r w:rsidRPr="00C02323">
        <w:rPr>
          <w:rFonts w:ascii="Book Antiqua" w:hAnsi="Book Antiqua" w:cs="宋体"/>
          <w:sz w:val="24"/>
          <w:szCs w:val="24"/>
          <w:lang w:eastAsia="zh-CN"/>
        </w:rPr>
        <w:t>4 </w:t>
      </w:r>
      <w:r w:rsidRPr="00C02323">
        <w:rPr>
          <w:rFonts w:ascii="Book Antiqua" w:hAnsi="Book Antiqua" w:cs="宋体"/>
          <w:b/>
          <w:bCs/>
          <w:sz w:val="24"/>
          <w:szCs w:val="24"/>
          <w:lang w:eastAsia="zh-CN"/>
        </w:rPr>
        <w:t>Sinha S</w:t>
      </w:r>
      <w:r w:rsidRPr="00C02323">
        <w:rPr>
          <w:rFonts w:ascii="Book Antiqua" w:hAnsi="Book Antiqua" w:cs="宋体"/>
          <w:sz w:val="24"/>
          <w:szCs w:val="24"/>
          <w:lang w:eastAsia="zh-CN"/>
        </w:rPr>
        <w:t>, Chiu DY, Peebles G, Kolakkat S, Lamerton E, Fenwick S, Kalra PA. Comparison of intravenous iron sucrose versus low-molecular-weight iron dextran in chronic kidney disease. </w:t>
      </w:r>
      <w:r w:rsidRPr="00C02323">
        <w:rPr>
          <w:rFonts w:ascii="Book Antiqua" w:hAnsi="Book Antiqua" w:cs="宋体"/>
          <w:i/>
          <w:iCs/>
          <w:sz w:val="24"/>
          <w:szCs w:val="24"/>
          <w:lang w:eastAsia="zh-CN"/>
        </w:rPr>
        <w:t>J Ren Care</w:t>
      </w:r>
      <w:r w:rsidRPr="00C02323">
        <w:rPr>
          <w:rFonts w:ascii="Book Antiqua" w:hAnsi="Book Antiqua" w:cs="宋体"/>
          <w:sz w:val="24"/>
          <w:szCs w:val="24"/>
          <w:lang w:eastAsia="zh-CN"/>
        </w:rPr>
        <w:t> 2009; </w:t>
      </w:r>
      <w:r w:rsidRPr="00C02323">
        <w:rPr>
          <w:rFonts w:ascii="Book Antiqua" w:hAnsi="Book Antiqua" w:cs="宋体"/>
          <w:b/>
          <w:bCs/>
          <w:sz w:val="24"/>
          <w:szCs w:val="24"/>
          <w:lang w:eastAsia="zh-CN"/>
        </w:rPr>
        <w:t>35</w:t>
      </w:r>
      <w:r w:rsidRPr="00C02323">
        <w:rPr>
          <w:rFonts w:ascii="Book Antiqua" w:hAnsi="Book Antiqua" w:cs="宋体"/>
          <w:sz w:val="24"/>
          <w:szCs w:val="24"/>
          <w:lang w:eastAsia="zh-CN"/>
        </w:rPr>
        <w:t>: 67-73 [PMID: 19432851 DOI: 10.1111/j.1755-6686.2009.00099.x]</w:t>
      </w:r>
    </w:p>
    <w:p w:rsidR="007048F2" w:rsidRPr="00C02323" w:rsidRDefault="007048F2" w:rsidP="00C02323">
      <w:pPr>
        <w:spacing w:after="0" w:line="360" w:lineRule="auto"/>
        <w:jc w:val="both"/>
        <w:rPr>
          <w:rFonts w:ascii="Book Antiqua" w:hAnsi="Book Antiqua" w:cs="宋体"/>
          <w:sz w:val="24"/>
          <w:szCs w:val="24"/>
          <w:lang w:eastAsia="zh-CN"/>
        </w:rPr>
      </w:pPr>
      <w:r w:rsidRPr="00C02323">
        <w:rPr>
          <w:rFonts w:ascii="Book Antiqua" w:hAnsi="Book Antiqua" w:cs="宋体"/>
          <w:sz w:val="24"/>
          <w:szCs w:val="24"/>
          <w:lang w:eastAsia="zh-CN"/>
        </w:rPr>
        <w:t>5 </w:t>
      </w:r>
      <w:r w:rsidRPr="00C02323">
        <w:rPr>
          <w:rFonts w:ascii="Book Antiqua" w:hAnsi="Book Antiqua" w:cs="宋体"/>
          <w:b/>
          <w:bCs/>
          <w:sz w:val="24"/>
          <w:szCs w:val="24"/>
          <w:lang w:eastAsia="zh-CN"/>
        </w:rPr>
        <w:t>Okam MM</w:t>
      </w:r>
      <w:r w:rsidRPr="00C02323">
        <w:rPr>
          <w:rFonts w:ascii="Book Antiqua" w:hAnsi="Book Antiqua" w:cs="宋体"/>
          <w:sz w:val="24"/>
          <w:szCs w:val="24"/>
          <w:lang w:eastAsia="zh-CN"/>
        </w:rPr>
        <w:t>, Mandell E, Hevelone N, Wentz R, Ross A, Abel GA. Comparative rates of adverse events with different formulations of intravenous iron. </w:t>
      </w:r>
      <w:r w:rsidRPr="00C02323">
        <w:rPr>
          <w:rFonts w:ascii="Book Antiqua" w:hAnsi="Book Antiqua" w:cs="宋体"/>
          <w:i/>
          <w:iCs/>
          <w:sz w:val="24"/>
          <w:szCs w:val="24"/>
          <w:lang w:eastAsia="zh-CN"/>
        </w:rPr>
        <w:t>Am J Hematol</w:t>
      </w:r>
      <w:r w:rsidRPr="00C02323">
        <w:rPr>
          <w:rFonts w:ascii="Book Antiqua" w:hAnsi="Book Antiqua" w:cs="宋体"/>
          <w:sz w:val="24"/>
          <w:szCs w:val="24"/>
          <w:lang w:eastAsia="zh-CN"/>
        </w:rPr>
        <w:t> 2012; </w:t>
      </w:r>
      <w:r w:rsidRPr="00C02323">
        <w:rPr>
          <w:rFonts w:ascii="Book Antiqua" w:hAnsi="Book Antiqua" w:cs="宋体"/>
          <w:b/>
          <w:bCs/>
          <w:sz w:val="24"/>
          <w:szCs w:val="24"/>
          <w:lang w:eastAsia="zh-CN"/>
        </w:rPr>
        <w:t>87</w:t>
      </w:r>
      <w:r w:rsidRPr="00C02323">
        <w:rPr>
          <w:rFonts w:ascii="Book Antiqua" w:hAnsi="Book Antiqua" w:cs="宋体"/>
          <w:sz w:val="24"/>
          <w:szCs w:val="24"/>
          <w:lang w:eastAsia="zh-CN"/>
        </w:rPr>
        <w:t>: E123-E124 [PMID: 22965928 DOI: 10.1002/ajh.23322]</w:t>
      </w:r>
    </w:p>
    <w:p w:rsidR="007048F2" w:rsidRPr="00C02323" w:rsidRDefault="007048F2" w:rsidP="00C02323">
      <w:pPr>
        <w:spacing w:after="0" w:line="360" w:lineRule="auto"/>
        <w:jc w:val="both"/>
        <w:rPr>
          <w:rFonts w:ascii="Book Antiqua" w:hAnsi="Book Antiqua" w:cs="宋体"/>
          <w:sz w:val="24"/>
          <w:szCs w:val="24"/>
          <w:lang w:eastAsia="zh-CN"/>
        </w:rPr>
      </w:pPr>
      <w:r w:rsidRPr="00C02323">
        <w:rPr>
          <w:rFonts w:ascii="Book Antiqua" w:hAnsi="Book Antiqua" w:cs="宋体"/>
          <w:sz w:val="24"/>
          <w:szCs w:val="24"/>
          <w:lang w:eastAsia="zh-CN"/>
        </w:rPr>
        <w:lastRenderedPageBreak/>
        <w:t>6 </w:t>
      </w:r>
      <w:r w:rsidRPr="00C02323">
        <w:rPr>
          <w:rFonts w:ascii="Book Antiqua" w:hAnsi="Book Antiqua" w:cs="宋体"/>
          <w:b/>
          <w:bCs/>
          <w:sz w:val="24"/>
          <w:szCs w:val="24"/>
          <w:lang w:eastAsia="zh-CN"/>
        </w:rPr>
        <w:t>Wysowski DK</w:t>
      </w:r>
      <w:r w:rsidRPr="00C02323">
        <w:rPr>
          <w:rFonts w:ascii="Book Antiqua" w:hAnsi="Book Antiqua" w:cs="宋体"/>
          <w:sz w:val="24"/>
          <w:szCs w:val="24"/>
          <w:lang w:eastAsia="zh-CN"/>
        </w:rPr>
        <w:t>, Swartz L, Borders-Hemphill BV, Goulding MR, Dormitzer C. Use of parenteral iron products and serious anaphylactic-type reactions. </w:t>
      </w:r>
      <w:r w:rsidRPr="00C02323">
        <w:rPr>
          <w:rFonts w:ascii="Book Antiqua" w:hAnsi="Book Antiqua" w:cs="宋体"/>
          <w:i/>
          <w:iCs/>
          <w:sz w:val="24"/>
          <w:szCs w:val="24"/>
          <w:lang w:eastAsia="zh-CN"/>
        </w:rPr>
        <w:t>Am J Hematol</w:t>
      </w:r>
      <w:r w:rsidRPr="00C02323">
        <w:rPr>
          <w:rFonts w:ascii="Book Antiqua" w:hAnsi="Book Antiqua" w:cs="宋体"/>
          <w:sz w:val="24"/>
          <w:szCs w:val="24"/>
          <w:lang w:eastAsia="zh-CN"/>
        </w:rPr>
        <w:t> 2010; </w:t>
      </w:r>
      <w:r w:rsidRPr="00C02323">
        <w:rPr>
          <w:rFonts w:ascii="Book Antiqua" w:hAnsi="Book Antiqua" w:cs="宋体"/>
          <w:b/>
          <w:bCs/>
          <w:sz w:val="24"/>
          <w:szCs w:val="24"/>
          <w:lang w:eastAsia="zh-CN"/>
        </w:rPr>
        <w:t>85</w:t>
      </w:r>
      <w:r w:rsidRPr="00C02323">
        <w:rPr>
          <w:rFonts w:ascii="Book Antiqua" w:hAnsi="Book Antiqua" w:cs="宋体"/>
          <w:sz w:val="24"/>
          <w:szCs w:val="24"/>
          <w:lang w:eastAsia="zh-CN"/>
        </w:rPr>
        <w:t>: 650-654 [PMID: 20661919]</w:t>
      </w:r>
    </w:p>
    <w:p w:rsidR="007048F2" w:rsidRPr="00C02323" w:rsidRDefault="007048F2" w:rsidP="00C02323">
      <w:pPr>
        <w:spacing w:after="0" w:line="360" w:lineRule="auto"/>
        <w:jc w:val="both"/>
        <w:rPr>
          <w:rFonts w:ascii="Book Antiqua" w:hAnsi="Book Antiqua" w:cs="宋体"/>
          <w:sz w:val="24"/>
          <w:szCs w:val="24"/>
          <w:lang w:eastAsia="zh-CN"/>
        </w:rPr>
      </w:pPr>
      <w:r w:rsidRPr="00C02323">
        <w:rPr>
          <w:rFonts w:ascii="Book Antiqua" w:hAnsi="Book Antiqua" w:cs="宋体"/>
          <w:sz w:val="24"/>
          <w:szCs w:val="24"/>
          <w:lang w:eastAsia="zh-CN"/>
        </w:rPr>
        <w:t>7 </w:t>
      </w:r>
      <w:r w:rsidRPr="00C02323">
        <w:rPr>
          <w:rFonts w:ascii="Book Antiqua" w:hAnsi="Book Antiqua" w:cs="宋体"/>
          <w:b/>
          <w:bCs/>
          <w:sz w:val="24"/>
          <w:szCs w:val="24"/>
          <w:lang w:eastAsia="zh-CN"/>
        </w:rPr>
        <w:t>Faich G</w:t>
      </w:r>
      <w:r w:rsidRPr="00C02323">
        <w:rPr>
          <w:rFonts w:ascii="Book Antiqua" w:hAnsi="Book Antiqua" w:cs="宋体"/>
          <w:sz w:val="24"/>
          <w:szCs w:val="24"/>
          <w:lang w:eastAsia="zh-CN"/>
        </w:rPr>
        <w:t>, Strobos J. Sodium ferric gluconate complex in sucrose: safer intravenous iron therapy than iron dextrans. </w:t>
      </w:r>
      <w:r w:rsidRPr="00C02323">
        <w:rPr>
          <w:rFonts w:ascii="Book Antiqua" w:hAnsi="Book Antiqua" w:cs="宋体"/>
          <w:i/>
          <w:iCs/>
          <w:sz w:val="24"/>
          <w:szCs w:val="24"/>
          <w:lang w:eastAsia="zh-CN"/>
        </w:rPr>
        <w:t>Am J Kidney Dis</w:t>
      </w:r>
      <w:r w:rsidRPr="00C02323">
        <w:rPr>
          <w:rFonts w:ascii="Book Antiqua" w:hAnsi="Book Antiqua" w:cs="宋体"/>
          <w:sz w:val="24"/>
          <w:szCs w:val="24"/>
          <w:lang w:eastAsia="zh-CN"/>
        </w:rPr>
        <w:t> 1999; </w:t>
      </w:r>
      <w:r w:rsidRPr="00C02323">
        <w:rPr>
          <w:rFonts w:ascii="Book Antiqua" w:hAnsi="Book Antiqua" w:cs="宋体"/>
          <w:b/>
          <w:bCs/>
          <w:sz w:val="24"/>
          <w:szCs w:val="24"/>
          <w:lang w:eastAsia="zh-CN"/>
        </w:rPr>
        <w:t>33</w:t>
      </w:r>
      <w:r w:rsidRPr="00C02323">
        <w:rPr>
          <w:rFonts w:ascii="Book Antiqua" w:hAnsi="Book Antiqua" w:cs="宋体"/>
          <w:sz w:val="24"/>
          <w:szCs w:val="24"/>
          <w:lang w:eastAsia="zh-CN"/>
        </w:rPr>
        <w:t>: 464-470 [PMID: 10070910 DOI: 10.1016/S0272-6386(99)70183-6]</w:t>
      </w:r>
    </w:p>
    <w:p w:rsidR="007048F2" w:rsidRPr="00C02323" w:rsidRDefault="007048F2" w:rsidP="00C02323">
      <w:pPr>
        <w:spacing w:after="0" w:line="360" w:lineRule="auto"/>
        <w:jc w:val="both"/>
        <w:rPr>
          <w:rFonts w:ascii="Book Antiqua" w:hAnsi="Book Antiqua" w:cs="宋体"/>
          <w:sz w:val="24"/>
          <w:szCs w:val="24"/>
          <w:lang w:eastAsia="zh-CN"/>
        </w:rPr>
      </w:pPr>
      <w:r w:rsidRPr="00C02323">
        <w:rPr>
          <w:rFonts w:ascii="Book Antiqua" w:hAnsi="Book Antiqua" w:cs="宋体"/>
          <w:sz w:val="24"/>
          <w:szCs w:val="24"/>
          <w:lang w:eastAsia="zh-CN"/>
        </w:rPr>
        <w:t>8 </w:t>
      </w:r>
      <w:r w:rsidRPr="00C02323">
        <w:rPr>
          <w:rFonts w:ascii="Book Antiqua" w:hAnsi="Book Antiqua" w:cs="宋体"/>
          <w:b/>
          <w:bCs/>
          <w:sz w:val="24"/>
          <w:szCs w:val="24"/>
          <w:lang w:eastAsia="zh-CN"/>
        </w:rPr>
        <w:t>Amaral JF</w:t>
      </w:r>
      <w:r w:rsidRPr="00C02323">
        <w:rPr>
          <w:rFonts w:ascii="Book Antiqua" w:hAnsi="Book Antiqua" w:cs="宋体"/>
          <w:sz w:val="24"/>
          <w:szCs w:val="24"/>
          <w:lang w:eastAsia="zh-CN"/>
        </w:rPr>
        <w:t>, Thompson WR, Caldwell MD, Martin HF, Randall HT. Prospective hematologic evaluation of gastric exclusion surgery for morbid obesity. </w:t>
      </w:r>
      <w:r w:rsidRPr="00C02323">
        <w:rPr>
          <w:rFonts w:ascii="Book Antiqua" w:hAnsi="Book Antiqua" w:cs="宋体"/>
          <w:i/>
          <w:iCs/>
          <w:sz w:val="24"/>
          <w:szCs w:val="24"/>
          <w:lang w:eastAsia="zh-CN"/>
        </w:rPr>
        <w:t>Ann Surg</w:t>
      </w:r>
      <w:r w:rsidRPr="00C02323">
        <w:rPr>
          <w:rFonts w:ascii="Book Antiqua" w:hAnsi="Book Antiqua" w:cs="宋体"/>
          <w:sz w:val="24"/>
          <w:szCs w:val="24"/>
          <w:lang w:eastAsia="zh-CN"/>
        </w:rPr>
        <w:t> 1985; </w:t>
      </w:r>
      <w:r w:rsidRPr="00C02323">
        <w:rPr>
          <w:rFonts w:ascii="Book Antiqua" w:hAnsi="Book Antiqua" w:cs="宋体"/>
          <w:b/>
          <w:bCs/>
          <w:sz w:val="24"/>
          <w:szCs w:val="24"/>
          <w:lang w:eastAsia="zh-CN"/>
        </w:rPr>
        <w:t>201</w:t>
      </w:r>
      <w:r w:rsidRPr="00C02323">
        <w:rPr>
          <w:rFonts w:ascii="Book Antiqua" w:hAnsi="Book Antiqua" w:cs="宋体"/>
          <w:sz w:val="24"/>
          <w:szCs w:val="24"/>
          <w:lang w:eastAsia="zh-CN"/>
        </w:rPr>
        <w:t>: 186-193 [PMID: 3970598 DOI: 10.1097/00000658-198502000-00009]</w:t>
      </w:r>
    </w:p>
    <w:p w:rsidR="007048F2" w:rsidRPr="00C02323" w:rsidRDefault="007048F2" w:rsidP="00C02323">
      <w:pPr>
        <w:spacing w:after="0" w:line="360" w:lineRule="auto"/>
        <w:jc w:val="both"/>
        <w:rPr>
          <w:rFonts w:ascii="Book Antiqua" w:hAnsi="Book Antiqua" w:cs="宋体"/>
          <w:sz w:val="24"/>
          <w:szCs w:val="24"/>
          <w:lang w:eastAsia="zh-CN"/>
        </w:rPr>
      </w:pPr>
      <w:r w:rsidRPr="00C02323">
        <w:rPr>
          <w:rFonts w:ascii="Book Antiqua" w:hAnsi="Book Antiqua" w:cs="宋体"/>
          <w:sz w:val="24"/>
          <w:szCs w:val="24"/>
          <w:lang w:eastAsia="zh-CN"/>
        </w:rPr>
        <w:t>9 </w:t>
      </w:r>
      <w:r w:rsidRPr="00C02323">
        <w:rPr>
          <w:rFonts w:ascii="Book Antiqua" w:hAnsi="Book Antiqua" w:cs="宋体"/>
          <w:b/>
          <w:bCs/>
          <w:sz w:val="24"/>
          <w:szCs w:val="24"/>
          <w:lang w:eastAsia="zh-CN"/>
        </w:rPr>
        <w:t>Brolin RE</w:t>
      </w:r>
      <w:r w:rsidRPr="00C02323">
        <w:rPr>
          <w:rFonts w:ascii="Book Antiqua" w:hAnsi="Book Antiqua" w:cs="宋体"/>
          <w:sz w:val="24"/>
          <w:szCs w:val="24"/>
          <w:lang w:eastAsia="zh-CN"/>
        </w:rPr>
        <w:t>, Gorman JH, Gorman RC, Petschenik AJ, Bradley LJ, Kenler HA, Cody RP. Are vitamin B12 and folate deficiency clinically important after roux-en-Y gastric bypass? </w:t>
      </w:r>
      <w:r w:rsidRPr="00C02323">
        <w:rPr>
          <w:rFonts w:ascii="Book Antiqua" w:hAnsi="Book Antiqua" w:cs="宋体"/>
          <w:i/>
          <w:iCs/>
          <w:sz w:val="24"/>
          <w:szCs w:val="24"/>
          <w:lang w:eastAsia="zh-CN"/>
        </w:rPr>
        <w:t>J Gastrointest Surg</w:t>
      </w:r>
      <w:r w:rsidRPr="00C02323">
        <w:rPr>
          <w:rFonts w:ascii="Book Antiqua" w:hAnsi="Book Antiqua" w:cs="宋体"/>
          <w:sz w:val="24"/>
          <w:szCs w:val="24"/>
          <w:lang w:eastAsia="zh-CN"/>
        </w:rPr>
        <w:t> </w:t>
      </w:r>
      <w:r>
        <w:rPr>
          <w:rFonts w:ascii="Book Antiqua" w:hAnsi="Book Antiqua" w:cs="宋体"/>
          <w:sz w:val="24"/>
          <w:szCs w:val="24"/>
          <w:lang w:eastAsia="zh-CN"/>
        </w:rPr>
        <w:t>1998</w:t>
      </w:r>
      <w:r w:rsidRPr="00C02323">
        <w:rPr>
          <w:rFonts w:ascii="Book Antiqua" w:hAnsi="Book Antiqua" w:cs="宋体"/>
          <w:sz w:val="24"/>
          <w:szCs w:val="24"/>
          <w:lang w:eastAsia="zh-CN"/>
        </w:rPr>
        <w:t>; </w:t>
      </w:r>
      <w:r w:rsidRPr="00C02323">
        <w:rPr>
          <w:rFonts w:ascii="Book Antiqua" w:hAnsi="Book Antiqua" w:cs="宋体"/>
          <w:b/>
          <w:bCs/>
          <w:sz w:val="24"/>
          <w:szCs w:val="24"/>
          <w:lang w:eastAsia="zh-CN"/>
        </w:rPr>
        <w:t>2</w:t>
      </w:r>
      <w:r w:rsidRPr="00C02323">
        <w:rPr>
          <w:rFonts w:ascii="Book Antiqua" w:hAnsi="Book Antiqua" w:cs="宋体"/>
          <w:sz w:val="24"/>
          <w:szCs w:val="24"/>
          <w:lang w:eastAsia="zh-CN"/>
        </w:rPr>
        <w:t>: 436-442 [PMID: 9843603 DOI: 10.1016/S1091-255X(98)80034-6]</w:t>
      </w:r>
    </w:p>
    <w:p w:rsidR="007048F2" w:rsidRPr="00C02323" w:rsidRDefault="007048F2" w:rsidP="00C02323">
      <w:pPr>
        <w:spacing w:after="0" w:line="360" w:lineRule="auto"/>
        <w:jc w:val="both"/>
        <w:rPr>
          <w:rFonts w:ascii="Book Antiqua" w:hAnsi="Book Antiqua" w:cs="宋体"/>
          <w:sz w:val="24"/>
          <w:szCs w:val="24"/>
          <w:lang w:eastAsia="zh-CN"/>
        </w:rPr>
      </w:pPr>
      <w:r w:rsidRPr="00C02323">
        <w:rPr>
          <w:rFonts w:ascii="Book Antiqua" w:hAnsi="Book Antiqua" w:cs="宋体"/>
          <w:sz w:val="24"/>
          <w:szCs w:val="24"/>
          <w:lang w:eastAsia="zh-CN"/>
        </w:rPr>
        <w:t>10 </w:t>
      </w:r>
      <w:r w:rsidRPr="00C02323">
        <w:rPr>
          <w:rFonts w:ascii="Book Antiqua" w:hAnsi="Book Antiqua" w:cs="宋体"/>
          <w:b/>
          <w:bCs/>
          <w:sz w:val="24"/>
          <w:szCs w:val="24"/>
          <w:lang w:eastAsia="zh-CN"/>
        </w:rPr>
        <w:t>Love AL</w:t>
      </w:r>
      <w:r w:rsidRPr="00C02323">
        <w:rPr>
          <w:rFonts w:ascii="Book Antiqua" w:hAnsi="Book Antiqua" w:cs="宋体"/>
          <w:sz w:val="24"/>
          <w:szCs w:val="24"/>
          <w:lang w:eastAsia="zh-CN"/>
        </w:rPr>
        <w:t>, Billett HH. Obesity, bariatric surgery, and iron deficiency: true, true, true and related. </w:t>
      </w:r>
      <w:r w:rsidRPr="00C02323">
        <w:rPr>
          <w:rFonts w:ascii="Book Antiqua" w:hAnsi="Book Antiqua" w:cs="宋体"/>
          <w:i/>
          <w:iCs/>
          <w:sz w:val="24"/>
          <w:szCs w:val="24"/>
          <w:lang w:eastAsia="zh-CN"/>
        </w:rPr>
        <w:t>Am J Hematol</w:t>
      </w:r>
      <w:r w:rsidRPr="00C02323">
        <w:rPr>
          <w:rFonts w:ascii="Book Antiqua" w:hAnsi="Book Antiqua" w:cs="宋体"/>
          <w:sz w:val="24"/>
          <w:szCs w:val="24"/>
          <w:lang w:eastAsia="zh-CN"/>
        </w:rPr>
        <w:t> 2008; </w:t>
      </w:r>
      <w:r w:rsidRPr="00C02323">
        <w:rPr>
          <w:rFonts w:ascii="Book Antiqua" w:hAnsi="Book Antiqua" w:cs="宋体"/>
          <w:b/>
          <w:bCs/>
          <w:sz w:val="24"/>
          <w:szCs w:val="24"/>
          <w:lang w:eastAsia="zh-CN"/>
        </w:rPr>
        <w:t>83</w:t>
      </w:r>
      <w:r w:rsidRPr="00C02323">
        <w:rPr>
          <w:rFonts w:ascii="Book Antiqua" w:hAnsi="Book Antiqua" w:cs="宋体"/>
          <w:sz w:val="24"/>
          <w:szCs w:val="24"/>
          <w:lang w:eastAsia="zh-CN"/>
        </w:rPr>
        <w:t>: 403-409 [PMID: 18061940 DOI: 10.1002/ajh.21106]</w:t>
      </w:r>
    </w:p>
    <w:p w:rsidR="007048F2" w:rsidRPr="00C02323" w:rsidRDefault="007048F2" w:rsidP="00C02323">
      <w:pPr>
        <w:spacing w:after="0" w:line="360" w:lineRule="auto"/>
        <w:jc w:val="both"/>
        <w:rPr>
          <w:rFonts w:ascii="Book Antiqua" w:hAnsi="Book Antiqua" w:cs="宋体"/>
          <w:sz w:val="24"/>
          <w:szCs w:val="24"/>
          <w:lang w:eastAsia="zh-CN"/>
        </w:rPr>
      </w:pPr>
      <w:r w:rsidRPr="00C02323">
        <w:rPr>
          <w:rFonts w:ascii="Book Antiqua" w:hAnsi="Book Antiqua" w:cs="宋体"/>
          <w:sz w:val="24"/>
          <w:szCs w:val="24"/>
          <w:lang w:eastAsia="zh-CN"/>
        </w:rPr>
        <w:t>11 </w:t>
      </w:r>
      <w:r w:rsidRPr="00C02323">
        <w:rPr>
          <w:rFonts w:ascii="Book Antiqua" w:hAnsi="Book Antiqua" w:cs="宋体"/>
          <w:b/>
          <w:bCs/>
          <w:sz w:val="24"/>
          <w:szCs w:val="24"/>
          <w:lang w:eastAsia="zh-CN"/>
        </w:rPr>
        <w:t>Conrad ME</w:t>
      </w:r>
      <w:r w:rsidRPr="00C02323">
        <w:rPr>
          <w:rFonts w:ascii="Book Antiqua" w:hAnsi="Book Antiqua" w:cs="宋体"/>
          <w:sz w:val="24"/>
          <w:szCs w:val="24"/>
          <w:lang w:eastAsia="zh-CN"/>
        </w:rPr>
        <w:t>, Umbreit JN. Iron absorption and transport-an update. </w:t>
      </w:r>
      <w:r w:rsidRPr="00C02323">
        <w:rPr>
          <w:rFonts w:ascii="Book Antiqua" w:hAnsi="Book Antiqua" w:cs="宋体"/>
          <w:i/>
          <w:iCs/>
          <w:sz w:val="24"/>
          <w:szCs w:val="24"/>
          <w:lang w:eastAsia="zh-CN"/>
        </w:rPr>
        <w:t>Am J Hematol</w:t>
      </w:r>
      <w:r w:rsidRPr="00C02323">
        <w:rPr>
          <w:rFonts w:ascii="Book Antiqua" w:hAnsi="Book Antiqua" w:cs="宋体"/>
          <w:sz w:val="24"/>
          <w:szCs w:val="24"/>
          <w:lang w:eastAsia="zh-CN"/>
        </w:rPr>
        <w:t> 2000; </w:t>
      </w:r>
      <w:r w:rsidRPr="00C02323">
        <w:rPr>
          <w:rFonts w:ascii="Book Antiqua" w:hAnsi="Book Antiqua" w:cs="宋体"/>
          <w:b/>
          <w:bCs/>
          <w:sz w:val="24"/>
          <w:szCs w:val="24"/>
          <w:lang w:eastAsia="zh-CN"/>
        </w:rPr>
        <w:t>64</w:t>
      </w:r>
      <w:r w:rsidRPr="00C02323">
        <w:rPr>
          <w:rFonts w:ascii="Book Antiqua" w:hAnsi="Book Antiqua" w:cs="宋体"/>
          <w:sz w:val="24"/>
          <w:szCs w:val="24"/>
          <w:lang w:eastAsia="zh-CN"/>
        </w:rPr>
        <w:t>: 287-298 [PMID: 10911382 DOI: 10.1002/1096-8652(200008)64: 4&lt;287: : AID-AJH9&gt;3.0.CO; 2-L]</w:t>
      </w:r>
    </w:p>
    <w:p w:rsidR="007048F2" w:rsidRPr="00C02323" w:rsidRDefault="007048F2" w:rsidP="00C02323">
      <w:pPr>
        <w:spacing w:after="0" w:line="360" w:lineRule="auto"/>
        <w:jc w:val="both"/>
        <w:rPr>
          <w:rFonts w:ascii="Book Antiqua" w:hAnsi="Book Antiqua" w:cs="宋体"/>
          <w:sz w:val="24"/>
          <w:szCs w:val="24"/>
          <w:lang w:eastAsia="zh-CN"/>
        </w:rPr>
      </w:pPr>
      <w:r w:rsidRPr="00C02323">
        <w:rPr>
          <w:rFonts w:ascii="Book Antiqua" w:hAnsi="Book Antiqua" w:cs="宋体"/>
          <w:sz w:val="24"/>
          <w:szCs w:val="24"/>
          <w:lang w:eastAsia="zh-CN"/>
        </w:rPr>
        <w:t>12 </w:t>
      </w:r>
      <w:r w:rsidRPr="00C02323">
        <w:rPr>
          <w:rFonts w:ascii="Book Antiqua" w:hAnsi="Book Antiqua" w:cs="宋体"/>
          <w:b/>
          <w:bCs/>
          <w:sz w:val="24"/>
          <w:szCs w:val="24"/>
          <w:lang w:eastAsia="zh-CN"/>
        </w:rPr>
        <w:t>Halverson JD</w:t>
      </w:r>
      <w:r w:rsidRPr="00C02323">
        <w:rPr>
          <w:rFonts w:ascii="Book Antiqua" w:hAnsi="Book Antiqua" w:cs="宋体"/>
          <w:sz w:val="24"/>
          <w:szCs w:val="24"/>
          <w:lang w:eastAsia="zh-CN"/>
        </w:rPr>
        <w:t>, Zuckerman GR, Koehler RE, Gentry K, Michael HE, DeSchryver-Kecskemeti K. Gastric bypass for morbid obesity: a medical--surgical assessment. </w:t>
      </w:r>
      <w:r w:rsidRPr="00C02323">
        <w:rPr>
          <w:rFonts w:ascii="Book Antiqua" w:hAnsi="Book Antiqua" w:cs="宋体"/>
          <w:i/>
          <w:iCs/>
          <w:sz w:val="24"/>
          <w:szCs w:val="24"/>
          <w:lang w:eastAsia="zh-CN"/>
        </w:rPr>
        <w:t>Ann Surg</w:t>
      </w:r>
      <w:r w:rsidRPr="00C02323">
        <w:rPr>
          <w:rFonts w:ascii="Book Antiqua" w:hAnsi="Book Antiqua" w:cs="宋体"/>
          <w:sz w:val="24"/>
          <w:szCs w:val="24"/>
          <w:lang w:eastAsia="zh-CN"/>
        </w:rPr>
        <w:t> 1981; </w:t>
      </w:r>
      <w:r w:rsidRPr="00C02323">
        <w:rPr>
          <w:rFonts w:ascii="Book Antiqua" w:hAnsi="Book Antiqua" w:cs="宋体"/>
          <w:b/>
          <w:bCs/>
          <w:sz w:val="24"/>
          <w:szCs w:val="24"/>
          <w:lang w:eastAsia="zh-CN"/>
        </w:rPr>
        <w:t>194</w:t>
      </w:r>
      <w:r w:rsidRPr="00C02323">
        <w:rPr>
          <w:rFonts w:ascii="Book Antiqua" w:hAnsi="Book Antiqua" w:cs="宋体"/>
          <w:sz w:val="24"/>
          <w:szCs w:val="24"/>
          <w:lang w:eastAsia="zh-CN"/>
        </w:rPr>
        <w:t>: 152-160 [PMID: 7259341 DOI: 10.1097/00000658-198108000-00007]</w:t>
      </w:r>
    </w:p>
    <w:p w:rsidR="007048F2" w:rsidRPr="00C02323" w:rsidRDefault="007048F2" w:rsidP="00C02323">
      <w:pPr>
        <w:spacing w:after="0" w:line="360" w:lineRule="auto"/>
        <w:jc w:val="both"/>
        <w:rPr>
          <w:rFonts w:ascii="Book Antiqua" w:hAnsi="Book Antiqua" w:cs="宋体"/>
          <w:sz w:val="24"/>
          <w:szCs w:val="24"/>
          <w:lang w:eastAsia="zh-CN"/>
        </w:rPr>
      </w:pPr>
      <w:r w:rsidRPr="00C02323">
        <w:rPr>
          <w:rFonts w:ascii="Book Antiqua" w:hAnsi="Book Antiqua" w:cs="宋体"/>
          <w:sz w:val="24"/>
          <w:szCs w:val="24"/>
          <w:lang w:eastAsia="zh-CN"/>
        </w:rPr>
        <w:t>13 </w:t>
      </w:r>
      <w:r w:rsidRPr="00C02323">
        <w:rPr>
          <w:rFonts w:ascii="Book Antiqua" w:hAnsi="Book Antiqua" w:cs="宋体"/>
          <w:b/>
          <w:bCs/>
          <w:sz w:val="24"/>
          <w:szCs w:val="24"/>
          <w:lang w:eastAsia="zh-CN"/>
        </w:rPr>
        <w:t>Behrns KE</w:t>
      </w:r>
      <w:r w:rsidRPr="00C02323">
        <w:rPr>
          <w:rFonts w:ascii="Book Antiqua" w:hAnsi="Book Antiqua" w:cs="宋体"/>
          <w:sz w:val="24"/>
          <w:szCs w:val="24"/>
          <w:lang w:eastAsia="zh-CN"/>
        </w:rPr>
        <w:t>, Smith CD, Sarr MG. Prospective evaluation of gastric acid secretion and cobalamin absorption following gastric bypass for clinically severe obesity. </w:t>
      </w:r>
      <w:r w:rsidRPr="00C02323">
        <w:rPr>
          <w:rFonts w:ascii="Book Antiqua" w:hAnsi="Book Antiqua" w:cs="宋体"/>
          <w:i/>
          <w:iCs/>
          <w:sz w:val="24"/>
          <w:szCs w:val="24"/>
          <w:lang w:eastAsia="zh-CN"/>
        </w:rPr>
        <w:t>Dig Dis Sci</w:t>
      </w:r>
      <w:r w:rsidRPr="00C02323">
        <w:rPr>
          <w:rFonts w:ascii="Book Antiqua" w:hAnsi="Book Antiqua" w:cs="宋体"/>
          <w:sz w:val="24"/>
          <w:szCs w:val="24"/>
          <w:lang w:eastAsia="zh-CN"/>
        </w:rPr>
        <w:t> 1994; </w:t>
      </w:r>
      <w:r w:rsidRPr="00C02323">
        <w:rPr>
          <w:rFonts w:ascii="Book Antiqua" w:hAnsi="Book Antiqua" w:cs="宋体"/>
          <w:b/>
          <w:bCs/>
          <w:sz w:val="24"/>
          <w:szCs w:val="24"/>
          <w:lang w:eastAsia="zh-CN"/>
        </w:rPr>
        <w:t>39</w:t>
      </w:r>
      <w:r w:rsidRPr="00C02323">
        <w:rPr>
          <w:rFonts w:ascii="Book Antiqua" w:hAnsi="Book Antiqua" w:cs="宋体"/>
          <w:sz w:val="24"/>
          <w:szCs w:val="24"/>
          <w:lang w:eastAsia="zh-CN"/>
        </w:rPr>
        <w:t>: 315-320 [PMID: 8313814 DOI: 10.1007/BF02090203]</w:t>
      </w:r>
    </w:p>
    <w:p w:rsidR="007048F2" w:rsidRPr="00C02323" w:rsidRDefault="007048F2" w:rsidP="00C02323">
      <w:pPr>
        <w:spacing w:after="0" w:line="360" w:lineRule="auto"/>
        <w:jc w:val="both"/>
        <w:rPr>
          <w:rFonts w:ascii="Book Antiqua" w:hAnsi="Book Antiqua" w:cs="宋体"/>
          <w:sz w:val="24"/>
          <w:szCs w:val="24"/>
          <w:lang w:eastAsia="zh-CN"/>
        </w:rPr>
      </w:pPr>
      <w:r w:rsidRPr="00C02323">
        <w:rPr>
          <w:rFonts w:ascii="Book Antiqua" w:hAnsi="Book Antiqua" w:cs="宋体"/>
          <w:sz w:val="24"/>
          <w:szCs w:val="24"/>
          <w:lang w:eastAsia="zh-CN"/>
        </w:rPr>
        <w:t>14 </w:t>
      </w:r>
      <w:r w:rsidRPr="00C02323">
        <w:rPr>
          <w:rFonts w:ascii="Book Antiqua" w:hAnsi="Book Antiqua" w:cs="宋体"/>
          <w:b/>
          <w:bCs/>
          <w:sz w:val="24"/>
          <w:szCs w:val="24"/>
          <w:lang w:eastAsia="zh-CN"/>
        </w:rPr>
        <w:t>Fleming RE</w:t>
      </w:r>
      <w:r w:rsidRPr="00C02323">
        <w:rPr>
          <w:rFonts w:ascii="Book Antiqua" w:hAnsi="Book Antiqua" w:cs="宋体"/>
          <w:sz w:val="24"/>
          <w:szCs w:val="24"/>
          <w:lang w:eastAsia="zh-CN"/>
        </w:rPr>
        <w:t>, Bacon BR. Orchestration of iron homeostasis. </w:t>
      </w:r>
      <w:r w:rsidRPr="00C02323">
        <w:rPr>
          <w:rFonts w:ascii="Book Antiqua" w:hAnsi="Book Antiqua" w:cs="宋体"/>
          <w:i/>
          <w:iCs/>
          <w:sz w:val="24"/>
          <w:szCs w:val="24"/>
          <w:lang w:eastAsia="zh-CN"/>
        </w:rPr>
        <w:t>N Engl J Med</w:t>
      </w:r>
      <w:r w:rsidRPr="00C02323">
        <w:rPr>
          <w:rFonts w:ascii="Book Antiqua" w:hAnsi="Book Antiqua" w:cs="宋体"/>
          <w:sz w:val="24"/>
          <w:szCs w:val="24"/>
          <w:lang w:eastAsia="zh-CN"/>
        </w:rPr>
        <w:t> 2005; </w:t>
      </w:r>
      <w:r w:rsidRPr="00C02323">
        <w:rPr>
          <w:rFonts w:ascii="Book Antiqua" w:hAnsi="Book Antiqua" w:cs="宋体"/>
          <w:b/>
          <w:bCs/>
          <w:sz w:val="24"/>
          <w:szCs w:val="24"/>
          <w:lang w:eastAsia="zh-CN"/>
        </w:rPr>
        <w:t>352</w:t>
      </w:r>
      <w:r w:rsidRPr="00C02323">
        <w:rPr>
          <w:rFonts w:ascii="Book Antiqua" w:hAnsi="Book Antiqua" w:cs="宋体"/>
          <w:sz w:val="24"/>
          <w:szCs w:val="24"/>
          <w:lang w:eastAsia="zh-CN"/>
        </w:rPr>
        <w:t>: 1741-1744 [PMID: 15858181 DOI: 10.1056/NEJMp048363]</w:t>
      </w:r>
    </w:p>
    <w:p w:rsidR="007048F2" w:rsidRPr="00C02323" w:rsidRDefault="007048F2" w:rsidP="00C02323">
      <w:pPr>
        <w:spacing w:after="0" w:line="360" w:lineRule="auto"/>
        <w:jc w:val="both"/>
        <w:rPr>
          <w:rFonts w:ascii="Book Antiqua" w:hAnsi="Book Antiqua" w:cs="宋体"/>
          <w:sz w:val="24"/>
          <w:szCs w:val="24"/>
          <w:lang w:eastAsia="zh-CN"/>
        </w:rPr>
      </w:pPr>
      <w:r w:rsidRPr="00C02323">
        <w:rPr>
          <w:rFonts w:ascii="Book Antiqua" w:hAnsi="Book Antiqua" w:cs="宋体"/>
          <w:sz w:val="24"/>
          <w:szCs w:val="24"/>
          <w:lang w:eastAsia="zh-CN"/>
        </w:rPr>
        <w:t>15 </w:t>
      </w:r>
      <w:r w:rsidRPr="00C02323">
        <w:rPr>
          <w:rFonts w:ascii="Book Antiqua" w:hAnsi="Book Antiqua" w:cs="宋体"/>
          <w:b/>
          <w:bCs/>
          <w:sz w:val="24"/>
          <w:szCs w:val="24"/>
          <w:lang w:eastAsia="zh-CN"/>
        </w:rPr>
        <w:t>Marinella MA</w:t>
      </w:r>
      <w:r w:rsidRPr="00C02323">
        <w:rPr>
          <w:rFonts w:ascii="Book Antiqua" w:hAnsi="Book Antiqua" w:cs="宋体"/>
          <w:sz w:val="24"/>
          <w:szCs w:val="24"/>
          <w:lang w:eastAsia="zh-CN"/>
        </w:rPr>
        <w:t>. Anemia following Roux-en-Y surgery for morbid obesity: a review. </w:t>
      </w:r>
      <w:r w:rsidRPr="00C02323">
        <w:rPr>
          <w:rFonts w:ascii="Book Antiqua" w:hAnsi="Book Antiqua" w:cs="宋体"/>
          <w:i/>
          <w:iCs/>
          <w:sz w:val="24"/>
          <w:szCs w:val="24"/>
          <w:lang w:eastAsia="zh-CN"/>
        </w:rPr>
        <w:t>South Med J</w:t>
      </w:r>
      <w:r w:rsidRPr="00C02323">
        <w:rPr>
          <w:rFonts w:ascii="Book Antiqua" w:hAnsi="Book Antiqua" w:cs="宋体"/>
          <w:sz w:val="24"/>
          <w:szCs w:val="24"/>
          <w:lang w:eastAsia="zh-CN"/>
        </w:rPr>
        <w:t> 2008; </w:t>
      </w:r>
      <w:r w:rsidRPr="00C02323">
        <w:rPr>
          <w:rFonts w:ascii="Book Antiqua" w:hAnsi="Book Antiqua" w:cs="宋体"/>
          <w:b/>
          <w:bCs/>
          <w:sz w:val="24"/>
          <w:szCs w:val="24"/>
          <w:lang w:eastAsia="zh-CN"/>
        </w:rPr>
        <w:t>101</w:t>
      </w:r>
      <w:r w:rsidRPr="00C02323">
        <w:rPr>
          <w:rFonts w:ascii="Book Antiqua" w:hAnsi="Book Antiqua" w:cs="宋体"/>
          <w:sz w:val="24"/>
          <w:szCs w:val="24"/>
          <w:lang w:eastAsia="zh-CN"/>
        </w:rPr>
        <w:t>: 1024-1031 [PMID: 18791538 DOI: 10.1097/SMJ.0b013e31817cf7b7]</w:t>
      </w:r>
    </w:p>
    <w:p w:rsidR="007048F2" w:rsidRPr="00C02323" w:rsidRDefault="007048F2" w:rsidP="00C02323">
      <w:pPr>
        <w:spacing w:after="0" w:line="360" w:lineRule="auto"/>
        <w:jc w:val="both"/>
        <w:rPr>
          <w:rFonts w:ascii="Book Antiqua" w:hAnsi="Book Antiqua" w:cs="宋体"/>
          <w:sz w:val="24"/>
          <w:szCs w:val="24"/>
          <w:lang w:eastAsia="zh-CN"/>
        </w:rPr>
      </w:pPr>
      <w:r w:rsidRPr="00C02323">
        <w:rPr>
          <w:rFonts w:ascii="Book Antiqua" w:hAnsi="Book Antiqua" w:cs="宋体"/>
          <w:sz w:val="24"/>
          <w:szCs w:val="24"/>
          <w:lang w:eastAsia="zh-CN"/>
        </w:rPr>
        <w:lastRenderedPageBreak/>
        <w:t>16 </w:t>
      </w:r>
      <w:r w:rsidRPr="00C02323">
        <w:rPr>
          <w:rFonts w:ascii="Book Antiqua" w:hAnsi="Book Antiqua" w:cs="宋体"/>
          <w:b/>
          <w:bCs/>
          <w:sz w:val="24"/>
          <w:szCs w:val="24"/>
          <w:lang w:eastAsia="zh-CN"/>
        </w:rPr>
        <w:t>Brolin RE</w:t>
      </w:r>
      <w:r w:rsidRPr="00C02323">
        <w:rPr>
          <w:rFonts w:ascii="Book Antiqua" w:hAnsi="Book Antiqua" w:cs="宋体"/>
          <w:sz w:val="24"/>
          <w:szCs w:val="24"/>
          <w:lang w:eastAsia="zh-CN"/>
        </w:rPr>
        <w:t>, Gorman JH, Gorman RC, Petschenik AJ, Bradley LB, Kenler HA, Cody RP. Prophylactic iron supplementation after Roux-en-Y gastric bypass: a prospective, double-blind, randomized study. </w:t>
      </w:r>
      <w:r w:rsidRPr="00C02323">
        <w:rPr>
          <w:rFonts w:ascii="Book Antiqua" w:hAnsi="Book Antiqua" w:cs="宋体"/>
          <w:i/>
          <w:iCs/>
          <w:sz w:val="24"/>
          <w:szCs w:val="24"/>
          <w:lang w:eastAsia="zh-CN"/>
        </w:rPr>
        <w:t>Arch Surg</w:t>
      </w:r>
      <w:r w:rsidRPr="00C02323">
        <w:rPr>
          <w:rFonts w:ascii="Book Antiqua" w:hAnsi="Book Antiqua" w:cs="宋体"/>
          <w:sz w:val="24"/>
          <w:szCs w:val="24"/>
          <w:lang w:eastAsia="zh-CN"/>
        </w:rPr>
        <w:t> 1998; </w:t>
      </w:r>
      <w:r w:rsidRPr="00C02323">
        <w:rPr>
          <w:rFonts w:ascii="Book Antiqua" w:hAnsi="Book Antiqua" w:cs="宋体"/>
          <w:b/>
          <w:bCs/>
          <w:sz w:val="24"/>
          <w:szCs w:val="24"/>
          <w:lang w:eastAsia="zh-CN"/>
        </w:rPr>
        <w:t>133</w:t>
      </w:r>
      <w:r w:rsidRPr="00C02323">
        <w:rPr>
          <w:rFonts w:ascii="Book Antiqua" w:hAnsi="Book Antiqua" w:cs="宋体"/>
          <w:sz w:val="24"/>
          <w:szCs w:val="24"/>
          <w:lang w:eastAsia="zh-CN"/>
        </w:rPr>
        <w:t>: 740-744 [PMID: 9688002 DOI: 10.1001/archsurg.133.7.740]</w:t>
      </w:r>
    </w:p>
    <w:p w:rsidR="007048F2" w:rsidRPr="00C02323" w:rsidRDefault="007048F2" w:rsidP="00C02323">
      <w:pPr>
        <w:spacing w:after="0" w:line="360" w:lineRule="auto"/>
        <w:jc w:val="both"/>
        <w:rPr>
          <w:rFonts w:ascii="Book Antiqua" w:hAnsi="Book Antiqua" w:cs="宋体"/>
          <w:sz w:val="24"/>
          <w:szCs w:val="24"/>
          <w:lang w:eastAsia="zh-CN"/>
        </w:rPr>
      </w:pPr>
      <w:r w:rsidRPr="00C02323">
        <w:rPr>
          <w:rFonts w:ascii="Book Antiqua" w:hAnsi="Book Antiqua" w:cs="宋体"/>
          <w:sz w:val="24"/>
          <w:szCs w:val="24"/>
          <w:lang w:eastAsia="zh-CN"/>
        </w:rPr>
        <w:t>17 </w:t>
      </w:r>
      <w:r w:rsidRPr="00C02323">
        <w:rPr>
          <w:rFonts w:ascii="Book Antiqua" w:hAnsi="Book Antiqua" w:cs="宋体"/>
          <w:b/>
          <w:bCs/>
          <w:sz w:val="24"/>
          <w:szCs w:val="24"/>
          <w:lang w:eastAsia="zh-CN"/>
        </w:rPr>
        <w:t>Mechanick JI</w:t>
      </w:r>
      <w:r w:rsidRPr="00C02323">
        <w:rPr>
          <w:rFonts w:ascii="Book Antiqua" w:hAnsi="Book Antiqua" w:cs="宋体"/>
          <w:sz w:val="24"/>
          <w:szCs w:val="24"/>
          <w:lang w:eastAsia="zh-CN"/>
        </w:rPr>
        <w:t>, Kushner RF, Sugerman HJ, Gonzalez-Campoy JM, Collazo-Clavell ML, Guven S, Spitz AF, Apovian CM, Livingston EH, Brolin R, Sarwer DB, Anderson WA, Dixon J. Executive summary of the recommendations of the American Association of Clinical Endocrinologists, the Obesity Society, and American Society for Metabolic &amp; amp; Bariatric Surgery medical guidelines for clinical practice for the perioperative nutritional, metabolic, and nonsurgical support of the bariatric surgery patient. </w:t>
      </w:r>
      <w:r w:rsidRPr="00C02323">
        <w:rPr>
          <w:rFonts w:ascii="Book Antiqua" w:hAnsi="Book Antiqua" w:cs="宋体"/>
          <w:i/>
          <w:iCs/>
          <w:sz w:val="24"/>
          <w:szCs w:val="24"/>
          <w:lang w:eastAsia="zh-CN"/>
        </w:rPr>
        <w:t>Endocr Pract</w:t>
      </w:r>
      <w:r w:rsidRPr="00C02323">
        <w:rPr>
          <w:rFonts w:ascii="Book Antiqua" w:hAnsi="Book Antiqua" w:cs="宋体"/>
          <w:sz w:val="24"/>
          <w:szCs w:val="24"/>
          <w:lang w:eastAsia="zh-CN"/>
        </w:rPr>
        <w:t> 2008; </w:t>
      </w:r>
      <w:r w:rsidRPr="00C02323">
        <w:rPr>
          <w:rFonts w:ascii="Book Antiqua" w:hAnsi="Book Antiqua" w:cs="宋体"/>
          <w:b/>
          <w:bCs/>
          <w:sz w:val="24"/>
          <w:szCs w:val="24"/>
          <w:lang w:eastAsia="zh-CN"/>
        </w:rPr>
        <w:t>14</w:t>
      </w:r>
      <w:r w:rsidRPr="00C02323">
        <w:rPr>
          <w:rFonts w:ascii="Book Antiqua" w:hAnsi="Book Antiqua" w:cs="宋体"/>
          <w:sz w:val="24"/>
          <w:szCs w:val="24"/>
          <w:lang w:eastAsia="zh-CN"/>
        </w:rPr>
        <w:t>: 318-336 [PMID: 18463039 DOI: 10.4158/EP.14.3.318]</w:t>
      </w:r>
    </w:p>
    <w:p w:rsidR="007048F2" w:rsidRPr="00C02323" w:rsidRDefault="007048F2" w:rsidP="00C02323">
      <w:pPr>
        <w:spacing w:after="0" w:line="360" w:lineRule="auto"/>
        <w:jc w:val="both"/>
        <w:rPr>
          <w:rFonts w:ascii="Book Antiqua" w:hAnsi="Book Antiqua" w:cs="宋体"/>
          <w:sz w:val="24"/>
          <w:szCs w:val="24"/>
          <w:lang w:eastAsia="zh-CN"/>
        </w:rPr>
      </w:pPr>
      <w:r w:rsidRPr="00C02323">
        <w:rPr>
          <w:rFonts w:ascii="Book Antiqua" w:hAnsi="Book Antiqua" w:cs="宋体"/>
          <w:sz w:val="24"/>
          <w:szCs w:val="24"/>
          <w:lang w:eastAsia="zh-CN"/>
        </w:rPr>
        <w:t>18 </w:t>
      </w:r>
      <w:r w:rsidRPr="00C02323">
        <w:rPr>
          <w:rFonts w:ascii="Book Antiqua" w:hAnsi="Book Antiqua" w:cs="宋体"/>
          <w:b/>
          <w:bCs/>
          <w:sz w:val="24"/>
          <w:szCs w:val="24"/>
          <w:lang w:eastAsia="zh-CN"/>
        </w:rPr>
        <w:t>Muñoz M</w:t>
      </w:r>
      <w:r w:rsidRPr="00C02323">
        <w:rPr>
          <w:rFonts w:ascii="Book Antiqua" w:hAnsi="Book Antiqua" w:cs="宋体"/>
          <w:sz w:val="24"/>
          <w:szCs w:val="24"/>
          <w:lang w:eastAsia="zh-CN"/>
        </w:rPr>
        <w:t>, Gómez-Ramírez S, García-Erce JA. Intravenous iron in inflammatory bowel disease. </w:t>
      </w:r>
      <w:r w:rsidRPr="00C02323">
        <w:rPr>
          <w:rFonts w:ascii="Book Antiqua" w:hAnsi="Book Antiqua" w:cs="宋体"/>
          <w:i/>
          <w:iCs/>
          <w:sz w:val="24"/>
          <w:szCs w:val="24"/>
          <w:lang w:eastAsia="zh-CN"/>
        </w:rPr>
        <w:t>World J Gastroenterol</w:t>
      </w:r>
      <w:r w:rsidRPr="00C02323">
        <w:rPr>
          <w:rFonts w:ascii="Book Antiqua" w:hAnsi="Book Antiqua" w:cs="宋体"/>
          <w:sz w:val="24"/>
          <w:szCs w:val="24"/>
          <w:lang w:eastAsia="zh-CN"/>
        </w:rPr>
        <w:t> 2009; </w:t>
      </w:r>
      <w:r w:rsidRPr="00C02323">
        <w:rPr>
          <w:rFonts w:ascii="Book Antiqua" w:hAnsi="Book Antiqua" w:cs="宋体"/>
          <w:b/>
          <w:bCs/>
          <w:sz w:val="24"/>
          <w:szCs w:val="24"/>
          <w:lang w:eastAsia="zh-CN"/>
        </w:rPr>
        <w:t>15</w:t>
      </w:r>
      <w:r w:rsidRPr="00C02323">
        <w:rPr>
          <w:rFonts w:ascii="Book Antiqua" w:hAnsi="Book Antiqua" w:cs="宋体"/>
          <w:sz w:val="24"/>
          <w:szCs w:val="24"/>
          <w:lang w:eastAsia="zh-CN"/>
        </w:rPr>
        <w:t>: 4666-4674 [PMID: 19787830 DOI: 10.3748/wjg.15.4666]</w:t>
      </w:r>
    </w:p>
    <w:p w:rsidR="007048F2" w:rsidRPr="00C02323" w:rsidRDefault="007048F2" w:rsidP="00C02323">
      <w:pPr>
        <w:spacing w:after="0" w:line="360" w:lineRule="auto"/>
        <w:jc w:val="both"/>
        <w:rPr>
          <w:rFonts w:ascii="Book Antiqua" w:hAnsi="Book Antiqua" w:cs="宋体"/>
          <w:sz w:val="24"/>
          <w:szCs w:val="24"/>
          <w:lang w:eastAsia="zh-CN"/>
        </w:rPr>
      </w:pPr>
      <w:r w:rsidRPr="00C02323">
        <w:rPr>
          <w:rFonts w:ascii="Book Antiqua" w:hAnsi="Book Antiqua" w:cs="宋体"/>
          <w:sz w:val="24"/>
          <w:szCs w:val="24"/>
          <w:lang w:eastAsia="zh-CN"/>
        </w:rPr>
        <w:t>19 </w:t>
      </w:r>
      <w:r w:rsidRPr="00C02323">
        <w:rPr>
          <w:rFonts w:ascii="Book Antiqua" w:hAnsi="Book Antiqua" w:cs="宋体"/>
          <w:b/>
          <w:bCs/>
          <w:sz w:val="24"/>
          <w:szCs w:val="24"/>
          <w:lang w:eastAsia="zh-CN"/>
        </w:rPr>
        <w:t>de la Morena F</w:t>
      </w:r>
      <w:r w:rsidRPr="00C02323">
        <w:rPr>
          <w:rFonts w:ascii="Book Antiqua" w:hAnsi="Book Antiqua" w:cs="宋体"/>
          <w:sz w:val="24"/>
          <w:szCs w:val="24"/>
          <w:lang w:eastAsia="zh-CN"/>
        </w:rPr>
        <w:t>, Gisbert JP. [Anemia and inflammatory bowel disease]. </w:t>
      </w:r>
      <w:r w:rsidRPr="00C02323">
        <w:rPr>
          <w:rFonts w:ascii="Book Antiqua" w:hAnsi="Book Antiqua" w:cs="宋体"/>
          <w:i/>
          <w:iCs/>
          <w:sz w:val="24"/>
          <w:szCs w:val="24"/>
          <w:lang w:eastAsia="zh-CN"/>
        </w:rPr>
        <w:t>Rev Esp Enferm Dig</w:t>
      </w:r>
      <w:r w:rsidRPr="00C02323">
        <w:rPr>
          <w:rFonts w:ascii="Book Antiqua" w:hAnsi="Book Antiqua" w:cs="宋体"/>
          <w:sz w:val="24"/>
          <w:szCs w:val="24"/>
          <w:lang w:eastAsia="zh-CN"/>
        </w:rPr>
        <w:t> 2008; </w:t>
      </w:r>
      <w:r w:rsidRPr="00C02323">
        <w:rPr>
          <w:rFonts w:ascii="Book Antiqua" w:hAnsi="Book Antiqua" w:cs="宋体"/>
          <w:b/>
          <w:bCs/>
          <w:sz w:val="24"/>
          <w:szCs w:val="24"/>
          <w:lang w:eastAsia="zh-CN"/>
        </w:rPr>
        <w:t>100</w:t>
      </w:r>
      <w:r w:rsidRPr="00C02323">
        <w:rPr>
          <w:rFonts w:ascii="Book Antiqua" w:hAnsi="Book Antiqua" w:cs="宋体"/>
          <w:sz w:val="24"/>
          <w:szCs w:val="24"/>
          <w:lang w:eastAsia="zh-CN"/>
        </w:rPr>
        <w:t>: 285-293 [PMID: 18662081]</w:t>
      </w:r>
    </w:p>
    <w:p w:rsidR="007048F2" w:rsidRPr="00C02323" w:rsidRDefault="007048F2" w:rsidP="00C02323">
      <w:pPr>
        <w:spacing w:after="0" w:line="360" w:lineRule="auto"/>
        <w:jc w:val="both"/>
        <w:rPr>
          <w:rFonts w:ascii="Book Antiqua" w:hAnsi="Book Antiqua" w:cs="宋体"/>
          <w:sz w:val="24"/>
          <w:szCs w:val="24"/>
          <w:lang w:eastAsia="zh-CN"/>
        </w:rPr>
      </w:pPr>
      <w:r w:rsidRPr="00C02323">
        <w:rPr>
          <w:rFonts w:ascii="Book Antiqua" w:hAnsi="Book Antiqua" w:cs="宋体"/>
          <w:sz w:val="24"/>
          <w:szCs w:val="24"/>
          <w:lang w:eastAsia="zh-CN"/>
        </w:rPr>
        <w:t>20 </w:t>
      </w:r>
      <w:r w:rsidRPr="00C02323">
        <w:rPr>
          <w:rFonts w:ascii="Book Antiqua" w:hAnsi="Book Antiqua" w:cs="宋体"/>
          <w:b/>
          <w:bCs/>
          <w:sz w:val="24"/>
          <w:szCs w:val="24"/>
          <w:lang w:eastAsia="zh-CN"/>
        </w:rPr>
        <w:t>Lindgren S</w:t>
      </w:r>
      <w:r w:rsidRPr="00C02323">
        <w:rPr>
          <w:rFonts w:ascii="Book Antiqua" w:hAnsi="Book Antiqua" w:cs="宋体"/>
          <w:sz w:val="24"/>
          <w:szCs w:val="24"/>
          <w:lang w:eastAsia="zh-CN"/>
        </w:rPr>
        <w:t>, Wikman O, Befrits R, Blom H, Eriksson A, Grännö C, Ung KA, Hjortswang H, Lindgren A, Unge P. Intravenous iron sucrose is superior to oral iron sulphate for correcting anaemia and restoring iron stores in IBD patients: A randomized, controlled, evaluator-blind, multicentre study. </w:t>
      </w:r>
      <w:r w:rsidRPr="00C02323">
        <w:rPr>
          <w:rFonts w:ascii="Book Antiqua" w:hAnsi="Book Antiqua" w:cs="宋体"/>
          <w:i/>
          <w:iCs/>
          <w:sz w:val="24"/>
          <w:szCs w:val="24"/>
          <w:lang w:eastAsia="zh-CN"/>
        </w:rPr>
        <w:t>Scand J Gastroenterol</w:t>
      </w:r>
      <w:r w:rsidRPr="00C02323">
        <w:rPr>
          <w:rFonts w:ascii="Book Antiqua" w:hAnsi="Book Antiqua" w:cs="宋体"/>
          <w:sz w:val="24"/>
          <w:szCs w:val="24"/>
          <w:lang w:eastAsia="zh-CN"/>
        </w:rPr>
        <w:t> 2009; </w:t>
      </w:r>
      <w:r w:rsidRPr="00C02323">
        <w:rPr>
          <w:rFonts w:ascii="Book Antiqua" w:hAnsi="Book Antiqua" w:cs="宋体"/>
          <w:b/>
          <w:bCs/>
          <w:sz w:val="24"/>
          <w:szCs w:val="24"/>
          <w:lang w:eastAsia="zh-CN"/>
        </w:rPr>
        <w:t>44</w:t>
      </w:r>
      <w:r w:rsidRPr="00C02323">
        <w:rPr>
          <w:rFonts w:ascii="Book Antiqua" w:hAnsi="Book Antiqua" w:cs="宋体"/>
          <w:sz w:val="24"/>
          <w:szCs w:val="24"/>
          <w:lang w:eastAsia="zh-CN"/>
        </w:rPr>
        <w:t>: 838-845 [PMID: 19330567 DOI: 10.1080/00365520902839667]</w:t>
      </w:r>
    </w:p>
    <w:p w:rsidR="007048F2" w:rsidRPr="00C02323" w:rsidRDefault="007048F2" w:rsidP="00C02323">
      <w:pPr>
        <w:spacing w:after="0" w:line="360" w:lineRule="auto"/>
        <w:jc w:val="both"/>
        <w:rPr>
          <w:rFonts w:ascii="Book Antiqua" w:hAnsi="Book Antiqua" w:cs="宋体"/>
          <w:sz w:val="24"/>
          <w:szCs w:val="24"/>
          <w:lang w:eastAsia="zh-CN"/>
        </w:rPr>
      </w:pPr>
      <w:r w:rsidRPr="00C02323">
        <w:rPr>
          <w:rFonts w:ascii="Book Antiqua" w:hAnsi="Book Antiqua" w:cs="宋体"/>
          <w:sz w:val="24"/>
          <w:szCs w:val="24"/>
          <w:lang w:eastAsia="zh-CN"/>
        </w:rPr>
        <w:t>21 </w:t>
      </w:r>
      <w:r w:rsidRPr="00C02323">
        <w:rPr>
          <w:rFonts w:ascii="Book Antiqua" w:hAnsi="Book Antiqua" w:cs="宋体"/>
          <w:b/>
          <w:bCs/>
          <w:sz w:val="24"/>
          <w:szCs w:val="24"/>
          <w:lang w:eastAsia="zh-CN"/>
        </w:rPr>
        <w:t>Kulnigg S</w:t>
      </w:r>
      <w:r w:rsidRPr="00C02323">
        <w:rPr>
          <w:rFonts w:ascii="Book Antiqua" w:hAnsi="Book Antiqua" w:cs="宋体"/>
          <w:sz w:val="24"/>
          <w:szCs w:val="24"/>
          <w:lang w:eastAsia="zh-CN"/>
        </w:rPr>
        <w:t>, Stoinov S, Simanenkov V, Dudar LV, Karnafel W, Garcia LC, Sambuelli AM, D'Haens G, Gasche C. A novel intravenous iron formulation for treatment of anemia in inflammatory bowel disease: the ferric carboxymaltose (FERINJECT) randomized controlled trial. </w:t>
      </w:r>
      <w:r w:rsidRPr="00C02323">
        <w:rPr>
          <w:rFonts w:ascii="Book Antiqua" w:hAnsi="Book Antiqua" w:cs="宋体"/>
          <w:i/>
          <w:iCs/>
          <w:sz w:val="24"/>
          <w:szCs w:val="24"/>
          <w:lang w:eastAsia="zh-CN"/>
        </w:rPr>
        <w:t>Am J Gastroenterol</w:t>
      </w:r>
      <w:r w:rsidRPr="00C02323">
        <w:rPr>
          <w:rFonts w:ascii="Book Antiqua" w:hAnsi="Book Antiqua" w:cs="宋体"/>
          <w:sz w:val="24"/>
          <w:szCs w:val="24"/>
          <w:lang w:eastAsia="zh-CN"/>
        </w:rPr>
        <w:t> 2008; </w:t>
      </w:r>
      <w:r w:rsidRPr="00C02323">
        <w:rPr>
          <w:rFonts w:ascii="Book Antiqua" w:hAnsi="Book Antiqua" w:cs="宋体"/>
          <w:b/>
          <w:bCs/>
          <w:sz w:val="24"/>
          <w:szCs w:val="24"/>
          <w:lang w:eastAsia="zh-CN"/>
        </w:rPr>
        <w:t>103</w:t>
      </w:r>
      <w:r w:rsidRPr="00C02323">
        <w:rPr>
          <w:rFonts w:ascii="Book Antiqua" w:hAnsi="Book Antiqua" w:cs="宋体"/>
          <w:sz w:val="24"/>
          <w:szCs w:val="24"/>
          <w:lang w:eastAsia="zh-CN"/>
        </w:rPr>
        <w:t>: 1182-1192 [PMID: 18371137 DOI: 10.1111/j.1572-0241.2007.01744.x]</w:t>
      </w:r>
    </w:p>
    <w:p w:rsidR="007048F2" w:rsidRPr="00C02323" w:rsidRDefault="007048F2" w:rsidP="00C02323">
      <w:pPr>
        <w:spacing w:after="0" w:line="360" w:lineRule="auto"/>
        <w:jc w:val="both"/>
        <w:rPr>
          <w:rFonts w:ascii="Book Antiqua" w:hAnsi="Book Antiqua" w:cs="宋体"/>
          <w:sz w:val="24"/>
          <w:szCs w:val="24"/>
          <w:lang w:eastAsia="zh-CN"/>
        </w:rPr>
      </w:pPr>
      <w:r w:rsidRPr="00C02323">
        <w:rPr>
          <w:rFonts w:ascii="Book Antiqua" w:hAnsi="Book Antiqua" w:cs="宋体"/>
          <w:sz w:val="24"/>
          <w:szCs w:val="24"/>
          <w:lang w:eastAsia="zh-CN"/>
        </w:rPr>
        <w:t>22 </w:t>
      </w:r>
      <w:r w:rsidRPr="00C02323">
        <w:rPr>
          <w:rFonts w:ascii="Book Antiqua" w:hAnsi="Book Antiqua" w:cs="宋体"/>
          <w:b/>
          <w:bCs/>
          <w:sz w:val="24"/>
          <w:szCs w:val="24"/>
          <w:lang w:eastAsia="zh-CN"/>
        </w:rPr>
        <w:t>Gasche C</w:t>
      </w:r>
      <w:r w:rsidRPr="00C02323">
        <w:rPr>
          <w:rFonts w:ascii="Book Antiqua" w:hAnsi="Book Antiqua" w:cs="宋体"/>
          <w:sz w:val="24"/>
          <w:szCs w:val="24"/>
          <w:lang w:eastAsia="zh-CN"/>
        </w:rPr>
        <w:t xml:space="preserve">, Berstad A, Befrits R, Beglinger C, Dignass A, Erichsen K, Gomollon F, Hjortswang H, Koutroubakis I, Kulnigg S, Oldenburg B, Rampton D, Schroeder O, Stein J, Travis S, Van Assche G. Guidelines on the diagnosis and management of iron </w:t>
      </w:r>
      <w:r w:rsidRPr="00C02323">
        <w:rPr>
          <w:rFonts w:ascii="Book Antiqua" w:hAnsi="Book Antiqua" w:cs="宋体"/>
          <w:sz w:val="24"/>
          <w:szCs w:val="24"/>
          <w:lang w:eastAsia="zh-CN"/>
        </w:rPr>
        <w:lastRenderedPageBreak/>
        <w:t>deficiency and anemia in inflammatory bowel diseases. </w:t>
      </w:r>
      <w:r w:rsidRPr="00C02323">
        <w:rPr>
          <w:rFonts w:ascii="Book Antiqua" w:hAnsi="Book Antiqua" w:cs="宋体"/>
          <w:i/>
          <w:iCs/>
          <w:sz w:val="24"/>
          <w:szCs w:val="24"/>
          <w:lang w:eastAsia="zh-CN"/>
        </w:rPr>
        <w:t>Inflamm Bowel Dis</w:t>
      </w:r>
      <w:r w:rsidRPr="00C02323">
        <w:rPr>
          <w:rFonts w:ascii="Book Antiqua" w:hAnsi="Book Antiqua" w:cs="宋体"/>
          <w:sz w:val="24"/>
          <w:szCs w:val="24"/>
          <w:lang w:eastAsia="zh-CN"/>
        </w:rPr>
        <w:t> 2007; </w:t>
      </w:r>
      <w:r w:rsidRPr="00C02323">
        <w:rPr>
          <w:rFonts w:ascii="Book Antiqua" w:hAnsi="Book Antiqua" w:cs="宋体"/>
          <w:b/>
          <w:bCs/>
          <w:sz w:val="24"/>
          <w:szCs w:val="24"/>
          <w:lang w:eastAsia="zh-CN"/>
        </w:rPr>
        <w:t>13</w:t>
      </w:r>
      <w:r w:rsidRPr="00C02323">
        <w:rPr>
          <w:rFonts w:ascii="Book Antiqua" w:hAnsi="Book Antiqua" w:cs="宋体"/>
          <w:sz w:val="24"/>
          <w:szCs w:val="24"/>
          <w:lang w:eastAsia="zh-CN"/>
        </w:rPr>
        <w:t>: 1545-1553 [PMID: 17985376 DOI: 10.1002/ibd.20285]</w:t>
      </w:r>
    </w:p>
    <w:p w:rsidR="007048F2" w:rsidRPr="00C02323" w:rsidRDefault="007048F2" w:rsidP="00C02323">
      <w:pPr>
        <w:spacing w:after="0" w:line="360" w:lineRule="auto"/>
        <w:jc w:val="both"/>
        <w:rPr>
          <w:rFonts w:ascii="Book Antiqua" w:hAnsi="Book Antiqua" w:cs="宋体"/>
          <w:sz w:val="24"/>
          <w:szCs w:val="24"/>
          <w:lang w:eastAsia="zh-CN"/>
        </w:rPr>
      </w:pPr>
      <w:r w:rsidRPr="00C02323">
        <w:rPr>
          <w:rFonts w:ascii="Book Antiqua" w:hAnsi="Book Antiqua" w:cs="宋体"/>
          <w:sz w:val="24"/>
          <w:szCs w:val="24"/>
          <w:lang w:eastAsia="zh-CN"/>
        </w:rPr>
        <w:t>23 </w:t>
      </w:r>
      <w:r w:rsidRPr="00C02323">
        <w:rPr>
          <w:rFonts w:ascii="Book Antiqua" w:hAnsi="Book Antiqua" w:cs="宋体"/>
          <w:b/>
          <w:bCs/>
          <w:sz w:val="24"/>
          <w:szCs w:val="24"/>
          <w:lang w:eastAsia="zh-CN"/>
        </w:rPr>
        <w:t>Auerbach M</w:t>
      </w:r>
      <w:r w:rsidRPr="00C02323">
        <w:rPr>
          <w:rFonts w:ascii="Book Antiqua" w:hAnsi="Book Antiqua" w:cs="宋体"/>
          <w:sz w:val="24"/>
          <w:szCs w:val="24"/>
          <w:lang w:eastAsia="zh-CN"/>
        </w:rPr>
        <w:t>, Coyne D, Ballard H. Intravenous iron: from anathema to standard of care. </w:t>
      </w:r>
      <w:r w:rsidRPr="00C02323">
        <w:rPr>
          <w:rFonts w:ascii="Book Antiqua" w:hAnsi="Book Antiqua" w:cs="宋体"/>
          <w:i/>
          <w:iCs/>
          <w:sz w:val="24"/>
          <w:szCs w:val="24"/>
          <w:lang w:eastAsia="zh-CN"/>
        </w:rPr>
        <w:t>Am J Hematol</w:t>
      </w:r>
      <w:r w:rsidRPr="00C02323">
        <w:rPr>
          <w:rFonts w:ascii="Book Antiqua" w:hAnsi="Book Antiqua" w:cs="宋体"/>
          <w:sz w:val="24"/>
          <w:szCs w:val="24"/>
          <w:lang w:eastAsia="zh-CN"/>
        </w:rPr>
        <w:t> 2008; </w:t>
      </w:r>
      <w:r w:rsidRPr="00C02323">
        <w:rPr>
          <w:rFonts w:ascii="Book Antiqua" w:hAnsi="Book Antiqua" w:cs="宋体"/>
          <w:b/>
          <w:bCs/>
          <w:sz w:val="24"/>
          <w:szCs w:val="24"/>
          <w:lang w:eastAsia="zh-CN"/>
        </w:rPr>
        <w:t>83</w:t>
      </w:r>
      <w:r w:rsidRPr="00C02323">
        <w:rPr>
          <w:rFonts w:ascii="Book Antiqua" w:hAnsi="Book Antiqua" w:cs="宋体"/>
          <w:sz w:val="24"/>
          <w:szCs w:val="24"/>
          <w:lang w:eastAsia="zh-CN"/>
        </w:rPr>
        <w:t>: 580-588 [PMID: 18273906 DOI: 10.1002/ajh.21154]</w:t>
      </w:r>
    </w:p>
    <w:p w:rsidR="007048F2" w:rsidRPr="00C02323" w:rsidRDefault="007048F2" w:rsidP="00C02323">
      <w:pPr>
        <w:spacing w:after="0" w:line="360" w:lineRule="auto"/>
        <w:jc w:val="both"/>
        <w:rPr>
          <w:rFonts w:ascii="Book Antiqua" w:hAnsi="Book Antiqua" w:cs="宋体"/>
          <w:sz w:val="24"/>
          <w:szCs w:val="24"/>
          <w:lang w:eastAsia="zh-CN"/>
        </w:rPr>
      </w:pPr>
      <w:r w:rsidRPr="00C02323">
        <w:rPr>
          <w:rFonts w:ascii="Book Antiqua" w:hAnsi="Book Antiqua" w:cs="宋体"/>
          <w:sz w:val="24"/>
          <w:szCs w:val="24"/>
          <w:lang w:eastAsia="zh-CN"/>
        </w:rPr>
        <w:t>24 </w:t>
      </w:r>
      <w:r w:rsidRPr="00C02323">
        <w:rPr>
          <w:rFonts w:ascii="Book Antiqua" w:hAnsi="Book Antiqua" w:cs="宋体"/>
          <w:b/>
          <w:bCs/>
          <w:sz w:val="24"/>
          <w:szCs w:val="24"/>
          <w:lang w:eastAsia="zh-CN"/>
        </w:rPr>
        <w:t>Bokemeyer C</w:t>
      </w:r>
      <w:r w:rsidRPr="00C02323">
        <w:rPr>
          <w:rFonts w:ascii="Book Antiqua" w:hAnsi="Book Antiqua" w:cs="宋体"/>
          <w:sz w:val="24"/>
          <w:szCs w:val="24"/>
          <w:lang w:eastAsia="zh-CN"/>
        </w:rPr>
        <w:t>, Aapro MS, Courdi A, Foubert J, Link H, Osterborg A, Repetto L, Soubeyran P. EORTC guidelines for the use of erythropoietic proteins in anaemic patients with cancer: 2006 update. </w:t>
      </w:r>
      <w:r w:rsidRPr="00C02323">
        <w:rPr>
          <w:rFonts w:ascii="Book Antiqua" w:hAnsi="Book Antiqua" w:cs="宋体"/>
          <w:i/>
          <w:iCs/>
          <w:sz w:val="24"/>
          <w:szCs w:val="24"/>
          <w:lang w:eastAsia="zh-CN"/>
        </w:rPr>
        <w:t>Eur J Cancer</w:t>
      </w:r>
      <w:r w:rsidRPr="00C02323">
        <w:rPr>
          <w:rFonts w:ascii="Book Antiqua" w:hAnsi="Book Antiqua" w:cs="宋体"/>
          <w:sz w:val="24"/>
          <w:szCs w:val="24"/>
          <w:lang w:eastAsia="zh-CN"/>
        </w:rPr>
        <w:t> 2007; </w:t>
      </w:r>
      <w:r w:rsidRPr="00C02323">
        <w:rPr>
          <w:rFonts w:ascii="Book Antiqua" w:hAnsi="Book Antiqua" w:cs="宋体"/>
          <w:b/>
          <w:bCs/>
          <w:sz w:val="24"/>
          <w:szCs w:val="24"/>
          <w:lang w:eastAsia="zh-CN"/>
        </w:rPr>
        <w:t>43</w:t>
      </w:r>
      <w:r w:rsidRPr="00C02323">
        <w:rPr>
          <w:rFonts w:ascii="Book Antiqua" w:hAnsi="Book Antiqua" w:cs="宋体"/>
          <w:sz w:val="24"/>
          <w:szCs w:val="24"/>
          <w:lang w:eastAsia="zh-CN"/>
        </w:rPr>
        <w:t>: 258-270 [PMID: 17182241 DOI: 10.1016/j.ejca.2006.10.014]</w:t>
      </w:r>
    </w:p>
    <w:p w:rsidR="007048F2" w:rsidRDefault="007048F2" w:rsidP="00A23A48">
      <w:pPr>
        <w:spacing w:after="0" w:line="360" w:lineRule="auto"/>
        <w:jc w:val="both"/>
        <w:rPr>
          <w:rFonts w:ascii="Book Antiqua" w:hAnsi="Book Antiqua" w:cs="宋体"/>
          <w:sz w:val="24"/>
          <w:szCs w:val="24"/>
          <w:lang w:eastAsia="zh-CN"/>
        </w:rPr>
      </w:pPr>
      <w:r w:rsidRPr="00A23A48">
        <w:rPr>
          <w:rFonts w:ascii="Book Antiqua" w:hAnsi="Book Antiqua"/>
          <w:color w:val="000000"/>
          <w:sz w:val="24"/>
          <w:szCs w:val="24"/>
        </w:rPr>
        <w:t>25</w:t>
      </w:r>
      <w:r w:rsidRPr="00A23A48">
        <w:rPr>
          <w:rStyle w:val="apple-converted-space"/>
          <w:rFonts w:ascii="Book Antiqua" w:hAnsi="Book Antiqua"/>
          <w:color w:val="000000"/>
          <w:sz w:val="24"/>
          <w:szCs w:val="24"/>
        </w:rPr>
        <w:t> </w:t>
      </w:r>
      <w:r w:rsidRPr="00A23A48">
        <w:rPr>
          <w:rFonts w:ascii="Book Antiqua" w:hAnsi="Book Antiqua"/>
          <w:b/>
          <w:bCs/>
          <w:color w:val="000000"/>
          <w:sz w:val="24"/>
          <w:szCs w:val="24"/>
        </w:rPr>
        <w:t>Van Wyck DB</w:t>
      </w:r>
      <w:r w:rsidRPr="00A23A48">
        <w:rPr>
          <w:rFonts w:ascii="Book Antiqua" w:hAnsi="Book Antiqua"/>
          <w:color w:val="000000"/>
          <w:sz w:val="24"/>
          <w:szCs w:val="24"/>
        </w:rPr>
        <w:t>, Mangione A, Morrison J, Hadley PE, Jehle JA, Goodnough LT. Large-dose intravenous ferric carboxymaltose injection for iron deficiency anemia in heavy uterine bleeding: a randomized, controlled trial.</w:t>
      </w:r>
      <w:r w:rsidRPr="00A23A48">
        <w:rPr>
          <w:rStyle w:val="apple-converted-space"/>
          <w:rFonts w:ascii="Book Antiqua" w:hAnsi="Book Antiqua"/>
          <w:color w:val="000000"/>
          <w:sz w:val="24"/>
          <w:szCs w:val="24"/>
        </w:rPr>
        <w:t> </w:t>
      </w:r>
      <w:r w:rsidRPr="00A23A48">
        <w:rPr>
          <w:rFonts w:ascii="Book Antiqua" w:hAnsi="Book Antiqua"/>
          <w:i/>
          <w:iCs/>
          <w:color w:val="000000"/>
          <w:sz w:val="24"/>
          <w:szCs w:val="24"/>
        </w:rPr>
        <w:t>Transfusion</w:t>
      </w:r>
      <w:r w:rsidRPr="00A23A48">
        <w:rPr>
          <w:rStyle w:val="apple-converted-space"/>
          <w:rFonts w:ascii="Book Antiqua" w:hAnsi="Book Antiqua"/>
          <w:color w:val="000000"/>
          <w:sz w:val="24"/>
          <w:szCs w:val="24"/>
        </w:rPr>
        <w:t> </w:t>
      </w:r>
      <w:r w:rsidRPr="00A23A48">
        <w:rPr>
          <w:rFonts w:ascii="Book Antiqua" w:hAnsi="Book Antiqua"/>
          <w:color w:val="000000"/>
          <w:sz w:val="24"/>
          <w:szCs w:val="24"/>
        </w:rPr>
        <w:t>2009;</w:t>
      </w:r>
      <w:r w:rsidRPr="00A23A48">
        <w:rPr>
          <w:rStyle w:val="apple-converted-space"/>
          <w:rFonts w:ascii="Book Antiqua" w:hAnsi="Book Antiqua"/>
          <w:color w:val="000000"/>
          <w:sz w:val="24"/>
          <w:szCs w:val="24"/>
        </w:rPr>
        <w:t> </w:t>
      </w:r>
      <w:r w:rsidRPr="00A23A48">
        <w:rPr>
          <w:rFonts w:ascii="Book Antiqua" w:hAnsi="Book Antiqua"/>
          <w:b/>
          <w:bCs/>
          <w:color w:val="000000"/>
          <w:sz w:val="24"/>
          <w:szCs w:val="24"/>
        </w:rPr>
        <w:t>49</w:t>
      </w:r>
      <w:r w:rsidRPr="00A23A48">
        <w:rPr>
          <w:rFonts w:ascii="Book Antiqua" w:hAnsi="Book Antiqua"/>
          <w:color w:val="000000"/>
          <w:sz w:val="24"/>
          <w:szCs w:val="24"/>
        </w:rPr>
        <w:t>: 2719-2728 [PMID: 19682342 DOI: 10.1111/j.1537-2995.2009.02327.x]</w:t>
      </w:r>
    </w:p>
    <w:p w:rsidR="007048F2" w:rsidRPr="00C02323" w:rsidRDefault="007048F2" w:rsidP="00C02323">
      <w:pPr>
        <w:spacing w:after="0" w:line="360" w:lineRule="auto"/>
        <w:jc w:val="both"/>
        <w:rPr>
          <w:rFonts w:ascii="Book Antiqua" w:hAnsi="Book Antiqua" w:cs="宋体"/>
          <w:sz w:val="24"/>
          <w:szCs w:val="24"/>
          <w:lang w:eastAsia="zh-CN"/>
        </w:rPr>
      </w:pPr>
      <w:r w:rsidRPr="00C02323">
        <w:rPr>
          <w:rFonts w:ascii="Book Antiqua" w:hAnsi="Book Antiqua" w:cs="宋体"/>
          <w:sz w:val="24"/>
          <w:szCs w:val="24"/>
          <w:lang w:eastAsia="zh-CN"/>
        </w:rPr>
        <w:t>26 </w:t>
      </w:r>
      <w:r w:rsidRPr="00C02323">
        <w:rPr>
          <w:rFonts w:ascii="Book Antiqua" w:hAnsi="Book Antiqua" w:cs="宋体"/>
          <w:b/>
          <w:bCs/>
          <w:sz w:val="24"/>
          <w:szCs w:val="24"/>
          <w:lang w:eastAsia="zh-CN"/>
        </w:rPr>
        <w:t>Molodecky NA</w:t>
      </w:r>
      <w:r w:rsidRPr="00C02323">
        <w:rPr>
          <w:rFonts w:ascii="Book Antiqua" w:hAnsi="Book Antiqua" w:cs="宋体"/>
          <w:sz w:val="24"/>
          <w:szCs w:val="24"/>
          <w:lang w:eastAsia="zh-CN"/>
        </w:rPr>
        <w:t>, Soon IS, Rabi DM, Ghali WA, Ferris M, Chernoff G, Benchimol EI, Panaccione R, Ghosh S, Barkema HW, Kaplan GG. Increasing incidence and prevalence of the inflammatory bowel diseases with time, based on systematic review. </w:t>
      </w:r>
      <w:r w:rsidRPr="00C02323">
        <w:rPr>
          <w:rFonts w:ascii="Book Antiqua" w:hAnsi="Book Antiqua" w:cs="宋体"/>
          <w:i/>
          <w:iCs/>
          <w:sz w:val="24"/>
          <w:szCs w:val="24"/>
          <w:lang w:eastAsia="zh-CN"/>
        </w:rPr>
        <w:t>Gastroenterology</w:t>
      </w:r>
      <w:r w:rsidRPr="00C02323">
        <w:rPr>
          <w:rFonts w:ascii="Book Antiqua" w:hAnsi="Book Antiqua" w:cs="宋体"/>
          <w:sz w:val="24"/>
          <w:szCs w:val="24"/>
          <w:lang w:eastAsia="zh-CN"/>
        </w:rPr>
        <w:t> 2012; </w:t>
      </w:r>
      <w:r w:rsidRPr="00C02323">
        <w:rPr>
          <w:rFonts w:ascii="Book Antiqua" w:hAnsi="Book Antiqua" w:cs="宋体"/>
          <w:b/>
          <w:bCs/>
          <w:sz w:val="24"/>
          <w:szCs w:val="24"/>
          <w:lang w:eastAsia="zh-CN"/>
        </w:rPr>
        <w:t>142</w:t>
      </w:r>
      <w:r w:rsidRPr="00C02323">
        <w:rPr>
          <w:rFonts w:ascii="Book Antiqua" w:hAnsi="Book Antiqua" w:cs="宋体"/>
          <w:sz w:val="24"/>
          <w:szCs w:val="24"/>
          <w:lang w:eastAsia="zh-CN"/>
        </w:rPr>
        <w:t>: 46-54.e42; quiz e30 [PMID: 22001864 DOI: 10.1053/j.gastro.2011.10.001]</w:t>
      </w:r>
    </w:p>
    <w:p w:rsidR="007048F2" w:rsidRPr="00C02323" w:rsidRDefault="007048F2" w:rsidP="00C02323">
      <w:pPr>
        <w:spacing w:after="0" w:line="360" w:lineRule="auto"/>
        <w:jc w:val="both"/>
        <w:rPr>
          <w:rFonts w:ascii="Book Antiqua" w:hAnsi="Book Antiqua"/>
          <w:sz w:val="24"/>
          <w:szCs w:val="24"/>
        </w:rPr>
      </w:pPr>
    </w:p>
    <w:p w:rsidR="007048F2" w:rsidRPr="007738C4" w:rsidRDefault="007048F2" w:rsidP="005A485B">
      <w:pPr>
        <w:wordWrap w:val="0"/>
        <w:ind w:left="442" w:hangingChars="200" w:hanging="442"/>
        <w:jc w:val="right"/>
        <w:rPr>
          <w:rFonts w:ascii="Book Antiqua" w:hAnsi="Book Antiqua"/>
          <w:szCs w:val="21"/>
        </w:rPr>
      </w:pPr>
      <w:r w:rsidRPr="007738C4">
        <w:rPr>
          <w:rFonts w:ascii="Book Antiqua" w:hAnsi="Book Antiqua"/>
          <w:b/>
          <w:szCs w:val="21"/>
        </w:rPr>
        <w:t>P-Reviewer</w:t>
      </w:r>
      <w:r w:rsidRPr="00804EE1">
        <w:rPr>
          <w:rFonts w:ascii="Book Antiqua" w:hAnsi="Book Antiqua"/>
          <w:szCs w:val="21"/>
          <w:lang w:eastAsia="zh-CN"/>
        </w:rPr>
        <w:t xml:space="preserve"> </w:t>
      </w:r>
      <w:r>
        <w:rPr>
          <w:rFonts w:ascii="Book Antiqua" w:hAnsi="Book Antiqua"/>
          <w:szCs w:val="21"/>
          <w:lang w:eastAsia="zh-CN"/>
        </w:rPr>
        <w:t>Muhammad</w:t>
      </w:r>
      <w:r w:rsidRPr="00804EE1">
        <w:rPr>
          <w:rFonts w:ascii="Book Antiqua" w:hAnsi="Book Antiqua"/>
          <w:szCs w:val="21"/>
          <w:lang w:eastAsia="zh-CN"/>
        </w:rPr>
        <w:t xml:space="preserve"> A</w:t>
      </w:r>
      <w:r w:rsidRPr="007738C4">
        <w:rPr>
          <w:rFonts w:ascii="Book Antiqua" w:hAnsi="Book Antiqua"/>
          <w:b/>
          <w:szCs w:val="21"/>
        </w:rPr>
        <w:t xml:space="preserve"> S-Editor</w:t>
      </w:r>
      <w:r w:rsidRPr="007738C4">
        <w:rPr>
          <w:rFonts w:ascii="Book Antiqua" w:hAnsi="Book Antiqua"/>
          <w:szCs w:val="21"/>
        </w:rPr>
        <w:t xml:space="preserve"> </w:t>
      </w:r>
      <w:r>
        <w:rPr>
          <w:rFonts w:ascii="Book Antiqua" w:hAnsi="Book Antiqua"/>
          <w:szCs w:val="21"/>
          <w:lang w:eastAsia="zh-CN"/>
        </w:rPr>
        <w:t>Song XX</w:t>
      </w:r>
      <w:r w:rsidRPr="007738C4">
        <w:rPr>
          <w:rFonts w:ascii="Book Antiqua" w:hAnsi="Book Antiqua"/>
          <w:szCs w:val="21"/>
        </w:rPr>
        <w:t xml:space="preserve"> </w:t>
      </w:r>
      <w:r w:rsidRPr="007738C4">
        <w:rPr>
          <w:rFonts w:ascii="Book Antiqua" w:hAnsi="Book Antiqua"/>
          <w:b/>
          <w:szCs w:val="21"/>
        </w:rPr>
        <w:t>L-Editor</w:t>
      </w:r>
      <w:r w:rsidRPr="007738C4">
        <w:rPr>
          <w:rFonts w:ascii="Book Antiqua" w:hAnsi="Book Antiqua"/>
          <w:szCs w:val="21"/>
        </w:rPr>
        <w:t xml:space="preserve">   </w:t>
      </w:r>
      <w:r w:rsidRPr="007738C4">
        <w:rPr>
          <w:rFonts w:ascii="Book Antiqua" w:hAnsi="Book Antiqua"/>
          <w:b/>
          <w:szCs w:val="21"/>
        </w:rPr>
        <w:t>E-Editor</w:t>
      </w:r>
    </w:p>
    <w:p w:rsidR="007048F2" w:rsidRDefault="007048F2" w:rsidP="00447B18">
      <w:pPr>
        <w:spacing w:line="360" w:lineRule="auto"/>
        <w:rPr>
          <w:rFonts w:ascii="Book Antiqua" w:hAnsi="Book Antiqua"/>
          <w:sz w:val="24"/>
        </w:rPr>
      </w:pPr>
    </w:p>
    <w:p w:rsidR="007048F2" w:rsidRPr="00804EE1" w:rsidRDefault="007048F2" w:rsidP="00C02323">
      <w:pPr>
        <w:spacing w:after="0" w:line="360" w:lineRule="auto"/>
        <w:jc w:val="both"/>
        <w:rPr>
          <w:rFonts w:ascii="Book Antiqua" w:hAnsi="Book Antiqua"/>
          <w:sz w:val="24"/>
          <w:szCs w:val="24"/>
          <w:lang w:eastAsia="zh-CN"/>
        </w:rPr>
      </w:pPr>
    </w:p>
    <w:p w:rsidR="007048F2" w:rsidRDefault="007048F2" w:rsidP="00C02323">
      <w:pPr>
        <w:spacing w:after="0" w:line="360" w:lineRule="auto"/>
        <w:jc w:val="both"/>
        <w:rPr>
          <w:rFonts w:ascii="Book Antiqua" w:hAnsi="Book Antiqua"/>
          <w:sz w:val="24"/>
          <w:szCs w:val="24"/>
          <w:lang w:eastAsia="zh-CN"/>
        </w:rPr>
      </w:pPr>
    </w:p>
    <w:p w:rsidR="007048F2" w:rsidRPr="00C02323" w:rsidRDefault="007048F2" w:rsidP="00C02323">
      <w:pPr>
        <w:spacing w:after="0" w:line="360" w:lineRule="auto"/>
        <w:jc w:val="both"/>
        <w:rPr>
          <w:rFonts w:ascii="Book Antiqua" w:hAnsi="Book Antiqua"/>
          <w:sz w:val="24"/>
          <w:szCs w:val="24"/>
          <w:lang w:eastAsia="zh-CN"/>
        </w:rPr>
      </w:pPr>
    </w:p>
    <w:p w:rsidR="007048F2" w:rsidRPr="001E630E" w:rsidRDefault="00EF4002" w:rsidP="001E630E">
      <w:pPr>
        <w:spacing w:after="0" w:line="360" w:lineRule="auto"/>
        <w:jc w:val="both"/>
        <w:rPr>
          <w:rFonts w:ascii="Book Antiqua" w:hAnsi="Book Antiqua"/>
          <w:sz w:val="24"/>
          <w:szCs w:val="24"/>
        </w:rPr>
      </w:pPr>
      <w:r>
        <w:rPr>
          <w:rFonts w:ascii="Book Antiqua" w:hAnsi="Book Antiqua"/>
          <w:noProof/>
          <w:sz w:val="24"/>
          <w:szCs w:val="24"/>
          <w:lang w:eastAsia="zh-CN"/>
        </w:rPr>
        <w:lastRenderedPageBreak/>
        <w:drawing>
          <wp:inline distT="0" distB="0" distL="0" distR="0">
            <wp:extent cx="5520690" cy="321754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048F2" w:rsidRPr="00313C17" w:rsidRDefault="007048F2" w:rsidP="000C2FCD">
      <w:pPr>
        <w:spacing w:line="360" w:lineRule="auto"/>
        <w:jc w:val="both"/>
        <w:rPr>
          <w:rFonts w:ascii="Book Antiqua" w:hAnsi="Book Antiqua"/>
          <w:b/>
          <w:sz w:val="24"/>
          <w:szCs w:val="24"/>
          <w:lang w:eastAsia="zh-CN"/>
        </w:rPr>
      </w:pPr>
      <w:r w:rsidRPr="00313C17">
        <w:rPr>
          <w:rFonts w:ascii="Book Antiqua" w:hAnsi="Book Antiqua"/>
          <w:b/>
          <w:sz w:val="24"/>
          <w:szCs w:val="24"/>
        </w:rPr>
        <w:t>Table 1</w:t>
      </w:r>
      <w:r>
        <w:rPr>
          <w:rFonts w:ascii="Book Antiqua" w:hAnsi="Book Antiqua"/>
          <w:b/>
          <w:sz w:val="24"/>
          <w:szCs w:val="24"/>
        </w:rPr>
        <w:t xml:space="preserve"> Indications for </w:t>
      </w:r>
      <w:r w:rsidRPr="00FF6EAE">
        <w:rPr>
          <w:rFonts w:ascii="Book Antiqua" w:hAnsi="Book Antiqua"/>
          <w:b/>
          <w:sz w:val="24"/>
          <w:szCs w:val="24"/>
        </w:rPr>
        <w:t>intravenous</w:t>
      </w:r>
      <w:r>
        <w:rPr>
          <w:rFonts w:ascii="Book Antiqua" w:hAnsi="Book Antiqua"/>
          <w:b/>
          <w:sz w:val="24"/>
          <w:szCs w:val="24"/>
        </w:rPr>
        <w:t xml:space="preserve"> </w:t>
      </w:r>
      <w:r>
        <w:rPr>
          <w:rFonts w:ascii="Book Antiqua" w:hAnsi="Book Antiqua"/>
          <w:b/>
          <w:sz w:val="24"/>
          <w:szCs w:val="24"/>
          <w:lang w:eastAsia="zh-CN"/>
        </w:rPr>
        <w:t>i</w:t>
      </w:r>
      <w:r>
        <w:rPr>
          <w:rFonts w:ascii="Book Antiqua" w:hAnsi="Book Antiqua"/>
          <w:b/>
          <w:sz w:val="24"/>
          <w:szCs w:val="24"/>
        </w:rPr>
        <w:t>ron</w:t>
      </w:r>
    </w:p>
    <w:p w:rsidR="007048F2" w:rsidRDefault="007048F2" w:rsidP="001E630E">
      <w:pPr>
        <w:spacing w:after="0" w:line="360" w:lineRule="auto"/>
        <w:jc w:val="both"/>
        <w:rPr>
          <w:rFonts w:ascii="Book Antiqua" w:hAnsi="Book Antiqua"/>
          <w:sz w:val="24"/>
          <w:szCs w:val="24"/>
          <w:lang w:eastAsia="zh-CN"/>
        </w:rPr>
      </w:pPr>
    </w:p>
    <w:p w:rsidR="007048F2" w:rsidRDefault="007048F2" w:rsidP="001E630E">
      <w:pPr>
        <w:spacing w:after="0" w:line="360" w:lineRule="auto"/>
        <w:jc w:val="both"/>
        <w:rPr>
          <w:rFonts w:ascii="Book Antiqua" w:hAnsi="Book Antiqua"/>
          <w:sz w:val="24"/>
          <w:szCs w:val="24"/>
          <w:lang w:eastAsia="zh-CN"/>
        </w:rPr>
      </w:pPr>
    </w:p>
    <w:p w:rsidR="007048F2" w:rsidRDefault="007048F2" w:rsidP="001E630E">
      <w:pPr>
        <w:spacing w:after="0" w:line="360" w:lineRule="auto"/>
        <w:jc w:val="both"/>
        <w:rPr>
          <w:rFonts w:ascii="Book Antiqua" w:hAnsi="Book Antiqua"/>
          <w:sz w:val="24"/>
          <w:szCs w:val="24"/>
          <w:lang w:eastAsia="zh-CN"/>
        </w:rPr>
      </w:pPr>
    </w:p>
    <w:p w:rsidR="007048F2" w:rsidRDefault="007048F2" w:rsidP="001E630E">
      <w:pPr>
        <w:spacing w:after="0" w:line="360" w:lineRule="auto"/>
        <w:jc w:val="both"/>
        <w:rPr>
          <w:rFonts w:ascii="Book Antiqua" w:hAnsi="Book Antiqua"/>
          <w:sz w:val="24"/>
          <w:szCs w:val="24"/>
          <w:lang w:eastAsia="zh-CN"/>
        </w:rPr>
      </w:pPr>
    </w:p>
    <w:p w:rsidR="007048F2" w:rsidRDefault="007048F2" w:rsidP="001E630E">
      <w:pPr>
        <w:spacing w:after="0" w:line="360" w:lineRule="auto"/>
        <w:jc w:val="both"/>
        <w:rPr>
          <w:rFonts w:ascii="Book Antiqua" w:hAnsi="Book Antiqua"/>
          <w:sz w:val="24"/>
          <w:szCs w:val="24"/>
          <w:lang w:eastAsia="zh-CN"/>
        </w:rPr>
      </w:pPr>
    </w:p>
    <w:p w:rsidR="007048F2" w:rsidRDefault="007048F2" w:rsidP="001E630E">
      <w:pPr>
        <w:spacing w:after="0" w:line="360" w:lineRule="auto"/>
        <w:jc w:val="both"/>
        <w:rPr>
          <w:rFonts w:ascii="Book Antiqua" w:hAnsi="Book Antiqua"/>
          <w:sz w:val="24"/>
          <w:szCs w:val="24"/>
          <w:lang w:eastAsia="zh-CN"/>
        </w:rPr>
      </w:pPr>
    </w:p>
    <w:p w:rsidR="007048F2" w:rsidRDefault="007048F2" w:rsidP="001E630E">
      <w:pPr>
        <w:spacing w:after="0" w:line="360" w:lineRule="auto"/>
        <w:jc w:val="both"/>
        <w:rPr>
          <w:rFonts w:ascii="Book Antiqua" w:hAnsi="Book Antiqua"/>
          <w:sz w:val="24"/>
          <w:szCs w:val="24"/>
          <w:lang w:eastAsia="zh-CN"/>
        </w:rPr>
      </w:pPr>
    </w:p>
    <w:p w:rsidR="007048F2" w:rsidRDefault="007048F2" w:rsidP="001E630E">
      <w:pPr>
        <w:spacing w:after="0" w:line="360" w:lineRule="auto"/>
        <w:jc w:val="both"/>
        <w:rPr>
          <w:rFonts w:ascii="Book Antiqua" w:hAnsi="Book Antiqua"/>
          <w:sz w:val="24"/>
          <w:szCs w:val="24"/>
          <w:lang w:eastAsia="zh-CN"/>
        </w:rPr>
      </w:pPr>
    </w:p>
    <w:p w:rsidR="007048F2" w:rsidRDefault="007048F2" w:rsidP="001E630E">
      <w:pPr>
        <w:spacing w:after="0" w:line="360" w:lineRule="auto"/>
        <w:jc w:val="both"/>
        <w:rPr>
          <w:rFonts w:ascii="Book Antiqua" w:hAnsi="Book Antiqua"/>
          <w:sz w:val="24"/>
          <w:szCs w:val="24"/>
          <w:lang w:eastAsia="zh-CN"/>
        </w:rPr>
      </w:pPr>
    </w:p>
    <w:p w:rsidR="007048F2" w:rsidRDefault="007048F2" w:rsidP="001E630E">
      <w:pPr>
        <w:spacing w:after="0" w:line="360" w:lineRule="auto"/>
        <w:jc w:val="both"/>
        <w:rPr>
          <w:rFonts w:ascii="Book Antiqua" w:hAnsi="Book Antiqua"/>
          <w:sz w:val="24"/>
          <w:szCs w:val="24"/>
          <w:lang w:eastAsia="zh-CN"/>
        </w:rPr>
      </w:pPr>
    </w:p>
    <w:p w:rsidR="007048F2" w:rsidRDefault="007048F2" w:rsidP="001E630E">
      <w:pPr>
        <w:spacing w:after="0" w:line="360" w:lineRule="auto"/>
        <w:jc w:val="both"/>
        <w:rPr>
          <w:rFonts w:ascii="Book Antiqua" w:hAnsi="Book Antiqua"/>
          <w:sz w:val="24"/>
          <w:szCs w:val="24"/>
          <w:lang w:eastAsia="zh-CN"/>
        </w:rPr>
      </w:pPr>
    </w:p>
    <w:p w:rsidR="007048F2" w:rsidRDefault="007048F2" w:rsidP="001E630E">
      <w:pPr>
        <w:spacing w:after="0" w:line="360" w:lineRule="auto"/>
        <w:jc w:val="both"/>
        <w:rPr>
          <w:rFonts w:ascii="Book Antiqua" w:hAnsi="Book Antiqua"/>
          <w:sz w:val="24"/>
          <w:szCs w:val="24"/>
          <w:lang w:eastAsia="zh-CN"/>
        </w:rPr>
      </w:pPr>
    </w:p>
    <w:p w:rsidR="007048F2" w:rsidRDefault="007048F2" w:rsidP="001E630E">
      <w:pPr>
        <w:spacing w:after="0" w:line="360" w:lineRule="auto"/>
        <w:jc w:val="both"/>
        <w:rPr>
          <w:rFonts w:ascii="Book Antiqua" w:hAnsi="Book Antiqua"/>
          <w:sz w:val="24"/>
          <w:szCs w:val="24"/>
          <w:lang w:eastAsia="zh-CN"/>
        </w:rPr>
      </w:pPr>
    </w:p>
    <w:p w:rsidR="007048F2" w:rsidRDefault="007048F2" w:rsidP="001E630E">
      <w:pPr>
        <w:spacing w:after="0" w:line="360" w:lineRule="auto"/>
        <w:jc w:val="both"/>
        <w:rPr>
          <w:rFonts w:ascii="Book Antiqua" w:hAnsi="Book Antiqua"/>
          <w:sz w:val="24"/>
          <w:szCs w:val="24"/>
          <w:lang w:eastAsia="zh-CN"/>
        </w:rPr>
      </w:pPr>
    </w:p>
    <w:p w:rsidR="007048F2" w:rsidRDefault="007048F2" w:rsidP="001E630E">
      <w:pPr>
        <w:spacing w:after="0" w:line="360" w:lineRule="auto"/>
        <w:jc w:val="both"/>
        <w:rPr>
          <w:rFonts w:ascii="Book Antiqua" w:hAnsi="Book Antiqua"/>
          <w:sz w:val="24"/>
          <w:szCs w:val="24"/>
          <w:lang w:eastAsia="zh-CN"/>
        </w:rPr>
      </w:pPr>
    </w:p>
    <w:p w:rsidR="007048F2" w:rsidRDefault="007048F2" w:rsidP="001E630E">
      <w:pPr>
        <w:spacing w:after="0" w:line="360" w:lineRule="auto"/>
        <w:jc w:val="both"/>
        <w:rPr>
          <w:rFonts w:ascii="Book Antiqua" w:hAnsi="Book Antiqua"/>
          <w:sz w:val="24"/>
          <w:szCs w:val="24"/>
          <w:lang w:eastAsia="zh-CN"/>
        </w:rPr>
      </w:pPr>
    </w:p>
    <w:p w:rsidR="007048F2" w:rsidRPr="00D25DA0" w:rsidRDefault="007048F2" w:rsidP="001E630E">
      <w:pPr>
        <w:spacing w:after="0" w:line="360" w:lineRule="auto"/>
        <w:jc w:val="both"/>
        <w:rPr>
          <w:rFonts w:ascii="Book Antiqua" w:hAnsi="Book Antiqua"/>
          <w:b/>
          <w:sz w:val="24"/>
          <w:szCs w:val="24"/>
          <w:lang w:eastAsia="zh-CN"/>
        </w:rPr>
      </w:pPr>
      <w:r w:rsidRPr="00D25DA0">
        <w:rPr>
          <w:rFonts w:ascii="Book Antiqua" w:hAnsi="Book Antiqua"/>
          <w:b/>
          <w:sz w:val="24"/>
          <w:szCs w:val="24"/>
        </w:rPr>
        <w:lastRenderedPageBreak/>
        <w:t xml:space="preserve">Table 2 </w:t>
      </w:r>
      <w:r>
        <w:rPr>
          <w:rFonts w:ascii="Book Antiqua" w:hAnsi="Book Antiqua"/>
          <w:b/>
          <w:sz w:val="24"/>
          <w:szCs w:val="24"/>
        </w:rPr>
        <w:t>Specific diagnoses that led to administration of</w:t>
      </w:r>
      <w:r w:rsidRPr="00D72589">
        <w:rPr>
          <w:rFonts w:ascii="Book Antiqua" w:hAnsi="Book Antiqua"/>
          <w:b/>
          <w:sz w:val="24"/>
          <w:szCs w:val="24"/>
        </w:rPr>
        <w:t xml:space="preserve"> intravenous</w:t>
      </w:r>
      <w:r>
        <w:rPr>
          <w:rFonts w:ascii="Book Antiqua" w:hAnsi="Book Antiqua"/>
          <w:b/>
          <w:sz w:val="24"/>
          <w:szCs w:val="24"/>
        </w:rPr>
        <w:t xml:space="preserve"> iron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3798"/>
      </w:tblGrid>
      <w:tr w:rsidR="007048F2" w:rsidRPr="00413B35" w:rsidTr="009B3423">
        <w:tc>
          <w:tcPr>
            <w:tcW w:w="5778" w:type="dxa"/>
          </w:tcPr>
          <w:p w:rsidR="007048F2" w:rsidRPr="00413B35" w:rsidRDefault="007048F2" w:rsidP="00542D13">
            <w:pPr>
              <w:spacing w:after="0" w:line="360" w:lineRule="auto"/>
              <w:jc w:val="both"/>
              <w:rPr>
                <w:rFonts w:ascii="Book Antiqua" w:hAnsi="Book Antiqua"/>
                <w:sz w:val="24"/>
                <w:szCs w:val="24"/>
              </w:rPr>
            </w:pPr>
            <w:r w:rsidRPr="00413B35">
              <w:rPr>
                <w:rFonts w:ascii="Book Antiqua" w:hAnsi="Book Antiqua"/>
                <w:sz w:val="24"/>
                <w:szCs w:val="24"/>
              </w:rPr>
              <w:t xml:space="preserve">Gastric </w:t>
            </w:r>
            <w:r w:rsidRPr="00413B35">
              <w:rPr>
                <w:rFonts w:ascii="Book Antiqua" w:hAnsi="Book Antiqua"/>
                <w:sz w:val="24"/>
                <w:szCs w:val="24"/>
                <w:lang w:eastAsia="zh-CN"/>
              </w:rPr>
              <w:t>b</w:t>
            </w:r>
            <w:r w:rsidRPr="00413B35">
              <w:rPr>
                <w:rFonts w:ascii="Book Antiqua" w:hAnsi="Book Antiqua"/>
                <w:sz w:val="24"/>
                <w:szCs w:val="24"/>
              </w:rPr>
              <w:t>ypass</w:t>
            </w:r>
          </w:p>
        </w:tc>
        <w:tc>
          <w:tcPr>
            <w:tcW w:w="379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43</w:t>
            </w:r>
          </w:p>
        </w:tc>
      </w:tr>
      <w:tr w:rsidR="007048F2" w:rsidRPr="00413B35" w:rsidTr="009B3423">
        <w:tc>
          <w:tcPr>
            <w:tcW w:w="5778" w:type="dxa"/>
          </w:tcPr>
          <w:p w:rsidR="007048F2" w:rsidRPr="00413B35" w:rsidRDefault="007048F2" w:rsidP="005A485B">
            <w:pPr>
              <w:spacing w:after="0" w:line="360" w:lineRule="auto"/>
              <w:jc w:val="both"/>
              <w:rPr>
                <w:rFonts w:ascii="Book Antiqua" w:hAnsi="Book Antiqua"/>
                <w:sz w:val="24"/>
                <w:szCs w:val="24"/>
              </w:rPr>
            </w:pPr>
            <w:r w:rsidRPr="00413B35">
              <w:rPr>
                <w:rFonts w:ascii="Book Antiqua" w:hAnsi="Book Antiqua"/>
                <w:sz w:val="24"/>
                <w:szCs w:val="24"/>
              </w:rPr>
              <w:t xml:space="preserve"> Inflammatory bowel disease (Crohn’s disease, Ulcerative colitis)</w:t>
            </w:r>
          </w:p>
        </w:tc>
        <w:tc>
          <w:tcPr>
            <w:tcW w:w="379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58</w:t>
            </w:r>
          </w:p>
        </w:tc>
      </w:tr>
      <w:tr w:rsidR="007048F2" w:rsidRPr="00413B35" w:rsidTr="009B3423">
        <w:tc>
          <w:tcPr>
            <w:tcW w:w="5778" w:type="dxa"/>
          </w:tcPr>
          <w:p w:rsidR="007048F2" w:rsidRPr="00413B35" w:rsidRDefault="007048F2" w:rsidP="005A485B">
            <w:pPr>
              <w:spacing w:after="0" w:line="360" w:lineRule="auto"/>
              <w:jc w:val="both"/>
              <w:rPr>
                <w:rFonts w:ascii="Book Antiqua" w:hAnsi="Book Antiqua"/>
                <w:sz w:val="24"/>
                <w:szCs w:val="24"/>
              </w:rPr>
            </w:pPr>
            <w:r w:rsidRPr="00413B35">
              <w:rPr>
                <w:rFonts w:ascii="Book Antiqua" w:hAnsi="Book Antiqua"/>
                <w:sz w:val="24"/>
                <w:szCs w:val="24"/>
              </w:rPr>
              <w:t>GI bleed (ulcers, ateriovenous malformation,  hemorrhoids, diverticulosis, Cronkhite-Canada syndrome)</w:t>
            </w:r>
          </w:p>
        </w:tc>
        <w:tc>
          <w:tcPr>
            <w:tcW w:w="379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16</w:t>
            </w:r>
          </w:p>
        </w:tc>
      </w:tr>
      <w:tr w:rsidR="007048F2" w:rsidRPr="00413B35" w:rsidTr="009B3423">
        <w:tc>
          <w:tcPr>
            <w:tcW w:w="5778" w:type="dxa"/>
          </w:tcPr>
          <w:p w:rsidR="007048F2" w:rsidRPr="00413B35" w:rsidRDefault="007048F2" w:rsidP="005A485B">
            <w:pPr>
              <w:spacing w:after="0" w:line="360" w:lineRule="auto"/>
              <w:jc w:val="both"/>
              <w:rPr>
                <w:rFonts w:ascii="Book Antiqua" w:hAnsi="Book Antiqua"/>
                <w:sz w:val="24"/>
                <w:szCs w:val="24"/>
              </w:rPr>
            </w:pPr>
            <w:r w:rsidRPr="00413B35">
              <w:rPr>
                <w:rFonts w:ascii="Book Antiqua" w:hAnsi="Book Antiqua"/>
                <w:sz w:val="24"/>
                <w:szCs w:val="24"/>
              </w:rPr>
              <w:t>Gastrectomy (secondary to gastric cancer, Mucosa-associated lymphoid  tissue  lymphoma)</w:t>
            </w:r>
          </w:p>
        </w:tc>
        <w:tc>
          <w:tcPr>
            <w:tcW w:w="379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5</w:t>
            </w:r>
          </w:p>
        </w:tc>
      </w:tr>
      <w:tr w:rsidR="007048F2" w:rsidRPr="00413B35" w:rsidTr="009B3423">
        <w:tc>
          <w:tcPr>
            <w:tcW w:w="577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Celiac disease</w:t>
            </w:r>
          </w:p>
        </w:tc>
        <w:tc>
          <w:tcPr>
            <w:tcW w:w="379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3</w:t>
            </w:r>
          </w:p>
        </w:tc>
      </w:tr>
      <w:tr w:rsidR="007048F2" w:rsidRPr="00413B35" w:rsidTr="009B3423">
        <w:tc>
          <w:tcPr>
            <w:tcW w:w="577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Pernicious anemia</w:t>
            </w:r>
          </w:p>
        </w:tc>
        <w:tc>
          <w:tcPr>
            <w:tcW w:w="379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1</w:t>
            </w:r>
          </w:p>
        </w:tc>
      </w:tr>
      <w:tr w:rsidR="007048F2" w:rsidRPr="00413B35" w:rsidTr="009B3423">
        <w:tc>
          <w:tcPr>
            <w:tcW w:w="5778" w:type="dxa"/>
          </w:tcPr>
          <w:p w:rsidR="007048F2" w:rsidRPr="00413B35" w:rsidRDefault="007048F2" w:rsidP="005A485B">
            <w:pPr>
              <w:spacing w:after="0" w:line="360" w:lineRule="auto"/>
              <w:jc w:val="both"/>
              <w:rPr>
                <w:rFonts w:ascii="Book Antiqua" w:hAnsi="Book Antiqua"/>
                <w:sz w:val="24"/>
                <w:szCs w:val="24"/>
              </w:rPr>
            </w:pPr>
            <w:r w:rsidRPr="00413B35">
              <w:rPr>
                <w:rFonts w:ascii="Book Antiqua" w:hAnsi="Book Antiqua"/>
                <w:sz w:val="24"/>
                <w:szCs w:val="24"/>
              </w:rPr>
              <w:t>Colectomy secondary to Familial adenomatous polyposis</w:t>
            </w:r>
          </w:p>
        </w:tc>
        <w:tc>
          <w:tcPr>
            <w:tcW w:w="379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1</w:t>
            </w:r>
          </w:p>
        </w:tc>
      </w:tr>
      <w:tr w:rsidR="007048F2" w:rsidRPr="00413B35" w:rsidTr="009B3423">
        <w:tc>
          <w:tcPr>
            <w:tcW w:w="577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Bulimia</w:t>
            </w:r>
          </w:p>
        </w:tc>
        <w:tc>
          <w:tcPr>
            <w:tcW w:w="379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1</w:t>
            </w:r>
          </w:p>
        </w:tc>
      </w:tr>
      <w:tr w:rsidR="007048F2" w:rsidRPr="00413B35" w:rsidTr="009B3423">
        <w:tc>
          <w:tcPr>
            <w:tcW w:w="577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Small bowel resection- reason unclear</w:t>
            </w:r>
          </w:p>
        </w:tc>
        <w:tc>
          <w:tcPr>
            <w:tcW w:w="379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1</w:t>
            </w:r>
          </w:p>
        </w:tc>
      </w:tr>
      <w:tr w:rsidR="007048F2" w:rsidRPr="00413B35" w:rsidTr="009B3423">
        <w:tc>
          <w:tcPr>
            <w:tcW w:w="577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Solid tumor (secondary to chemotherapy, due to disease infiltration/progression)</w:t>
            </w:r>
          </w:p>
        </w:tc>
        <w:tc>
          <w:tcPr>
            <w:tcW w:w="379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63</w:t>
            </w:r>
          </w:p>
        </w:tc>
      </w:tr>
      <w:tr w:rsidR="007048F2" w:rsidRPr="00413B35" w:rsidTr="009B3423">
        <w:tc>
          <w:tcPr>
            <w:tcW w:w="577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Gynecologic (menorrhagia, fibroids, endometriosis)</w:t>
            </w:r>
          </w:p>
        </w:tc>
        <w:tc>
          <w:tcPr>
            <w:tcW w:w="379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39</w:t>
            </w:r>
          </w:p>
        </w:tc>
      </w:tr>
      <w:tr w:rsidR="007048F2" w:rsidRPr="00413B35" w:rsidTr="009B3423">
        <w:tc>
          <w:tcPr>
            <w:tcW w:w="5778" w:type="dxa"/>
          </w:tcPr>
          <w:p w:rsidR="007048F2" w:rsidRPr="00413B35" w:rsidRDefault="007048F2" w:rsidP="005A485B">
            <w:pPr>
              <w:spacing w:after="0" w:line="360" w:lineRule="auto"/>
              <w:jc w:val="both"/>
              <w:rPr>
                <w:rFonts w:ascii="Book Antiqua" w:hAnsi="Book Antiqua"/>
                <w:sz w:val="24"/>
                <w:szCs w:val="24"/>
              </w:rPr>
            </w:pPr>
            <w:r w:rsidRPr="00413B35">
              <w:rPr>
                <w:rFonts w:ascii="Book Antiqua" w:hAnsi="Book Antiqua"/>
                <w:sz w:val="24"/>
                <w:szCs w:val="24"/>
              </w:rPr>
              <w:t>Hematologic malignancy (Hodgkin’s, Myelodysplastic Syndrome,  Post-transplant lymphoproliferative disorder, myelofibrosis, paraproteinemia, follicular lymphoma, Monoclonal gammopathy of undetermined significance , Acute myeloid leukemia, , Chronic myeloid leukemia)</w:t>
            </w:r>
          </w:p>
        </w:tc>
        <w:tc>
          <w:tcPr>
            <w:tcW w:w="379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11</w:t>
            </w:r>
          </w:p>
        </w:tc>
      </w:tr>
      <w:tr w:rsidR="007048F2" w:rsidRPr="00413B35" w:rsidTr="009B3423">
        <w:tc>
          <w:tcPr>
            <w:tcW w:w="577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Lupus Anti-Coagulant on anti-coagulation, Antiphospholipid syndrome on anti-coagulation</w:t>
            </w:r>
          </w:p>
        </w:tc>
        <w:tc>
          <w:tcPr>
            <w:tcW w:w="379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4</w:t>
            </w:r>
          </w:p>
        </w:tc>
      </w:tr>
      <w:tr w:rsidR="007048F2" w:rsidRPr="00413B35" w:rsidTr="009B3423">
        <w:tc>
          <w:tcPr>
            <w:tcW w:w="5778" w:type="dxa"/>
          </w:tcPr>
          <w:p w:rsidR="007048F2" w:rsidRPr="00413B35" w:rsidRDefault="007048F2" w:rsidP="005A485B">
            <w:pPr>
              <w:spacing w:after="0" w:line="360" w:lineRule="auto"/>
              <w:jc w:val="both"/>
              <w:rPr>
                <w:rFonts w:ascii="Book Antiqua" w:hAnsi="Book Antiqua"/>
                <w:sz w:val="24"/>
                <w:szCs w:val="24"/>
              </w:rPr>
            </w:pPr>
            <w:r w:rsidRPr="00413B35">
              <w:rPr>
                <w:rFonts w:ascii="Book Antiqua" w:hAnsi="Book Antiqua"/>
                <w:sz w:val="24"/>
                <w:szCs w:val="24"/>
              </w:rPr>
              <w:t xml:space="preserve">Systemic lupus erythematosus </w:t>
            </w:r>
          </w:p>
        </w:tc>
        <w:tc>
          <w:tcPr>
            <w:tcW w:w="379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3</w:t>
            </w:r>
          </w:p>
        </w:tc>
      </w:tr>
      <w:tr w:rsidR="007048F2" w:rsidRPr="00413B35" w:rsidTr="009B3423">
        <w:tc>
          <w:tcPr>
            <w:tcW w:w="577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Anemia of chronic disease</w:t>
            </w:r>
          </w:p>
        </w:tc>
        <w:tc>
          <w:tcPr>
            <w:tcW w:w="379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1</w:t>
            </w:r>
          </w:p>
        </w:tc>
      </w:tr>
      <w:tr w:rsidR="007048F2" w:rsidRPr="00413B35" w:rsidTr="009B3423">
        <w:tc>
          <w:tcPr>
            <w:tcW w:w="577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lastRenderedPageBreak/>
              <w:t>Thallassemia</w:t>
            </w:r>
          </w:p>
        </w:tc>
        <w:tc>
          <w:tcPr>
            <w:tcW w:w="379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1</w:t>
            </w:r>
          </w:p>
        </w:tc>
      </w:tr>
      <w:tr w:rsidR="007048F2" w:rsidRPr="00413B35" w:rsidTr="009B3423">
        <w:tc>
          <w:tcPr>
            <w:tcW w:w="5778" w:type="dxa"/>
          </w:tcPr>
          <w:p w:rsidR="007048F2" w:rsidRPr="00413B35" w:rsidRDefault="007048F2" w:rsidP="002E37B3">
            <w:pPr>
              <w:spacing w:after="0" w:line="360" w:lineRule="auto"/>
              <w:jc w:val="both"/>
              <w:rPr>
                <w:rFonts w:ascii="Book Antiqua" w:hAnsi="Book Antiqua"/>
                <w:sz w:val="24"/>
                <w:szCs w:val="24"/>
              </w:rPr>
            </w:pPr>
            <w:r w:rsidRPr="00413B35">
              <w:rPr>
                <w:rFonts w:ascii="Book Antiqua" w:hAnsi="Book Antiqua"/>
                <w:sz w:val="24"/>
                <w:szCs w:val="24"/>
              </w:rPr>
              <w:t>Sickle cell  trait</w:t>
            </w:r>
          </w:p>
        </w:tc>
        <w:tc>
          <w:tcPr>
            <w:tcW w:w="379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1</w:t>
            </w:r>
          </w:p>
        </w:tc>
      </w:tr>
      <w:tr w:rsidR="007048F2" w:rsidRPr="00413B35" w:rsidTr="009B3423">
        <w:tc>
          <w:tcPr>
            <w:tcW w:w="577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Autoimmune hemolytic anemia</w:t>
            </w:r>
          </w:p>
        </w:tc>
        <w:tc>
          <w:tcPr>
            <w:tcW w:w="379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1</w:t>
            </w:r>
          </w:p>
        </w:tc>
      </w:tr>
      <w:tr w:rsidR="007048F2" w:rsidRPr="00413B35" w:rsidTr="009B3423">
        <w:tc>
          <w:tcPr>
            <w:tcW w:w="577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Jehovah’s witness</w:t>
            </w:r>
          </w:p>
        </w:tc>
        <w:tc>
          <w:tcPr>
            <w:tcW w:w="379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4</w:t>
            </w:r>
          </w:p>
        </w:tc>
      </w:tr>
      <w:tr w:rsidR="007048F2" w:rsidRPr="00413B35" w:rsidTr="009B3423">
        <w:tc>
          <w:tcPr>
            <w:tcW w:w="5778" w:type="dxa"/>
          </w:tcPr>
          <w:p w:rsidR="007048F2" w:rsidRPr="00413B35" w:rsidRDefault="007048F2" w:rsidP="002E37B3">
            <w:pPr>
              <w:spacing w:after="0" w:line="360" w:lineRule="auto"/>
              <w:jc w:val="both"/>
              <w:rPr>
                <w:rFonts w:ascii="Book Antiqua" w:hAnsi="Book Antiqua"/>
                <w:sz w:val="24"/>
                <w:szCs w:val="24"/>
              </w:rPr>
            </w:pPr>
            <w:r w:rsidRPr="00413B35">
              <w:rPr>
                <w:rFonts w:ascii="Book Antiqua" w:hAnsi="Book Antiqua"/>
                <w:sz w:val="24"/>
                <w:szCs w:val="24"/>
              </w:rPr>
              <w:t>Renal disease (polycystic kidney disease , chronic kidney disease  end-stage renal disease )</w:t>
            </w:r>
          </w:p>
        </w:tc>
        <w:tc>
          <w:tcPr>
            <w:tcW w:w="379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16</w:t>
            </w:r>
          </w:p>
        </w:tc>
      </w:tr>
      <w:tr w:rsidR="007048F2" w:rsidRPr="00413B35" w:rsidTr="009B3423">
        <w:tc>
          <w:tcPr>
            <w:tcW w:w="577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Pregnancy</w:t>
            </w:r>
          </w:p>
        </w:tc>
        <w:tc>
          <w:tcPr>
            <w:tcW w:w="379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1</w:t>
            </w:r>
          </w:p>
        </w:tc>
      </w:tr>
      <w:tr w:rsidR="007048F2" w:rsidRPr="00413B35" w:rsidTr="009B3423">
        <w:tc>
          <w:tcPr>
            <w:tcW w:w="577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Rheumatoid arthritis</w:t>
            </w:r>
          </w:p>
        </w:tc>
        <w:tc>
          <w:tcPr>
            <w:tcW w:w="379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1</w:t>
            </w:r>
          </w:p>
        </w:tc>
      </w:tr>
      <w:tr w:rsidR="007048F2" w:rsidRPr="00413B35" w:rsidTr="009B3423">
        <w:tc>
          <w:tcPr>
            <w:tcW w:w="577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Skin wounds</w:t>
            </w:r>
          </w:p>
        </w:tc>
        <w:tc>
          <w:tcPr>
            <w:tcW w:w="379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1</w:t>
            </w:r>
          </w:p>
        </w:tc>
      </w:tr>
      <w:tr w:rsidR="007048F2" w:rsidRPr="00413B35" w:rsidTr="009B3423">
        <w:tc>
          <w:tcPr>
            <w:tcW w:w="577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Other indication, also on warfarin</w:t>
            </w:r>
          </w:p>
        </w:tc>
        <w:tc>
          <w:tcPr>
            <w:tcW w:w="379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5</w:t>
            </w:r>
          </w:p>
        </w:tc>
      </w:tr>
      <w:tr w:rsidR="007048F2" w:rsidRPr="00413B35" w:rsidTr="009B3423">
        <w:tc>
          <w:tcPr>
            <w:tcW w:w="577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Unclear on review of records (some have iron deficiency anemia as a diagnosis)</w:t>
            </w:r>
          </w:p>
        </w:tc>
        <w:tc>
          <w:tcPr>
            <w:tcW w:w="3798" w:type="dxa"/>
          </w:tcPr>
          <w:p w:rsidR="007048F2" w:rsidRPr="00413B35" w:rsidRDefault="007048F2" w:rsidP="001E630E">
            <w:pPr>
              <w:spacing w:after="0" w:line="360" w:lineRule="auto"/>
              <w:jc w:val="both"/>
              <w:rPr>
                <w:rFonts w:ascii="Book Antiqua" w:hAnsi="Book Antiqua"/>
                <w:sz w:val="24"/>
                <w:szCs w:val="24"/>
              </w:rPr>
            </w:pPr>
            <w:r w:rsidRPr="00413B35">
              <w:rPr>
                <w:rFonts w:ascii="Book Antiqua" w:hAnsi="Book Antiqua"/>
                <w:sz w:val="24"/>
                <w:szCs w:val="24"/>
              </w:rPr>
              <w:t>12</w:t>
            </w:r>
          </w:p>
        </w:tc>
      </w:tr>
    </w:tbl>
    <w:p w:rsidR="007048F2" w:rsidRDefault="007048F2" w:rsidP="001E630E">
      <w:pPr>
        <w:spacing w:after="0" w:line="360" w:lineRule="auto"/>
        <w:jc w:val="both"/>
        <w:rPr>
          <w:rFonts w:ascii="Book Antiqua" w:hAnsi="Book Antiqua"/>
          <w:sz w:val="24"/>
          <w:szCs w:val="24"/>
          <w:lang w:eastAsia="zh-CN"/>
        </w:rPr>
      </w:pPr>
      <w:r w:rsidRPr="001E630E">
        <w:rPr>
          <w:rFonts w:ascii="Book Antiqua" w:hAnsi="Book Antiqua"/>
          <w:sz w:val="24"/>
          <w:szCs w:val="24"/>
        </w:rPr>
        <w:t>Note: Several patients had multiple indications for IV iron; all indications noted in chart are listed above. Data for 262 patients. Patients received treatment at SCCC in Miami and Kendall.</w:t>
      </w:r>
    </w:p>
    <w:p w:rsidR="007048F2" w:rsidRDefault="007048F2" w:rsidP="001E630E">
      <w:pPr>
        <w:spacing w:after="0" w:line="360" w:lineRule="auto"/>
        <w:jc w:val="both"/>
        <w:rPr>
          <w:rFonts w:ascii="Book Antiqua" w:hAnsi="Book Antiqua"/>
          <w:sz w:val="24"/>
          <w:szCs w:val="24"/>
          <w:lang w:eastAsia="zh-CN"/>
        </w:rPr>
      </w:pPr>
    </w:p>
    <w:p w:rsidR="007048F2" w:rsidRPr="001E630E" w:rsidRDefault="007048F2" w:rsidP="001E630E">
      <w:pPr>
        <w:spacing w:after="0" w:line="360" w:lineRule="auto"/>
        <w:jc w:val="both"/>
        <w:rPr>
          <w:rFonts w:ascii="Book Antiqua" w:hAnsi="Book Antiqua"/>
          <w:sz w:val="24"/>
          <w:szCs w:val="24"/>
          <w:lang w:eastAsia="zh-CN"/>
        </w:rPr>
      </w:pPr>
    </w:p>
    <w:sectPr w:rsidR="007048F2" w:rsidRPr="001E630E" w:rsidSect="00345A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A9B" w:rsidRDefault="00A33A9B" w:rsidP="001A61FE">
      <w:pPr>
        <w:spacing w:after="0" w:line="240" w:lineRule="auto"/>
      </w:pPr>
      <w:r>
        <w:separator/>
      </w:r>
    </w:p>
  </w:endnote>
  <w:endnote w:type="continuationSeparator" w:id="0">
    <w:p w:rsidR="00A33A9B" w:rsidRDefault="00A33A9B" w:rsidP="001A6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A9B" w:rsidRDefault="00A33A9B" w:rsidP="001A61FE">
      <w:pPr>
        <w:spacing w:after="0" w:line="240" w:lineRule="auto"/>
      </w:pPr>
      <w:r>
        <w:separator/>
      </w:r>
    </w:p>
  </w:footnote>
  <w:footnote w:type="continuationSeparator" w:id="0">
    <w:p w:rsidR="00A33A9B" w:rsidRDefault="00A33A9B" w:rsidP="001A61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A30"/>
    <w:rsid w:val="00006EA0"/>
    <w:rsid w:val="00010743"/>
    <w:rsid w:val="00011EB5"/>
    <w:rsid w:val="000148CB"/>
    <w:rsid w:val="0001741C"/>
    <w:rsid w:val="00026B3F"/>
    <w:rsid w:val="000450E7"/>
    <w:rsid w:val="000666EA"/>
    <w:rsid w:val="00081357"/>
    <w:rsid w:val="000867BF"/>
    <w:rsid w:val="00092F9A"/>
    <w:rsid w:val="00095457"/>
    <w:rsid w:val="000A2ADE"/>
    <w:rsid w:val="000B67CA"/>
    <w:rsid w:val="000B70D0"/>
    <w:rsid w:val="000C00C1"/>
    <w:rsid w:val="000C20AA"/>
    <w:rsid w:val="000C2FCD"/>
    <w:rsid w:val="000C6DEA"/>
    <w:rsid w:val="000E0D3C"/>
    <w:rsid w:val="000E1FC5"/>
    <w:rsid w:val="001011FA"/>
    <w:rsid w:val="00101FFF"/>
    <w:rsid w:val="001078D3"/>
    <w:rsid w:val="00110B4D"/>
    <w:rsid w:val="001509DC"/>
    <w:rsid w:val="001633D6"/>
    <w:rsid w:val="0016661B"/>
    <w:rsid w:val="00166EB2"/>
    <w:rsid w:val="001A2CB8"/>
    <w:rsid w:val="001A61FE"/>
    <w:rsid w:val="001A7A03"/>
    <w:rsid w:val="001B7FC3"/>
    <w:rsid w:val="001B7FF1"/>
    <w:rsid w:val="001C6644"/>
    <w:rsid w:val="001C7CCC"/>
    <w:rsid w:val="001D031E"/>
    <w:rsid w:val="001E3B7A"/>
    <w:rsid w:val="001E630E"/>
    <w:rsid w:val="001E63AB"/>
    <w:rsid w:val="001E63E5"/>
    <w:rsid w:val="001F4231"/>
    <w:rsid w:val="001F428B"/>
    <w:rsid w:val="002143DB"/>
    <w:rsid w:val="00225C07"/>
    <w:rsid w:val="00241137"/>
    <w:rsid w:val="002414CE"/>
    <w:rsid w:val="00244B77"/>
    <w:rsid w:val="00244CDB"/>
    <w:rsid w:val="00250A02"/>
    <w:rsid w:val="00266EAA"/>
    <w:rsid w:val="002A053B"/>
    <w:rsid w:val="002A357A"/>
    <w:rsid w:val="002B62E8"/>
    <w:rsid w:val="002C00BA"/>
    <w:rsid w:val="002C1789"/>
    <w:rsid w:val="002C4D8A"/>
    <w:rsid w:val="002D201D"/>
    <w:rsid w:val="002E18E7"/>
    <w:rsid w:val="002E37B3"/>
    <w:rsid w:val="002E725F"/>
    <w:rsid w:val="00312A55"/>
    <w:rsid w:val="00313C17"/>
    <w:rsid w:val="003161BE"/>
    <w:rsid w:val="0032453D"/>
    <w:rsid w:val="0033177B"/>
    <w:rsid w:val="003422FF"/>
    <w:rsid w:val="003428D4"/>
    <w:rsid w:val="00345A13"/>
    <w:rsid w:val="0035054D"/>
    <w:rsid w:val="00351E8C"/>
    <w:rsid w:val="003650C7"/>
    <w:rsid w:val="00390139"/>
    <w:rsid w:val="003A0EDC"/>
    <w:rsid w:val="003A3B04"/>
    <w:rsid w:val="003C02DD"/>
    <w:rsid w:val="003C15D6"/>
    <w:rsid w:val="003C2545"/>
    <w:rsid w:val="003C4673"/>
    <w:rsid w:val="003D03D5"/>
    <w:rsid w:val="00402AEE"/>
    <w:rsid w:val="00407090"/>
    <w:rsid w:val="00413B35"/>
    <w:rsid w:val="00414F11"/>
    <w:rsid w:val="004151C3"/>
    <w:rsid w:val="0041735C"/>
    <w:rsid w:val="004244B0"/>
    <w:rsid w:val="0043081D"/>
    <w:rsid w:val="004326EC"/>
    <w:rsid w:val="00433B98"/>
    <w:rsid w:val="00435137"/>
    <w:rsid w:val="00435FE3"/>
    <w:rsid w:val="00447B18"/>
    <w:rsid w:val="00450C73"/>
    <w:rsid w:val="00471AB8"/>
    <w:rsid w:val="00476EF7"/>
    <w:rsid w:val="00480C07"/>
    <w:rsid w:val="004833B5"/>
    <w:rsid w:val="00495718"/>
    <w:rsid w:val="004A742A"/>
    <w:rsid w:val="004D11FD"/>
    <w:rsid w:val="004E5064"/>
    <w:rsid w:val="004E558E"/>
    <w:rsid w:val="00507DA2"/>
    <w:rsid w:val="00521147"/>
    <w:rsid w:val="00522698"/>
    <w:rsid w:val="005252E5"/>
    <w:rsid w:val="005301F2"/>
    <w:rsid w:val="00530A30"/>
    <w:rsid w:val="005341E0"/>
    <w:rsid w:val="00542D13"/>
    <w:rsid w:val="00565149"/>
    <w:rsid w:val="00572403"/>
    <w:rsid w:val="0058609C"/>
    <w:rsid w:val="00592E90"/>
    <w:rsid w:val="00596711"/>
    <w:rsid w:val="005A485B"/>
    <w:rsid w:val="005B1FF2"/>
    <w:rsid w:val="005B58BE"/>
    <w:rsid w:val="005C1738"/>
    <w:rsid w:val="005D37A9"/>
    <w:rsid w:val="005F200E"/>
    <w:rsid w:val="005F5C62"/>
    <w:rsid w:val="005F6A91"/>
    <w:rsid w:val="00601ACB"/>
    <w:rsid w:val="006107E4"/>
    <w:rsid w:val="00620B8E"/>
    <w:rsid w:val="00671BC1"/>
    <w:rsid w:val="00687961"/>
    <w:rsid w:val="006B7A86"/>
    <w:rsid w:val="006C3D87"/>
    <w:rsid w:val="006C474A"/>
    <w:rsid w:val="006C510E"/>
    <w:rsid w:val="006D0D25"/>
    <w:rsid w:val="006D2484"/>
    <w:rsid w:val="006E2967"/>
    <w:rsid w:val="006E7075"/>
    <w:rsid w:val="00700B77"/>
    <w:rsid w:val="00702F8F"/>
    <w:rsid w:val="007048F2"/>
    <w:rsid w:val="0073776A"/>
    <w:rsid w:val="00740B92"/>
    <w:rsid w:val="00741E6E"/>
    <w:rsid w:val="007712D8"/>
    <w:rsid w:val="0077274A"/>
    <w:rsid w:val="007738C4"/>
    <w:rsid w:val="007825CD"/>
    <w:rsid w:val="007B2504"/>
    <w:rsid w:val="007D3130"/>
    <w:rsid w:val="007D3F26"/>
    <w:rsid w:val="007E2FBF"/>
    <w:rsid w:val="007F2D1B"/>
    <w:rsid w:val="007F6845"/>
    <w:rsid w:val="00804EE1"/>
    <w:rsid w:val="008121AC"/>
    <w:rsid w:val="008150D2"/>
    <w:rsid w:val="00821744"/>
    <w:rsid w:val="0082176A"/>
    <w:rsid w:val="008302E7"/>
    <w:rsid w:val="0085587F"/>
    <w:rsid w:val="00857077"/>
    <w:rsid w:val="00874EA9"/>
    <w:rsid w:val="008849C9"/>
    <w:rsid w:val="0089289B"/>
    <w:rsid w:val="00895673"/>
    <w:rsid w:val="0089702D"/>
    <w:rsid w:val="008B2D72"/>
    <w:rsid w:val="008C5771"/>
    <w:rsid w:val="008C58DE"/>
    <w:rsid w:val="008D1B7E"/>
    <w:rsid w:val="008D5BE7"/>
    <w:rsid w:val="008E5523"/>
    <w:rsid w:val="008F59A7"/>
    <w:rsid w:val="00904F27"/>
    <w:rsid w:val="0091043B"/>
    <w:rsid w:val="00924CD1"/>
    <w:rsid w:val="00926660"/>
    <w:rsid w:val="009432A1"/>
    <w:rsid w:val="009709BA"/>
    <w:rsid w:val="0097644E"/>
    <w:rsid w:val="009A089E"/>
    <w:rsid w:val="009A4B91"/>
    <w:rsid w:val="009A6632"/>
    <w:rsid w:val="009B3423"/>
    <w:rsid w:val="009B3C1A"/>
    <w:rsid w:val="009B6210"/>
    <w:rsid w:val="009D36A0"/>
    <w:rsid w:val="009E61F0"/>
    <w:rsid w:val="00A23A48"/>
    <w:rsid w:val="00A30D4D"/>
    <w:rsid w:val="00A324DC"/>
    <w:rsid w:val="00A33A9B"/>
    <w:rsid w:val="00A5697A"/>
    <w:rsid w:val="00A64378"/>
    <w:rsid w:val="00A653D1"/>
    <w:rsid w:val="00A77941"/>
    <w:rsid w:val="00A83A4E"/>
    <w:rsid w:val="00AA24AA"/>
    <w:rsid w:val="00AC4103"/>
    <w:rsid w:val="00AC4515"/>
    <w:rsid w:val="00AC46C9"/>
    <w:rsid w:val="00AC7EA9"/>
    <w:rsid w:val="00AE1176"/>
    <w:rsid w:val="00B07D66"/>
    <w:rsid w:val="00B118E6"/>
    <w:rsid w:val="00B214C2"/>
    <w:rsid w:val="00B33DBA"/>
    <w:rsid w:val="00B45959"/>
    <w:rsid w:val="00B539AA"/>
    <w:rsid w:val="00B64103"/>
    <w:rsid w:val="00B6795D"/>
    <w:rsid w:val="00B75654"/>
    <w:rsid w:val="00B84B0B"/>
    <w:rsid w:val="00B95620"/>
    <w:rsid w:val="00BC5750"/>
    <w:rsid w:val="00BE5E95"/>
    <w:rsid w:val="00C011A0"/>
    <w:rsid w:val="00C01E71"/>
    <w:rsid w:val="00C02323"/>
    <w:rsid w:val="00C146ED"/>
    <w:rsid w:val="00C33626"/>
    <w:rsid w:val="00C70207"/>
    <w:rsid w:val="00C75040"/>
    <w:rsid w:val="00C90915"/>
    <w:rsid w:val="00C9310D"/>
    <w:rsid w:val="00CA6368"/>
    <w:rsid w:val="00CA6EAD"/>
    <w:rsid w:val="00CB2A86"/>
    <w:rsid w:val="00CC1270"/>
    <w:rsid w:val="00CC22FA"/>
    <w:rsid w:val="00CC66B0"/>
    <w:rsid w:val="00CF0C3A"/>
    <w:rsid w:val="00D17539"/>
    <w:rsid w:val="00D25C97"/>
    <w:rsid w:val="00D25DA0"/>
    <w:rsid w:val="00D26319"/>
    <w:rsid w:val="00D423C1"/>
    <w:rsid w:val="00D42FE5"/>
    <w:rsid w:val="00D43A2E"/>
    <w:rsid w:val="00D53AFB"/>
    <w:rsid w:val="00D72589"/>
    <w:rsid w:val="00D73B44"/>
    <w:rsid w:val="00D76435"/>
    <w:rsid w:val="00D80F38"/>
    <w:rsid w:val="00D86E5D"/>
    <w:rsid w:val="00D902D9"/>
    <w:rsid w:val="00DC2523"/>
    <w:rsid w:val="00DC2DD3"/>
    <w:rsid w:val="00DC504C"/>
    <w:rsid w:val="00DC7D3B"/>
    <w:rsid w:val="00DD426B"/>
    <w:rsid w:val="00DF037E"/>
    <w:rsid w:val="00DF3EC8"/>
    <w:rsid w:val="00E12A1D"/>
    <w:rsid w:val="00E40137"/>
    <w:rsid w:val="00E40F1F"/>
    <w:rsid w:val="00E4490D"/>
    <w:rsid w:val="00E45ED7"/>
    <w:rsid w:val="00E53F5B"/>
    <w:rsid w:val="00E56D6B"/>
    <w:rsid w:val="00E80B21"/>
    <w:rsid w:val="00E82E4F"/>
    <w:rsid w:val="00E84AD0"/>
    <w:rsid w:val="00EA5653"/>
    <w:rsid w:val="00EC70F0"/>
    <w:rsid w:val="00EE4711"/>
    <w:rsid w:val="00EF4002"/>
    <w:rsid w:val="00EF73BA"/>
    <w:rsid w:val="00F00AE4"/>
    <w:rsid w:val="00F03BD4"/>
    <w:rsid w:val="00F060FA"/>
    <w:rsid w:val="00F0714E"/>
    <w:rsid w:val="00F2038C"/>
    <w:rsid w:val="00F41335"/>
    <w:rsid w:val="00F47C9B"/>
    <w:rsid w:val="00F6468B"/>
    <w:rsid w:val="00F87620"/>
    <w:rsid w:val="00F952AE"/>
    <w:rsid w:val="00FA50A7"/>
    <w:rsid w:val="00FA5E76"/>
    <w:rsid w:val="00FA72C2"/>
    <w:rsid w:val="00FE4BD6"/>
    <w:rsid w:val="00FF0F1E"/>
    <w:rsid w:val="00FF6EAE"/>
    <w:rsid w:val="00FF7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hmetcnv"/>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A13"/>
    <w:pPr>
      <w:spacing w:after="200" w:line="276" w:lineRule="auto"/>
    </w:pPr>
    <w:rPr>
      <w:kern w:val="0"/>
      <w:sz w:val="22"/>
      <w:lang w:eastAsia="en-US"/>
    </w:rPr>
  </w:style>
  <w:style w:type="paragraph" w:styleId="1">
    <w:name w:val="heading 1"/>
    <w:basedOn w:val="a"/>
    <w:link w:val="1Char"/>
    <w:uiPriority w:val="99"/>
    <w:qFormat/>
    <w:locked/>
    <w:rsid w:val="004833B5"/>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833B5"/>
    <w:rPr>
      <w:rFonts w:ascii="Times New Roman" w:hAnsi="Times New Roman" w:cs="Times New Roman"/>
      <w:b/>
      <w:bCs/>
      <w:kern w:val="36"/>
      <w:sz w:val="48"/>
      <w:szCs w:val="48"/>
    </w:rPr>
  </w:style>
  <w:style w:type="table" w:styleId="a3">
    <w:name w:val="Table Grid"/>
    <w:basedOn w:val="a1"/>
    <w:uiPriority w:val="99"/>
    <w:rsid w:val="00530A3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rsid w:val="006E7075"/>
    <w:pPr>
      <w:spacing w:after="0" w:line="240" w:lineRule="auto"/>
    </w:pPr>
    <w:rPr>
      <w:rFonts w:ascii="Tahoma" w:hAnsi="Tahoma"/>
      <w:sz w:val="16"/>
      <w:szCs w:val="16"/>
      <w:lang w:eastAsia="zh-CN"/>
    </w:rPr>
  </w:style>
  <w:style w:type="character" w:customStyle="1" w:styleId="Char">
    <w:name w:val="批注框文本 Char"/>
    <w:basedOn w:val="a0"/>
    <w:link w:val="a4"/>
    <w:uiPriority w:val="99"/>
    <w:semiHidden/>
    <w:locked/>
    <w:rsid w:val="006E7075"/>
    <w:rPr>
      <w:rFonts w:ascii="Tahoma" w:hAnsi="Tahoma" w:cs="Times New Roman"/>
      <w:sz w:val="16"/>
    </w:rPr>
  </w:style>
  <w:style w:type="paragraph" w:styleId="a5">
    <w:name w:val="header"/>
    <w:basedOn w:val="a"/>
    <w:link w:val="Char0"/>
    <w:uiPriority w:val="99"/>
    <w:semiHidden/>
    <w:rsid w:val="001A61FE"/>
    <w:pPr>
      <w:tabs>
        <w:tab w:val="center" w:pos="4680"/>
        <w:tab w:val="right" w:pos="9360"/>
      </w:tabs>
      <w:spacing w:after="0" w:line="240" w:lineRule="auto"/>
    </w:pPr>
    <w:rPr>
      <w:sz w:val="20"/>
      <w:szCs w:val="20"/>
      <w:lang w:eastAsia="zh-CN"/>
    </w:rPr>
  </w:style>
  <w:style w:type="character" w:customStyle="1" w:styleId="Char0">
    <w:name w:val="页眉 Char"/>
    <w:basedOn w:val="a0"/>
    <w:link w:val="a5"/>
    <w:uiPriority w:val="99"/>
    <w:semiHidden/>
    <w:locked/>
    <w:rsid w:val="001A61FE"/>
    <w:rPr>
      <w:rFonts w:cs="Times New Roman"/>
    </w:rPr>
  </w:style>
  <w:style w:type="paragraph" w:styleId="a6">
    <w:name w:val="footer"/>
    <w:basedOn w:val="a"/>
    <w:link w:val="Char1"/>
    <w:uiPriority w:val="99"/>
    <w:semiHidden/>
    <w:rsid w:val="001A61FE"/>
    <w:pPr>
      <w:tabs>
        <w:tab w:val="center" w:pos="4680"/>
        <w:tab w:val="right" w:pos="9360"/>
      </w:tabs>
      <w:spacing w:after="0" w:line="240" w:lineRule="auto"/>
    </w:pPr>
    <w:rPr>
      <w:sz w:val="20"/>
      <w:szCs w:val="20"/>
      <w:lang w:eastAsia="zh-CN"/>
    </w:rPr>
  </w:style>
  <w:style w:type="character" w:customStyle="1" w:styleId="Char1">
    <w:name w:val="页脚 Char"/>
    <w:basedOn w:val="a0"/>
    <w:link w:val="a6"/>
    <w:uiPriority w:val="99"/>
    <w:semiHidden/>
    <w:locked/>
    <w:rsid w:val="001A61FE"/>
    <w:rPr>
      <w:rFonts w:cs="Times New Roman"/>
    </w:rPr>
  </w:style>
  <w:style w:type="character" w:customStyle="1" w:styleId="highlight">
    <w:name w:val="highlight"/>
    <w:uiPriority w:val="99"/>
    <w:rsid w:val="009709BA"/>
  </w:style>
  <w:style w:type="character" w:styleId="a7">
    <w:name w:val="annotation reference"/>
    <w:basedOn w:val="a0"/>
    <w:uiPriority w:val="99"/>
    <w:semiHidden/>
    <w:rsid w:val="009D36A0"/>
    <w:rPr>
      <w:rFonts w:cs="Times New Roman"/>
      <w:sz w:val="21"/>
      <w:szCs w:val="21"/>
    </w:rPr>
  </w:style>
  <w:style w:type="paragraph" w:styleId="a8">
    <w:name w:val="annotation text"/>
    <w:basedOn w:val="a"/>
    <w:link w:val="Char2"/>
    <w:uiPriority w:val="99"/>
    <w:semiHidden/>
    <w:rsid w:val="009D36A0"/>
  </w:style>
  <w:style w:type="character" w:customStyle="1" w:styleId="Char2">
    <w:name w:val="批注文字 Char"/>
    <w:basedOn w:val="a0"/>
    <w:link w:val="a8"/>
    <w:uiPriority w:val="99"/>
    <w:semiHidden/>
    <w:locked/>
    <w:rsid w:val="009D36A0"/>
    <w:rPr>
      <w:rFonts w:cs="Times New Roman"/>
      <w:sz w:val="22"/>
      <w:szCs w:val="22"/>
    </w:rPr>
  </w:style>
  <w:style w:type="paragraph" w:styleId="a9">
    <w:name w:val="annotation subject"/>
    <w:basedOn w:val="a8"/>
    <w:next w:val="a8"/>
    <w:link w:val="Char3"/>
    <w:uiPriority w:val="99"/>
    <w:semiHidden/>
    <w:rsid w:val="009D36A0"/>
    <w:rPr>
      <w:b/>
      <w:bCs/>
    </w:rPr>
  </w:style>
  <w:style w:type="character" w:customStyle="1" w:styleId="Char3">
    <w:name w:val="批注主题 Char"/>
    <w:basedOn w:val="Char2"/>
    <w:link w:val="a9"/>
    <w:uiPriority w:val="99"/>
    <w:semiHidden/>
    <w:locked/>
    <w:rsid w:val="009D36A0"/>
    <w:rPr>
      <w:rFonts w:cs="Times New Roman"/>
      <w:b/>
      <w:bCs/>
      <w:sz w:val="22"/>
      <w:szCs w:val="22"/>
    </w:rPr>
  </w:style>
  <w:style w:type="character" w:styleId="aa">
    <w:name w:val="Hyperlink"/>
    <w:basedOn w:val="a0"/>
    <w:uiPriority w:val="99"/>
    <w:rsid w:val="004E558E"/>
    <w:rPr>
      <w:rFonts w:cs="Times New Roman"/>
      <w:color w:val="0000FF"/>
      <w:u w:val="single"/>
    </w:rPr>
  </w:style>
  <w:style w:type="paragraph" w:styleId="ab">
    <w:name w:val="No Spacing"/>
    <w:uiPriority w:val="99"/>
    <w:qFormat/>
    <w:rsid w:val="004833B5"/>
    <w:rPr>
      <w:kern w:val="0"/>
      <w:sz w:val="22"/>
      <w:lang w:eastAsia="en-US"/>
    </w:rPr>
  </w:style>
  <w:style w:type="character" w:customStyle="1" w:styleId="apple-converted-space">
    <w:name w:val="apple-converted-space"/>
    <w:basedOn w:val="a0"/>
    <w:uiPriority w:val="99"/>
    <w:rsid w:val="00C02323"/>
    <w:rPr>
      <w:rFonts w:cs="Times New Roman"/>
    </w:rPr>
  </w:style>
  <w:style w:type="paragraph" w:styleId="ac">
    <w:name w:val="Normal (Web)"/>
    <w:basedOn w:val="a"/>
    <w:uiPriority w:val="99"/>
    <w:semiHidden/>
    <w:rsid w:val="000C2FCD"/>
    <w:pPr>
      <w:spacing w:before="100" w:beforeAutospacing="1" w:after="100" w:afterAutospacing="1" w:line="240" w:lineRule="auto"/>
    </w:pPr>
    <w:rPr>
      <w:rFonts w:ascii="宋体" w:hAnsi="宋体" w:cs="宋体"/>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A13"/>
    <w:pPr>
      <w:spacing w:after="200" w:line="276" w:lineRule="auto"/>
    </w:pPr>
    <w:rPr>
      <w:kern w:val="0"/>
      <w:sz w:val="22"/>
      <w:lang w:eastAsia="en-US"/>
    </w:rPr>
  </w:style>
  <w:style w:type="paragraph" w:styleId="1">
    <w:name w:val="heading 1"/>
    <w:basedOn w:val="a"/>
    <w:link w:val="1Char"/>
    <w:uiPriority w:val="99"/>
    <w:qFormat/>
    <w:locked/>
    <w:rsid w:val="004833B5"/>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833B5"/>
    <w:rPr>
      <w:rFonts w:ascii="Times New Roman" w:hAnsi="Times New Roman" w:cs="Times New Roman"/>
      <w:b/>
      <w:bCs/>
      <w:kern w:val="36"/>
      <w:sz w:val="48"/>
      <w:szCs w:val="48"/>
    </w:rPr>
  </w:style>
  <w:style w:type="table" w:styleId="a3">
    <w:name w:val="Table Grid"/>
    <w:basedOn w:val="a1"/>
    <w:uiPriority w:val="99"/>
    <w:rsid w:val="00530A3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rsid w:val="006E7075"/>
    <w:pPr>
      <w:spacing w:after="0" w:line="240" w:lineRule="auto"/>
    </w:pPr>
    <w:rPr>
      <w:rFonts w:ascii="Tahoma" w:hAnsi="Tahoma"/>
      <w:sz w:val="16"/>
      <w:szCs w:val="16"/>
      <w:lang w:eastAsia="zh-CN"/>
    </w:rPr>
  </w:style>
  <w:style w:type="character" w:customStyle="1" w:styleId="Char">
    <w:name w:val="批注框文本 Char"/>
    <w:basedOn w:val="a0"/>
    <w:link w:val="a4"/>
    <w:uiPriority w:val="99"/>
    <w:semiHidden/>
    <w:locked/>
    <w:rsid w:val="006E7075"/>
    <w:rPr>
      <w:rFonts w:ascii="Tahoma" w:hAnsi="Tahoma" w:cs="Times New Roman"/>
      <w:sz w:val="16"/>
    </w:rPr>
  </w:style>
  <w:style w:type="paragraph" w:styleId="a5">
    <w:name w:val="header"/>
    <w:basedOn w:val="a"/>
    <w:link w:val="Char0"/>
    <w:uiPriority w:val="99"/>
    <w:semiHidden/>
    <w:rsid w:val="001A61FE"/>
    <w:pPr>
      <w:tabs>
        <w:tab w:val="center" w:pos="4680"/>
        <w:tab w:val="right" w:pos="9360"/>
      </w:tabs>
      <w:spacing w:after="0" w:line="240" w:lineRule="auto"/>
    </w:pPr>
    <w:rPr>
      <w:sz w:val="20"/>
      <w:szCs w:val="20"/>
      <w:lang w:eastAsia="zh-CN"/>
    </w:rPr>
  </w:style>
  <w:style w:type="character" w:customStyle="1" w:styleId="Char0">
    <w:name w:val="页眉 Char"/>
    <w:basedOn w:val="a0"/>
    <w:link w:val="a5"/>
    <w:uiPriority w:val="99"/>
    <w:semiHidden/>
    <w:locked/>
    <w:rsid w:val="001A61FE"/>
    <w:rPr>
      <w:rFonts w:cs="Times New Roman"/>
    </w:rPr>
  </w:style>
  <w:style w:type="paragraph" w:styleId="a6">
    <w:name w:val="footer"/>
    <w:basedOn w:val="a"/>
    <w:link w:val="Char1"/>
    <w:uiPriority w:val="99"/>
    <w:semiHidden/>
    <w:rsid w:val="001A61FE"/>
    <w:pPr>
      <w:tabs>
        <w:tab w:val="center" w:pos="4680"/>
        <w:tab w:val="right" w:pos="9360"/>
      </w:tabs>
      <w:spacing w:after="0" w:line="240" w:lineRule="auto"/>
    </w:pPr>
    <w:rPr>
      <w:sz w:val="20"/>
      <w:szCs w:val="20"/>
      <w:lang w:eastAsia="zh-CN"/>
    </w:rPr>
  </w:style>
  <w:style w:type="character" w:customStyle="1" w:styleId="Char1">
    <w:name w:val="页脚 Char"/>
    <w:basedOn w:val="a0"/>
    <w:link w:val="a6"/>
    <w:uiPriority w:val="99"/>
    <w:semiHidden/>
    <w:locked/>
    <w:rsid w:val="001A61FE"/>
    <w:rPr>
      <w:rFonts w:cs="Times New Roman"/>
    </w:rPr>
  </w:style>
  <w:style w:type="character" w:customStyle="1" w:styleId="highlight">
    <w:name w:val="highlight"/>
    <w:uiPriority w:val="99"/>
    <w:rsid w:val="009709BA"/>
  </w:style>
  <w:style w:type="character" w:styleId="a7">
    <w:name w:val="annotation reference"/>
    <w:basedOn w:val="a0"/>
    <w:uiPriority w:val="99"/>
    <w:semiHidden/>
    <w:rsid w:val="009D36A0"/>
    <w:rPr>
      <w:rFonts w:cs="Times New Roman"/>
      <w:sz w:val="21"/>
      <w:szCs w:val="21"/>
    </w:rPr>
  </w:style>
  <w:style w:type="paragraph" w:styleId="a8">
    <w:name w:val="annotation text"/>
    <w:basedOn w:val="a"/>
    <w:link w:val="Char2"/>
    <w:uiPriority w:val="99"/>
    <w:semiHidden/>
    <w:rsid w:val="009D36A0"/>
  </w:style>
  <w:style w:type="character" w:customStyle="1" w:styleId="Char2">
    <w:name w:val="批注文字 Char"/>
    <w:basedOn w:val="a0"/>
    <w:link w:val="a8"/>
    <w:uiPriority w:val="99"/>
    <w:semiHidden/>
    <w:locked/>
    <w:rsid w:val="009D36A0"/>
    <w:rPr>
      <w:rFonts w:cs="Times New Roman"/>
      <w:sz w:val="22"/>
      <w:szCs w:val="22"/>
    </w:rPr>
  </w:style>
  <w:style w:type="paragraph" w:styleId="a9">
    <w:name w:val="annotation subject"/>
    <w:basedOn w:val="a8"/>
    <w:next w:val="a8"/>
    <w:link w:val="Char3"/>
    <w:uiPriority w:val="99"/>
    <w:semiHidden/>
    <w:rsid w:val="009D36A0"/>
    <w:rPr>
      <w:b/>
      <w:bCs/>
    </w:rPr>
  </w:style>
  <w:style w:type="character" w:customStyle="1" w:styleId="Char3">
    <w:name w:val="批注主题 Char"/>
    <w:basedOn w:val="Char2"/>
    <w:link w:val="a9"/>
    <w:uiPriority w:val="99"/>
    <w:semiHidden/>
    <w:locked/>
    <w:rsid w:val="009D36A0"/>
    <w:rPr>
      <w:rFonts w:cs="Times New Roman"/>
      <w:b/>
      <w:bCs/>
      <w:sz w:val="22"/>
      <w:szCs w:val="22"/>
    </w:rPr>
  </w:style>
  <w:style w:type="character" w:styleId="aa">
    <w:name w:val="Hyperlink"/>
    <w:basedOn w:val="a0"/>
    <w:uiPriority w:val="99"/>
    <w:rsid w:val="004E558E"/>
    <w:rPr>
      <w:rFonts w:cs="Times New Roman"/>
      <w:color w:val="0000FF"/>
      <w:u w:val="single"/>
    </w:rPr>
  </w:style>
  <w:style w:type="paragraph" w:styleId="ab">
    <w:name w:val="No Spacing"/>
    <w:uiPriority w:val="99"/>
    <w:qFormat/>
    <w:rsid w:val="004833B5"/>
    <w:rPr>
      <w:kern w:val="0"/>
      <w:sz w:val="22"/>
      <w:lang w:eastAsia="en-US"/>
    </w:rPr>
  </w:style>
  <w:style w:type="character" w:customStyle="1" w:styleId="apple-converted-space">
    <w:name w:val="apple-converted-space"/>
    <w:basedOn w:val="a0"/>
    <w:uiPriority w:val="99"/>
    <w:rsid w:val="00C02323"/>
    <w:rPr>
      <w:rFonts w:cs="Times New Roman"/>
    </w:rPr>
  </w:style>
  <w:style w:type="paragraph" w:styleId="ac">
    <w:name w:val="Normal (Web)"/>
    <w:basedOn w:val="a"/>
    <w:uiPriority w:val="99"/>
    <w:semiHidden/>
    <w:rsid w:val="000C2FCD"/>
    <w:pPr>
      <w:spacing w:before="100" w:beforeAutospacing="1" w:after="100" w:afterAutospacing="1" w:line="240" w:lineRule="auto"/>
    </w:pPr>
    <w:rPr>
      <w:rFonts w:ascii="宋体" w:hAnsi="宋体" w:cs="宋体"/>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500411">
      <w:marLeft w:val="0"/>
      <w:marRight w:val="0"/>
      <w:marTop w:val="0"/>
      <w:marBottom w:val="0"/>
      <w:divBdr>
        <w:top w:val="none" w:sz="0" w:space="0" w:color="auto"/>
        <w:left w:val="none" w:sz="0" w:space="0" w:color="auto"/>
        <w:bottom w:val="none" w:sz="0" w:space="0" w:color="auto"/>
        <w:right w:val="none" w:sz="0" w:space="0" w:color="auto"/>
      </w:divBdr>
    </w:div>
    <w:div w:id="694500420">
      <w:marLeft w:val="0"/>
      <w:marRight w:val="0"/>
      <w:marTop w:val="0"/>
      <w:marBottom w:val="0"/>
      <w:divBdr>
        <w:top w:val="none" w:sz="0" w:space="0" w:color="auto"/>
        <w:left w:val="none" w:sz="0" w:space="0" w:color="auto"/>
        <w:bottom w:val="none" w:sz="0" w:space="0" w:color="auto"/>
        <w:right w:val="none" w:sz="0" w:space="0" w:color="auto"/>
      </w:divBdr>
    </w:div>
    <w:div w:id="694500430">
      <w:marLeft w:val="0"/>
      <w:marRight w:val="0"/>
      <w:marTop w:val="0"/>
      <w:marBottom w:val="0"/>
      <w:divBdr>
        <w:top w:val="none" w:sz="0" w:space="0" w:color="auto"/>
        <w:left w:val="none" w:sz="0" w:space="0" w:color="auto"/>
        <w:bottom w:val="none" w:sz="0" w:space="0" w:color="auto"/>
        <w:right w:val="none" w:sz="0" w:space="0" w:color="auto"/>
      </w:divBdr>
      <w:divsChild>
        <w:div w:id="694500434">
          <w:marLeft w:val="0"/>
          <w:marRight w:val="0"/>
          <w:marTop w:val="0"/>
          <w:marBottom w:val="0"/>
          <w:divBdr>
            <w:top w:val="none" w:sz="0" w:space="0" w:color="auto"/>
            <w:left w:val="none" w:sz="0" w:space="0" w:color="auto"/>
            <w:bottom w:val="none" w:sz="0" w:space="0" w:color="auto"/>
            <w:right w:val="none" w:sz="0" w:space="0" w:color="auto"/>
          </w:divBdr>
          <w:divsChild>
            <w:div w:id="694500408">
              <w:marLeft w:val="0"/>
              <w:marRight w:val="0"/>
              <w:marTop w:val="0"/>
              <w:marBottom w:val="0"/>
              <w:divBdr>
                <w:top w:val="none" w:sz="0" w:space="0" w:color="auto"/>
                <w:left w:val="none" w:sz="0" w:space="0" w:color="auto"/>
                <w:bottom w:val="none" w:sz="0" w:space="0" w:color="auto"/>
                <w:right w:val="none" w:sz="0" w:space="0" w:color="auto"/>
              </w:divBdr>
            </w:div>
            <w:div w:id="694500409">
              <w:marLeft w:val="0"/>
              <w:marRight w:val="0"/>
              <w:marTop w:val="0"/>
              <w:marBottom w:val="0"/>
              <w:divBdr>
                <w:top w:val="none" w:sz="0" w:space="0" w:color="auto"/>
                <w:left w:val="none" w:sz="0" w:space="0" w:color="auto"/>
                <w:bottom w:val="none" w:sz="0" w:space="0" w:color="auto"/>
                <w:right w:val="none" w:sz="0" w:space="0" w:color="auto"/>
              </w:divBdr>
            </w:div>
            <w:div w:id="694500410">
              <w:marLeft w:val="0"/>
              <w:marRight w:val="0"/>
              <w:marTop w:val="0"/>
              <w:marBottom w:val="0"/>
              <w:divBdr>
                <w:top w:val="none" w:sz="0" w:space="0" w:color="auto"/>
                <w:left w:val="none" w:sz="0" w:space="0" w:color="auto"/>
                <w:bottom w:val="none" w:sz="0" w:space="0" w:color="auto"/>
                <w:right w:val="none" w:sz="0" w:space="0" w:color="auto"/>
              </w:divBdr>
            </w:div>
            <w:div w:id="694500412">
              <w:marLeft w:val="0"/>
              <w:marRight w:val="0"/>
              <w:marTop w:val="0"/>
              <w:marBottom w:val="0"/>
              <w:divBdr>
                <w:top w:val="none" w:sz="0" w:space="0" w:color="auto"/>
                <w:left w:val="none" w:sz="0" w:space="0" w:color="auto"/>
                <w:bottom w:val="none" w:sz="0" w:space="0" w:color="auto"/>
                <w:right w:val="none" w:sz="0" w:space="0" w:color="auto"/>
              </w:divBdr>
            </w:div>
            <w:div w:id="694500413">
              <w:marLeft w:val="0"/>
              <w:marRight w:val="0"/>
              <w:marTop w:val="0"/>
              <w:marBottom w:val="0"/>
              <w:divBdr>
                <w:top w:val="none" w:sz="0" w:space="0" w:color="auto"/>
                <w:left w:val="none" w:sz="0" w:space="0" w:color="auto"/>
                <w:bottom w:val="none" w:sz="0" w:space="0" w:color="auto"/>
                <w:right w:val="none" w:sz="0" w:space="0" w:color="auto"/>
              </w:divBdr>
            </w:div>
            <w:div w:id="694500414">
              <w:marLeft w:val="0"/>
              <w:marRight w:val="0"/>
              <w:marTop w:val="0"/>
              <w:marBottom w:val="0"/>
              <w:divBdr>
                <w:top w:val="none" w:sz="0" w:space="0" w:color="auto"/>
                <w:left w:val="none" w:sz="0" w:space="0" w:color="auto"/>
                <w:bottom w:val="none" w:sz="0" w:space="0" w:color="auto"/>
                <w:right w:val="none" w:sz="0" w:space="0" w:color="auto"/>
              </w:divBdr>
            </w:div>
            <w:div w:id="694500415">
              <w:marLeft w:val="0"/>
              <w:marRight w:val="0"/>
              <w:marTop w:val="0"/>
              <w:marBottom w:val="0"/>
              <w:divBdr>
                <w:top w:val="none" w:sz="0" w:space="0" w:color="auto"/>
                <w:left w:val="none" w:sz="0" w:space="0" w:color="auto"/>
                <w:bottom w:val="none" w:sz="0" w:space="0" w:color="auto"/>
                <w:right w:val="none" w:sz="0" w:space="0" w:color="auto"/>
              </w:divBdr>
            </w:div>
            <w:div w:id="694500416">
              <w:marLeft w:val="0"/>
              <w:marRight w:val="0"/>
              <w:marTop w:val="0"/>
              <w:marBottom w:val="0"/>
              <w:divBdr>
                <w:top w:val="none" w:sz="0" w:space="0" w:color="auto"/>
                <w:left w:val="none" w:sz="0" w:space="0" w:color="auto"/>
                <w:bottom w:val="none" w:sz="0" w:space="0" w:color="auto"/>
                <w:right w:val="none" w:sz="0" w:space="0" w:color="auto"/>
              </w:divBdr>
            </w:div>
            <w:div w:id="694500417">
              <w:marLeft w:val="0"/>
              <w:marRight w:val="0"/>
              <w:marTop w:val="0"/>
              <w:marBottom w:val="0"/>
              <w:divBdr>
                <w:top w:val="none" w:sz="0" w:space="0" w:color="auto"/>
                <w:left w:val="none" w:sz="0" w:space="0" w:color="auto"/>
                <w:bottom w:val="none" w:sz="0" w:space="0" w:color="auto"/>
                <w:right w:val="none" w:sz="0" w:space="0" w:color="auto"/>
              </w:divBdr>
            </w:div>
            <w:div w:id="694500418">
              <w:marLeft w:val="0"/>
              <w:marRight w:val="0"/>
              <w:marTop w:val="0"/>
              <w:marBottom w:val="0"/>
              <w:divBdr>
                <w:top w:val="none" w:sz="0" w:space="0" w:color="auto"/>
                <w:left w:val="none" w:sz="0" w:space="0" w:color="auto"/>
                <w:bottom w:val="none" w:sz="0" w:space="0" w:color="auto"/>
                <w:right w:val="none" w:sz="0" w:space="0" w:color="auto"/>
              </w:divBdr>
            </w:div>
            <w:div w:id="694500419">
              <w:marLeft w:val="0"/>
              <w:marRight w:val="0"/>
              <w:marTop w:val="0"/>
              <w:marBottom w:val="0"/>
              <w:divBdr>
                <w:top w:val="none" w:sz="0" w:space="0" w:color="auto"/>
                <w:left w:val="none" w:sz="0" w:space="0" w:color="auto"/>
                <w:bottom w:val="none" w:sz="0" w:space="0" w:color="auto"/>
                <w:right w:val="none" w:sz="0" w:space="0" w:color="auto"/>
              </w:divBdr>
            </w:div>
            <w:div w:id="694500421">
              <w:marLeft w:val="0"/>
              <w:marRight w:val="0"/>
              <w:marTop w:val="0"/>
              <w:marBottom w:val="0"/>
              <w:divBdr>
                <w:top w:val="none" w:sz="0" w:space="0" w:color="auto"/>
                <w:left w:val="none" w:sz="0" w:space="0" w:color="auto"/>
                <w:bottom w:val="none" w:sz="0" w:space="0" w:color="auto"/>
                <w:right w:val="none" w:sz="0" w:space="0" w:color="auto"/>
              </w:divBdr>
            </w:div>
            <w:div w:id="694500422">
              <w:marLeft w:val="0"/>
              <w:marRight w:val="0"/>
              <w:marTop w:val="0"/>
              <w:marBottom w:val="0"/>
              <w:divBdr>
                <w:top w:val="none" w:sz="0" w:space="0" w:color="auto"/>
                <w:left w:val="none" w:sz="0" w:space="0" w:color="auto"/>
                <w:bottom w:val="none" w:sz="0" w:space="0" w:color="auto"/>
                <w:right w:val="none" w:sz="0" w:space="0" w:color="auto"/>
              </w:divBdr>
            </w:div>
            <w:div w:id="694500423">
              <w:marLeft w:val="0"/>
              <w:marRight w:val="0"/>
              <w:marTop w:val="0"/>
              <w:marBottom w:val="0"/>
              <w:divBdr>
                <w:top w:val="none" w:sz="0" w:space="0" w:color="auto"/>
                <w:left w:val="none" w:sz="0" w:space="0" w:color="auto"/>
                <w:bottom w:val="none" w:sz="0" w:space="0" w:color="auto"/>
                <w:right w:val="none" w:sz="0" w:space="0" w:color="auto"/>
              </w:divBdr>
            </w:div>
            <w:div w:id="694500424">
              <w:marLeft w:val="0"/>
              <w:marRight w:val="0"/>
              <w:marTop w:val="0"/>
              <w:marBottom w:val="0"/>
              <w:divBdr>
                <w:top w:val="none" w:sz="0" w:space="0" w:color="auto"/>
                <w:left w:val="none" w:sz="0" w:space="0" w:color="auto"/>
                <w:bottom w:val="none" w:sz="0" w:space="0" w:color="auto"/>
                <w:right w:val="none" w:sz="0" w:space="0" w:color="auto"/>
              </w:divBdr>
            </w:div>
            <w:div w:id="694500425">
              <w:marLeft w:val="0"/>
              <w:marRight w:val="0"/>
              <w:marTop w:val="0"/>
              <w:marBottom w:val="0"/>
              <w:divBdr>
                <w:top w:val="none" w:sz="0" w:space="0" w:color="auto"/>
                <w:left w:val="none" w:sz="0" w:space="0" w:color="auto"/>
                <w:bottom w:val="none" w:sz="0" w:space="0" w:color="auto"/>
                <w:right w:val="none" w:sz="0" w:space="0" w:color="auto"/>
              </w:divBdr>
            </w:div>
            <w:div w:id="694500426">
              <w:marLeft w:val="0"/>
              <w:marRight w:val="0"/>
              <w:marTop w:val="0"/>
              <w:marBottom w:val="0"/>
              <w:divBdr>
                <w:top w:val="none" w:sz="0" w:space="0" w:color="auto"/>
                <w:left w:val="none" w:sz="0" w:space="0" w:color="auto"/>
                <w:bottom w:val="none" w:sz="0" w:space="0" w:color="auto"/>
                <w:right w:val="none" w:sz="0" w:space="0" w:color="auto"/>
              </w:divBdr>
            </w:div>
            <w:div w:id="694500427">
              <w:marLeft w:val="0"/>
              <w:marRight w:val="0"/>
              <w:marTop w:val="0"/>
              <w:marBottom w:val="0"/>
              <w:divBdr>
                <w:top w:val="none" w:sz="0" w:space="0" w:color="auto"/>
                <w:left w:val="none" w:sz="0" w:space="0" w:color="auto"/>
                <w:bottom w:val="none" w:sz="0" w:space="0" w:color="auto"/>
                <w:right w:val="none" w:sz="0" w:space="0" w:color="auto"/>
              </w:divBdr>
            </w:div>
            <w:div w:id="694500428">
              <w:marLeft w:val="0"/>
              <w:marRight w:val="0"/>
              <w:marTop w:val="0"/>
              <w:marBottom w:val="0"/>
              <w:divBdr>
                <w:top w:val="none" w:sz="0" w:space="0" w:color="auto"/>
                <w:left w:val="none" w:sz="0" w:space="0" w:color="auto"/>
                <w:bottom w:val="none" w:sz="0" w:space="0" w:color="auto"/>
                <w:right w:val="none" w:sz="0" w:space="0" w:color="auto"/>
              </w:divBdr>
            </w:div>
            <w:div w:id="694500429">
              <w:marLeft w:val="0"/>
              <w:marRight w:val="0"/>
              <w:marTop w:val="0"/>
              <w:marBottom w:val="0"/>
              <w:divBdr>
                <w:top w:val="none" w:sz="0" w:space="0" w:color="auto"/>
                <w:left w:val="none" w:sz="0" w:space="0" w:color="auto"/>
                <w:bottom w:val="none" w:sz="0" w:space="0" w:color="auto"/>
                <w:right w:val="none" w:sz="0" w:space="0" w:color="auto"/>
              </w:divBdr>
            </w:div>
            <w:div w:id="694500431">
              <w:marLeft w:val="0"/>
              <w:marRight w:val="0"/>
              <w:marTop w:val="0"/>
              <w:marBottom w:val="0"/>
              <w:divBdr>
                <w:top w:val="none" w:sz="0" w:space="0" w:color="auto"/>
                <w:left w:val="none" w:sz="0" w:space="0" w:color="auto"/>
                <w:bottom w:val="none" w:sz="0" w:space="0" w:color="auto"/>
                <w:right w:val="none" w:sz="0" w:space="0" w:color="auto"/>
              </w:divBdr>
            </w:div>
            <w:div w:id="694500432">
              <w:marLeft w:val="0"/>
              <w:marRight w:val="0"/>
              <w:marTop w:val="0"/>
              <w:marBottom w:val="0"/>
              <w:divBdr>
                <w:top w:val="none" w:sz="0" w:space="0" w:color="auto"/>
                <w:left w:val="none" w:sz="0" w:space="0" w:color="auto"/>
                <w:bottom w:val="none" w:sz="0" w:space="0" w:color="auto"/>
                <w:right w:val="none" w:sz="0" w:space="0" w:color="auto"/>
              </w:divBdr>
            </w:div>
            <w:div w:id="694500433">
              <w:marLeft w:val="0"/>
              <w:marRight w:val="0"/>
              <w:marTop w:val="0"/>
              <w:marBottom w:val="0"/>
              <w:divBdr>
                <w:top w:val="none" w:sz="0" w:space="0" w:color="auto"/>
                <w:left w:val="none" w:sz="0" w:space="0" w:color="auto"/>
                <w:bottom w:val="none" w:sz="0" w:space="0" w:color="auto"/>
                <w:right w:val="none" w:sz="0" w:space="0" w:color="auto"/>
              </w:divBdr>
            </w:div>
            <w:div w:id="694500435">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945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iba.com/research" TargetMode="External"/><Relationship Id="rId3" Type="http://schemas.openxmlformats.org/officeDocument/2006/relationships/settings" Target="settings.xml"/><Relationship Id="rId7" Type="http://schemas.openxmlformats.org/officeDocument/2006/relationships/hyperlink" Target="mailto:JByrnes@med.miami.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endParaRPr lang="en-US" altLang="en-US"/>
          </a:p>
        </c:rich>
      </c:tx>
      <c:overlay val="0"/>
      <c:spPr>
        <a:noFill/>
        <a:ln w="25387">
          <a:noFill/>
        </a:ln>
      </c:spPr>
    </c:title>
    <c:autoTitleDeleted val="0"/>
    <c:plotArea>
      <c:layout/>
      <c:pieChart>
        <c:varyColors val="1"/>
        <c:ser>
          <c:idx val="0"/>
          <c:order val="0"/>
          <c:tx>
            <c:strRef>
              <c:f>Sheet1!$B$1</c:f>
              <c:strCache>
                <c:ptCount val="1"/>
                <c:pt idx="0">
                  <c:v>Indication for IV Iron</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Lbls>
            <c:spPr>
              <a:noFill/>
              <a:ln w="25387">
                <a:noFill/>
              </a:ln>
            </c:spPr>
            <c:showLegendKey val="0"/>
            <c:showVal val="0"/>
            <c:showCatName val="1"/>
            <c:showSerName val="0"/>
            <c:showPercent val="1"/>
            <c:showBubbleSize val="0"/>
            <c:showLeaderLines val="1"/>
          </c:dLbls>
          <c:cat>
            <c:strRef>
              <c:f>Sheet1!$A$2:$A$11</c:f>
              <c:strCache>
                <c:ptCount val="9"/>
                <c:pt idx="0">
                  <c:v>Solid Tumor</c:v>
                </c:pt>
                <c:pt idx="1">
                  <c:v>IBD</c:v>
                </c:pt>
                <c:pt idx="2">
                  <c:v>Gastric Bypass</c:v>
                </c:pt>
                <c:pt idx="3">
                  <c:v>Gynecologic</c:v>
                </c:pt>
                <c:pt idx="4">
                  <c:v>GI bleed or disorder</c:v>
                </c:pt>
                <c:pt idx="5">
                  <c:v>Hematologic Malignancy or disorder</c:v>
                </c:pt>
                <c:pt idx="6">
                  <c:v>Renal Disease</c:v>
                </c:pt>
                <c:pt idx="7">
                  <c:v>Unclear</c:v>
                </c:pt>
                <c:pt idx="8">
                  <c:v>Other</c:v>
                </c:pt>
              </c:strCache>
            </c:strRef>
          </c:cat>
          <c:val>
            <c:numRef>
              <c:f>Sheet1!$B$2:$B$11</c:f>
              <c:numCache>
                <c:formatCode>0.00%</c:formatCode>
                <c:ptCount val="10"/>
                <c:pt idx="0">
                  <c:v>0.219</c:v>
                </c:pt>
                <c:pt idx="1">
                  <c:v>0.20100000000000001</c:v>
                </c:pt>
                <c:pt idx="2">
                  <c:v>0.15</c:v>
                </c:pt>
                <c:pt idx="3">
                  <c:v>0.13500000000000001</c:v>
                </c:pt>
                <c:pt idx="4">
                  <c:v>9.4E-2</c:v>
                </c:pt>
                <c:pt idx="5">
                  <c:v>7.5999999999999998E-2</c:v>
                </c:pt>
                <c:pt idx="6">
                  <c:v>5.6000000000000001E-2</c:v>
                </c:pt>
                <c:pt idx="7">
                  <c:v>4.2000000000000003E-2</c:v>
                </c:pt>
                <c:pt idx="8">
                  <c:v>2.8000000000000001E-2</c:v>
                </c:pt>
              </c:numCache>
            </c:numRef>
          </c:val>
        </c:ser>
        <c:ser>
          <c:idx val="1"/>
          <c:order val="1"/>
          <c:tx>
            <c:strRef>
              <c:f>Sheet1!$C$1</c:f>
              <c:strCache>
                <c:ptCount val="1"/>
                <c:pt idx="0">
                  <c:v>Column1</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Lbls>
            <c:spPr>
              <a:noFill/>
              <a:ln w="25387">
                <a:noFill/>
              </a:ln>
            </c:spPr>
            <c:showLegendKey val="0"/>
            <c:showVal val="0"/>
            <c:showCatName val="1"/>
            <c:showSerName val="0"/>
            <c:showPercent val="1"/>
            <c:showBubbleSize val="0"/>
            <c:showLeaderLines val="1"/>
          </c:dLbls>
          <c:cat>
            <c:strRef>
              <c:f>Sheet1!$A$2:$A$11</c:f>
              <c:strCache>
                <c:ptCount val="9"/>
                <c:pt idx="0">
                  <c:v>Solid Tumor</c:v>
                </c:pt>
                <c:pt idx="1">
                  <c:v>IBD</c:v>
                </c:pt>
                <c:pt idx="2">
                  <c:v>Gastric Bypass</c:v>
                </c:pt>
                <c:pt idx="3">
                  <c:v>Gynecologic</c:v>
                </c:pt>
                <c:pt idx="4">
                  <c:v>GI bleed or disorder</c:v>
                </c:pt>
                <c:pt idx="5">
                  <c:v>Hematologic Malignancy or disorder</c:v>
                </c:pt>
                <c:pt idx="6">
                  <c:v>Renal Disease</c:v>
                </c:pt>
                <c:pt idx="7">
                  <c:v>Unclear</c:v>
                </c:pt>
                <c:pt idx="8">
                  <c:v>Other</c:v>
                </c:pt>
              </c:strCache>
            </c:strRef>
          </c:cat>
          <c:val>
            <c:numRef>
              <c:f>Sheet1!$C$2:$C$11</c:f>
              <c:numCache>
                <c:formatCode>General</c:formatCode>
                <c:ptCount val="10"/>
              </c:numCache>
            </c:numRef>
          </c:val>
        </c:ser>
        <c:dLbls>
          <c:showLegendKey val="0"/>
          <c:showVal val="0"/>
          <c:showCatName val="1"/>
          <c:showSerName val="0"/>
          <c:showPercent val="1"/>
          <c:showBubbleSize val="0"/>
          <c:showLeaderLines val="1"/>
        </c:dLbls>
        <c:firstSliceAng val="0"/>
      </c:pieChart>
      <c:spPr>
        <a:noFill/>
        <a:ln w="25387">
          <a:noFill/>
        </a:ln>
      </c:spPr>
    </c:plotArea>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15</Pages>
  <Words>3697</Words>
  <Characters>21075</Characters>
  <Application>Microsoft Office Word</Application>
  <DocSecurity>0</DocSecurity>
  <Lines>175</Lines>
  <Paragraphs>49</Paragraphs>
  <ScaleCrop>false</ScaleCrop>
  <Company>Hewlett-Packard Company</Company>
  <LinksUpToDate>false</LinksUpToDate>
  <CharactersWithSpaces>24723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Sean</dc:creator>
  <cp:lastModifiedBy>LS Ma</cp:lastModifiedBy>
  <cp:revision>2</cp:revision>
  <dcterms:created xsi:type="dcterms:W3CDTF">2013-06-28T05:48:00Z</dcterms:created>
  <dcterms:modified xsi:type="dcterms:W3CDTF">2013-06-28T05:48:00Z</dcterms:modified>
</cp:coreProperties>
</file>