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90" w:rsidRPr="00843CFD" w:rsidRDefault="001A58BC" w:rsidP="000242B5">
      <w:pPr>
        <w:adjustRightInd w:val="0"/>
        <w:snapToGrid w:val="0"/>
        <w:spacing w:line="360" w:lineRule="auto"/>
        <w:jc w:val="both"/>
        <w:rPr>
          <w:rFonts w:ascii="Book Antiqua" w:hAnsi="Book Antiqua" w:cs="Arial"/>
          <w:lang w:val="en-US" w:eastAsia="zh-CN"/>
        </w:rPr>
      </w:pPr>
      <w:r w:rsidRPr="00843CFD">
        <w:rPr>
          <w:rFonts w:ascii="Book Antiqua" w:hAnsi="Book Antiqua"/>
          <w:b/>
          <w:bCs/>
          <w:lang w:val="en-US"/>
        </w:rPr>
        <w:t xml:space="preserve">Name of Journal: </w:t>
      </w:r>
      <w:r w:rsidR="00150D79" w:rsidRPr="00843CFD">
        <w:rPr>
          <w:rFonts w:ascii="Book Antiqua" w:hAnsi="Book Antiqua"/>
          <w:b/>
          <w:bCs/>
          <w:i/>
          <w:lang w:val="en-US"/>
        </w:rPr>
        <w:t>World Journal of Clinical Cases</w:t>
      </w:r>
      <w:r w:rsidR="00150D79" w:rsidRPr="00843CFD" w:rsidDel="00150D79">
        <w:rPr>
          <w:rFonts w:ascii="Book Antiqua" w:hAnsi="Book Antiqua"/>
          <w:b/>
          <w:bCs/>
          <w:i/>
          <w:lang w:val="en-US"/>
        </w:rPr>
        <w:t xml:space="preserve"> </w:t>
      </w:r>
      <w:bookmarkStart w:id="0" w:name="OLE_LINK806"/>
      <w:bookmarkStart w:id="1" w:name="OLE_LINK807"/>
      <w:bookmarkStart w:id="2" w:name="OLE_LINK1218"/>
      <w:bookmarkStart w:id="3" w:name="OLE_LINK1219"/>
    </w:p>
    <w:p w:rsidR="00360690" w:rsidRPr="00843CFD" w:rsidRDefault="00150D79"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color w:val="000000"/>
          <w:lang w:val="en"/>
        </w:rPr>
        <w:t>Manuscript NO:</w:t>
      </w:r>
      <w:bookmarkEnd w:id="0"/>
      <w:bookmarkEnd w:id="1"/>
      <w:bookmarkEnd w:id="2"/>
      <w:bookmarkEnd w:id="3"/>
      <w:r w:rsidRPr="00843CFD">
        <w:rPr>
          <w:rFonts w:ascii="Book Antiqua" w:hAnsi="Book Antiqua" w:cs="Arial"/>
          <w:b/>
          <w:color w:val="000000"/>
          <w:lang w:val="en" w:eastAsia="zh-CN"/>
        </w:rPr>
        <w:t xml:space="preserve"> 37265</w:t>
      </w:r>
    </w:p>
    <w:p w:rsidR="00A424C0" w:rsidRPr="00843CFD" w:rsidRDefault="001A58BC"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lang w:val="en-US"/>
        </w:rPr>
        <w:t xml:space="preserve">Manuscript Type: </w:t>
      </w:r>
      <w:r w:rsidR="00A424C0" w:rsidRPr="00843CFD">
        <w:rPr>
          <w:rFonts w:ascii="Book Antiqua" w:hAnsi="Book Antiqua" w:cs="Arial"/>
          <w:b/>
          <w:lang w:val="en-US" w:eastAsia="zh-CN"/>
        </w:rPr>
        <w:t>Original Article</w:t>
      </w:r>
    </w:p>
    <w:p w:rsidR="00A424C0" w:rsidRPr="00843CFD" w:rsidRDefault="00A424C0" w:rsidP="000242B5">
      <w:pPr>
        <w:adjustRightInd w:val="0"/>
        <w:snapToGrid w:val="0"/>
        <w:spacing w:line="360" w:lineRule="auto"/>
        <w:jc w:val="both"/>
        <w:rPr>
          <w:rFonts w:ascii="Book Antiqua" w:hAnsi="Book Antiqua" w:cs="Arial"/>
          <w:lang w:val="en-US" w:eastAsia="zh-CN"/>
        </w:rPr>
      </w:pPr>
    </w:p>
    <w:p w:rsidR="000242B5" w:rsidRPr="00843CFD" w:rsidRDefault="001A58BC"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i/>
          <w:lang w:val="en-US"/>
        </w:rPr>
        <w:t>R</w:t>
      </w:r>
      <w:r w:rsidR="00FC00C1" w:rsidRPr="00843CFD">
        <w:rPr>
          <w:rFonts w:ascii="Book Antiqua" w:hAnsi="Book Antiqua" w:cs="Arial"/>
          <w:b/>
          <w:i/>
          <w:lang w:val="en-US"/>
        </w:rPr>
        <w:t>etrospective</w:t>
      </w:r>
      <w:r w:rsidRPr="00843CFD">
        <w:rPr>
          <w:rFonts w:ascii="Book Antiqua" w:hAnsi="Book Antiqua" w:cs="Arial"/>
          <w:b/>
          <w:i/>
          <w:lang w:val="en-US"/>
        </w:rPr>
        <w:t xml:space="preserve"> C</w:t>
      </w:r>
      <w:r w:rsidR="00FC00C1" w:rsidRPr="00843CFD">
        <w:rPr>
          <w:rFonts w:ascii="Book Antiqua" w:hAnsi="Book Antiqua" w:cs="Arial"/>
          <w:b/>
          <w:i/>
          <w:lang w:val="en-US"/>
        </w:rPr>
        <w:t>ohort study</w:t>
      </w:r>
    </w:p>
    <w:p w:rsidR="00330348" w:rsidRPr="00843CFD" w:rsidRDefault="00330348" w:rsidP="000242B5">
      <w:pPr>
        <w:adjustRightInd w:val="0"/>
        <w:snapToGrid w:val="0"/>
        <w:spacing w:line="360" w:lineRule="auto"/>
        <w:jc w:val="both"/>
        <w:rPr>
          <w:rFonts w:ascii="Book Antiqua" w:hAnsi="Book Antiqua" w:cs="Arial"/>
          <w:lang w:val="en-US"/>
        </w:rPr>
      </w:pPr>
      <w:bookmarkStart w:id="4" w:name="OLE_LINK1515"/>
      <w:bookmarkStart w:id="5" w:name="OLE_LINK1516"/>
      <w:r w:rsidRPr="00843CFD">
        <w:rPr>
          <w:rFonts w:ascii="Book Antiqua" w:hAnsi="Book Antiqua" w:cs="Arial"/>
          <w:b/>
          <w:lang w:val="en-US"/>
        </w:rPr>
        <w:t xml:space="preserve">High </w:t>
      </w:r>
      <w:r w:rsidR="00C44C83" w:rsidRPr="00843CFD">
        <w:rPr>
          <w:rFonts w:ascii="Book Antiqua" w:hAnsi="Book Antiqua" w:cs="Arial"/>
          <w:b/>
          <w:lang w:val="en-US"/>
        </w:rPr>
        <w:t>prevalence of cholestasis, with increased conjugated bile acids</w:t>
      </w:r>
      <w:r w:rsidR="00C44C83" w:rsidRPr="00843CFD">
        <w:rPr>
          <w:rFonts w:ascii="Book Antiqua" w:hAnsi="Book Antiqua" w:cs="Arial"/>
          <w:b/>
          <w:lang w:val="en-US" w:eastAsia="zh-CN"/>
        </w:rPr>
        <w:t xml:space="preserve"> </w:t>
      </w:r>
      <w:r w:rsidR="00C44C83" w:rsidRPr="00843CFD">
        <w:rPr>
          <w:rFonts w:ascii="Book Antiqua" w:hAnsi="Book Antiqua" w:cs="Arial"/>
          <w:b/>
          <w:lang w:val="en-US"/>
        </w:rPr>
        <w:t xml:space="preserve">in </w:t>
      </w:r>
      <w:r w:rsidR="000242B5" w:rsidRPr="00843CFD">
        <w:rPr>
          <w:rFonts w:ascii="Book Antiqua" w:hAnsi="Book Antiqua" w:cs="Arial"/>
          <w:b/>
          <w:lang w:val="en-US"/>
        </w:rPr>
        <w:t>inflammatory bowel diseases</w:t>
      </w:r>
      <w:r w:rsidR="001A58BC" w:rsidRPr="00843CFD">
        <w:rPr>
          <w:rFonts w:ascii="Book Antiqua" w:hAnsi="Book Antiqua" w:cs="Arial"/>
          <w:b/>
          <w:lang w:val="en-US"/>
        </w:rPr>
        <w:t xml:space="preserve"> </w:t>
      </w:r>
      <w:r w:rsidR="00C44C83" w:rsidRPr="00843CFD">
        <w:rPr>
          <w:rFonts w:ascii="Book Antiqua" w:hAnsi="Book Antiqua" w:cs="Arial"/>
          <w:b/>
          <w:lang w:val="en-US"/>
        </w:rPr>
        <w:t>pat</w:t>
      </w:r>
      <w:r w:rsidR="001A58BC" w:rsidRPr="00843CFD">
        <w:rPr>
          <w:rFonts w:ascii="Book Antiqua" w:hAnsi="Book Antiqua" w:cs="Arial"/>
          <w:b/>
          <w:lang w:val="en-US"/>
        </w:rPr>
        <w:t>ients</w:t>
      </w:r>
      <w:bookmarkEnd w:id="4"/>
      <w:bookmarkEnd w:id="5"/>
    </w:p>
    <w:p w:rsidR="002872ED" w:rsidRPr="00843CFD" w:rsidRDefault="002872ED" w:rsidP="000242B5">
      <w:pPr>
        <w:adjustRightInd w:val="0"/>
        <w:snapToGrid w:val="0"/>
        <w:spacing w:line="360" w:lineRule="auto"/>
        <w:jc w:val="both"/>
        <w:rPr>
          <w:rFonts w:ascii="Book Antiqua" w:hAnsi="Book Antiqua" w:cs="Arial"/>
          <w:lang w:val="en-US"/>
        </w:rPr>
      </w:pPr>
    </w:p>
    <w:p w:rsidR="00191D76" w:rsidRPr="00843CFD" w:rsidRDefault="001A58BC"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 xml:space="preserve">Girardin M </w:t>
      </w:r>
      <w:r w:rsidRPr="00843CFD">
        <w:rPr>
          <w:rFonts w:ascii="Book Antiqua" w:hAnsi="Book Antiqua" w:cs="Arial"/>
          <w:i/>
          <w:lang w:val="en-US"/>
        </w:rPr>
        <w:t>et al.</w:t>
      </w:r>
      <w:r w:rsidRPr="00843CFD">
        <w:rPr>
          <w:rFonts w:ascii="Book Antiqua" w:hAnsi="Book Antiqua" w:cs="Arial"/>
          <w:lang w:val="en-US"/>
        </w:rPr>
        <w:t xml:space="preserve"> </w:t>
      </w:r>
      <w:r w:rsidR="00191D76" w:rsidRPr="00843CFD">
        <w:rPr>
          <w:rFonts w:ascii="Book Antiqua" w:hAnsi="Book Antiqua" w:cs="Arial"/>
          <w:lang w:val="en-US"/>
        </w:rPr>
        <w:t>Cholestasis in inflammatory bowel disease</w:t>
      </w:r>
    </w:p>
    <w:p w:rsidR="00191D76" w:rsidRPr="00843CFD" w:rsidRDefault="00191D76" w:rsidP="000242B5">
      <w:pPr>
        <w:adjustRightInd w:val="0"/>
        <w:snapToGrid w:val="0"/>
        <w:spacing w:line="360" w:lineRule="auto"/>
        <w:jc w:val="both"/>
        <w:rPr>
          <w:rFonts w:ascii="Book Antiqua" w:hAnsi="Book Antiqua" w:cs="Arial"/>
          <w:lang w:val="en-US"/>
        </w:rPr>
      </w:pPr>
    </w:p>
    <w:p w:rsidR="004929E3" w:rsidRPr="00843CFD" w:rsidRDefault="001A58BC"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t xml:space="preserve">Marc </w:t>
      </w:r>
      <w:proofErr w:type="spellStart"/>
      <w:r w:rsidR="004E5D3F" w:rsidRPr="00843CFD">
        <w:rPr>
          <w:rFonts w:ascii="Book Antiqua" w:hAnsi="Book Antiqua" w:cs="Arial"/>
          <w:b/>
          <w:lang w:val="en-US"/>
        </w:rPr>
        <w:t>Girardin</w:t>
      </w:r>
      <w:proofErr w:type="spellEnd"/>
      <w:r w:rsidR="004E5D3F" w:rsidRPr="00843CFD">
        <w:rPr>
          <w:rFonts w:ascii="Book Antiqua" w:hAnsi="Book Antiqua" w:cs="Arial"/>
          <w:b/>
          <w:lang w:val="en-US"/>
        </w:rPr>
        <w:t xml:space="preserve">, </w:t>
      </w:r>
      <w:r w:rsidRPr="00843CFD">
        <w:rPr>
          <w:rFonts w:ascii="Book Antiqua" w:hAnsi="Book Antiqua" w:cs="Arial"/>
          <w:b/>
          <w:lang w:val="en-US"/>
        </w:rPr>
        <w:t xml:space="preserve">Antoine </w:t>
      </w:r>
      <w:proofErr w:type="spellStart"/>
      <w:r w:rsidR="004E5D3F" w:rsidRPr="00843CFD">
        <w:rPr>
          <w:rFonts w:ascii="Book Antiqua" w:hAnsi="Book Antiqua" w:cs="Arial"/>
          <w:b/>
          <w:lang w:val="en-US"/>
        </w:rPr>
        <w:t>Hadengue</w:t>
      </w:r>
      <w:proofErr w:type="spellEnd"/>
      <w:r w:rsidRPr="00843CFD">
        <w:rPr>
          <w:rFonts w:ascii="Book Antiqua" w:hAnsi="Book Antiqua" w:cs="Arial"/>
          <w:b/>
          <w:lang w:val="en-US"/>
        </w:rPr>
        <w:t xml:space="preserve">, Jean-Louis </w:t>
      </w:r>
      <w:proofErr w:type="spellStart"/>
      <w:r w:rsidR="004E5D3F" w:rsidRPr="00843CFD">
        <w:rPr>
          <w:rFonts w:ascii="Book Antiqua" w:hAnsi="Book Antiqua" w:cs="Arial"/>
          <w:b/>
          <w:lang w:val="en-US"/>
        </w:rPr>
        <w:t>Frossard</w:t>
      </w:r>
      <w:proofErr w:type="spellEnd"/>
      <w:r w:rsidR="000826F2">
        <w:rPr>
          <w:rFonts w:ascii="Book Antiqua" w:hAnsi="Book Antiqua" w:cs="Arial" w:hint="eastAsia"/>
          <w:b/>
          <w:lang w:val="en-US" w:eastAsia="zh-CN"/>
        </w:rPr>
        <w:t>;</w:t>
      </w:r>
      <w:r w:rsidR="00150D79" w:rsidRPr="00843CFD">
        <w:rPr>
          <w:rFonts w:ascii="Book Antiqua" w:hAnsi="Book Antiqua" w:cs="Arial"/>
          <w:b/>
          <w:lang w:val="en-US" w:eastAsia="zh-CN"/>
        </w:rPr>
        <w:t xml:space="preserve"> </w:t>
      </w:r>
      <w:bookmarkStart w:id="6" w:name="OLE_LINK47"/>
      <w:bookmarkStart w:id="7" w:name="OLE_LINK48"/>
      <w:r w:rsidR="00150D79" w:rsidRPr="00843CFD">
        <w:rPr>
          <w:rFonts w:ascii="Book Antiqua" w:hAnsi="Book Antiqua" w:cs="Arial"/>
          <w:b/>
          <w:lang w:val="en-US"/>
        </w:rPr>
        <w:t>t</w:t>
      </w:r>
      <w:r w:rsidR="004E5D3F" w:rsidRPr="00843CFD">
        <w:rPr>
          <w:rFonts w:ascii="Book Antiqua" w:hAnsi="Book Antiqua" w:cs="Arial"/>
          <w:b/>
          <w:lang w:val="en-US"/>
        </w:rPr>
        <w:t>he</w:t>
      </w:r>
      <w:bookmarkEnd w:id="6"/>
      <w:bookmarkEnd w:id="7"/>
      <w:r w:rsidR="004E5D3F" w:rsidRPr="00843CFD">
        <w:rPr>
          <w:rFonts w:ascii="Book Antiqua" w:hAnsi="Book Antiqua" w:cs="Arial"/>
          <w:b/>
          <w:lang w:val="en-US"/>
        </w:rPr>
        <w:t xml:space="preserve"> Swiss IBD Cohort Study Group</w:t>
      </w:r>
    </w:p>
    <w:p w:rsidR="004E5D3F" w:rsidRPr="00843CFD" w:rsidRDefault="004E5D3F" w:rsidP="000242B5">
      <w:pPr>
        <w:adjustRightInd w:val="0"/>
        <w:snapToGrid w:val="0"/>
        <w:spacing w:line="360" w:lineRule="auto"/>
        <w:jc w:val="both"/>
        <w:rPr>
          <w:rFonts w:ascii="Book Antiqua" w:hAnsi="Book Antiqua" w:cs="Arial"/>
          <w:lang w:val="en-US"/>
        </w:rPr>
      </w:pPr>
    </w:p>
    <w:p w:rsidR="004929E3" w:rsidRPr="00843CFD" w:rsidRDefault="001A58BC"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lang w:val="en-US"/>
        </w:rPr>
        <w:t xml:space="preserve">Marc </w:t>
      </w:r>
      <w:proofErr w:type="spellStart"/>
      <w:r w:rsidRPr="00843CFD">
        <w:rPr>
          <w:rFonts w:ascii="Book Antiqua" w:hAnsi="Book Antiqua" w:cs="Arial"/>
          <w:b/>
          <w:lang w:val="en-US"/>
        </w:rPr>
        <w:t>Girardin</w:t>
      </w:r>
      <w:proofErr w:type="spellEnd"/>
      <w:r w:rsidRPr="00843CFD">
        <w:rPr>
          <w:rFonts w:ascii="Book Antiqua" w:hAnsi="Book Antiqua" w:cs="Arial"/>
          <w:b/>
          <w:lang w:val="en-US"/>
        </w:rPr>
        <w:t xml:space="preserve">, Antoine </w:t>
      </w:r>
      <w:proofErr w:type="spellStart"/>
      <w:r w:rsidRPr="00843CFD">
        <w:rPr>
          <w:rFonts w:ascii="Book Antiqua" w:hAnsi="Book Antiqua" w:cs="Arial"/>
          <w:b/>
          <w:lang w:val="en-US"/>
        </w:rPr>
        <w:t>Hadengue</w:t>
      </w:r>
      <w:proofErr w:type="spellEnd"/>
      <w:r w:rsidRPr="00843CFD">
        <w:rPr>
          <w:rFonts w:ascii="Book Antiqua" w:hAnsi="Book Antiqua" w:cs="Arial"/>
          <w:b/>
          <w:lang w:val="en-US"/>
        </w:rPr>
        <w:t xml:space="preserve">, Jean-Louis </w:t>
      </w:r>
      <w:proofErr w:type="spellStart"/>
      <w:r w:rsidRPr="00843CFD">
        <w:rPr>
          <w:rFonts w:ascii="Book Antiqua" w:hAnsi="Book Antiqua" w:cs="Arial"/>
          <w:b/>
          <w:lang w:val="en-US"/>
        </w:rPr>
        <w:t>Frossard</w:t>
      </w:r>
      <w:proofErr w:type="spellEnd"/>
      <w:r w:rsidRPr="002737BB">
        <w:rPr>
          <w:rFonts w:ascii="Book Antiqua" w:hAnsi="Book Antiqua" w:cs="Arial"/>
          <w:b/>
          <w:lang w:val="en-US"/>
        </w:rPr>
        <w:t>,</w:t>
      </w:r>
      <w:r w:rsidRPr="00843CFD" w:rsidDel="001A58BC">
        <w:rPr>
          <w:rFonts w:ascii="Book Antiqua" w:hAnsi="Book Antiqua" w:cs="Arial"/>
          <w:lang w:val="en-US"/>
        </w:rPr>
        <w:t xml:space="preserve"> </w:t>
      </w:r>
      <w:bookmarkStart w:id="8" w:name="OLE_LINK1537"/>
      <w:bookmarkStart w:id="9" w:name="OLE_LINK1538"/>
      <w:r w:rsidR="00CC7ACA" w:rsidRPr="00843CFD">
        <w:rPr>
          <w:rFonts w:ascii="Book Antiqua" w:hAnsi="Book Antiqua" w:cs="Arial"/>
          <w:lang w:val="en-US"/>
        </w:rPr>
        <w:t xml:space="preserve">Service of </w:t>
      </w:r>
      <w:r w:rsidR="004929E3" w:rsidRPr="00843CFD">
        <w:rPr>
          <w:rFonts w:ascii="Book Antiqua" w:hAnsi="Book Antiqua" w:cs="Arial"/>
          <w:lang w:val="en-US"/>
        </w:rPr>
        <w:t>Gastroenterology and Hepatology, Geneva University Hospital,</w:t>
      </w:r>
      <w:bookmarkEnd w:id="8"/>
      <w:bookmarkEnd w:id="9"/>
      <w:r w:rsidR="004929E3" w:rsidRPr="00843CFD">
        <w:rPr>
          <w:rFonts w:ascii="Book Antiqua" w:hAnsi="Book Antiqua" w:cs="Arial"/>
          <w:lang w:val="en-US"/>
        </w:rPr>
        <w:t xml:space="preserve"> Geneva</w:t>
      </w:r>
      <w:r w:rsidR="00360690" w:rsidRPr="00843CFD">
        <w:rPr>
          <w:rFonts w:ascii="Book Antiqua" w:hAnsi="Book Antiqua" w:cs="Arial"/>
          <w:lang w:val="en-US"/>
        </w:rPr>
        <w:t xml:space="preserve"> 1211</w:t>
      </w:r>
      <w:r w:rsidR="004929E3" w:rsidRPr="00843CFD">
        <w:rPr>
          <w:rFonts w:ascii="Book Antiqua" w:hAnsi="Book Antiqua" w:cs="Arial"/>
          <w:lang w:val="en-US"/>
        </w:rPr>
        <w:t>,</w:t>
      </w:r>
      <w:r w:rsidR="00866F9B" w:rsidRPr="00843CFD">
        <w:rPr>
          <w:rFonts w:ascii="Book Antiqua" w:hAnsi="Book Antiqua" w:cs="Arial"/>
          <w:lang w:val="en-US"/>
        </w:rPr>
        <w:t xml:space="preserve"> Switzerland</w:t>
      </w:r>
    </w:p>
    <w:p w:rsidR="004929E3" w:rsidRPr="00843CFD" w:rsidRDefault="004929E3" w:rsidP="000242B5">
      <w:pPr>
        <w:adjustRightInd w:val="0"/>
        <w:snapToGrid w:val="0"/>
        <w:spacing w:line="360" w:lineRule="auto"/>
        <w:jc w:val="both"/>
        <w:rPr>
          <w:rFonts w:ascii="Book Antiqua" w:hAnsi="Book Antiqua" w:cs="Arial"/>
          <w:lang w:val="en-US"/>
        </w:rPr>
      </w:pPr>
    </w:p>
    <w:p w:rsidR="001A58BC" w:rsidRPr="00843CFD" w:rsidRDefault="001A58BC" w:rsidP="000242B5">
      <w:pPr>
        <w:adjustRightInd w:val="0"/>
        <w:snapToGrid w:val="0"/>
        <w:spacing w:line="360" w:lineRule="auto"/>
        <w:jc w:val="both"/>
        <w:rPr>
          <w:rFonts w:ascii="Book Antiqua" w:hAnsi="Book Antiqua" w:cs="Arial"/>
          <w:lang w:val="en-US"/>
        </w:rPr>
      </w:pPr>
      <w:r w:rsidRPr="00843CFD">
        <w:rPr>
          <w:rFonts w:ascii="Book Antiqua" w:hAnsi="Book Antiqua" w:cs="Arial"/>
          <w:b/>
          <w:lang w:val="en-US"/>
        </w:rPr>
        <w:t>ORCID number:</w:t>
      </w:r>
      <w:r w:rsidRPr="00843CFD">
        <w:rPr>
          <w:rFonts w:ascii="Book Antiqua" w:hAnsi="Book Antiqua" w:cs="Arial"/>
          <w:lang w:val="en-US"/>
        </w:rPr>
        <w:t xml:space="preserve"> Marc </w:t>
      </w:r>
      <w:proofErr w:type="spellStart"/>
      <w:r w:rsidRPr="00843CFD">
        <w:rPr>
          <w:rFonts w:ascii="Book Antiqua" w:hAnsi="Book Antiqua" w:cs="Arial"/>
          <w:lang w:val="en-US"/>
        </w:rPr>
        <w:t>Girardin</w:t>
      </w:r>
      <w:proofErr w:type="spellEnd"/>
      <w:r w:rsidRPr="00843CFD">
        <w:rPr>
          <w:rFonts w:ascii="Book Antiqua" w:hAnsi="Book Antiqua" w:cs="Arial"/>
          <w:lang w:val="en-US"/>
        </w:rPr>
        <w:t xml:space="preserve"> (</w:t>
      </w:r>
      <w:r w:rsidR="00721930" w:rsidRPr="00843CFD">
        <w:rPr>
          <w:rFonts w:ascii="Book Antiqua" w:hAnsi="Book Antiqua" w:cs="Arial"/>
          <w:lang w:val="en-US"/>
        </w:rPr>
        <w:t>0000-0002-5567-2635)</w:t>
      </w:r>
      <w:r w:rsidRPr="00843CFD">
        <w:rPr>
          <w:rFonts w:ascii="Book Antiqua" w:hAnsi="Book Antiqua" w:cs="Arial"/>
          <w:lang w:val="en-US"/>
        </w:rPr>
        <w:t>;</w:t>
      </w:r>
      <w:r w:rsidR="00AF422A" w:rsidRPr="00843CFD">
        <w:rPr>
          <w:rFonts w:ascii="Book Antiqua" w:hAnsi="Book Antiqua" w:cs="Arial"/>
          <w:lang w:val="en-US"/>
        </w:rPr>
        <w:t xml:space="preserve"> Antoine </w:t>
      </w:r>
      <w:proofErr w:type="spellStart"/>
      <w:r w:rsidR="00AF422A" w:rsidRPr="00843CFD">
        <w:rPr>
          <w:rFonts w:ascii="Book Antiqua" w:hAnsi="Book Antiqua" w:cs="Arial"/>
          <w:lang w:val="en-US"/>
        </w:rPr>
        <w:t>Hadengue</w:t>
      </w:r>
      <w:proofErr w:type="spellEnd"/>
      <w:r w:rsidR="00AF422A" w:rsidRPr="00843CFD">
        <w:rPr>
          <w:rFonts w:ascii="Book Antiqua" w:hAnsi="Book Antiqua" w:cs="Arial"/>
          <w:lang w:val="en-US"/>
        </w:rPr>
        <w:t xml:space="preserve"> (</w:t>
      </w:r>
      <w:r w:rsidR="00097B5E" w:rsidRPr="00843CFD">
        <w:rPr>
          <w:rFonts w:ascii="Book Antiqua" w:hAnsi="Book Antiqua" w:cs="Arial"/>
          <w:lang w:val="en-US"/>
        </w:rPr>
        <w:t>0000-0002-3497-954X</w:t>
      </w:r>
      <w:r w:rsidR="00AF422A" w:rsidRPr="00843CFD">
        <w:rPr>
          <w:rFonts w:ascii="Book Antiqua" w:hAnsi="Book Antiqua" w:cs="Arial"/>
          <w:lang w:val="en-US"/>
        </w:rPr>
        <w:t>);</w:t>
      </w:r>
      <w:r w:rsidRPr="00843CFD">
        <w:rPr>
          <w:rFonts w:ascii="Book Antiqua" w:hAnsi="Book Antiqua" w:cs="Arial"/>
          <w:lang w:val="en-US"/>
        </w:rPr>
        <w:t xml:space="preserve"> Jean-Louis </w:t>
      </w:r>
      <w:proofErr w:type="spellStart"/>
      <w:r w:rsidRPr="00843CFD">
        <w:rPr>
          <w:rFonts w:ascii="Book Antiqua" w:hAnsi="Book Antiqua" w:cs="Arial"/>
          <w:lang w:val="en-US"/>
        </w:rPr>
        <w:t>Frossard</w:t>
      </w:r>
      <w:proofErr w:type="spellEnd"/>
      <w:r w:rsidRPr="00843CFD">
        <w:rPr>
          <w:rFonts w:ascii="Book Antiqua" w:hAnsi="Book Antiqua" w:cs="Arial"/>
          <w:lang w:val="en-US"/>
        </w:rPr>
        <w:t xml:space="preserve"> (</w:t>
      </w:r>
      <w:r w:rsidR="00721930" w:rsidRPr="00843CFD">
        <w:rPr>
          <w:rFonts w:ascii="Book Antiqua" w:hAnsi="Book Antiqua" w:cs="Arial"/>
          <w:lang w:val="en-US"/>
        </w:rPr>
        <w:t>0000-</w:t>
      </w:r>
      <w:r w:rsidR="00E77BE8" w:rsidRPr="00843CFD">
        <w:rPr>
          <w:rFonts w:ascii="Book Antiqua" w:hAnsi="Book Antiqua" w:cs="Arial"/>
          <w:lang w:val="en-US"/>
        </w:rPr>
        <w:t>0002-6309-1603</w:t>
      </w:r>
      <w:r w:rsidRPr="00843CFD">
        <w:rPr>
          <w:rFonts w:ascii="Book Antiqua" w:hAnsi="Book Antiqua" w:cs="Arial"/>
          <w:lang w:val="en-US"/>
        </w:rPr>
        <w:t>).</w:t>
      </w:r>
    </w:p>
    <w:p w:rsidR="00721930" w:rsidRPr="00843CFD" w:rsidRDefault="00721930" w:rsidP="000242B5">
      <w:pPr>
        <w:adjustRightInd w:val="0"/>
        <w:snapToGrid w:val="0"/>
        <w:spacing w:line="360" w:lineRule="auto"/>
        <w:jc w:val="both"/>
        <w:rPr>
          <w:rFonts w:ascii="Book Antiqua" w:hAnsi="Book Antiqua" w:cs="Arial"/>
          <w:lang w:val="en-US"/>
        </w:rPr>
      </w:pPr>
    </w:p>
    <w:p w:rsidR="00721930" w:rsidRPr="00843CFD" w:rsidRDefault="00721930"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lang w:val="en-US"/>
        </w:rPr>
        <w:t>Author contributions</w:t>
      </w:r>
      <w:r w:rsidRPr="00843CFD">
        <w:rPr>
          <w:rFonts w:ascii="Book Antiqua" w:hAnsi="Book Antiqua" w:cs="Arial"/>
          <w:lang w:val="en-US"/>
        </w:rPr>
        <w:t xml:space="preserve">: </w:t>
      </w:r>
      <w:proofErr w:type="spellStart"/>
      <w:r w:rsidRPr="00843CFD">
        <w:rPr>
          <w:rFonts w:ascii="Book Antiqua" w:hAnsi="Book Antiqua" w:cs="Arial"/>
          <w:lang w:val="en-US"/>
        </w:rPr>
        <w:t>Girardin</w:t>
      </w:r>
      <w:proofErr w:type="spellEnd"/>
      <w:r w:rsidRPr="00843CFD">
        <w:rPr>
          <w:rFonts w:ascii="Book Antiqua" w:hAnsi="Book Antiqua" w:cs="Arial"/>
          <w:lang w:val="en-US"/>
        </w:rPr>
        <w:t xml:space="preserve"> </w:t>
      </w:r>
      <w:r w:rsidR="00A424C0" w:rsidRPr="00843CFD">
        <w:rPr>
          <w:rFonts w:ascii="Book Antiqua" w:hAnsi="Book Antiqua" w:cs="Arial"/>
          <w:lang w:val="en-US"/>
        </w:rPr>
        <w:t xml:space="preserve">M </w:t>
      </w:r>
      <w:r w:rsidR="00AF6FD5" w:rsidRPr="00843CFD">
        <w:rPr>
          <w:rFonts w:ascii="Book Antiqua" w:hAnsi="Book Antiqua" w:cs="Arial"/>
          <w:lang w:val="en-US"/>
        </w:rPr>
        <w:t>performed the research</w:t>
      </w:r>
      <w:r w:rsidRPr="00843CFD">
        <w:rPr>
          <w:rFonts w:ascii="Book Antiqua" w:hAnsi="Book Antiqua" w:cs="Arial"/>
          <w:lang w:val="en-US"/>
        </w:rPr>
        <w:t xml:space="preserve"> and wrote the manuscript under</w:t>
      </w:r>
      <w:r w:rsidR="00AF6FD5" w:rsidRPr="00843CFD">
        <w:rPr>
          <w:rFonts w:ascii="Book Antiqua" w:hAnsi="Book Antiqua" w:cs="Arial"/>
          <w:lang w:val="en-US"/>
        </w:rPr>
        <w:t xml:space="preserve"> the</w:t>
      </w:r>
      <w:r w:rsidRPr="00843CFD">
        <w:rPr>
          <w:rFonts w:ascii="Book Antiqua" w:hAnsi="Book Antiqua" w:cs="Arial"/>
          <w:lang w:val="en-US"/>
        </w:rPr>
        <w:t xml:space="preserve"> supervision of </w:t>
      </w:r>
      <w:proofErr w:type="spellStart"/>
      <w:r w:rsidRPr="00843CFD">
        <w:rPr>
          <w:rFonts w:ascii="Book Antiqua" w:hAnsi="Book Antiqua" w:cs="Arial"/>
          <w:lang w:val="en-US"/>
        </w:rPr>
        <w:t>Hadengue</w:t>
      </w:r>
      <w:proofErr w:type="spellEnd"/>
      <w:r w:rsidRPr="00843CFD">
        <w:rPr>
          <w:rFonts w:ascii="Book Antiqua" w:hAnsi="Book Antiqua" w:cs="Arial"/>
          <w:lang w:val="en-US"/>
        </w:rPr>
        <w:t xml:space="preserve"> </w:t>
      </w:r>
      <w:r w:rsidR="00A424C0" w:rsidRPr="00843CFD">
        <w:rPr>
          <w:rFonts w:ascii="Book Antiqua" w:hAnsi="Book Antiqua" w:cs="Arial"/>
          <w:lang w:val="en-US"/>
        </w:rPr>
        <w:t xml:space="preserve">A </w:t>
      </w:r>
      <w:r w:rsidRPr="00843CFD">
        <w:rPr>
          <w:rFonts w:ascii="Book Antiqua" w:hAnsi="Book Antiqua" w:cs="Arial"/>
          <w:lang w:val="en-US"/>
        </w:rPr>
        <w:t>and</w:t>
      </w:r>
      <w:r w:rsidR="00AF6FD5" w:rsidRPr="00843CFD">
        <w:rPr>
          <w:rFonts w:ascii="Book Antiqua" w:hAnsi="Book Antiqua" w:cs="Arial"/>
          <w:lang w:val="en-US"/>
        </w:rPr>
        <w:t xml:space="preserve"> </w:t>
      </w:r>
      <w:proofErr w:type="spellStart"/>
      <w:r w:rsidRPr="00843CFD">
        <w:rPr>
          <w:rFonts w:ascii="Book Antiqua" w:hAnsi="Book Antiqua" w:cs="Arial"/>
          <w:lang w:val="en-US"/>
        </w:rPr>
        <w:t>Frossard</w:t>
      </w:r>
      <w:proofErr w:type="spellEnd"/>
      <w:r w:rsidR="00A424C0" w:rsidRPr="00843CFD">
        <w:rPr>
          <w:rFonts w:ascii="Book Antiqua" w:hAnsi="Book Antiqua" w:cs="Arial"/>
          <w:lang w:val="en-US"/>
        </w:rPr>
        <w:t xml:space="preserve"> JL</w:t>
      </w:r>
      <w:r w:rsidR="00A424C0"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Pr="00843CFD">
        <w:rPr>
          <w:rFonts w:ascii="Book Antiqua" w:hAnsi="Book Antiqua" w:cs="Arial"/>
          <w:lang w:val="en-US"/>
        </w:rPr>
        <w:t>Girardin</w:t>
      </w:r>
      <w:proofErr w:type="spellEnd"/>
      <w:r w:rsidR="00A424C0" w:rsidRPr="00843CFD">
        <w:rPr>
          <w:rFonts w:ascii="Book Antiqua" w:hAnsi="Book Antiqua" w:cs="Arial"/>
          <w:lang w:val="en-US"/>
        </w:rPr>
        <w:t xml:space="preserve"> M</w:t>
      </w:r>
      <w:r w:rsidRPr="00843CFD">
        <w:rPr>
          <w:rFonts w:ascii="Book Antiqua" w:hAnsi="Book Antiqua" w:cs="Arial"/>
          <w:lang w:val="en-US"/>
        </w:rPr>
        <w:t xml:space="preserve"> and </w:t>
      </w:r>
      <w:proofErr w:type="spellStart"/>
      <w:r w:rsidRPr="00843CFD">
        <w:rPr>
          <w:rFonts w:ascii="Book Antiqua" w:hAnsi="Book Antiqua" w:cs="Arial"/>
          <w:lang w:val="en-US"/>
        </w:rPr>
        <w:t>Hadengue</w:t>
      </w:r>
      <w:proofErr w:type="spellEnd"/>
      <w:r w:rsidRPr="00843CFD">
        <w:rPr>
          <w:rFonts w:ascii="Book Antiqua" w:hAnsi="Book Antiqua" w:cs="Arial"/>
          <w:lang w:val="en-US"/>
        </w:rPr>
        <w:t xml:space="preserve"> </w:t>
      </w:r>
      <w:r w:rsidR="00A424C0" w:rsidRPr="00843CFD">
        <w:rPr>
          <w:rFonts w:ascii="Book Antiqua" w:hAnsi="Book Antiqua" w:cs="Arial"/>
          <w:lang w:val="en-US"/>
        </w:rPr>
        <w:t xml:space="preserve">A </w:t>
      </w:r>
      <w:r w:rsidR="00AF6FD5" w:rsidRPr="00843CFD">
        <w:rPr>
          <w:rFonts w:ascii="Book Antiqua" w:hAnsi="Book Antiqua" w:cs="Arial"/>
          <w:lang w:val="en-US"/>
        </w:rPr>
        <w:t>conceived</w:t>
      </w:r>
      <w:r w:rsidRPr="00843CFD">
        <w:rPr>
          <w:rFonts w:ascii="Book Antiqua" w:hAnsi="Book Antiqua" w:cs="Arial"/>
          <w:lang w:val="en-US"/>
        </w:rPr>
        <w:t xml:space="preserve"> the study</w:t>
      </w:r>
      <w:r w:rsidR="00A424C0" w:rsidRPr="00843CFD">
        <w:rPr>
          <w:rFonts w:ascii="Book Antiqua" w:hAnsi="Book Antiqua" w:cs="Arial"/>
          <w:lang w:val="en-US" w:eastAsia="zh-CN"/>
        </w:rPr>
        <w:t>;</w:t>
      </w:r>
      <w:r w:rsidRPr="00843CFD">
        <w:rPr>
          <w:rFonts w:ascii="Book Antiqua" w:hAnsi="Book Antiqua" w:cs="Arial"/>
          <w:lang w:val="en-US"/>
        </w:rPr>
        <w:t xml:space="preserve"> </w:t>
      </w:r>
      <w:r w:rsidR="000242B5" w:rsidRPr="00843CFD">
        <w:rPr>
          <w:rFonts w:ascii="Book Antiqua" w:hAnsi="Book Antiqua" w:cs="Arial"/>
          <w:lang w:val="en-US"/>
        </w:rPr>
        <w:t>t</w:t>
      </w:r>
      <w:r w:rsidRPr="00843CFD">
        <w:rPr>
          <w:rFonts w:ascii="Book Antiqua" w:hAnsi="Book Antiqua" w:cs="Arial"/>
          <w:lang w:val="en-US"/>
        </w:rPr>
        <w:t xml:space="preserve">he study was reviewed </w:t>
      </w:r>
      <w:r w:rsidR="00AF6FD5" w:rsidRPr="00843CFD">
        <w:rPr>
          <w:rFonts w:ascii="Book Antiqua" w:hAnsi="Book Antiqua" w:cs="Arial"/>
          <w:lang w:val="en-US"/>
        </w:rPr>
        <w:t>by the Swiss IBD Cohort Study Group, which also</w:t>
      </w:r>
      <w:r w:rsidRPr="00843CFD">
        <w:rPr>
          <w:rFonts w:ascii="Book Antiqua" w:hAnsi="Book Antiqua" w:cs="Arial"/>
          <w:lang w:val="en-US"/>
        </w:rPr>
        <w:t xml:space="preserve"> provided</w:t>
      </w:r>
      <w:r w:rsidR="00AF6FD5" w:rsidRPr="00843CFD">
        <w:rPr>
          <w:rFonts w:ascii="Book Antiqua" w:hAnsi="Book Antiqua" w:cs="Arial"/>
          <w:lang w:val="en-US"/>
        </w:rPr>
        <w:t xml:space="preserve"> the patients</w:t>
      </w:r>
      <w:r w:rsidR="00A424C0" w:rsidRPr="00843CFD">
        <w:rPr>
          <w:rFonts w:ascii="Book Antiqua" w:hAnsi="Book Antiqua" w:cs="Arial"/>
          <w:lang w:val="en-US" w:eastAsia="zh-CN"/>
        </w:rPr>
        <w:t>;</w:t>
      </w:r>
      <w:r w:rsidRPr="00843CFD">
        <w:rPr>
          <w:rFonts w:ascii="Book Antiqua" w:hAnsi="Book Antiqua" w:cs="Arial"/>
          <w:lang w:val="en-US"/>
        </w:rPr>
        <w:t xml:space="preserve"> </w:t>
      </w:r>
      <w:r w:rsidR="000242B5" w:rsidRPr="00843CFD">
        <w:rPr>
          <w:rFonts w:ascii="Book Antiqua" w:hAnsi="Book Antiqua" w:cs="Arial"/>
          <w:lang w:val="en-US"/>
        </w:rPr>
        <w:t>a</w:t>
      </w:r>
      <w:r w:rsidRPr="00843CFD">
        <w:rPr>
          <w:rFonts w:ascii="Book Antiqua" w:hAnsi="Book Antiqua" w:cs="Arial"/>
          <w:lang w:val="en-US"/>
        </w:rPr>
        <w:t>ll the authors</w:t>
      </w:r>
      <w:r w:rsidR="00AF6FD5" w:rsidRPr="00843CFD">
        <w:rPr>
          <w:rFonts w:ascii="Book Antiqua" w:hAnsi="Book Antiqua" w:cs="Arial"/>
          <w:lang w:val="en-US"/>
        </w:rPr>
        <w:t xml:space="preserve"> revised the manuscript</w:t>
      </w:r>
      <w:r w:rsidRPr="00843CFD">
        <w:rPr>
          <w:rFonts w:ascii="Book Antiqua" w:hAnsi="Book Antiqua" w:cs="Arial"/>
          <w:lang w:val="en-US"/>
        </w:rPr>
        <w:t xml:space="preserve"> and approved the final draft</w:t>
      </w:r>
      <w:r w:rsidR="00A424C0" w:rsidRPr="00843CFD">
        <w:rPr>
          <w:rFonts w:ascii="Book Antiqua" w:hAnsi="Book Antiqua" w:cs="Arial"/>
          <w:lang w:val="en-US" w:eastAsia="zh-CN"/>
        </w:rPr>
        <w:t>.</w:t>
      </w:r>
    </w:p>
    <w:p w:rsidR="00A424C0" w:rsidRPr="00843CFD" w:rsidRDefault="00A424C0" w:rsidP="000242B5">
      <w:pPr>
        <w:adjustRightInd w:val="0"/>
        <w:snapToGrid w:val="0"/>
        <w:spacing w:line="360" w:lineRule="auto"/>
        <w:jc w:val="both"/>
        <w:rPr>
          <w:rFonts w:ascii="Book Antiqua" w:hAnsi="Book Antiqua" w:cs="Arial"/>
          <w:lang w:val="en-US" w:eastAsia="zh-CN"/>
        </w:rPr>
      </w:pPr>
    </w:p>
    <w:p w:rsidR="0096246E" w:rsidRPr="00843CFD" w:rsidRDefault="0096246E" w:rsidP="000242B5">
      <w:pPr>
        <w:adjustRightInd w:val="0"/>
        <w:snapToGrid w:val="0"/>
        <w:spacing w:line="360" w:lineRule="auto"/>
        <w:jc w:val="both"/>
        <w:rPr>
          <w:rFonts w:ascii="Book Antiqua" w:hAnsi="Book Antiqua" w:cs="Arial"/>
          <w:b/>
          <w:color w:val="030303"/>
          <w:shd w:val="clear" w:color="auto" w:fill="FFFFFE"/>
          <w:lang w:val="en-US"/>
        </w:rPr>
      </w:pPr>
      <w:r w:rsidRPr="00843CFD">
        <w:rPr>
          <w:rFonts w:ascii="Book Antiqua" w:hAnsi="Book Antiqua" w:cs="Arial"/>
          <w:b/>
          <w:color w:val="030303"/>
          <w:shd w:val="clear" w:color="auto" w:fill="FFFFFE"/>
          <w:lang w:val="en-US"/>
        </w:rPr>
        <w:t>Institutional review board statement:</w:t>
      </w:r>
      <w:r w:rsidR="00F0297C" w:rsidRPr="00843CFD">
        <w:rPr>
          <w:rFonts w:ascii="Book Antiqua" w:hAnsi="Book Antiqua" w:cs="Arial"/>
          <w:b/>
          <w:color w:val="030303"/>
          <w:shd w:val="clear" w:color="auto" w:fill="FFFFFE"/>
          <w:lang w:val="en-US"/>
        </w:rPr>
        <w:t xml:space="preserve"> </w:t>
      </w:r>
      <w:r w:rsidR="00F0297C" w:rsidRPr="00843CFD">
        <w:rPr>
          <w:rFonts w:ascii="Book Antiqua" w:hAnsi="Book Antiqua" w:cs="Arial"/>
          <w:lang w:val="en-US"/>
        </w:rPr>
        <w:t xml:space="preserve">The study was approved by the </w:t>
      </w:r>
      <w:r w:rsidR="00AF6FD5" w:rsidRPr="00843CFD">
        <w:rPr>
          <w:rFonts w:ascii="Book Antiqua" w:hAnsi="Book Antiqua" w:cs="Arial"/>
          <w:lang w:val="en-US"/>
        </w:rPr>
        <w:t xml:space="preserve">ethical review board of </w:t>
      </w:r>
      <w:r w:rsidR="00AF6FD5" w:rsidRPr="00843CFD">
        <w:rPr>
          <w:rFonts w:ascii="Book Antiqua" w:hAnsi="Book Antiqua" w:cs="Arial"/>
          <w:lang w:val="en-GB"/>
        </w:rPr>
        <w:t xml:space="preserve">Geneva University and by the central ethical review committee of the </w:t>
      </w:r>
      <w:r w:rsidR="00F0297C" w:rsidRPr="00843CFD">
        <w:rPr>
          <w:rFonts w:ascii="Book Antiqua" w:hAnsi="Book Antiqua" w:cs="Arial"/>
          <w:lang w:val="en-US"/>
        </w:rPr>
        <w:t>SIBDC</w:t>
      </w:r>
      <w:r w:rsidR="00AF6FD5" w:rsidRPr="00843CFD">
        <w:rPr>
          <w:rFonts w:ascii="Book Antiqua" w:hAnsi="Book Antiqua" w:cs="Arial"/>
          <w:lang w:val="en-US"/>
        </w:rPr>
        <w:t xml:space="preserve"> </w:t>
      </w:r>
      <w:r w:rsidR="00F0297C" w:rsidRPr="00843CFD">
        <w:rPr>
          <w:rFonts w:ascii="Book Antiqua" w:hAnsi="Book Antiqua" w:cs="Arial"/>
          <w:lang w:val="en-US"/>
        </w:rPr>
        <w:t>in September 2012.</w:t>
      </w:r>
      <w:r w:rsidR="00F0297C" w:rsidRPr="00843CFD">
        <w:rPr>
          <w:rFonts w:ascii="Book Antiqua" w:hAnsi="Book Antiqua" w:cs="Arial"/>
          <w:lang w:val="en-GB"/>
        </w:rPr>
        <w:t xml:space="preserve"> </w:t>
      </w:r>
    </w:p>
    <w:p w:rsidR="00F0297C" w:rsidRPr="00843CFD" w:rsidRDefault="00F0297C" w:rsidP="000242B5">
      <w:pPr>
        <w:adjustRightInd w:val="0"/>
        <w:snapToGrid w:val="0"/>
        <w:spacing w:line="360" w:lineRule="auto"/>
        <w:jc w:val="both"/>
        <w:rPr>
          <w:rFonts w:ascii="Book Antiqua" w:hAnsi="Book Antiqua" w:cs="Arial"/>
          <w:b/>
          <w:color w:val="030303"/>
          <w:shd w:val="clear" w:color="auto" w:fill="FFFFFE"/>
          <w:lang w:val="en-US"/>
        </w:rPr>
      </w:pPr>
    </w:p>
    <w:p w:rsidR="00F0297C" w:rsidRPr="00843CFD" w:rsidRDefault="0096246E" w:rsidP="000242B5">
      <w:pPr>
        <w:adjustRightInd w:val="0"/>
        <w:snapToGrid w:val="0"/>
        <w:spacing w:line="360" w:lineRule="auto"/>
        <w:jc w:val="both"/>
        <w:rPr>
          <w:rFonts w:ascii="Book Antiqua" w:hAnsi="Book Antiqua" w:cs="Arial"/>
          <w:lang w:val="en-US"/>
        </w:rPr>
      </w:pPr>
      <w:r w:rsidRPr="00843CFD">
        <w:rPr>
          <w:rFonts w:ascii="Book Antiqua" w:hAnsi="Book Antiqua" w:cs="Arial"/>
          <w:b/>
          <w:color w:val="030303"/>
          <w:shd w:val="clear" w:color="auto" w:fill="FFFFFE"/>
          <w:lang w:val="en-US"/>
        </w:rPr>
        <w:lastRenderedPageBreak/>
        <w:t>Informed consent statement:</w:t>
      </w:r>
      <w:r w:rsidR="00F0297C" w:rsidRPr="00843CFD">
        <w:rPr>
          <w:rFonts w:ascii="Book Antiqua" w:hAnsi="Book Antiqua" w:cs="Arial"/>
          <w:lang w:val="en-US"/>
        </w:rPr>
        <w:t xml:space="preserve"> Written, informed consent was obtained from each patient included in the study</w:t>
      </w:r>
      <w:r w:rsidR="00F0297C" w:rsidRPr="00843CFD">
        <w:rPr>
          <w:rFonts w:ascii="Book Antiqua" w:hAnsi="Book Antiqua" w:cs="Arial"/>
          <w:lang w:val="en-GB"/>
        </w:rPr>
        <w:t xml:space="preserve"> at inclusion in the SIBDC. The study protocol conformed to the ethical guidelines of the 1975 Declaration of Helsinki </w:t>
      </w:r>
      <w:r w:rsidR="00F0297C" w:rsidRPr="00843CFD">
        <w:rPr>
          <w:rFonts w:ascii="Book Antiqua" w:hAnsi="Book Antiqua" w:cs="Arial"/>
          <w:lang w:val="en-US"/>
        </w:rPr>
        <w:t>as reflected in a prior approval by the institution's human research committee.</w:t>
      </w:r>
    </w:p>
    <w:p w:rsidR="00F0297C" w:rsidRPr="00843CFD" w:rsidRDefault="00F0297C" w:rsidP="000242B5">
      <w:pPr>
        <w:adjustRightInd w:val="0"/>
        <w:snapToGrid w:val="0"/>
        <w:spacing w:line="360" w:lineRule="auto"/>
        <w:jc w:val="both"/>
        <w:rPr>
          <w:rFonts w:ascii="Book Antiqua" w:hAnsi="Book Antiqua" w:cs="Arial"/>
          <w:lang w:val="en-US"/>
        </w:rPr>
      </w:pPr>
    </w:p>
    <w:p w:rsidR="0096246E" w:rsidRPr="00843CFD" w:rsidRDefault="0096246E"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color w:val="030303"/>
          <w:shd w:val="clear" w:color="auto" w:fill="FFFFFE"/>
          <w:lang w:val="en-US"/>
        </w:rPr>
        <w:t>Conflict-of-interest statement:</w:t>
      </w:r>
      <w:r w:rsidR="0069524D" w:rsidRPr="00843CFD">
        <w:rPr>
          <w:rFonts w:ascii="Book Antiqua" w:hAnsi="Book Antiqua" w:cs="Arial"/>
          <w:lang w:val="en-US" w:eastAsia="zh-CN"/>
        </w:rPr>
        <w:t xml:space="preserve"> </w:t>
      </w:r>
      <w:r w:rsidR="009A335A" w:rsidRPr="00843CFD">
        <w:rPr>
          <w:rFonts w:ascii="Book Antiqua" w:hAnsi="Book Antiqua" w:cs="Arial"/>
          <w:lang w:val="en-US"/>
        </w:rPr>
        <w:t>The authors have no potential personal and financial conflicts of interest to declare for this study.</w:t>
      </w:r>
    </w:p>
    <w:p w:rsidR="000242B5" w:rsidRPr="00843CFD" w:rsidRDefault="000242B5" w:rsidP="000242B5">
      <w:pPr>
        <w:adjustRightInd w:val="0"/>
        <w:snapToGrid w:val="0"/>
        <w:spacing w:line="360" w:lineRule="auto"/>
        <w:jc w:val="both"/>
        <w:rPr>
          <w:rFonts w:ascii="Book Antiqua" w:hAnsi="Book Antiqua" w:cs="Arial"/>
          <w:lang w:val="en-US" w:eastAsia="zh-CN"/>
        </w:rPr>
      </w:pPr>
    </w:p>
    <w:p w:rsidR="00D21B15" w:rsidRPr="00843CFD" w:rsidRDefault="000242B5" w:rsidP="000242B5">
      <w:pPr>
        <w:adjustRightInd w:val="0"/>
        <w:snapToGrid w:val="0"/>
        <w:spacing w:line="360" w:lineRule="auto"/>
        <w:jc w:val="both"/>
        <w:rPr>
          <w:rFonts w:ascii="Book Antiqua" w:hAnsi="Book Antiqua"/>
          <w:color w:val="000000"/>
          <w:lang w:eastAsia="zh-CN"/>
        </w:rPr>
      </w:pPr>
      <w:bookmarkStart w:id="10" w:name="OLE_LINK964"/>
      <w:bookmarkStart w:id="11" w:name="OLE_LINK965"/>
      <w:bookmarkStart w:id="12" w:name="OLE_LINK966"/>
      <w:bookmarkStart w:id="13" w:name="OLE_LINK978"/>
      <w:bookmarkStart w:id="14" w:name="OLE_LINK1121"/>
      <w:bookmarkStart w:id="15" w:name="OLE_LINK1079"/>
      <w:bookmarkStart w:id="16" w:name="OLE_LINK1119"/>
      <w:bookmarkStart w:id="17" w:name="OLE_LINK1128"/>
      <w:bookmarkStart w:id="18" w:name="OLE_LINK1012"/>
      <w:bookmarkStart w:id="19" w:name="OLE_LINK1248"/>
      <w:bookmarkStart w:id="20" w:name="OLE_LINK1341"/>
      <w:bookmarkStart w:id="21" w:name="OLE_LINK1342"/>
      <w:bookmarkStart w:id="22" w:name="OLE_LINK1372"/>
      <w:bookmarkStart w:id="23" w:name="OLE_LINK1403"/>
      <w:bookmarkStart w:id="24" w:name="OLE_LINK1404"/>
      <w:bookmarkStart w:id="25" w:name="OLE_LINK1496"/>
      <w:bookmarkStart w:id="26" w:name="OLE_LINK1497"/>
      <w:r w:rsidRPr="00843CFD">
        <w:rPr>
          <w:rFonts w:ascii="Book Antiqua" w:hAnsi="Book Antiqua"/>
          <w:b/>
          <w:color w:val="000000"/>
        </w:rPr>
        <w:t xml:space="preserve">Data sharing statement: </w:t>
      </w:r>
      <w:r w:rsidRPr="00843CFD">
        <w:rPr>
          <w:rFonts w:ascii="Book Antiqua" w:hAnsi="Book Antiqua"/>
          <w:color w:val="000000"/>
        </w:rPr>
        <w:t>No additional data are available.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242B5" w:rsidRPr="00843CFD" w:rsidRDefault="000242B5" w:rsidP="000242B5">
      <w:pPr>
        <w:adjustRightInd w:val="0"/>
        <w:snapToGrid w:val="0"/>
        <w:spacing w:line="360" w:lineRule="auto"/>
        <w:jc w:val="both"/>
        <w:rPr>
          <w:rFonts w:ascii="Book Antiqua" w:hAnsi="Book Antiqua" w:cs="Arial"/>
          <w:lang w:val="en-US" w:eastAsia="zh-CN"/>
        </w:rPr>
      </w:pPr>
    </w:p>
    <w:p w:rsidR="00D21B15" w:rsidRPr="00843CFD" w:rsidRDefault="00D21B15" w:rsidP="000242B5">
      <w:pPr>
        <w:adjustRightInd w:val="0"/>
        <w:snapToGrid w:val="0"/>
        <w:spacing w:line="360" w:lineRule="auto"/>
        <w:jc w:val="both"/>
        <w:rPr>
          <w:rFonts w:ascii="Book Antiqua" w:hAnsi="Book Antiqua" w:cs="Arial"/>
          <w:b/>
          <w:color w:val="030303"/>
          <w:shd w:val="clear" w:color="auto" w:fill="FFFFFE"/>
          <w:lang w:val="en-US"/>
        </w:rPr>
      </w:pPr>
      <w:r w:rsidRPr="00843CFD">
        <w:rPr>
          <w:rFonts w:ascii="Book Antiqua" w:hAnsi="Book Antiqua" w:cs="Arial"/>
          <w:b/>
          <w:color w:val="030303"/>
          <w:shd w:val="clear" w:color="auto" w:fill="FFFFFE"/>
          <w:lang w:val="en-US"/>
        </w:rPr>
        <w:t xml:space="preserve">STROBE </w:t>
      </w:r>
      <w:r w:rsidR="000826F2">
        <w:rPr>
          <w:rFonts w:ascii="Book Antiqua" w:hAnsi="Book Antiqua" w:cs="Arial" w:hint="eastAsia"/>
          <w:b/>
          <w:color w:val="030303"/>
          <w:shd w:val="clear" w:color="auto" w:fill="FFFFFE"/>
          <w:lang w:val="en-US" w:eastAsia="zh-CN"/>
        </w:rPr>
        <w:t>s</w:t>
      </w:r>
      <w:r w:rsidRPr="00843CFD">
        <w:rPr>
          <w:rFonts w:ascii="Book Antiqua" w:hAnsi="Book Antiqua" w:cs="Arial"/>
          <w:b/>
          <w:color w:val="030303"/>
          <w:shd w:val="clear" w:color="auto" w:fill="FFFFFE"/>
          <w:lang w:val="en-US"/>
        </w:rPr>
        <w:t>tatement:</w:t>
      </w:r>
      <w:r w:rsidRPr="00843CFD">
        <w:rPr>
          <w:rFonts w:ascii="Book Antiqua" w:hAnsi="Book Antiqua" w:cs="Arial"/>
          <w:color w:val="030303"/>
          <w:shd w:val="clear" w:color="auto" w:fill="FFFFFE"/>
          <w:lang w:val="en-US"/>
        </w:rPr>
        <w:t xml:space="preserve"> Th</w:t>
      </w:r>
      <w:r w:rsidR="009A335A" w:rsidRPr="00843CFD">
        <w:rPr>
          <w:rFonts w:ascii="Book Antiqua" w:hAnsi="Book Antiqua" w:cs="Arial"/>
          <w:color w:val="030303"/>
          <w:shd w:val="clear" w:color="auto" w:fill="FFFFFE"/>
          <w:lang w:val="en-US"/>
        </w:rPr>
        <w:t>is study follows the STROBE</w:t>
      </w:r>
      <w:r w:rsidRPr="00843CFD">
        <w:rPr>
          <w:rFonts w:ascii="Book Antiqua" w:hAnsi="Book Antiqua" w:cs="Arial"/>
          <w:color w:val="030303"/>
          <w:shd w:val="clear" w:color="auto" w:fill="FFFFFE"/>
          <w:lang w:val="en-US"/>
        </w:rPr>
        <w:t xml:space="preserve"> guidelines</w:t>
      </w:r>
      <w:r w:rsidR="009A335A" w:rsidRPr="00843CFD">
        <w:rPr>
          <w:rFonts w:ascii="Book Antiqua" w:hAnsi="Book Antiqua" w:cs="Arial"/>
          <w:color w:val="030303"/>
          <w:shd w:val="clear" w:color="auto" w:fill="FFFFFE"/>
          <w:lang w:val="en-US"/>
        </w:rPr>
        <w:t>.</w:t>
      </w:r>
    </w:p>
    <w:p w:rsidR="001A58BC" w:rsidRPr="00843CFD" w:rsidRDefault="001A58BC" w:rsidP="000242B5">
      <w:pPr>
        <w:adjustRightInd w:val="0"/>
        <w:snapToGrid w:val="0"/>
        <w:spacing w:line="360" w:lineRule="auto"/>
        <w:jc w:val="both"/>
        <w:rPr>
          <w:rFonts w:ascii="Book Antiqua" w:hAnsi="Book Antiqua" w:cs="Arial"/>
          <w:lang w:val="en-US" w:eastAsia="zh-CN"/>
        </w:rPr>
      </w:pPr>
    </w:p>
    <w:p w:rsidR="0069524D" w:rsidRPr="00843CFD" w:rsidRDefault="0069524D" w:rsidP="000242B5">
      <w:pPr>
        <w:pStyle w:val="CommentText"/>
        <w:adjustRightInd w:val="0"/>
        <w:snapToGrid w:val="0"/>
        <w:spacing w:line="360" w:lineRule="auto"/>
        <w:jc w:val="both"/>
        <w:rPr>
          <w:rFonts w:ascii="Book Antiqua" w:hAnsi="Book Antiqua"/>
          <w:lang w:eastAsia="zh-CN"/>
        </w:rPr>
      </w:pPr>
      <w:r w:rsidRPr="00843CFD">
        <w:rPr>
          <w:rFonts w:ascii="Book Antiqua" w:hAnsi="Book Antiqua"/>
          <w:b/>
        </w:rPr>
        <w:t xml:space="preserve">Open-Access: </w:t>
      </w:r>
      <w:r w:rsidRPr="00843CF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9524D" w:rsidRPr="00843CFD" w:rsidRDefault="0069524D" w:rsidP="000242B5">
      <w:pPr>
        <w:adjustRightInd w:val="0"/>
        <w:snapToGrid w:val="0"/>
        <w:spacing w:line="360" w:lineRule="auto"/>
        <w:jc w:val="both"/>
        <w:rPr>
          <w:rFonts w:ascii="Book Antiqua" w:hAnsi="Book Antiqua" w:cs="Arial"/>
          <w:lang w:val="en-US" w:eastAsia="zh-CN"/>
        </w:rPr>
      </w:pPr>
    </w:p>
    <w:p w:rsidR="0069524D" w:rsidRPr="00843CFD" w:rsidRDefault="0069524D" w:rsidP="000242B5">
      <w:pPr>
        <w:adjustRightInd w:val="0"/>
        <w:snapToGrid w:val="0"/>
        <w:spacing w:line="360" w:lineRule="auto"/>
        <w:jc w:val="both"/>
        <w:rPr>
          <w:rFonts w:ascii="Book Antiqua" w:hAnsi="Book Antiqua" w:cs="Arial Unicode MS"/>
          <w:color w:val="000000"/>
        </w:rPr>
      </w:pPr>
      <w:r w:rsidRPr="00843CFD">
        <w:rPr>
          <w:rFonts w:ascii="Book Antiqua" w:hAnsi="Book Antiqua" w:cs="Arial Unicode MS"/>
          <w:b/>
          <w:color w:val="000000"/>
        </w:rPr>
        <w:t xml:space="preserve">Manuscript source: </w:t>
      </w:r>
      <w:r w:rsidRPr="00843CFD">
        <w:rPr>
          <w:rFonts w:ascii="Book Antiqua" w:hAnsi="Book Antiqua" w:cs="Arial Unicode MS"/>
          <w:color w:val="000000"/>
        </w:rPr>
        <w:t>Unsolicited manuscript</w:t>
      </w:r>
    </w:p>
    <w:p w:rsidR="0069524D" w:rsidRPr="00843CFD" w:rsidRDefault="0069524D" w:rsidP="000242B5">
      <w:pPr>
        <w:adjustRightInd w:val="0"/>
        <w:snapToGrid w:val="0"/>
        <w:spacing w:line="360" w:lineRule="auto"/>
        <w:jc w:val="both"/>
        <w:rPr>
          <w:rFonts w:ascii="Book Antiqua" w:hAnsi="Book Antiqua" w:cs="Arial"/>
          <w:lang w:val="en-US" w:eastAsia="zh-CN"/>
        </w:rPr>
      </w:pPr>
    </w:p>
    <w:p w:rsidR="0069524D" w:rsidRPr="00843CFD" w:rsidRDefault="0069524D" w:rsidP="000242B5">
      <w:pPr>
        <w:adjustRightInd w:val="0"/>
        <w:snapToGrid w:val="0"/>
        <w:spacing w:line="360" w:lineRule="auto"/>
        <w:jc w:val="both"/>
        <w:rPr>
          <w:rFonts w:ascii="Book Antiqua" w:hAnsi="Book Antiqua" w:cs="Arial"/>
          <w:lang w:val="en-CA" w:eastAsia="zh-CN"/>
        </w:rPr>
      </w:pPr>
      <w:r w:rsidRPr="00843CFD">
        <w:rPr>
          <w:rFonts w:ascii="Book Antiqua" w:hAnsi="Book Antiqua" w:cs="Arial"/>
          <w:b/>
          <w:lang w:val="en-US"/>
        </w:rPr>
        <w:t>Correspondence to:</w:t>
      </w:r>
      <w:r w:rsidR="00721930" w:rsidRPr="00843CFD">
        <w:rPr>
          <w:rFonts w:ascii="Book Antiqua" w:hAnsi="Book Antiqua" w:cs="Arial"/>
          <w:lang w:val="en-US"/>
        </w:rPr>
        <w:t xml:space="preserve"> </w:t>
      </w:r>
      <w:r w:rsidR="00FE66B4" w:rsidRPr="00843CFD">
        <w:rPr>
          <w:rFonts w:ascii="Book Antiqua" w:hAnsi="Book Antiqua" w:cs="Arial"/>
          <w:b/>
          <w:lang w:val="en-US"/>
        </w:rPr>
        <w:t xml:space="preserve">Marc </w:t>
      </w:r>
      <w:proofErr w:type="spellStart"/>
      <w:r w:rsidR="00FE66B4" w:rsidRPr="00843CFD">
        <w:rPr>
          <w:rFonts w:ascii="Book Antiqua" w:hAnsi="Book Antiqua" w:cs="Arial"/>
          <w:b/>
          <w:lang w:val="en-US"/>
        </w:rPr>
        <w:t>Girardin</w:t>
      </w:r>
      <w:proofErr w:type="spellEnd"/>
      <w:r w:rsidR="00FE66B4" w:rsidRPr="00843CFD">
        <w:rPr>
          <w:rFonts w:ascii="Book Antiqua" w:hAnsi="Book Antiqua" w:cs="Arial"/>
          <w:b/>
          <w:lang w:val="en-US"/>
        </w:rPr>
        <w:t>, MD</w:t>
      </w:r>
      <w:r w:rsidR="00721930" w:rsidRPr="00843CFD">
        <w:rPr>
          <w:rFonts w:ascii="Book Antiqua" w:hAnsi="Book Antiqua" w:cs="Arial"/>
          <w:b/>
          <w:lang w:val="en-CA"/>
        </w:rPr>
        <w:t xml:space="preserve">, </w:t>
      </w:r>
      <w:r w:rsidRPr="00843CFD">
        <w:rPr>
          <w:rFonts w:ascii="Book Antiqua" w:hAnsi="Book Antiqua" w:cs="Arial"/>
          <w:b/>
          <w:lang w:val="en-CA"/>
        </w:rPr>
        <w:t>Attending Doctor</w:t>
      </w:r>
      <w:r w:rsidRPr="00843CFD">
        <w:rPr>
          <w:rFonts w:ascii="Book Antiqua" w:hAnsi="Book Antiqua" w:cs="Arial"/>
          <w:b/>
          <w:lang w:val="en-CA" w:eastAsia="zh-CN"/>
        </w:rPr>
        <w:t>,</w:t>
      </w:r>
      <w:r w:rsidRPr="00843CFD">
        <w:rPr>
          <w:rFonts w:ascii="Book Antiqua" w:hAnsi="Book Antiqua" w:cs="Arial"/>
          <w:lang w:val="en-CA" w:eastAsia="zh-CN"/>
        </w:rPr>
        <w:t xml:space="preserve"> </w:t>
      </w:r>
      <w:r w:rsidR="007E0272">
        <w:rPr>
          <w:rFonts w:ascii="Book Antiqua" w:hAnsi="Book Antiqua" w:cs="Arial"/>
          <w:lang w:val="en-US"/>
        </w:rPr>
        <w:t>Service of Gastroenterology and Hepatology, Geneva University Hospital,</w:t>
      </w:r>
      <w:r w:rsidR="007E0272">
        <w:rPr>
          <w:rFonts w:ascii="Book Antiqua" w:hAnsi="Book Antiqua" w:cs="Arial" w:hint="eastAsia"/>
          <w:lang w:val="en-US" w:eastAsia="zh-CN"/>
        </w:rPr>
        <w:t xml:space="preserve"> </w:t>
      </w:r>
      <w:r w:rsidR="00FE66B4" w:rsidRPr="00843CFD">
        <w:rPr>
          <w:rFonts w:ascii="Book Antiqua" w:hAnsi="Book Antiqua" w:cs="Arial"/>
          <w:lang w:val="en-CA"/>
        </w:rPr>
        <w:t xml:space="preserve">Rue Gabrielle-Perret </w:t>
      </w:r>
      <w:proofErr w:type="spellStart"/>
      <w:r w:rsidR="00FE66B4" w:rsidRPr="00843CFD">
        <w:rPr>
          <w:rFonts w:ascii="Book Antiqua" w:hAnsi="Book Antiqua" w:cs="Arial"/>
          <w:lang w:val="en-CA"/>
        </w:rPr>
        <w:t>Gentil</w:t>
      </w:r>
      <w:proofErr w:type="spellEnd"/>
      <w:r w:rsidR="00FE66B4" w:rsidRPr="00843CFD">
        <w:rPr>
          <w:rFonts w:ascii="Book Antiqua" w:hAnsi="Book Antiqua" w:cs="Arial"/>
          <w:lang w:val="en-CA"/>
        </w:rPr>
        <w:t xml:space="preserve"> 4, Geneva</w:t>
      </w:r>
      <w:r w:rsidRPr="00843CFD">
        <w:rPr>
          <w:rFonts w:ascii="Book Antiqua" w:hAnsi="Book Antiqua" w:cs="Arial"/>
          <w:lang w:val="en-CA" w:eastAsia="zh-CN"/>
        </w:rPr>
        <w:t xml:space="preserve"> </w:t>
      </w:r>
      <w:r w:rsidRPr="00843CFD">
        <w:rPr>
          <w:rFonts w:ascii="Book Antiqua" w:hAnsi="Book Antiqua" w:cs="Arial"/>
          <w:lang w:val="en-CA"/>
        </w:rPr>
        <w:t>1211</w:t>
      </w:r>
      <w:r w:rsidR="00721930" w:rsidRPr="00843CFD">
        <w:rPr>
          <w:rFonts w:ascii="Book Antiqua" w:hAnsi="Book Antiqua" w:cs="Arial"/>
          <w:lang w:val="en-CA"/>
        </w:rPr>
        <w:t xml:space="preserve">, </w:t>
      </w:r>
      <w:r w:rsidR="00FE66B4" w:rsidRPr="00843CFD">
        <w:rPr>
          <w:rFonts w:ascii="Book Antiqua" w:hAnsi="Book Antiqua" w:cs="Arial"/>
          <w:lang w:val="en-CA"/>
        </w:rPr>
        <w:t>Switzerland</w:t>
      </w:r>
      <w:r w:rsidR="00EF1DF7" w:rsidRPr="00843CFD">
        <w:rPr>
          <w:rFonts w:ascii="Book Antiqua" w:hAnsi="Book Antiqua" w:cs="Arial"/>
          <w:lang w:val="en-CA"/>
        </w:rPr>
        <w:t xml:space="preserve">. </w:t>
      </w:r>
      <w:hyperlink r:id="rId9" w:history="1">
        <w:r w:rsidRPr="00843CFD">
          <w:rPr>
            <w:rStyle w:val="Hyperlink"/>
            <w:rFonts w:ascii="Book Antiqua" w:hAnsi="Book Antiqua" w:cs="Arial"/>
            <w:color w:val="auto"/>
            <w:u w:val="none"/>
            <w:lang w:val="en-CA"/>
          </w:rPr>
          <w:t>marc.girardin@hcuge.ch</w:t>
        </w:r>
      </w:hyperlink>
    </w:p>
    <w:p w:rsidR="0069524D" w:rsidRPr="00843CFD" w:rsidRDefault="0069524D" w:rsidP="000242B5">
      <w:pPr>
        <w:adjustRightInd w:val="0"/>
        <w:snapToGrid w:val="0"/>
        <w:spacing w:line="360" w:lineRule="auto"/>
        <w:jc w:val="both"/>
        <w:rPr>
          <w:rFonts w:ascii="Book Antiqua" w:hAnsi="Book Antiqua" w:cs="Arial"/>
          <w:lang w:val="en-CA" w:eastAsia="zh-CN"/>
        </w:rPr>
      </w:pPr>
      <w:r w:rsidRPr="00843CFD">
        <w:rPr>
          <w:rFonts w:ascii="Book Antiqua" w:hAnsi="Book Antiqua" w:cs="Arial"/>
          <w:b/>
        </w:rPr>
        <w:t>Telephone</w:t>
      </w:r>
      <w:r w:rsidRPr="00843CFD">
        <w:rPr>
          <w:rFonts w:ascii="Book Antiqua" w:hAnsi="Book Antiqua" w:cs="Arial"/>
          <w:b/>
          <w:lang w:eastAsia="zh-CN"/>
        </w:rPr>
        <w:t>:</w:t>
      </w:r>
      <w:r w:rsidR="00EF1DF7" w:rsidRPr="00843CFD">
        <w:rPr>
          <w:rFonts w:ascii="Book Antiqua" w:hAnsi="Book Antiqua" w:cs="Arial"/>
          <w:lang w:val="en-CA"/>
        </w:rPr>
        <w:t xml:space="preserve"> +41-22-3729340 </w:t>
      </w:r>
    </w:p>
    <w:p w:rsidR="001C2948" w:rsidRPr="00843CFD" w:rsidRDefault="00EF1DF7" w:rsidP="000242B5">
      <w:pPr>
        <w:adjustRightInd w:val="0"/>
        <w:snapToGrid w:val="0"/>
        <w:spacing w:line="360" w:lineRule="auto"/>
        <w:jc w:val="both"/>
        <w:rPr>
          <w:rFonts w:ascii="Book Antiqua" w:hAnsi="Book Antiqua" w:cs="Arial"/>
          <w:lang w:val="en-CA" w:eastAsia="zh-CN"/>
        </w:rPr>
      </w:pPr>
      <w:r w:rsidRPr="00843CFD">
        <w:rPr>
          <w:rFonts w:ascii="Book Antiqua" w:hAnsi="Book Antiqua" w:cs="Arial"/>
          <w:b/>
          <w:lang w:val="en-CA"/>
        </w:rPr>
        <w:t>Fax:</w:t>
      </w:r>
      <w:r w:rsidRPr="00843CFD">
        <w:rPr>
          <w:rFonts w:ascii="Book Antiqua" w:hAnsi="Book Antiqua" w:cs="Arial"/>
          <w:lang w:val="en-CA"/>
        </w:rPr>
        <w:t xml:space="preserve"> +41-22-3729366</w:t>
      </w:r>
    </w:p>
    <w:p w:rsidR="000242B5" w:rsidRPr="00843CFD" w:rsidRDefault="000242B5" w:rsidP="000242B5">
      <w:pPr>
        <w:adjustRightInd w:val="0"/>
        <w:snapToGrid w:val="0"/>
        <w:spacing w:line="360" w:lineRule="auto"/>
        <w:jc w:val="both"/>
        <w:rPr>
          <w:rFonts w:ascii="Book Antiqua" w:hAnsi="Book Antiqua" w:cs="Arial"/>
          <w:lang w:val="en-CA" w:eastAsia="zh-CN"/>
        </w:rPr>
      </w:pPr>
    </w:p>
    <w:p w:rsidR="0069524D" w:rsidRPr="00843CFD" w:rsidRDefault="0069524D" w:rsidP="000242B5">
      <w:pPr>
        <w:spacing w:line="360" w:lineRule="auto"/>
        <w:jc w:val="both"/>
        <w:rPr>
          <w:rFonts w:ascii="Book Antiqua" w:eastAsia="宋体" w:hAnsi="Book Antiqua"/>
          <w:lang w:eastAsia="zh-CN"/>
        </w:rPr>
      </w:pPr>
      <w:r w:rsidRPr="00843CFD">
        <w:rPr>
          <w:rFonts w:ascii="Book Antiqua" w:hAnsi="Book Antiqua"/>
          <w:b/>
        </w:rPr>
        <w:t xml:space="preserve">Received: </w:t>
      </w:r>
      <w:r w:rsidRPr="00843CFD">
        <w:rPr>
          <w:rFonts w:ascii="Book Antiqua" w:eastAsia="宋体" w:hAnsi="Book Antiqua"/>
          <w:lang w:eastAsia="zh-CN"/>
        </w:rPr>
        <w:t>January 8, 2018</w:t>
      </w:r>
    </w:p>
    <w:p w:rsidR="0069524D" w:rsidRPr="00843CFD" w:rsidRDefault="0069524D" w:rsidP="000242B5">
      <w:pPr>
        <w:spacing w:line="360" w:lineRule="auto"/>
        <w:jc w:val="both"/>
        <w:rPr>
          <w:rFonts w:ascii="Book Antiqua" w:eastAsia="宋体" w:hAnsi="Book Antiqua"/>
          <w:lang w:eastAsia="zh-CN"/>
        </w:rPr>
      </w:pPr>
      <w:r w:rsidRPr="00843CFD">
        <w:rPr>
          <w:rFonts w:ascii="Book Antiqua" w:hAnsi="Book Antiqua"/>
          <w:b/>
        </w:rPr>
        <w:t>Peer-review started:</w:t>
      </w:r>
      <w:r w:rsidRPr="00843CFD">
        <w:rPr>
          <w:rFonts w:ascii="Book Antiqua" w:eastAsia="宋体" w:hAnsi="Book Antiqua"/>
          <w:lang w:eastAsia="zh-CN"/>
        </w:rPr>
        <w:t xml:space="preserve"> January 9, 2018</w:t>
      </w:r>
    </w:p>
    <w:p w:rsidR="0069524D" w:rsidRPr="00843CFD" w:rsidRDefault="0069524D" w:rsidP="000242B5">
      <w:pPr>
        <w:spacing w:line="360" w:lineRule="auto"/>
        <w:jc w:val="both"/>
        <w:rPr>
          <w:rFonts w:ascii="Book Antiqua" w:eastAsia="宋体" w:hAnsi="Book Antiqua"/>
          <w:lang w:eastAsia="zh-CN"/>
        </w:rPr>
      </w:pPr>
      <w:r w:rsidRPr="00843CFD">
        <w:rPr>
          <w:rFonts w:ascii="Book Antiqua" w:hAnsi="Book Antiqua"/>
          <w:b/>
        </w:rPr>
        <w:lastRenderedPageBreak/>
        <w:t>First decision:</w:t>
      </w:r>
      <w:r w:rsidRPr="00843CFD">
        <w:rPr>
          <w:rFonts w:ascii="Book Antiqua" w:eastAsia="宋体" w:hAnsi="Book Antiqua"/>
          <w:b/>
          <w:lang w:eastAsia="zh-CN"/>
        </w:rPr>
        <w:t xml:space="preserve"> </w:t>
      </w:r>
      <w:r w:rsidRPr="00843CFD">
        <w:rPr>
          <w:rFonts w:ascii="Book Antiqua" w:eastAsia="宋体" w:hAnsi="Book Antiqua"/>
          <w:lang w:eastAsia="zh-CN"/>
        </w:rPr>
        <w:t>January 29, 2018</w:t>
      </w:r>
    </w:p>
    <w:p w:rsidR="0069524D" w:rsidRPr="00843CFD" w:rsidRDefault="0069524D" w:rsidP="000242B5">
      <w:pPr>
        <w:widowControl w:val="0"/>
        <w:spacing w:line="360" w:lineRule="auto"/>
        <w:jc w:val="both"/>
        <w:rPr>
          <w:rFonts w:ascii="Book Antiqua" w:hAnsi="Book Antiqua"/>
          <w:b/>
        </w:rPr>
      </w:pPr>
      <w:r w:rsidRPr="00843CFD">
        <w:rPr>
          <w:rFonts w:ascii="Book Antiqua" w:hAnsi="Book Antiqua"/>
          <w:b/>
        </w:rPr>
        <w:t xml:space="preserve">Revised: </w:t>
      </w:r>
      <w:r w:rsidRPr="00843CFD">
        <w:rPr>
          <w:rFonts w:ascii="Book Antiqua" w:eastAsia="宋体" w:hAnsi="Book Antiqua"/>
          <w:lang w:eastAsia="zh-CN"/>
        </w:rPr>
        <w:t>February 6, 2018</w:t>
      </w:r>
    </w:p>
    <w:p w:rsidR="0069524D" w:rsidRPr="00843CFD" w:rsidRDefault="0069524D" w:rsidP="000242B5">
      <w:pPr>
        <w:widowControl w:val="0"/>
        <w:spacing w:line="360" w:lineRule="auto"/>
        <w:jc w:val="both"/>
        <w:rPr>
          <w:rFonts w:ascii="Book Antiqua" w:hAnsi="Book Antiqua"/>
          <w:b/>
        </w:rPr>
      </w:pPr>
      <w:r w:rsidRPr="00843CFD">
        <w:rPr>
          <w:rFonts w:ascii="Book Antiqua" w:hAnsi="Book Antiqua"/>
          <w:b/>
        </w:rPr>
        <w:t xml:space="preserve">Accepted: </w:t>
      </w:r>
      <w:r w:rsidR="008E1461" w:rsidRPr="008E1461">
        <w:rPr>
          <w:rFonts w:ascii="Book Antiqua" w:hAnsi="Book Antiqua"/>
        </w:rPr>
        <w:t>March 7, 2018</w:t>
      </w:r>
    </w:p>
    <w:p w:rsidR="0069524D" w:rsidRPr="00843CFD" w:rsidRDefault="0069524D" w:rsidP="000242B5">
      <w:pPr>
        <w:widowControl w:val="0"/>
        <w:spacing w:line="360" w:lineRule="auto"/>
        <w:jc w:val="both"/>
        <w:rPr>
          <w:rFonts w:ascii="Book Antiqua" w:hAnsi="Book Antiqua"/>
          <w:b/>
        </w:rPr>
      </w:pPr>
      <w:r w:rsidRPr="00843CFD">
        <w:rPr>
          <w:rFonts w:ascii="Book Antiqua" w:hAnsi="Book Antiqua"/>
          <w:b/>
        </w:rPr>
        <w:t>Article in press:</w:t>
      </w:r>
    </w:p>
    <w:p w:rsidR="00150D79" w:rsidRPr="00843CFD" w:rsidRDefault="0069524D" w:rsidP="000242B5">
      <w:pPr>
        <w:widowControl w:val="0"/>
        <w:spacing w:line="360" w:lineRule="auto"/>
        <w:jc w:val="both"/>
        <w:rPr>
          <w:rFonts w:ascii="Book Antiqua" w:eastAsia="宋体" w:hAnsi="Book Antiqua"/>
          <w:lang w:eastAsia="zh-CN"/>
        </w:rPr>
      </w:pPr>
      <w:r w:rsidRPr="00843CFD">
        <w:rPr>
          <w:rFonts w:ascii="Book Antiqua" w:hAnsi="Book Antiqua"/>
          <w:b/>
        </w:rPr>
        <w:t>Published online:</w:t>
      </w:r>
    </w:p>
    <w:p w:rsidR="00FE66B4" w:rsidRPr="00843CFD" w:rsidRDefault="00FE66B4"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br w:type="page"/>
      </w:r>
    </w:p>
    <w:p w:rsidR="000763AC" w:rsidRPr="00843CFD" w:rsidRDefault="00290AB6"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lastRenderedPageBreak/>
        <w:t>Abstract</w:t>
      </w:r>
    </w:p>
    <w:p w:rsidR="006C61F4" w:rsidRPr="00843CFD" w:rsidRDefault="0096246E" w:rsidP="000242B5">
      <w:pPr>
        <w:adjustRightInd w:val="0"/>
        <w:snapToGrid w:val="0"/>
        <w:spacing w:line="360" w:lineRule="auto"/>
        <w:jc w:val="both"/>
        <w:rPr>
          <w:rFonts w:ascii="Book Antiqua" w:hAnsi="Book Antiqua" w:cs="Arial"/>
          <w:b/>
          <w:lang w:val="en-US"/>
        </w:rPr>
      </w:pPr>
      <w:r w:rsidRPr="00843CFD">
        <w:rPr>
          <w:rFonts w:ascii="Book Antiqua" w:hAnsi="Book Antiqua" w:cs="Arial"/>
          <w:b/>
          <w:i/>
          <w:lang w:val="en-US"/>
        </w:rPr>
        <w:t>AIM</w:t>
      </w:r>
      <w:r w:rsidR="006C61F4" w:rsidRPr="00843CFD">
        <w:rPr>
          <w:rFonts w:ascii="Book Antiqua" w:hAnsi="Book Antiqua" w:cs="Arial"/>
          <w:b/>
          <w:lang w:val="en-US"/>
        </w:rPr>
        <w:t xml:space="preserve"> </w:t>
      </w:r>
    </w:p>
    <w:p w:rsidR="006C61F4" w:rsidRPr="00843CFD" w:rsidRDefault="0096246E" w:rsidP="000242B5">
      <w:pPr>
        <w:adjustRightInd w:val="0"/>
        <w:snapToGrid w:val="0"/>
        <w:spacing w:line="360" w:lineRule="auto"/>
        <w:jc w:val="both"/>
        <w:rPr>
          <w:rFonts w:ascii="Book Antiqua" w:hAnsi="Book Antiqua" w:cs="Arial"/>
          <w:lang w:val="en-US"/>
        </w:rPr>
      </w:pPr>
      <w:proofErr w:type="gramStart"/>
      <w:r w:rsidRPr="00843CFD">
        <w:rPr>
          <w:rFonts w:ascii="Book Antiqua" w:hAnsi="Book Antiqua" w:cs="Arial"/>
          <w:lang w:val="en-US"/>
        </w:rPr>
        <w:t xml:space="preserve">To </w:t>
      </w:r>
      <w:r w:rsidR="006C61F4" w:rsidRPr="00843CFD">
        <w:rPr>
          <w:rFonts w:ascii="Book Antiqua" w:hAnsi="Book Antiqua" w:cs="Arial"/>
          <w:lang w:val="en-US"/>
        </w:rPr>
        <w:t xml:space="preserve">investigate the prevalence </w:t>
      </w:r>
      <w:r w:rsidR="009A335A" w:rsidRPr="00843CFD">
        <w:rPr>
          <w:rFonts w:ascii="Book Antiqua" w:hAnsi="Book Antiqua" w:cs="Arial"/>
          <w:lang w:val="en-US"/>
        </w:rPr>
        <w:t>and</w:t>
      </w:r>
      <w:r w:rsidR="006C61F4" w:rsidRPr="00843CFD">
        <w:rPr>
          <w:rFonts w:ascii="Book Antiqua" w:hAnsi="Book Antiqua" w:cs="Arial"/>
          <w:lang w:val="en-US"/>
        </w:rPr>
        <w:t xml:space="preserve"> causes of cholestasis in patients </w:t>
      </w:r>
      <w:r w:rsidRPr="00843CFD">
        <w:rPr>
          <w:rFonts w:ascii="Book Antiqua" w:hAnsi="Book Antiqua" w:cs="Arial"/>
          <w:lang w:val="en-US"/>
        </w:rPr>
        <w:t>with inflammatory bowel diseases</w:t>
      </w:r>
      <w:r w:rsidR="00F5417A" w:rsidRPr="00843CFD">
        <w:rPr>
          <w:rFonts w:ascii="Book Antiqua" w:hAnsi="Book Antiqua" w:cs="Arial"/>
          <w:lang w:val="en-US"/>
        </w:rPr>
        <w:t xml:space="preserve"> in the Swiss</w:t>
      </w:r>
      <w:r w:rsidR="00866F9B" w:rsidRPr="00843CFD">
        <w:rPr>
          <w:rFonts w:ascii="Book Antiqua" w:hAnsi="Book Antiqua" w:cs="Arial"/>
          <w:lang w:val="en-US" w:eastAsia="zh-CN"/>
        </w:rPr>
        <w:t xml:space="preserve"> </w:t>
      </w:r>
      <w:r w:rsidR="00866F9B" w:rsidRPr="00843CFD">
        <w:rPr>
          <w:rFonts w:ascii="Book Antiqua" w:hAnsi="Book Antiqua" w:cs="Arial"/>
          <w:lang w:val="en-US"/>
        </w:rPr>
        <w:t>Inflammatory Bowel Diseases</w:t>
      </w:r>
      <w:r w:rsidR="00F5417A" w:rsidRPr="00843CFD">
        <w:rPr>
          <w:rFonts w:ascii="Book Antiqua" w:hAnsi="Book Antiqua" w:cs="Arial"/>
          <w:lang w:val="en-US"/>
        </w:rPr>
        <w:t xml:space="preserve"> Cohort</w:t>
      </w:r>
      <w:r w:rsidR="00C35DD3" w:rsidRPr="00843CFD">
        <w:rPr>
          <w:rFonts w:ascii="Book Antiqua" w:hAnsi="Book Antiqua" w:cs="Arial"/>
          <w:lang w:val="en-US"/>
        </w:rPr>
        <w:t>.</w:t>
      </w:r>
      <w:proofErr w:type="gramEnd"/>
      <w:r w:rsidRPr="00843CFD">
        <w:rPr>
          <w:rFonts w:ascii="Book Antiqua" w:hAnsi="Book Antiqua" w:cs="Arial"/>
          <w:lang w:val="en-US"/>
        </w:rPr>
        <w:t xml:space="preserve"> </w:t>
      </w:r>
    </w:p>
    <w:p w:rsidR="006C61F4" w:rsidRPr="00843CFD" w:rsidRDefault="006C61F4" w:rsidP="000242B5">
      <w:pPr>
        <w:adjustRightInd w:val="0"/>
        <w:snapToGrid w:val="0"/>
        <w:spacing w:line="360" w:lineRule="auto"/>
        <w:jc w:val="both"/>
        <w:rPr>
          <w:rFonts w:ascii="Book Antiqua" w:hAnsi="Book Antiqua" w:cs="Arial"/>
          <w:b/>
          <w:lang w:val="en-US"/>
        </w:rPr>
      </w:pPr>
    </w:p>
    <w:p w:rsidR="006C61F4" w:rsidRPr="00843CFD" w:rsidRDefault="006C61F4"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M</w:t>
      </w:r>
      <w:r w:rsidR="0096246E" w:rsidRPr="00843CFD">
        <w:rPr>
          <w:rFonts w:ascii="Book Antiqua" w:hAnsi="Book Antiqua" w:cs="Arial"/>
          <w:b/>
          <w:i/>
          <w:lang w:val="en-US"/>
        </w:rPr>
        <w:t>ETHODS</w:t>
      </w:r>
      <w:r w:rsidRPr="00843CFD">
        <w:rPr>
          <w:rFonts w:ascii="Book Antiqua" w:hAnsi="Book Antiqua" w:cs="Arial"/>
          <w:b/>
          <w:i/>
          <w:lang w:val="en-US"/>
        </w:rPr>
        <w:t xml:space="preserve"> </w:t>
      </w:r>
    </w:p>
    <w:p w:rsidR="006C61F4" w:rsidRPr="00843CFD" w:rsidRDefault="002B1606"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 retrospective cohort study was performed</w:t>
      </w:r>
      <w:r w:rsidR="009A335A" w:rsidRPr="00843CFD">
        <w:rPr>
          <w:rFonts w:ascii="Book Antiqua" w:hAnsi="Book Antiqua" w:cs="Arial"/>
          <w:lang w:val="en-US"/>
        </w:rPr>
        <w:t xml:space="preserve"> of</w:t>
      </w:r>
      <w:r w:rsidRPr="00843CFD">
        <w:rPr>
          <w:rFonts w:ascii="Book Antiqua" w:hAnsi="Book Antiqua" w:cs="Arial"/>
          <w:lang w:val="en-US"/>
        </w:rPr>
        <w:t xml:space="preserve"> a</w:t>
      </w:r>
      <w:r w:rsidR="00C35DD3" w:rsidRPr="00843CFD">
        <w:rPr>
          <w:rFonts w:ascii="Book Antiqua" w:hAnsi="Book Antiqua" w:cs="Arial"/>
          <w:lang w:val="en-US"/>
        </w:rPr>
        <w:t xml:space="preserve">ll </w:t>
      </w:r>
      <w:r w:rsidRPr="00843CFD">
        <w:rPr>
          <w:rFonts w:ascii="Book Antiqua" w:hAnsi="Book Antiqua" w:cs="Arial"/>
          <w:lang w:val="en-US"/>
        </w:rPr>
        <w:t xml:space="preserve">the </w:t>
      </w:r>
      <w:r w:rsidR="00C35DD3" w:rsidRPr="00843CFD">
        <w:rPr>
          <w:rFonts w:ascii="Book Antiqua" w:hAnsi="Book Antiqua" w:cs="Arial"/>
          <w:lang w:val="en-US"/>
        </w:rPr>
        <w:t xml:space="preserve">patients </w:t>
      </w:r>
      <w:r w:rsidR="009A335A" w:rsidRPr="00843CFD">
        <w:rPr>
          <w:rFonts w:ascii="Book Antiqua" w:hAnsi="Book Antiqua" w:cs="Arial"/>
          <w:lang w:val="en-US"/>
        </w:rPr>
        <w:t xml:space="preserve">in </w:t>
      </w:r>
      <w:r w:rsidR="00C35DD3" w:rsidRPr="00843CFD">
        <w:rPr>
          <w:rFonts w:ascii="Book Antiqua" w:hAnsi="Book Antiqua" w:cs="Arial"/>
          <w:lang w:val="en-US"/>
        </w:rPr>
        <w:t xml:space="preserve">the Swiss Inflammatory bowel disease Cohort. Total bile acid </w:t>
      </w:r>
      <w:r w:rsidR="009A335A" w:rsidRPr="00843CFD">
        <w:rPr>
          <w:rFonts w:ascii="Book Antiqua" w:hAnsi="Book Antiqua" w:cs="Arial"/>
          <w:lang w:val="en-US"/>
        </w:rPr>
        <w:t xml:space="preserve">was measured for all patients and cholestasis </w:t>
      </w:r>
      <w:r w:rsidR="00C35DD3" w:rsidRPr="00843CFD">
        <w:rPr>
          <w:rFonts w:ascii="Book Antiqua" w:hAnsi="Book Antiqua" w:cs="Arial"/>
          <w:lang w:val="en-US"/>
        </w:rPr>
        <w:t xml:space="preserve">was defined as </w:t>
      </w:r>
      <w:r w:rsidR="009A335A" w:rsidRPr="00843CFD">
        <w:rPr>
          <w:rFonts w:ascii="Book Antiqua" w:hAnsi="Book Antiqua" w:cs="Arial"/>
          <w:lang w:val="en-US"/>
        </w:rPr>
        <w:t xml:space="preserve">a concentration </w:t>
      </w:r>
      <w:r w:rsidR="00C35DD3" w:rsidRPr="00843CFD">
        <w:rPr>
          <w:rFonts w:ascii="Book Antiqua" w:hAnsi="Book Antiqua" w:cs="Arial"/>
          <w:lang w:val="en-US"/>
        </w:rPr>
        <w:t>&gt; 8 μmol/</w:t>
      </w:r>
      <w:r w:rsidR="0069524D" w:rsidRPr="00843CFD">
        <w:rPr>
          <w:rFonts w:ascii="Book Antiqua" w:hAnsi="Book Antiqua" w:cs="Arial"/>
          <w:lang w:val="en-US" w:eastAsia="zh-CN"/>
        </w:rPr>
        <w:t>L</w:t>
      </w:r>
      <w:r w:rsidR="00C35DD3" w:rsidRPr="00843CFD">
        <w:rPr>
          <w:rFonts w:ascii="Book Antiqua" w:hAnsi="Book Antiqua" w:cs="Arial"/>
          <w:lang w:val="en-US"/>
        </w:rPr>
        <w:t xml:space="preserve">. </w:t>
      </w:r>
      <w:r w:rsidR="009A335A" w:rsidRPr="00843CFD">
        <w:rPr>
          <w:rFonts w:ascii="Book Antiqua" w:hAnsi="Book Antiqua" w:cs="Arial"/>
          <w:lang w:val="en-US"/>
        </w:rPr>
        <w:t>The c</w:t>
      </w:r>
      <w:r w:rsidR="00F5417A" w:rsidRPr="00843CFD">
        <w:rPr>
          <w:rFonts w:ascii="Book Antiqua" w:hAnsi="Book Antiqua" w:cs="Arial"/>
          <w:lang w:val="en-US"/>
        </w:rPr>
        <w:t>haracteristics</w:t>
      </w:r>
      <w:r w:rsidR="009A335A" w:rsidRPr="00843CFD">
        <w:rPr>
          <w:rFonts w:ascii="Book Antiqua" w:hAnsi="Book Antiqua" w:cs="Arial"/>
          <w:lang w:val="en-US"/>
        </w:rPr>
        <w:t xml:space="preserve"> of patients</w:t>
      </w:r>
      <w:r w:rsidR="00F5417A" w:rsidRPr="00843CFD">
        <w:rPr>
          <w:rFonts w:ascii="Book Antiqua" w:hAnsi="Book Antiqua" w:cs="Arial"/>
          <w:lang w:val="en-US"/>
        </w:rPr>
        <w:t xml:space="preserve"> </w:t>
      </w:r>
      <w:r w:rsidR="009A335A" w:rsidRPr="00843CFD">
        <w:rPr>
          <w:rFonts w:ascii="Book Antiqua" w:hAnsi="Book Antiqua" w:cs="Arial"/>
          <w:lang w:val="en-US"/>
        </w:rPr>
        <w:t xml:space="preserve">with or without cholestasis </w:t>
      </w:r>
      <w:r w:rsidR="00F5417A" w:rsidRPr="00843CFD">
        <w:rPr>
          <w:rFonts w:ascii="Book Antiqua" w:hAnsi="Book Antiqua" w:cs="Arial"/>
          <w:lang w:val="en-US"/>
        </w:rPr>
        <w:t xml:space="preserve">were compared. </w:t>
      </w:r>
      <w:r w:rsidR="009A335A" w:rsidRPr="00843CFD">
        <w:rPr>
          <w:rFonts w:ascii="Book Antiqua" w:hAnsi="Book Antiqua" w:cs="Arial"/>
          <w:lang w:val="en-US"/>
        </w:rPr>
        <w:t>B</w:t>
      </w:r>
      <w:r w:rsidR="00C35DD3" w:rsidRPr="00843CFD">
        <w:rPr>
          <w:rFonts w:ascii="Book Antiqua" w:hAnsi="Book Antiqua" w:cs="Arial"/>
          <w:lang w:val="en-US"/>
        </w:rPr>
        <w:t>ile acid profile</w:t>
      </w:r>
      <w:r w:rsidR="009A335A" w:rsidRPr="00843CFD">
        <w:rPr>
          <w:rFonts w:ascii="Book Antiqua" w:hAnsi="Book Antiqua" w:cs="Arial"/>
          <w:lang w:val="en-US"/>
        </w:rPr>
        <w:t>s</w:t>
      </w:r>
      <w:r w:rsidR="00C35DD3" w:rsidRPr="00843CFD">
        <w:rPr>
          <w:rFonts w:ascii="Book Antiqua" w:hAnsi="Book Antiqua" w:cs="Arial"/>
          <w:lang w:val="en-US"/>
        </w:rPr>
        <w:t xml:space="preserve"> </w:t>
      </w:r>
      <w:r w:rsidR="009A335A" w:rsidRPr="00843CFD">
        <w:rPr>
          <w:rFonts w:ascii="Book Antiqua" w:hAnsi="Book Antiqua" w:cs="Arial"/>
          <w:lang w:val="en-US"/>
        </w:rPr>
        <w:t xml:space="preserve">were </w:t>
      </w:r>
      <w:r w:rsidR="00C35DD3" w:rsidRPr="00843CFD">
        <w:rPr>
          <w:rFonts w:ascii="Book Antiqua" w:hAnsi="Book Antiqua" w:cs="Arial"/>
          <w:lang w:val="en-US"/>
        </w:rPr>
        <w:t xml:space="preserve">then determined </w:t>
      </w:r>
      <w:r w:rsidR="009A335A" w:rsidRPr="00843CFD">
        <w:rPr>
          <w:rFonts w:ascii="Book Antiqua" w:hAnsi="Book Antiqua" w:cs="Arial"/>
          <w:lang w:val="en-US"/>
        </w:rPr>
        <w:t xml:space="preserve">for </w:t>
      </w:r>
      <w:r w:rsidR="00C35DD3" w:rsidRPr="00843CFD">
        <w:rPr>
          <w:rFonts w:ascii="Book Antiqua" w:hAnsi="Book Antiqua" w:cs="Arial"/>
          <w:lang w:val="en-US"/>
        </w:rPr>
        <w:t xml:space="preserve">80 patients with high total bile acid and 80 matched patients with low </w:t>
      </w:r>
      <w:r w:rsidR="006C61F4" w:rsidRPr="00843CFD">
        <w:rPr>
          <w:rFonts w:ascii="Book Antiqua" w:hAnsi="Book Antiqua" w:cs="Arial"/>
          <w:lang w:val="en-US"/>
        </w:rPr>
        <w:t xml:space="preserve">total bile acid. </w:t>
      </w:r>
      <w:r w:rsidR="00F5417A" w:rsidRPr="00843CFD">
        <w:rPr>
          <w:rFonts w:ascii="Book Antiqua" w:hAnsi="Book Antiqua" w:cs="Arial"/>
          <w:lang w:val="en-US"/>
        </w:rPr>
        <w:t>Bile acid profiles</w:t>
      </w:r>
      <w:r w:rsidR="009A335A" w:rsidRPr="00843CFD">
        <w:rPr>
          <w:rFonts w:ascii="Book Antiqua" w:hAnsi="Book Antiqua" w:cs="Arial"/>
          <w:lang w:val="en-US"/>
        </w:rPr>
        <w:t xml:space="preserve"> were compared for</w:t>
      </w:r>
      <w:r w:rsidR="00866F9B" w:rsidRPr="00843CFD">
        <w:rPr>
          <w:rFonts w:ascii="Book Antiqua" w:hAnsi="Book Antiqua" w:cs="Arial"/>
          <w:lang w:val="en-US"/>
        </w:rPr>
        <w:t xml:space="preserve"> </w:t>
      </w:r>
      <w:proofErr w:type="gramStart"/>
      <w:r w:rsidR="00866F9B" w:rsidRPr="00843CFD">
        <w:rPr>
          <w:rFonts w:ascii="Book Antiqua" w:hAnsi="Book Antiqua" w:cs="Arial"/>
          <w:lang w:val="en-US"/>
        </w:rPr>
        <w:t>smokers</w:t>
      </w:r>
      <w:proofErr w:type="gramEnd"/>
      <w:r w:rsidR="00866F9B" w:rsidRPr="00843CFD">
        <w:rPr>
          <w:rFonts w:ascii="Book Antiqua" w:hAnsi="Book Antiqua" w:cs="Arial"/>
          <w:lang w:val="en-US"/>
        </w:rPr>
        <w:t xml:space="preserve"> </w:t>
      </w:r>
      <w:r w:rsidR="00866F9B" w:rsidRPr="00843CFD">
        <w:rPr>
          <w:rFonts w:ascii="Book Antiqua" w:hAnsi="Book Antiqua" w:cs="Arial"/>
          <w:i/>
          <w:lang w:val="en-US"/>
        </w:rPr>
        <w:t>v</w:t>
      </w:r>
      <w:r w:rsidR="00F5417A" w:rsidRPr="00843CFD">
        <w:rPr>
          <w:rFonts w:ascii="Book Antiqua" w:hAnsi="Book Antiqua" w:cs="Arial"/>
          <w:i/>
          <w:lang w:val="en-US"/>
        </w:rPr>
        <w:t>s</w:t>
      </w:r>
      <w:r w:rsidR="00F5417A" w:rsidRPr="00843CFD">
        <w:rPr>
          <w:rFonts w:ascii="Book Antiqua" w:hAnsi="Book Antiqua" w:cs="Arial"/>
          <w:lang w:val="en-US"/>
        </w:rPr>
        <w:t xml:space="preserve"> nonsmokers, </w:t>
      </w:r>
      <w:proofErr w:type="spellStart"/>
      <w:r w:rsidR="00F5417A" w:rsidRPr="00843CFD">
        <w:rPr>
          <w:rFonts w:ascii="Book Antiqua" w:hAnsi="Book Antiqua" w:cs="Arial"/>
          <w:lang w:val="en-US"/>
        </w:rPr>
        <w:t>ileal</w:t>
      </w:r>
      <w:proofErr w:type="spellEnd"/>
      <w:r w:rsidR="00F5417A" w:rsidRPr="00843CFD">
        <w:rPr>
          <w:rFonts w:ascii="Book Antiqua" w:hAnsi="Book Antiqua" w:cs="Arial"/>
          <w:lang w:val="en-US"/>
        </w:rPr>
        <w:t xml:space="preserve"> </w:t>
      </w:r>
      <w:r w:rsidR="00F5417A" w:rsidRPr="00843CFD">
        <w:rPr>
          <w:rFonts w:ascii="Book Antiqua" w:hAnsi="Book Antiqua" w:cs="Arial"/>
          <w:i/>
          <w:lang w:val="en-US"/>
        </w:rPr>
        <w:t>vs</w:t>
      </w:r>
      <w:r w:rsidR="00F5417A" w:rsidRPr="00843CFD">
        <w:rPr>
          <w:rFonts w:ascii="Book Antiqua" w:hAnsi="Book Antiqua" w:cs="Arial"/>
          <w:lang w:val="en-US"/>
        </w:rPr>
        <w:t xml:space="preserve"> colonic disease</w:t>
      </w:r>
      <w:r w:rsidR="009A335A" w:rsidRPr="00843CFD">
        <w:rPr>
          <w:rFonts w:ascii="Book Antiqua" w:hAnsi="Book Antiqua" w:cs="Arial"/>
          <w:lang w:val="en-US"/>
        </w:rPr>
        <w:t>,</w:t>
      </w:r>
      <w:r w:rsidR="00F5417A" w:rsidRPr="00843CFD">
        <w:rPr>
          <w:rFonts w:ascii="Book Antiqua" w:hAnsi="Book Antiqua" w:cs="Arial"/>
          <w:lang w:val="en-US"/>
        </w:rPr>
        <w:t xml:space="preserve"> and inflammatory </w:t>
      </w:r>
      <w:r w:rsidR="00F5417A" w:rsidRPr="00843CFD">
        <w:rPr>
          <w:rFonts w:ascii="Book Antiqua" w:hAnsi="Book Antiqua" w:cs="Arial"/>
          <w:i/>
          <w:lang w:val="en-US"/>
        </w:rPr>
        <w:t>vs</w:t>
      </w:r>
      <w:r w:rsidR="00F5417A" w:rsidRPr="00843CFD">
        <w:rPr>
          <w:rFonts w:ascii="Book Antiqua" w:hAnsi="Book Antiqua" w:cs="Arial"/>
          <w:lang w:val="en-US"/>
        </w:rPr>
        <w:t xml:space="preserve"> non inflammatory diseases.</w:t>
      </w:r>
    </w:p>
    <w:p w:rsidR="006C61F4" w:rsidRPr="00843CFD" w:rsidRDefault="006C61F4" w:rsidP="000242B5">
      <w:pPr>
        <w:adjustRightInd w:val="0"/>
        <w:snapToGrid w:val="0"/>
        <w:spacing w:line="360" w:lineRule="auto"/>
        <w:jc w:val="both"/>
        <w:rPr>
          <w:rFonts w:ascii="Book Antiqua" w:hAnsi="Book Antiqua" w:cs="Arial"/>
          <w:b/>
          <w:lang w:val="en-US"/>
        </w:rPr>
      </w:pPr>
    </w:p>
    <w:p w:rsidR="006C61F4" w:rsidRPr="00843CFD" w:rsidRDefault="006C61F4"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R</w:t>
      </w:r>
      <w:r w:rsidR="0096246E" w:rsidRPr="00843CFD">
        <w:rPr>
          <w:rFonts w:ascii="Book Antiqua" w:hAnsi="Book Antiqua" w:cs="Arial"/>
          <w:b/>
          <w:i/>
          <w:lang w:val="en-US"/>
        </w:rPr>
        <w:t>ESULTS</w:t>
      </w:r>
      <w:r w:rsidRPr="00843CFD">
        <w:rPr>
          <w:rFonts w:ascii="Book Antiqua" w:hAnsi="Book Antiqua" w:cs="Arial"/>
          <w:b/>
          <w:i/>
          <w:lang w:val="en-US"/>
        </w:rPr>
        <w:t xml:space="preserve"> </w:t>
      </w:r>
    </w:p>
    <w:p w:rsidR="006C61F4" w:rsidRPr="00843CFD" w:rsidRDefault="006C61F4"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 xml:space="preserve">Ninety-six patients had </w:t>
      </w:r>
      <w:proofErr w:type="gramStart"/>
      <w:r w:rsidR="00E32E25" w:rsidRPr="00843CFD">
        <w:rPr>
          <w:rFonts w:ascii="Book Antiqua" w:hAnsi="Book Antiqua" w:cs="Arial"/>
          <w:lang w:val="en-US"/>
        </w:rPr>
        <w:t xml:space="preserve">more than </w:t>
      </w:r>
      <w:r w:rsidRPr="00843CFD">
        <w:rPr>
          <w:rFonts w:ascii="Book Antiqua" w:hAnsi="Book Antiqua" w:cs="Arial"/>
          <w:lang w:val="en-US"/>
        </w:rPr>
        <w:t>8 μmol/</w:t>
      </w:r>
      <w:r w:rsidR="0069524D" w:rsidRPr="00843CFD">
        <w:rPr>
          <w:rFonts w:ascii="Book Antiqua" w:hAnsi="Book Antiqua" w:cs="Arial"/>
          <w:lang w:val="en-US" w:eastAsia="zh-CN"/>
        </w:rPr>
        <w:t xml:space="preserve">L </w:t>
      </w:r>
      <w:r w:rsidR="00E32E25" w:rsidRPr="00843CFD">
        <w:rPr>
          <w:rFonts w:ascii="Book Antiqua" w:hAnsi="Book Antiqua" w:cs="Arial"/>
          <w:lang w:val="en-US"/>
        </w:rPr>
        <w:t>total bile acid</w:t>
      </w:r>
      <w:r w:rsidRPr="00843CFD">
        <w:rPr>
          <w:rFonts w:ascii="Book Antiqua" w:hAnsi="Book Antiqua" w:cs="Arial"/>
          <w:lang w:val="en-US"/>
        </w:rPr>
        <w:t>,</w:t>
      </w:r>
      <w:proofErr w:type="gramEnd"/>
      <w:r w:rsidRPr="00843CFD">
        <w:rPr>
          <w:rFonts w:ascii="Book Antiqua" w:hAnsi="Book Antiqua" w:cs="Arial"/>
          <w:lang w:val="en-US"/>
        </w:rPr>
        <w:t xml:space="preserve"> giving a prevalence of 7.15%. Patients with an obvious cause of cholestasis, such as primary sclerosing cholangitis, were </w:t>
      </w:r>
      <w:r w:rsidR="00E32E25" w:rsidRPr="00843CFD">
        <w:rPr>
          <w:rFonts w:ascii="Book Antiqua" w:hAnsi="Book Antiqua" w:cs="Arial"/>
          <w:lang w:val="en-US"/>
        </w:rPr>
        <w:t xml:space="preserve">then </w:t>
      </w:r>
      <w:r w:rsidRPr="00843CFD">
        <w:rPr>
          <w:rFonts w:ascii="Book Antiqua" w:hAnsi="Book Antiqua" w:cs="Arial"/>
          <w:lang w:val="en-US"/>
        </w:rPr>
        <w:t>excluded</w:t>
      </w:r>
      <w:r w:rsidR="00E32E25" w:rsidRPr="00843CFD">
        <w:rPr>
          <w:rFonts w:ascii="Book Antiqua" w:hAnsi="Book Antiqua" w:cs="Arial"/>
          <w:lang w:val="en-US"/>
        </w:rPr>
        <w:t>,</w:t>
      </w:r>
      <w:r w:rsidRPr="00843CFD">
        <w:rPr>
          <w:rFonts w:ascii="Book Antiqua" w:hAnsi="Book Antiqua" w:cs="Arial"/>
          <w:lang w:val="en-US"/>
        </w:rPr>
        <w:t xml:space="preserve"> </w:t>
      </w:r>
      <w:r w:rsidR="00E32E25" w:rsidRPr="00843CFD">
        <w:rPr>
          <w:rFonts w:ascii="Book Antiqua" w:hAnsi="Book Antiqua" w:cs="Arial"/>
          <w:lang w:val="en-US"/>
        </w:rPr>
        <w:t xml:space="preserve">leaving </w:t>
      </w:r>
      <w:r w:rsidRPr="00843CFD">
        <w:rPr>
          <w:rFonts w:ascii="Book Antiqua" w:hAnsi="Book Antiqua" w:cs="Arial"/>
          <w:lang w:val="en-US"/>
        </w:rPr>
        <w:t xml:space="preserve">1190 participants </w:t>
      </w:r>
      <w:r w:rsidR="00E32E25" w:rsidRPr="00843CFD">
        <w:rPr>
          <w:rFonts w:ascii="Book Antiqua" w:hAnsi="Book Antiqua" w:cs="Arial"/>
          <w:lang w:val="en-US"/>
        </w:rPr>
        <w:t>with total bile acid</w:t>
      </w:r>
      <w:r w:rsidRPr="00843CFD">
        <w:rPr>
          <w:rFonts w:ascii="Book Antiqua" w:hAnsi="Book Antiqua" w:cs="Arial"/>
          <w:lang w:val="en-US"/>
        </w:rPr>
        <w:t xml:space="preserve"> &lt;</w:t>
      </w:r>
      <w:r w:rsidR="00E32E25" w:rsidRPr="00843CFD">
        <w:rPr>
          <w:rFonts w:ascii="Book Antiqua" w:hAnsi="Book Antiqua" w:cs="Arial"/>
          <w:lang w:val="en-US"/>
        </w:rPr>
        <w:t xml:space="preserve"> </w:t>
      </w:r>
      <w:r w:rsidRPr="00843CFD">
        <w:rPr>
          <w:rFonts w:ascii="Book Antiqua" w:hAnsi="Book Antiqua" w:cs="Arial"/>
          <w:lang w:val="en-US"/>
        </w:rPr>
        <w:t xml:space="preserve">8 </w:t>
      </w:r>
      <w:proofErr w:type="spellStart"/>
      <w:r w:rsidRPr="00843CFD">
        <w:rPr>
          <w:rFonts w:ascii="Book Antiqua" w:hAnsi="Book Antiqua" w:cs="Arial"/>
          <w:lang w:val="en-US"/>
        </w:rPr>
        <w:t>μmol</w:t>
      </w:r>
      <w:proofErr w:type="spellEnd"/>
      <w:r w:rsidRPr="00843CFD">
        <w:rPr>
          <w:rFonts w:ascii="Book Antiqua" w:hAnsi="Book Antiqua" w:cs="Arial"/>
          <w:lang w:val="en-US"/>
        </w:rPr>
        <w:t>/</w:t>
      </w:r>
      <w:r w:rsidR="000242B5" w:rsidRPr="00843CFD">
        <w:rPr>
          <w:rFonts w:ascii="Book Antiqua" w:hAnsi="Book Antiqua" w:cs="Arial"/>
          <w:lang w:val="en-US"/>
        </w:rPr>
        <w:t>L</w:t>
      </w:r>
      <w:r w:rsidRPr="00843CFD">
        <w:rPr>
          <w:rFonts w:ascii="Book Antiqua" w:hAnsi="Book Antiqua" w:cs="Arial"/>
          <w:lang w:val="en-US"/>
        </w:rPr>
        <w:t xml:space="preserve"> and 80</w:t>
      </w:r>
      <w:r w:rsidR="001713CB" w:rsidRPr="00843CFD">
        <w:rPr>
          <w:rFonts w:ascii="Book Antiqua" w:hAnsi="Book Antiqua" w:cs="Arial"/>
          <w:lang w:val="en-US"/>
        </w:rPr>
        <w:t xml:space="preserve"> </w:t>
      </w:r>
      <w:r w:rsidR="00E32E25" w:rsidRPr="00843CFD">
        <w:rPr>
          <w:rFonts w:ascii="Book Antiqua" w:hAnsi="Book Antiqua" w:cs="Arial"/>
          <w:lang w:val="en-US"/>
        </w:rPr>
        <w:t>with total bile acid</w:t>
      </w:r>
      <w:r w:rsidRPr="00843CFD">
        <w:rPr>
          <w:rFonts w:ascii="Book Antiqua" w:hAnsi="Book Antiqua" w:cs="Arial"/>
          <w:lang w:val="en-US"/>
        </w:rPr>
        <w:t xml:space="preserve"> &gt;</w:t>
      </w:r>
      <w:r w:rsidR="00E32E25" w:rsidRPr="00843CFD">
        <w:rPr>
          <w:rFonts w:ascii="Book Antiqua" w:hAnsi="Book Antiqua" w:cs="Arial"/>
          <w:lang w:val="en-US"/>
        </w:rPr>
        <w:t xml:space="preserve"> </w:t>
      </w:r>
      <w:r w:rsidR="0069524D" w:rsidRPr="00843CFD">
        <w:rPr>
          <w:rFonts w:ascii="Book Antiqua" w:hAnsi="Book Antiqua" w:cs="Arial"/>
          <w:lang w:val="en-US"/>
        </w:rPr>
        <w:t>8 μmol/L</w:t>
      </w:r>
      <w:r w:rsidRPr="00843CFD">
        <w:rPr>
          <w:rFonts w:ascii="Book Antiqua" w:hAnsi="Book Antiqua" w:cs="Arial"/>
          <w:lang w:val="en-US"/>
        </w:rPr>
        <w:t>. In multivariate analysis, calcium supplementation was significantly associated with cholestasis (odds ratio, 2.36</w:t>
      </w:r>
      <w:r w:rsidR="00C35DD3" w:rsidRPr="00843CFD">
        <w:rPr>
          <w:rFonts w:ascii="Book Antiqua" w:hAnsi="Book Antiqua" w:cs="Arial"/>
          <w:lang w:val="en-US"/>
        </w:rPr>
        <w:t>,</w:t>
      </w:r>
      <w:r w:rsidRPr="00843CFD">
        <w:rPr>
          <w:rFonts w:ascii="Book Antiqua" w:hAnsi="Book Antiqua" w:cs="Arial"/>
          <w:lang w:val="en-US"/>
        </w:rPr>
        <w:t xml:space="preserve"> 95%</w:t>
      </w:r>
      <w:r w:rsidR="000826F2">
        <w:rPr>
          <w:rFonts w:ascii="Book Antiqua" w:hAnsi="Book Antiqua" w:cs="Arial" w:hint="eastAsia"/>
          <w:lang w:val="en-US" w:eastAsia="zh-CN"/>
        </w:rPr>
        <w:t>CI:</w:t>
      </w:r>
      <w:r w:rsidRPr="00843CFD">
        <w:rPr>
          <w:rFonts w:ascii="Book Antiqua" w:hAnsi="Book Antiqua" w:cs="Arial"/>
          <w:lang w:val="en-US"/>
        </w:rPr>
        <w:t xml:space="preserve"> 1.00</w:t>
      </w:r>
      <w:r w:rsidR="00866F9B" w:rsidRPr="00843CFD">
        <w:rPr>
          <w:rFonts w:ascii="Book Antiqua" w:hAnsi="Book Antiqua" w:cs="Arial"/>
          <w:lang w:val="en-US" w:eastAsia="zh-CN"/>
        </w:rPr>
        <w:t>-</w:t>
      </w:r>
      <w:r w:rsidRPr="00843CFD">
        <w:rPr>
          <w:rFonts w:ascii="Book Antiqua" w:hAnsi="Book Antiqua" w:cs="Arial"/>
          <w:lang w:val="en-US"/>
        </w:rPr>
        <w:t>5.21</w:t>
      </w:r>
      <w:r w:rsidR="00C35DD3" w:rsidRPr="00843CFD">
        <w:rPr>
          <w:rFonts w:ascii="Book Antiqua" w:hAnsi="Book Antiqua" w:cs="Arial"/>
          <w:lang w:val="en-US"/>
        </w:rPr>
        <w:t>,</w:t>
      </w:r>
      <w:r w:rsidRPr="00843CFD">
        <w:rPr>
          <w:rFonts w:ascii="Book Antiqua" w:hAnsi="Book Antiqua" w:cs="Arial"/>
          <w:lang w:val="en-US"/>
        </w:rPr>
        <w:t xml:space="preserve"> </w:t>
      </w:r>
      <w:r w:rsidR="00FE1973" w:rsidRPr="00843CFD">
        <w:rPr>
          <w:rFonts w:ascii="Book Antiqua" w:hAnsi="Book Antiqua" w:cs="Arial"/>
          <w:i/>
          <w:lang w:val="en-US"/>
        </w:rPr>
        <w:t>P =</w:t>
      </w:r>
      <w:r w:rsidR="0069524D" w:rsidRPr="00843CFD">
        <w:rPr>
          <w:rFonts w:ascii="Book Antiqua" w:hAnsi="Book Antiqua" w:cs="Arial"/>
          <w:lang w:val="en-US" w:eastAsia="zh-CN"/>
        </w:rPr>
        <w:t xml:space="preserve"> 0</w:t>
      </w:r>
      <w:r w:rsidRPr="00843CFD">
        <w:rPr>
          <w:rFonts w:ascii="Book Antiqua" w:hAnsi="Book Antiqua" w:cs="Arial"/>
          <w:lang w:val="en-US"/>
        </w:rPr>
        <w:t>.040) whereas current smoking significantly reduced the risk of cholestasis (odds ratio, 0.42</w:t>
      </w:r>
      <w:r w:rsidR="00C35DD3" w:rsidRPr="00843CFD">
        <w:rPr>
          <w:rFonts w:ascii="Book Antiqua" w:hAnsi="Book Antiqua" w:cs="Arial"/>
          <w:lang w:val="en-US"/>
        </w:rPr>
        <w:t>,</w:t>
      </w:r>
      <w:r w:rsidRPr="00843CFD">
        <w:rPr>
          <w:rFonts w:ascii="Book Antiqua" w:hAnsi="Book Antiqua" w:cs="Arial"/>
          <w:lang w:val="en-US"/>
        </w:rPr>
        <w:t xml:space="preserve"> </w:t>
      </w:r>
      <w:r w:rsidR="000826F2" w:rsidRPr="00843CFD">
        <w:rPr>
          <w:rFonts w:ascii="Book Antiqua" w:hAnsi="Book Antiqua" w:cs="Arial"/>
          <w:lang w:val="en-US"/>
        </w:rPr>
        <w:t>95%</w:t>
      </w:r>
      <w:r w:rsidR="000826F2">
        <w:rPr>
          <w:rFonts w:ascii="Book Antiqua" w:hAnsi="Book Antiqua" w:cs="Arial" w:hint="eastAsia"/>
          <w:lang w:val="en-US" w:eastAsia="zh-CN"/>
        </w:rPr>
        <w:t>CI:</w:t>
      </w:r>
      <w:r w:rsidRPr="00843CFD">
        <w:rPr>
          <w:rFonts w:ascii="Book Antiqua" w:hAnsi="Book Antiqua" w:cs="Arial"/>
          <w:lang w:val="en-US"/>
        </w:rPr>
        <w:t xml:space="preserve"> 0.17</w:t>
      </w:r>
      <w:r w:rsidR="000242B5" w:rsidRPr="00843CFD">
        <w:rPr>
          <w:rFonts w:ascii="Book Antiqua" w:hAnsi="Book Antiqua" w:cs="Arial"/>
          <w:lang w:val="en-US" w:eastAsia="zh-CN"/>
        </w:rPr>
        <w:t>-</w:t>
      </w:r>
      <w:r w:rsidRPr="00843CFD">
        <w:rPr>
          <w:rFonts w:ascii="Book Antiqua" w:hAnsi="Book Antiqua" w:cs="Arial"/>
          <w:lang w:val="en-US"/>
        </w:rPr>
        <w:t>0.91</w:t>
      </w:r>
      <w:r w:rsidR="00C35DD3" w:rsidRPr="00843CFD">
        <w:rPr>
          <w:rFonts w:ascii="Book Antiqua" w:hAnsi="Book Antiqua" w:cs="Arial"/>
          <w:lang w:val="en-US"/>
        </w:rPr>
        <w:t xml:space="preserve">, </w:t>
      </w:r>
      <w:r w:rsidR="00FE1973" w:rsidRPr="00843CFD">
        <w:rPr>
          <w:rFonts w:ascii="Book Antiqua" w:hAnsi="Book Antiqua" w:cs="Arial"/>
          <w:i/>
          <w:lang w:val="en-US"/>
        </w:rPr>
        <w:t>P =</w:t>
      </w:r>
      <w:r w:rsidR="0069524D" w:rsidRPr="00843CFD">
        <w:rPr>
          <w:rFonts w:ascii="Book Antiqua" w:hAnsi="Book Antiqua" w:cs="Arial"/>
          <w:lang w:val="en-US" w:eastAsia="zh-CN"/>
        </w:rPr>
        <w:t xml:space="preserve"> 0</w:t>
      </w:r>
      <w:r w:rsidRPr="00843CFD">
        <w:rPr>
          <w:rFonts w:ascii="Book Antiqua" w:hAnsi="Book Antiqua" w:cs="Arial"/>
          <w:lang w:val="en-US"/>
        </w:rPr>
        <w:t xml:space="preserve">.041). Levels of all conjugated bile acids were higher in the cholestasis group than </w:t>
      </w:r>
      <w:r w:rsidR="00E32E25" w:rsidRPr="00843CFD">
        <w:rPr>
          <w:rFonts w:ascii="Book Antiqua" w:hAnsi="Book Antiqua" w:cs="Arial"/>
          <w:lang w:val="en-US"/>
        </w:rPr>
        <w:t xml:space="preserve">in </w:t>
      </w:r>
      <w:r w:rsidRPr="00843CFD">
        <w:rPr>
          <w:rFonts w:ascii="Book Antiqua" w:hAnsi="Book Antiqua" w:cs="Arial"/>
          <w:lang w:val="en-US"/>
        </w:rPr>
        <w:t xml:space="preserve">the control group. When we compared patients with </w:t>
      </w:r>
      <w:proofErr w:type="spellStart"/>
      <w:r w:rsidRPr="00843CFD">
        <w:rPr>
          <w:rFonts w:ascii="Book Antiqua" w:hAnsi="Book Antiqua" w:cs="Arial"/>
          <w:lang w:val="en-US"/>
        </w:rPr>
        <w:t>ileal</w:t>
      </w:r>
      <w:proofErr w:type="spellEnd"/>
      <w:r w:rsidR="000242B5" w:rsidRPr="00843CFD">
        <w:rPr>
          <w:rFonts w:ascii="Book Antiqua" w:hAnsi="Book Antiqua" w:cs="Arial"/>
          <w:lang w:val="en-US" w:eastAsia="zh-CN"/>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colonic disease, th</w:t>
      </w:r>
      <w:r w:rsidR="00E32E25" w:rsidRPr="00843CFD">
        <w:rPr>
          <w:rFonts w:ascii="Book Antiqua" w:hAnsi="Book Antiqua" w:cs="Arial"/>
          <w:lang w:val="en-US"/>
        </w:rPr>
        <w:t>e former</w:t>
      </w:r>
      <w:r w:rsidRPr="00843CFD">
        <w:rPr>
          <w:rFonts w:ascii="Book Antiqua" w:hAnsi="Book Antiqua" w:cs="Arial"/>
          <w:lang w:val="en-US"/>
        </w:rPr>
        <w:t xml:space="preserve"> had higher levels of primary, secondary, and tertiary bile acids whereas patients with colonic disease had higher levels of conjugated bile acids.</w:t>
      </w:r>
    </w:p>
    <w:p w:rsidR="006C61F4" w:rsidRPr="00843CFD" w:rsidRDefault="006C61F4" w:rsidP="000242B5">
      <w:pPr>
        <w:adjustRightInd w:val="0"/>
        <w:snapToGrid w:val="0"/>
        <w:spacing w:line="360" w:lineRule="auto"/>
        <w:jc w:val="both"/>
        <w:rPr>
          <w:rFonts w:ascii="Book Antiqua" w:hAnsi="Book Antiqua" w:cs="Arial"/>
          <w:b/>
          <w:lang w:val="en-US"/>
        </w:rPr>
      </w:pPr>
    </w:p>
    <w:p w:rsidR="006C61F4" w:rsidRPr="00843CFD" w:rsidRDefault="0096246E"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CONCLUSION</w:t>
      </w:r>
      <w:r w:rsidR="006C61F4" w:rsidRPr="00843CFD">
        <w:rPr>
          <w:rFonts w:ascii="Book Antiqua" w:hAnsi="Book Antiqua" w:cs="Arial"/>
          <w:b/>
          <w:i/>
          <w:lang w:val="en-US"/>
        </w:rPr>
        <w:t xml:space="preserve"> </w:t>
      </w:r>
    </w:p>
    <w:p w:rsidR="006C61F4" w:rsidRPr="00843CFD" w:rsidRDefault="006C61F4" w:rsidP="000242B5">
      <w:pPr>
        <w:adjustRightInd w:val="0"/>
        <w:snapToGrid w:val="0"/>
        <w:spacing w:line="360" w:lineRule="auto"/>
        <w:jc w:val="both"/>
        <w:rPr>
          <w:rFonts w:ascii="Book Antiqua" w:hAnsi="Book Antiqua" w:cs="Arial"/>
          <w:b/>
          <w:lang w:val="en-US"/>
        </w:rPr>
      </w:pPr>
      <w:r w:rsidRPr="00843CFD">
        <w:rPr>
          <w:rFonts w:ascii="Book Antiqua" w:hAnsi="Book Antiqua" w:cs="Arial"/>
          <w:lang w:val="en-US"/>
        </w:rPr>
        <w:lastRenderedPageBreak/>
        <w:t xml:space="preserve">Prevalence of cholestasis </w:t>
      </w:r>
      <w:r w:rsidR="00F5417A" w:rsidRPr="00843CFD">
        <w:rPr>
          <w:rFonts w:ascii="Book Antiqua" w:hAnsi="Book Antiqua" w:cs="Arial"/>
          <w:lang w:val="en-US"/>
        </w:rPr>
        <w:t>is</w:t>
      </w:r>
      <w:r w:rsidRPr="00843CFD">
        <w:rPr>
          <w:rFonts w:ascii="Book Antiqua" w:hAnsi="Book Antiqua" w:cs="Arial"/>
          <w:lang w:val="en-US"/>
        </w:rPr>
        <w:t xml:space="preserve"> high. </w:t>
      </w:r>
      <w:r w:rsidR="00F5417A" w:rsidRPr="00843CFD">
        <w:rPr>
          <w:rFonts w:ascii="Book Antiqua" w:hAnsi="Book Antiqua" w:cs="Arial"/>
          <w:lang w:val="en-US"/>
        </w:rPr>
        <w:t xml:space="preserve">Smoking </w:t>
      </w:r>
      <w:r w:rsidRPr="00843CFD">
        <w:rPr>
          <w:rFonts w:ascii="Book Antiqua" w:hAnsi="Book Antiqua" w:cs="Arial"/>
          <w:lang w:val="en-US"/>
        </w:rPr>
        <w:t xml:space="preserve">appears to reduce cholestasis. </w:t>
      </w:r>
      <w:r w:rsidR="00F5417A" w:rsidRPr="00843CFD">
        <w:rPr>
          <w:rFonts w:ascii="Book Antiqua" w:hAnsi="Book Antiqua" w:cs="Arial"/>
          <w:lang w:val="en-US"/>
        </w:rPr>
        <w:t>C</w:t>
      </w:r>
      <w:r w:rsidRPr="00843CFD">
        <w:rPr>
          <w:rFonts w:ascii="Book Antiqua" w:hAnsi="Book Antiqua" w:cs="Arial"/>
          <w:lang w:val="en-US"/>
        </w:rPr>
        <w:t xml:space="preserve">onjugated bile acids </w:t>
      </w:r>
      <w:r w:rsidR="00F5417A" w:rsidRPr="00843CFD">
        <w:rPr>
          <w:rFonts w:ascii="Book Antiqua" w:hAnsi="Book Antiqua" w:cs="Arial"/>
          <w:lang w:val="en-US"/>
        </w:rPr>
        <w:t xml:space="preserve">are </w:t>
      </w:r>
      <w:r w:rsidRPr="00843CFD">
        <w:rPr>
          <w:rFonts w:ascii="Book Antiqua" w:hAnsi="Book Antiqua" w:cs="Arial"/>
          <w:lang w:val="en-US"/>
        </w:rPr>
        <w:t>higher in cholestasis</w:t>
      </w:r>
      <w:r w:rsidR="005C3ABA" w:rsidRPr="00843CFD">
        <w:rPr>
          <w:rFonts w:ascii="Book Antiqua" w:hAnsi="Book Antiqua" w:cs="Arial"/>
          <w:lang w:val="en-US"/>
        </w:rPr>
        <w:t xml:space="preserve"> and in colonic disease whereas unconjugated in ileal disease.</w:t>
      </w:r>
    </w:p>
    <w:p w:rsidR="006C61F4" w:rsidRPr="00843CFD" w:rsidRDefault="006C61F4" w:rsidP="000242B5">
      <w:pPr>
        <w:adjustRightInd w:val="0"/>
        <w:snapToGrid w:val="0"/>
        <w:spacing w:line="360" w:lineRule="auto"/>
        <w:jc w:val="both"/>
        <w:rPr>
          <w:rFonts w:ascii="Book Antiqua" w:hAnsi="Book Antiqua" w:cs="Arial"/>
          <w:lang w:val="en-US"/>
        </w:rPr>
      </w:pPr>
    </w:p>
    <w:p w:rsidR="00AF7525" w:rsidRPr="00843CFD" w:rsidRDefault="006C61F4" w:rsidP="000242B5">
      <w:pPr>
        <w:adjustRightInd w:val="0"/>
        <w:snapToGrid w:val="0"/>
        <w:spacing w:line="360" w:lineRule="auto"/>
        <w:jc w:val="both"/>
        <w:rPr>
          <w:rFonts w:ascii="Book Antiqua" w:hAnsi="Book Antiqua" w:cs="Arial"/>
          <w:lang w:val="en-US"/>
        </w:rPr>
      </w:pPr>
      <w:r w:rsidRPr="00843CFD">
        <w:rPr>
          <w:rFonts w:ascii="Book Antiqua" w:hAnsi="Book Antiqua" w:cs="Arial"/>
          <w:b/>
          <w:lang w:val="en-US"/>
        </w:rPr>
        <w:t>Key</w:t>
      </w:r>
      <w:r w:rsidR="0096246E" w:rsidRPr="00843CFD">
        <w:rPr>
          <w:rFonts w:ascii="Book Antiqua" w:hAnsi="Book Antiqua" w:cs="Arial"/>
          <w:b/>
          <w:lang w:val="en-US"/>
        </w:rPr>
        <w:t xml:space="preserve"> </w:t>
      </w:r>
      <w:r w:rsidRPr="00843CFD">
        <w:rPr>
          <w:rFonts w:ascii="Book Antiqua" w:hAnsi="Book Antiqua" w:cs="Arial"/>
          <w:b/>
          <w:lang w:val="en-US"/>
        </w:rPr>
        <w:t>words:</w:t>
      </w:r>
      <w:r w:rsidRPr="00843CFD">
        <w:rPr>
          <w:rFonts w:ascii="Book Antiqua" w:hAnsi="Book Antiqua" w:cs="Arial"/>
          <w:lang w:val="en-US"/>
        </w:rPr>
        <w:t xml:space="preserve"> </w:t>
      </w:r>
      <w:r w:rsidR="0096246E" w:rsidRPr="00843CFD">
        <w:rPr>
          <w:rFonts w:ascii="Book Antiqua" w:hAnsi="Book Antiqua" w:cs="Arial"/>
          <w:lang w:val="en-US"/>
        </w:rPr>
        <w:t>Lipid</w:t>
      </w:r>
      <w:r w:rsidRPr="00843CFD">
        <w:rPr>
          <w:rFonts w:ascii="Book Antiqua" w:hAnsi="Book Antiqua" w:cs="Arial"/>
          <w:lang w:val="en-US"/>
        </w:rPr>
        <w:t xml:space="preserve">; </w:t>
      </w:r>
      <w:r w:rsidR="0096246E" w:rsidRPr="00843CFD">
        <w:rPr>
          <w:rFonts w:ascii="Book Antiqua" w:hAnsi="Book Antiqua" w:cs="Arial"/>
          <w:lang w:val="en-US"/>
        </w:rPr>
        <w:t>Liver</w:t>
      </w:r>
      <w:r w:rsidRPr="00843CFD">
        <w:rPr>
          <w:rFonts w:ascii="Book Antiqua" w:hAnsi="Book Antiqua" w:cs="Arial"/>
          <w:lang w:val="en-US"/>
        </w:rPr>
        <w:t xml:space="preserve">; Crohn’s disease; </w:t>
      </w:r>
      <w:r w:rsidR="0096246E" w:rsidRPr="00843CFD">
        <w:rPr>
          <w:rFonts w:ascii="Book Antiqua" w:hAnsi="Book Antiqua" w:cs="Arial"/>
          <w:lang w:val="en-US"/>
        </w:rPr>
        <w:t xml:space="preserve">Ulcerative </w:t>
      </w:r>
      <w:r w:rsidRPr="00843CFD">
        <w:rPr>
          <w:rFonts w:ascii="Book Antiqua" w:hAnsi="Book Antiqua" w:cs="Arial"/>
          <w:lang w:val="en-US"/>
        </w:rPr>
        <w:t xml:space="preserve">colitis; </w:t>
      </w:r>
      <w:r w:rsidR="0096246E" w:rsidRPr="00843CFD">
        <w:rPr>
          <w:rFonts w:ascii="Book Antiqua" w:hAnsi="Book Antiqua" w:cs="Arial"/>
          <w:lang w:val="en-US"/>
        </w:rPr>
        <w:t>Cholestasis</w:t>
      </w:r>
    </w:p>
    <w:p w:rsidR="0056698A" w:rsidRPr="00843CFD" w:rsidRDefault="0056698A" w:rsidP="000242B5">
      <w:pPr>
        <w:adjustRightInd w:val="0"/>
        <w:snapToGrid w:val="0"/>
        <w:spacing w:line="360" w:lineRule="auto"/>
        <w:jc w:val="both"/>
        <w:rPr>
          <w:rFonts w:ascii="Book Antiqua" w:hAnsi="Book Antiqua" w:cs="Arial"/>
          <w:lang w:val="en-US" w:eastAsia="zh-CN"/>
        </w:rPr>
      </w:pPr>
    </w:p>
    <w:p w:rsidR="00C44C83" w:rsidRPr="00843CFD" w:rsidRDefault="00C44C83" w:rsidP="000242B5">
      <w:pPr>
        <w:widowControl w:val="0"/>
        <w:spacing w:line="360" w:lineRule="auto"/>
        <w:jc w:val="both"/>
        <w:rPr>
          <w:rFonts w:ascii="Book Antiqua" w:eastAsia="宋体" w:hAnsi="Book Antiqua"/>
          <w:bCs/>
          <w:lang w:eastAsia="zh-CN"/>
        </w:rPr>
      </w:pPr>
      <w:r w:rsidRPr="00843CFD">
        <w:rPr>
          <w:rFonts w:ascii="Book Antiqua" w:hAnsi="Book Antiqua"/>
          <w:b/>
          <w:bCs/>
        </w:rPr>
        <w:t>© The Author(s) 201</w:t>
      </w:r>
      <w:r w:rsidRPr="00843CFD">
        <w:rPr>
          <w:rFonts w:ascii="Book Antiqua" w:hAnsi="Book Antiqua"/>
          <w:b/>
          <w:bCs/>
          <w:lang w:eastAsia="zh-CN"/>
        </w:rPr>
        <w:t>8</w:t>
      </w:r>
      <w:r w:rsidRPr="00843CFD">
        <w:rPr>
          <w:rFonts w:ascii="Book Antiqua" w:hAnsi="Book Antiqua"/>
          <w:b/>
          <w:bCs/>
        </w:rPr>
        <w:t xml:space="preserve">. </w:t>
      </w:r>
      <w:r w:rsidRPr="00843CFD">
        <w:rPr>
          <w:rFonts w:ascii="Book Antiqua" w:hAnsi="Book Antiqua"/>
          <w:bCs/>
        </w:rPr>
        <w:t>Published by Baishideng Publishing Group Inc. All rights reserved.</w:t>
      </w:r>
    </w:p>
    <w:p w:rsidR="00C44C83" w:rsidRPr="00843CFD" w:rsidRDefault="00C44C83" w:rsidP="000242B5">
      <w:pPr>
        <w:adjustRightInd w:val="0"/>
        <w:snapToGrid w:val="0"/>
        <w:spacing w:line="360" w:lineRule="auto"/>
        <w:jc w:val="both"/>
        <w:rPr>
          <w:rFonts w:ascii="Book Antiqua" w:hAnsi="Book Antiqua" w:cs="Arial"/>
          <w:lang w:val="en-US" w:eastAsia="zh-CN"/>
        </w:rPr>
      </w:pPr>
    </w:p>
    <w:p w:rsidR="00A34B28" w:rsidRPr="00843CFD" w:rsidRDefault="00AD6521"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b/>
          <w:lang w:val="en-US"/>
        </w:rPr>
        <w:t xml:space="preserve">Core tip: </w:t>
      </w:r>
      <w:bookmarkStart w:id="27" w:name="OLE_LINK1508"/>
      <w:bookmarkStart w:id="28" w:name="OLE_LINK1509"/>
      <w:bookmarkStart w:id="29" w:name="OLE_LINK1523"/>
      <w:bookmarkStart w:id="30" w:name="OLE_LINK1524"/>
      <w:r w:rsidRPr="00843CFD">
        <w:rPr>
          <w:rFonts w:ascii="Book Antiqua" w:hAnsi="Book Antiqua" w:cs="Arial"/>
          <w:lang w:val="en-US"/>
        </w:rPr>
        <w:t>Inflammatory bowel diseases</w:t>
      </w:r>
      <w:bookmarkEnd w:id="27"/>
      <w:bookmarkEnd w:id="28"/>
      <w:bookmarkEnd w:id="29"/>
      <w:bookmarkEnd w:id="30"/>
      <w:r w:rsidRPr="00843CFD">
        <w:rPr>
          <w:rFonts w:ascii="Book Antiqua" w:hAnsi="Book Antiqua" w:cs="Arial"/>
          <w:lang w:val="en-US"/>
        </w:rPr>
        <w:t xml:space="preserve"> (IBD</w:t>
      </w:r>
      <w:r w:rsidR="00056235" w:rsidRPr="00843CFD">
        <w:rPr>
          <w:rFonts w:ascii="Book Antiqua" w:hAnsi="Book Antiqua" w:cs="Arial"/>
          <w:lang w:val="en-US"/>
        </w:rPr>
        <w:t>s</w:t>
      </w:r>
      <w:r w:rsidRPr="00843CFD">
        <w:rPr>
          <w:rFonts w:ascii="Book Antiqua" w:hAnsi="Book Antiqua" w:cs="Arial"/>
          <w:lang w:val="en-US"/>
        </w:rPr>
        <w:t>)</w:t>
      </w:r>
      <w:r w:rsidR="00A34B28" w:rsidRPr="00843CFD">
        <w:rPr>
          <w:rFonts w:ascii="Book Antiqua" w:hAnsi="Book Antiqua" w:cs="Arial"/>
          <w:lang w:val="en-US"/>
        </w:rPr>
        <w:t xml:space="preserve"> </w:t>
      </w:r>
      <w:r w:rsidRPr="00843CFD">
        <w:rPr>
          <w:rFonts w:ascii="Book Antiqua" w:hAnsi="Book Antiqua" w:cs="Arial"/>
          <w:lang w:val="en-US"/>
        </w:rPr>
        <w:t xml:space="preserve">are </w:t>
      </w:r>
      <w:r w:rsidR="00A34B28" w:rsidRPr="00843CFD">
        <w:rPr>
          <w:rFonts w:ascii="Book Antiqua" w:hAnsi="Book Antiqua" w:cs="Arial"/>
          <w:lang w:val="en-US"/>
        </w:rPr>
        <w:t xml:space="preserve">often associated with </w:t>
      </w:r>
      <w:r w:rsidR="00A34B28" w:rsidRPr="00843CFD">
        <w:rPr>
          <w:rFonts w:ascii="Book Antiqua" w:hAnsi="Book Antiqua" w:cs="Arial"/>
          <w:lang w:val="en-GB"/>
        </w:rPr>
        <w:t>cholestasis</w:t>
      </w:r>
      <w:r w:rsidRPr="00843CFD">
        <w:rPr>
          <w:rFonts w:ascii="Book Antiqua" w:hAnsi="Book Antiqua" w:cs="Arial"/>
          <w:lang w:val="en-GB"/>
        </w:rPr>
        <w:t>.</w:t>
      </w:r>
      <w:r w:rsidRPr="00843CFD">
        <w:rPr>
          <w:rFonts w:ascii="Book Antiqua" w:hAnsi="Book Antiqua" w:cs="Arial"/>
          <w:lang w:val="en-US"/>
        </w:rPr>
        <w:t xml:space="preserve"> This study show</w:t>
      </w:r>
      <w:r w:rsidR="00056235" w:rsidRPr="00843CFD">
        <w:rPr>
          <w:rFonts w:ascii="Book Antiqua" w:hAnsi="Book Antiqua" w:cs="Arial"/>
          <w:lang w:val="en-US"/>
        </w:rPr>
        <w:t>s</w:t>
      </w:r>
      <w:r w:rsidRPr="00843CFD">
        <w:rPr>
          <w:rFonts w:ascii="Book Antiqua" w:hAnsi="Book Antiqua" w:cs="Arial"/>
          <w:lang w:val="en-US"/>
        </w:rPr>
        <w:t xml:space="preserve"> that </w:t>
      </w:r>
      <w:r w:rsidRPr="00843CFD">
        <w:rPr>
          <w:rFonts w:ascii="Book Antiqua" w:hAnsi="Book Antiqua" w:cs="Arial"/>
          <w:lang w:val="en-US" w:eastAsia="de-DE"/>
        </w:rPr>
        <w:t>t</w:t>
      </w:r>
      <w:r w:rsidR="00B87EBB" w:rsidRPr="00843CFD">
        <w:rPr>
          <w:rFonts w:ascii="Book Antiqua" w:hAnsi="Book Antiqua" w:cs="Arial"/>
          <w:lang w:val="en-US"/>
        </w:rPr>
        <w:t xml:space="preserve">he prevalence of cholestasis in IBD patients </w:t>
      </w:r>
      <w:r w:rsidR="00056235" w:rsidRPr="00843CFD">
        <w:rPr>
          <w:rFonts w:ascii="Book Antiqua" w:hAnsi="Book Antiqua" w:cs="Arial"/>
          <w:lang w:val="en-US"/>
        </w:rPr>
        <w:t>is</w:t>
      </w:r>
      <w:r w:rsidRPr="00843CFD">
        <w:rPr>
          <w:rFonts w:ascii="Book Antiqua" w:hAnsi="Book Antiqua" w:cs="Arial"/>
          <w:lang w:val="en-US"/>
        </w:rPr>
        <w:t xml:space="preserve"> high </w:t>
      </w:r>
      <w:r w:rsidR="00056235" w:rsidRPr="00843CFD">
        <w:rPr>
          <w:rFonts w:ascii="Book Antiqua" w:hAnsi="Book Antiqua" w:cs="Arial"/>
          <w:lang w:val="en-US"/>
        </w:rPr>
        <w:t xml:space="preserve">at </w:t>
      </w:r>
      <w:r w:rsidR="00B87EBB" w:rsidRPr="00843CFD">
        <w:rPr>
          <w:rFonts w:ascii="Book Antiqua" w:hAnsi="Book Antiqua" w:cs="Arial"/>
          <w:lang w:val="en-US"/>
        </w:rPr>
        <w:t>7%</w:t>
      </w:r>
      <w:r w:rsidR="00A34B28" w:rsidRPr="00843CFD">
        <w:rPr>
          <w:rFonts w:ascii="Book Antiqua" w:hAnsi="Book Antiqua" w:cs="Arial"/>
          <w:lang w:val="en-US"/>
        </w:rPr>
        <w:t>.</w:t>
      </w:r>
      <w:r w:rsidRPr="00843CFD">
        <w:rPr>
          <w:rFonts w:ascii="Book Antiqua" w:hAnsi="Book Antiqua" w:cs="Arial"/>
          <w:lang w:val="en-US"/>
        </w:rPr>
        <w:t xml:space="preserve"> </w:t>
      </w:r>
      <w:r w:rsidR="00A34B28" w:rsidRPr="00843CFD">
        <w:rPr>
          <w:rFonts w:ascii="Book Antiqua" w:hAnsi="Book Antiqua" w:cs="Arial"/>
          <w:lang w:val="en-US"/>
        </w:rPr>
        <w:t xml:space="preserve">Current smoking </w:t>
      </w:r>
      <w:r w:rsidR="00056235" w:rsidRPr="00843CFD">
        <w:rPr>
          <w:rFonts w:ascii="Book Antiqua" w:hAnsi="Book Antiqua" w:cs="Arial"/>
          <w:lang w:val="en-US"/>
        </w:rPr>
        <w:t>seems</w:t>
      </w:r>
      <w:r w:rsidRPr="00843CFD">
        <w:rPr>
          <w:rFonts w:ascii="Book Antiqua" w:hAnsi="Book Antiqua" w:cs="Arial"/>
          <w:lang w:val="en-US"/>
        </w:rPr>
        <w:t xml:space="preserve"> </w:t>
      </w:r>
      <w:r w:rsidR="00A34B28" w:rsidRPr="00843CFD">
        <w:rPr>
          <w:rFonts w:ascii="Book Antiqua" w:hAnsi="Book Antiqua" w:cs="Arial"/>
          <w:lang w:val="en-US"/>
        </w:rPr>
        <w:t>to be a protective factor against cholestasis</w:t>
      </w:r>
      <w:r w:rsidR="00481019" w:rsidRPr="00843CFD">
        <w:rPr>
          <w:rFonts w:ascii="Book Antiqua" w:hAnsi="Book Antiqua" w:cs="Arial"/>
          <w:lang w:val="en-US"/>
        </w:rPr>
        <w:t xml:space="preserve">, maybe reflecting a different gut function </w:t>
      </w:r>
      <w:r w:rsidR="00056235" w:rsidRPr="00843CFD">
        <w:rPr>
          <w:rFonts w:ascii="Book Antiqua" w:hAnsi="Book Antiqua" w:cs="Arial"/>
          <w:lang w:val="en-US"/>
        </w:rPr>
        <w:t xml:space="preserve">than </w:t>
      </w:r>
      <w:r w:rsidR="00481019" w:rsidRPr="00843CFD">
        <w:rPr>
          <w:rFonts w:ascii="Book Antiqua" w:hAnsi="Book Antiqua" w:cs="Arial"/>
          <w:lang w:val="en-US"/>
        </w:rPr>
        <w:t>in nonsmokers</w:t>
      </w:r>
      <w:r w:rsidR="004045F3" w:rsidRPr="00843CFD">
        <w:rPr>
          <w:rFonts w:ascii="Book Antiqua" w:hAnsi="Book Antiqua" w:cs="Arial"/>
          <w:lang w:val="en-US"/>
        </w:rPr>
        <w:t>.</w:t>
      </w:r>
      <w:r w:rsidRPr="00843CFD">
        <w:rPr>
          <w:rFonts w:ascii="Book Antiqua" w:hAnsi="Book Antiqua" w:cs="Arial"/>
          <w:lang w:val="en-US"/>
        </w:rPr>
        <w:t xml:space="preserve"> </w:t>
      </w:r>
      <w:r w:rsidR="00A34B28" w:rsidRPr="00843CFD">
        <w:rPr>
          <w:rFonts w:ascii="Book Antiqua" w:hAnsi="Book Antiqua" w:cs="Arial"/>
          <w:lang w:val="en-US"/>
        </w:rPr>
        <w:t>Ileal disease was more often associated with elevated non conjugated bile acids</w:t>
      </w:r>
      <w:r w:rsidR="004045F3" w:rsidRPr="00843CFD">
        <w:rPr>
          <w:rFonts w:ascii="Book Antiqua" w:hAnsi="Book Antiqua" w:cs="Arial"/>
          <w:lang w:val="en-US"/>
        </w:rPr>
        <w:t xml:space="preserve"> levels.</w:t>
      </w:r>
      <w:r w:rsidRPr="00843CFD">
        <w:rPr>
          <w:rFonts w:ascii="Book Antiqua" w:hAnsi="Book Antiqua" w:cs="Arial"/>
          <w:lang w:val="en-US"/>
        </w:rPr>
        <w:t xml:space="preserve"> </w:t>
      </w:r>
      <w:r w:rsidR="004045F3" w:rsidRPr="00843CFD">
        <w:rPr>
          <w:rFonts w:ascii="Book Antiqua" w:hAnsi="Book Antiqua" w:cs="Arial"/>
          <w:lang w:val="en-US"/>
        </w:rPr>
        <w:t xml:space="preserve">Colonic </w:t>
      </w:r>
      <w:r w:rsidR="00A34B28" w:rsidRPr="00843CFD">
        <w:rPr>
          <w:rFonts w:ascii="Book Antiqua" w:hAnsi="Book Antiqua" w:cs="Arial"/>
          <w:lang w:val="en-US"/>
        </w:rPr>
        <w:t>disease was characterized by higher conjugated bile acids levels.</w:t>
      </w:r>
    </w:p>
    <w:p w:rsidR="00C44C83" w:rsidRPr="00843CFD" w:rsidRDefault="00C44C83" w:rsidP="000242B5">
      <w:pPr>
        <w:adjustRightInd w:val="0"/>
        <w:snapToGrid w:val="0"/>
        <w:spacing w:line="360" w:lineRule="auto"/>
        <w:jc w:val="both"/>
        <w:rPr>
          <w:rFonts w:ascii="Book Antiqua" w:hAnsi="Book Antiqua" w:cs="Arial"/>
          <w:lang w:val="en-US" w:eastAsia="zh-CN"/>
        </w:rPr>
      </w:pPr>
    </w:p>
    <w:p w:rsidR="00706D56" w:rsidRPr="00843CFD" w:rsidRDefault="0069524D" w:rsidP="000242B5">
      <w:pPr>
        <w:adjustRightInd w:val="0"/>
        <w:snapToGrid w:val="0"/>
        <w:spacing w:line="360" w:lineRule="auto"/>
        <w:jc w:val="both"/>
        <w:rPr>
          <w:rFonts w:ascii="Book Antiqua" w:hAnsi="Book Antiqua" w:cs="Arial"/>
          <w:lang w:val="en-US" w:eastAsia="zh-CN"/>
        </w:rPr>
      </w:pPr>
      <w:bookmarkStart w:id="31" w:name="OLE_LINK1082"/>
      <w:bookmarkStart w:id="32" w:name="OLE_LINK1083"/>
      <w:bookmarkStart w:id="33" w:name="OLE_LINK1084"/>
      <w:bookmarkStart w:id="34" w:name="OLE_LINK1085"/>
      <w:bookmarkStart w:id="35" w:name="OLE_LINK1086"/>
      <w:bookmarkStart w:id="36" w:name="OLE_LINK1197"/>
      <w:bookmarkStart w:id="37" w:name="OLE_LINK1250"/>
      <w:bookmarkStart w:id="38" w:name="OLE_LINK1251"/>
      <w:proofErr w:type="spellStart"/>
      <w:r w:rsidRPr="00843CFD">
        <w:rPr>
          <w:rFonts w:ascii="Book Antiqua" w:hAnsi="Book Antiqua" w:cs="Arial"/>
          <w:lang w:val="en-US"/>
        </w:rPr>
        <w:t>Girardin</w:t>
      </w:r>
      <w:proofErr w:type="spellEnd"/>
      <w:r w:rsidRPr="00843CFD">
        <w:rPr>
          <w:rFonts w:ascii="Book Antiqua" w:hAnsi="Book Antiqua" w:cs="Arial"/>
          <w:lang w:val="en-US" w:eastAsia="zh-CN"/>
        </w:rPr>
        <w:t xml:space="preserve"> </w:t>
      </w:r>
      <w:r w:rsidRPr="00843CFD">
        <w:rPr>
          <w:rFonts w:ascii="Book Antiqua" w:hAnsi="Book Antiqua" w:cs="Arial"/>
          <w:lang w:val="en-US"/>
        </w:rPr>
        <w:t>M,</w:t>
      </w:r>
      <w:r w:rsidRPr="00843CFD">
        <w:rPr>
          <w:rFonts w:ascii="Book Antiqua" w:hAnsi="Book Antiqua" w:cs="Arial"/>
          <w:lang w:val="en-US" w:eastAsia="zh-CN"/>
        </w:rPr>
        <w:t xml:space="preserve"> </w:t>
      </w:r>
      <w:proofErr w:type="spellStart"/>
      <w:r w:rsidRPr="00843CFD">
        <w:rPr>
          <w:rFonts w:ascii="Book Antiqua" w:hAnsi="Book Antiqua" w:cs="Arial"/>
          <w:lang w:val="en-US"/>
        </w:rPr>
        <w:t>Hadengue</w:t>
      </w:r>
      <w:proofErr w:type="spellEnd"/>
      <w:r w:rsidRPr="00843CFD">
        <w:rPr>
          <w:rFonts w:ascii="Book Antiqua" w:hAnsi="Book Antiqua" w:cs="Arial"/>
          <w:lang w:val="en-US" w:eastAsia="zh-CN"/>
        </w:rPr>
        <w:t xml:space="preserve"> </w:t>
      </w:r>
      <w:r w:rsidRPr="00843CFD">
        <w:rPr>
          <w:rFonts w:ascii="Book Antiqua" w:hAnsi="Book Antiqua" w:cs="Arial"/>
          <w:lang w:val="en-US"/>
        </w:rPr>
        <w:t xml:space="preserve">A, </w:t>
      </w:r>
      <w:proofErr w:type="spellStart"/>
      <w:r w:rsidRPr="00843CFD">
        <w:rPr>
          <w:rFonts w:ascii="Book Antiqua" w:hAnsi="Book Antiqua" w:cs="Arial"/>
          <w:lang w:val="en-US"/>
        </w:rPr>
        <w:t>Frossard</w:t>
      </w:r>
      <w:proofErr w:type="spellEnd"/>
      <w:r w:rsidR="00C44C83" w:rsidRPr="00843CFD">
        <w:rPr>
          <w:rFonts w:ascii="Book Antiqua" w:hAnsi="Book Antiqua" w:cs="Arial"/>
          <w:lang w:val="en-US" w:eastAsia="zh-CN"/>
        </w:rPr>
        <w:t xml:space="preserve"> JL</w:t>
      </w:r>
      <w:r w:rsidRPr="00843CFD">
        <w:rPr>
          <w:rFonts w:ascii="Book Antiqua" w:hAnsi="Book Antiqua" w:cs="Arial"/>
          <w:lang w:val="en-US" w:eastAsia="zh-CN"/>
        </w:rPr>
        <w:t xml:space="preserve">, </w:t>
      </w:r>
      <w:r w:rsidRPr="00843CFD">
        <w:rPr>
          <w:rFonts w:ascii="Book Antiqua" w:hAnsi="Book Antiqua" w:cs="Arial"/>
          <w:lang w:val="en-US"/>
        </w:rPr>
        <w:t>the Swiss IBD Cohort Study Group</w:t>
      </w:r>
      <w:r w:rsidR="00C44C83" w:rsidRPr="00843CFD">
        <w:rPr>
          <w:rFonts w:ascii="Book Antiqua" w:hAnsi="Book Antiqua" w:cs="Arial"/>
          <w:lang w:val="en-US" w:eastAsia="zh-CN"/>
        </w:rPr>
        <w:t>.</w:t>
      </w:r>
      <w:r w:rsidR="000242B5" w:rsidRPr="00843CFD">
        <w:rPr>
          <w:rFonts w:ascii="Book Antiqua" w:hAnsi="Book Antiqua"/>
        </w:rPr>
        <w:t xml:space="preserve"> </w:t>
      </w:r>
      <w:proofErr w:type="gramStart"/>
      <w:r w:rsidR="000242B5" w:rsidRPr="00843CFD">
        <w:rPr>
          <w:rFonts w:ascii="Book Antiqua" w:hAnsi="Book Antiqua" w:cs="Arial"/>
          <w:lang w:val="en-US" w:eastAsia="zh-CN"/>
        </w:rPr>
        <w:t>High prevalence of cholestasis, with increased conjugated bile acids in inflammatory bowel diseases patients</w:t>
      </w:r>
      <w:r w:rsidR="00C44C83" w:rsidRPr="00843CFD">
        <w:rPr>
          <w:rFonts w:ascii="Book Antiqua" w:hAnsi="Book Antiqua" w:cs="Arial"/>
          <w:lang w:val="en-US" w:eastAsia="zh-CN"/>
        </w:rPr>
        <w:t>.</w:t>
      </w:r>
      <w:proofErr w:type="gramEnd"/>
      <w:r w:rsidR="00C44C83" w:rsidRPr="00843CFD">
        <w:rPr>
          <w:rFonts w:ascii="Book Antiqua" w:hAnsi="Book Antiqua" w:cs="Arial"/>
          <w:lang w:val="en-US" w:eastAsia="zh-CN"/>
        </w:rPr>
        <w:t xml:space="preserve"> </w:t>
      </w:r>
      <w:r w:rsidR="00C44C83" w:rsidRPr="00843CFD">
        <w:rPr>
          <w:rFonts w:ascii="Book Antiqua" w:hAnsi="Book Antiqua"/>
          <w:i/>
          <w:iCs/>
        </w:rPr>
        <w:t xml:space="preserve">World J </w:t>
      </w:r>
      <w:r w:rsidR="000242B5" w:rsidRPr="00843CFD">
        <w:rPr>
          <w:rFonts w:ascii="Book Antiqua" w:hAnsi="Book Antiqua"/>
          <w:i/>
          <w:iCs/>
        </w:rPr>
        <w:t xml:space="preserve">Clin Cases </w:t>
      </w:r>
      <w:r w:rsidR="00C44C83" w:rsidRPr="00843CFD">
        <w:rPr>
          <w:rFonts w:ascii="Book Antiqua" w:eastAsia="宋体" w:hAnsi="Book Antiqua"/>
          <w:lang w:eastAsia="zh-CN"/>
        </w:rPr>
        <w:t>2018; In press</w:t>
      </w:r>
    </w:p>
    <w:p w:rsidR="00706D56" w:rsidRPr="00843CFD" w:rsidRDefault="00706D56"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bookmarkEnd w:id="31"/>
    <w:bookmarkEnd w:id="32"/>
    <w:bookmarkEnd w:id="33"/>
    <w:bookmarkEnd w:id="34"/>
    <w:bookmarkEnd w:id="35"/>
    <w:bookmarkEnd w:id="36"/>
    <w:bookmarkEnd w:id="37"/>
    <w:bookmarkEnd w:id="38"/>
    <w:p w:rsidR="007D431D" w:rsidRPr="00843CFD" w:rsidRDefault="00C44C83"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lastRenderedPageBreak/>
        <w:t>INTRODUCTION</w:t>
      </w:r>
    </w:p>
    <w:p w:rsidR="003A3E60" w:rsidRPr="00843CFD" w:rsidRDefault="003A3E60" w:rsidP="000242B5">
      <w:pPr>
        <w:adjustRightInd w:val="0"/>
        <w:snapToGrid w:val="0"/>
        <w:spacing w:line="360" w:lineRule="auto"/>
        <w:jc w:val="both"/>
        <w:rPr>
          <w:rFonts w:ascii="Book Antiqua" w:hAnsi="Book Antiqua" w:cs="Arial"/>
          <w:lang w:val="en-GB"/>
        </w:rPr>
      </w:pPr>
      <w:r w:rsidRPr="00843CFD">
        <w:rPr>
          <w:rFonts w:ascii="Book Antiqua" w:hAnsi="Book Antiqua" w:cs="Arial"/>
          <w:lang w:val="en-GB"/>
        </w:rPr>
        <w:t xml:space="preserve">Inflammatory bowel diseases (IBDs) primarily affect the gut, but about 15% of patients also present extra-intestinal manifestations involving the joints, eyes, skin or </w:t>
      </w:r>
      <w:proofErr w:type="gramStart"/>
      <w:r w:rsidRPr="00843CFD">
        <w:rPr>
          <w:rFonts w:ascii="Book Antiqua" w:hAnsi="Book Antiqua" w:cs="Arial"/>
          <w:lang w:val="en-GB"/>
        </w:rPr>
        <w:t>liver</w:t>
      </w:r>
      <w:r w:rsidRPr="00843CFD">
        <w:rPr>
          <w:rFonts w:ascii="Book Antiqua" w:hAnsi="Book Antiqua" w:cs="Arial"/>
          <w:vertAlign w:val="superscript"/>
          <w:lang w:val="en-GB" w:eastAsia="zh-CN"/>
        </w:rPr>
        <w:t>[</w:t>
      </w:r>
      <w:proofErr w:type="gramEnd"/>
      <w:r w:rsidRPr="00843CFD">
        <w:rPr>
          <w:rFonts w:ascii="Book Antiqua" w:hAnsi="Book Antiqua" w:cs="Arial"/>
          <w:vertAlign w:val="superscript"/>
          <w:lang w:val="en-GB"/>
        </w:rPr>
        <w:t>1</w:t>
      </w:r>
      <w:r w:rsidRPr="00843CFD">
        <w:rPr>
          <w:rFonts w:ascii="Book Antiqua" w:hAnsi="Book Antiqua" w:cs="Arial"/>
          <w:vertAlign w:val="superscript"/>
          <w:lang w:val="en-GB" w:eastAsia="zh-CN"/>
        </w:rPr>
        <w:t>]</w:t>
      </w:r>
      <w:r w:rsidRPr="00843CFD">
        <w:rPr>
          <w:rFonts w:ascii="Book Antiqua" w:hAnsi="Book Antiqua" w:cs="Arial"/>
          <w:lang w:val="en-GB"/>
        </w:rPr>
        <w:t>. Flare-ups of the disease are accompanied by an increase in inflammatory markers (such as C-reactive protein) and cholestasis parameters. In some cases, cholestasis may even present as an isolated increase in blood alkaline phosphatase levels found during routine laboratory follow-up. Clinically, cholestasis is characterized by the presence of jaundice, pruritus or signs of malabsorption, whereas biologically, cholestasis is defined as an increased activity of alkaline phosphatase, gamma-glutamyl transpeptidase, conjugated bilirubin or an increased total bile acid level in the blood.</w:t>
      </w:r>
    </w:p>
    <w:p w:rsidR="00166723" w:rsidRPr="00843CFD" w:rsidRDefault="003A3E60"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GB"/>
        </w:rPr>
        <w:t xml:space="preserve">The causes of cholestasis in IBD, </w:t>
      </w:r>
      <w:r w:rsidRPr="00843CFD">
        <w:rPr>
          <w:rFonts w:ascii="Book Antiqua" w:hAnsi="Book Antiqua" w:cs="Arial"/>
          <w:lang w:val="en-US"/>
        </w:rPr>
        <w:t xml:space="preserve">either Crohn’s </w:t>
      </w:r>
      <w:r w:rsidR="000826F2">
        <w:rPr>
          <w:rFonts w:ascii="Book Antiqua" w:hAnsi="Book Antiqua" w:cs="Arial" w:hint="eastAsia"/>
          <w:lang w:val="en-US" w:eastAsia="zh-CN"/>
        </w:rPr>
        <w:t>d</w:t>
      </w:r>
      <w:r w:rsidRPr="00843CFD">
        <w:rPr>
          <w:rFonts w:ascii="Book Antiqua" w:hAnsi="Book Antiqua" w:cs="Arial"/>
          <w:lang w:val="en-US"/>
        </w:rPr>
        <w:t xml:space="preserve">isease (CD) or </w:t>
      </w:r>
      <w:r w:rsidR="000826F2" w:rsidRPr="00843CFD">
        <w:rPr>
          <w:rFonts w:ascii="Book Antiqua" w:hAnsi="Book Antiqua" w:cs="Arial"/>
          <w:lang w:val="en-US"/>
        </w:rPr>
        <w:t>ulcerative co</w:t>
      </w:r>
      <w:r w:rsidRPr="00843CFD">
        <w:rPr>
          <w:rFonts w:ascii="Book Antiqua" w:hAnsi="Book Antiqua" w:cs="Arial"/>
          <w:lang w:val="en-US"/>
        </w:rPr>
        <w:t xml:space="preserve">litis (UC), </w:t>
      </w:r>
      <w:r w:rsidRPr="00843CFD">
        <w:rPr>
          <w:rFonts w:ascii="Book Antiqua" w:hAnsi="Book Antiqua" w:cs="Arial"/>
          <w:lang w:val="en-GB"/>
        </w:rPr>
        <w:t xml:space="preserve">are multiple. These can range </w:t>
      </w:r>
      <w:r w:rsidRPr="00843CFD">
        <w:rPr>
          <w:rFonts w:ascii="Book Antiqua" w:hAnsi="Book Antiqua" w:cs="Arial"/>
          <w:lang w:val="en-US"/>
        </w:rPr>
        <w:t>from drug-induced liver toxicity (Azathioprine, nodular regenerative hyperplasia) to specific liver diseases complicating IBD (primary sclerosing cholangitis (PSC), gallstone disease) or para-inflammatory phenomena (TNF-</w:t>
      </w:r>
      <w:r w:rsidRPr="00843CFD">
        <w:rPr>
          <w:rFonts w:ascii="Book Antiqua" w:hAnsi="Book Antiqua" w:cs="Arial"/>
        </w:rPr>
        <w:t>α</w:t>
      </w:r>
      <w:r w:rsidRPr="00843CFD">
        <w:rPr>
          <w:rFonts w:ascii="Book Antiqua" w:hAnsi="Book Antiqua" w:cs="Arial"/>
          <w:lang w:val="en-US"/>
        </w:rPr>
        <w:t xml:space="preserve"> induced cholestasis)</w:t>
      </w:r>
      <w:r w:rsidRPr="00843CFD">
        <w:rPr>
          <w:rFonts w:ascii="Book Antiqua" w:hAnsi="Book Antiqua" w:cs="Arial"/>
          <w:vertAlign w:val="superscript"/>
          <w:lang w:val="en-US"/>
        </w:rPr>
        <w:t>[2]</w:t>
      </w:r>
      <w:r w:rsidRPr="00843CFD">
        <w:rPr>
          <w:rFonts w:ascii="Book Antiqua" w:hAnsi="Book Antiqua" w:cs="Arial"/>
          <w:lang w:val="en-US"/>
        </w:rPr>
        <w:t xml:space="preserve">. </w:t>
      </w:r>
    </w:p>
    <w:p w:rsidR="00B21320" w:rsidRPr="00843CFD" w:rsidRDefault="00CE5B8C"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 xml:space="preserve">The proportion of </w:t>
      </w:r>
      <w:r w:rsidR="003A3E60" w:rsidRPr="00843CFD">
        <w:rPr>
          <w:rFonts w:ascii="Book Antiqua" w:hAnsi="Book Antiqua" w:cs="Arial"/>
          <w:lang w:val="en-US"/>
        </w:rPr>
        <w:t xml:space="preserve">patients with </w:t>
      </w:r>
      <w:r w:rsidRPr="00843CFD">
        <w:rPr>
          <w:rFonts w:ascii="Book Antiqua" w:hAnsi="Book Antiqua" w:cs="Arial"/>
          <w:lang w:val="en-US"/>
        </w:rPr>
        <w:t xml:space="preserve">PSC reported in IBD series is about 5% </w:t>
      </w:r>
      <w:r w:rsidR="003A3E60" w:rsidRPr="00843CFD">
        <w:rPr>
          <w:rFonts w:ascii="Book Antiqua" w:hAnsi="Book Antiqua" w:cs="Arial"/>
          <w:lang w:val="en-US"/>
        </w:rPr>
        <w:t xml:space="preserve">for </w:t>
      </w:r>
      <w:r w:rsidRPr="00843CFD">
        <w:rPr>
          <w:rFonts w:ascii="Book Antiqua" w:hAnsi="Book Antiqua" w:cs="Arial"/>
          <w:lang w:val="en-US"/>
        </w:rPr>
        <w:t xml:space="preserve">UC patients and 3.6% </w:t>
      </w:r>
      <w:r w:rsidR="003A3E60" w:rsidRPr="00843CFD">
        <w:rPr>
          <w:rFonts w:ascii="Book Antiqua" w:hAnsi="Book Antiqua" w:cs="Arial"/>
          <w:lang w:val="en-US"/>
        </w:rPr>
        <w:t xml:space="preserve">for </w:t>
      </w:r>
      <w:r w:rsidRPr="00843CFD">
        <w:rPr>
          <w:rFonts w:ascii="Book Antiqua" w:hAnsi="Book Antiqua" w:cs="Arial"/>
          <w:lang w:val="en-US"/>
        </w:rPr>
        <w:t xml:space="preserve">CD </w:t>
      </w:r>
      <w:proofErr w:type="gramStart"/>
      <w:r w:rsidRPr="00843CFD">
        <w:rPr>
          <w:rFonts w:ascii="Book Antiqua" w:hAnsi="Book Antiqua" w:cs="Arial"/>
          <w:lang w:val="en-US"/>
        </w:rPr>
        <w:t>patients</w:t>
      </w:r>
      <w:r w:rsidR="000C04BC" w:rsidRPr="00843CFD">
        <w:rPr>
          <w:rFonts w:ascii="Book Antiqua" w:hAnsi="Book Antiqua" w:cs="Arial"/>
          <w:vertAlign w:val="superscript"/>
          <w:lang w:val="en-US"/>
        </w:rPr>
        <w:t>[</w:t>
      </w:r>
      <w:proofErr w:type="gramEnd"/>
      <w:r w:rsidR="001E6960" w:rsidRPr="00843CFD">
        <w:rPr>
          <w:rFonts w:ascii="Book Antiqua" w:hAnsi="Book Antiqua" w:cs="Arial"/>
          <w:vertAlign w:val="superscript"/>
          <w:lang w:val="en-US"/>
        </w:rPr>
        <w:t>3</w:t>
      </w:r>
      <w:r w:rsidR="000C04BC" w:rsidRPr="00843CFD">
        <w:rPr>
          <w:rFonts w:ascii="Book Antiqua" w:hAnsi="Book Antiqua" w:cs="Arial"/>
          <w:vertAlign w:val="superscript"/>
          <w:lang w:val="en-US"/>
        </w:rPr>
        <w:t>]</w:t>
      </w:r>
      <w:r w:rsidRPr="00843CFD">
        <w:rPr>
          <w:rFonts w:ascii="Book Antiqua" w:hAnsi="Book Antiqua" w:cs="Arial"/>
          <w:lang w:val="en-US"/>
        </w:rPr>
        <w:t xml:space="preserve">. The diagnosis of PSC in IBD patients is of the greatest importance </w:t>
      </w:r>
      <w:r w:rsidR="00B21320" w:rsidRPr="00843CFD">
        <w:rPr>
          <w:rFonts w:ascii="Book Antiqua" w:hAnsi="Book Antiqua" w:cs="Arial"/>
          <w:lang w:val="en-US"/>
        </w:rPr>
        <w:t>because of t</w:t>
      </w:r>
      <w:r w:rsidRPr="00843CFD">
        <w:rPr>
          <w:rFonts w:ascii="Book Antiqua" w:hAnsi="Book Antiqua" w:cs="Arial"/>
          <w:lang w:val="en-US"/>
        </w:rPr>
        <w:t xml:space="preserve">he </w:t>
      </w:r>
      <w:r w:rsidR="00B21320" w:rsidRPr="00843CFD">
        <w:rPr>
          <w:rFonts w:ascii="Book Antiqua" w:hAnsi="Book Antiqua" w:cs="Arial"/>
          <w:lang w:val="en-US"/>
        </w:rPr>
        <w:t xml:space="preserve">high </w:t>
      </w:r>
      <w:r w:rsidRPr="00843CFD">
        <w:rPr>
          <w:rFonts w:ascii="Book Antiqua" w:hAnsi="Book Antiqua" w:cs="Arial"/>
          <w:lang w:val="en-US"/>
        </w:rPr>
        <w:t xml:space="preserve">risk of developing colon </w:t>
      </w:r>
      <w:proofErr w:type="gramStart"/>
      <w:r w:rsidRPr="00843CFD">
        <w:rPr>
          <w:rFonts w:ascii="Book Antiqua" w:hAnsi="Book Antiqua" w:cs="Arial"/>
          <w:lang w:val="en-US"/>
        </w:rPr>
        <w:t>carcinoma</w:t>
      </w:r>
      <w:r w:rsidR="000C04BC" w:rsidRPr="00843CFD">
        <w:rPr>
          <w:rFonts w:ascii="Book Antiqua" w:hAnsi="Book Antiqua" w:cs="Arial"/>
          <w:vertAlign w:val="superscript"/>
          <w:lang w:val="en-US"/>
        </w:rPr>
        <w:t>[</w:t>
      </w:r>
      <w:proofErr w:type="gramEnd"/>
      <w:r w:rsidR="001E6960" w:rsidRPr="00843CFD">
        <w:rPr>
          <w:rFonts w:ascii="Book Antiqua" w:hAnsi="Book Antiqua" w:cs="Arial"/>
          <w:vertAlign w:val="superscript"/>
          <w:lang w:val="en-US"/>
        </w:rPr>
        <w:t>4</w:t>
      </w:r>
      <w:r w:rsidR="000C04BC" w:rsidRPr="00843CFD">
        <w:rPr>
          <w:rFonts w:ascii="Book Antiqua" w:hAnsi="Book Antiqua" w:cs="Arial"/>
          <w:vertAlign w:val="superscript"/>
          <w:lang w:val="en-US"/>
        </w:rPr>
        <w:t>]</w:t>
      </w:r>
      <w:r w:rsidR="00B21320" w:rsidRPr="00843CFD">
        <w:rPr>
          <w:rFonts w:ascii="Book Antiqua" w:hAnsi="Book Antiqua" w:cs="Arial"/>
          <w:lang w:val="en-US"/>
        </w:rPr>
        <w:t xml:space="preserve"> and cholangio-cellular carcinoma</w:t>
      </w:r>
      <w:r w:rsidRPr="00843CFD">
        <w:rPr>
          <w:rFonts w:ascii="Book Antiqua" w:hAnsi="Book Antiqua" w:cs="Arial"/>
          <w:lang w:val="en-US"/>
        </w:rPr>
        <w:t>.</w:t>
      </w:r>
      <w:r w:rsidR="00B21320" w:rsidRPr="00843CFD">
        <w:rPr>
          <w:rFonts w:ascii="Book Antiqua" w:hAnsi="Book Antiqua" w:cs="Arial"/>
          <w:lang w:val="en-US"/>
        </w:rPr>
        <w:t xml:space="preserve"> </w:t>
      </w:r>
      <w:r w:rsidRPr="00843CFD">
        <w:rPr>
          <w:rFonts w:ascii="Book Antiqua" w:hAnsi="Book Antiqua" w:cs="Arial"/>
          <w:lang w:val="en-US"/>
        </w:rPr>
        <w:t xml:space="preserve">Treatment with ursodesoxycholic acid or 5-ASA have been claimed to decrease the incidence of colon </w:t>
      </w:r>
      <w:proofErr w:type="gramStart"/>
      <w:r w:rsidRPr="00843CFD">
        <w:rPr>
          <w:rFonts w:ascii="Book Antiqua" w:hAnsi="Book Antiqua" w:cs="Arial"/>
          <w:lang w:val="en-US"/>
        </w:rPr>
        <w:t>cancer</w:t>
      </w:r>
      <w:r w:rsidR="000C04BC" w:rsidRPr="00843CFD">
        <w:rPr>
          <w:rFonts w:ascii="Book Antiqua" w:hAnsi="Book Antiqua" w:cs="Arial"/>
          <w:vertAlign w:val="superscript"/>
          <w:lang w:val="en-US"/>
        </w:rPr>
        <w:t>[</w:t>
      </w:r>
      <w:proofErr w:type="gramEnd"/>
      <w:r w:rsidR="007E33DE" w:rsidRPr="00843CFD">
        <w:rPr>
          <w:rFonts w:ascii="Book Antiqua" w:hAnsi="Book Antiqua" w:cs="Arial"/>
          <w:vertAlign w:val="superscript"/>
          <w:lang w:val="en-US"/>
        </w:rPr>
        <w:t>5</w:t>
      </w:r>
      <w:r w:rsidR="000C04BC" w:rsidRPr="00843CFD">
        <w:rPr>
          <w:rFonts w:ascii="Book Antiqua" w:hAnsi="Book Antiqua" w:cs="Arial"/>
          <w:vertAlign w:val="superscript"/>
          <w:lang w:val="en-US"/>
        </w:rPr>
        <w:t>]</w:t>
      </w:r>
      <w:r w:rsidRPr="00843CFD">
        <w:rPr>
          <w:rFonts w:ascii="Book Antiqua" w:hAnsi="Book Antiqua" w:cs="Arial"/>
          <w:lang w:val="en-US"/>
        </w:rPr>
        <w:t>.</w:t>
      </w:r>
    </w:p>
    <w:p w:rsidR="00CE5B8C" w:rsidRPr="008E1461" w:rsidRDefault="001A5B20" w:rsidP="008E1461">
      <w:pPr>
        <w:pStyle w:val="Heading"/>
        <w:ind w:firstLine="240"/>
        <w:rPr>
          <w:rFonts w:eastAsiaTheme="minorEastAsia"/>
          <w:b w:val="0"/>
          <w:lang w:eastAsia="zh-CN"/>
        </w:rPr>
      </w:pPr>
      <w:bookmarkStart w:id="39" w:name="_GoBack"/>
      <w:bookmarkEnd w:id="39"/>
      <w:r w:rsidRPr="008E1461">
        <w:rPr>
          <w:b w:val="0"/>
        </w:rPr>
        <w:t xml:space="preserve">There are so far no available data on the potential impact of cholestasis on IBD itself. This is an important topic however because cholestasis plays an important role in the malabsorption of liposoluble vitamins, drugs and other liposoluble substances, through the associated decrease in intestinal bile acid concentration and reduced micelle formation. </w:t>
      </w:r>
      <w:r w:rsidRPr="008E1461">
        <w:rPr>
          <w:rFonts w:cs="Arial"/>
          <w:b w:val="0"/>
        </w:rPr>
        <w:t>Briefly, after being produced by the liver, primary bile acids – cholic acid and chenodeoxycholate –are glyco- or tauro-conjugated and excreted in the bile into the intestine. At this point, the bile acids are deconjugated by bacteria and transformed into secondary bile acids</w:t>
      </w:r>
      <w:r w:rsidR="007E0272" w:rsidRPr="008E1461">
        <w:rPr>
          <w:rFonts w:eastAsiaTheme="minorEastAsia" w:cs="Arial" w:hint="eastAsia"/>
          <w:b w:val="0"/>
          <w:lang w:eastAsia="zh-CN"/>
        </w:rPr>
        <w:t>-</w:t>
      </w:r>
      <w:proofErr w:type="spellStart"/>
      <w:r w:rsidRPr="008E1461">
        <w:rPr>
          <w:rFonts w:cs="Arial"/>
          <w:b w:val="0"/>
        </w:rPr>
        <w:t>deoxycholate</w:t>
      </w:r>
      <w:proofErr w:type="spellEnd"/>
      <w:r w:rsidRPr="008E1461">
        <w:rPr>
          <w:rFonts w:cs="Arial"/>
          <w:b w:val="0"/>
        </w:rPr>
        <w:t xml:space="preserve"> and </w:t>
      </w:r>
      <w:proofErr w:type="spellStart"/>
      <w:r w:rsidRPr="008E1461">
        <w:rPr>
          <w:rFonts w:cs="Arial"/>
          <w:b w:val="0"/>
        </w:rPr>
        <w:t>lithocholic</w:t>
      </w:r>
      <w:proofErr w:type="spellEnd"/>
      <w:r w:rsidRPr="008E1461">
        <w:rPr>
          <w:rFonts w:cs="Arial"/>
          <w:b w:val="0"/>
        </w:rPr>
        <w:t xml:space="preserve"> acid. Primary and secondary bile acids are then reabsorbed into the entero-hepatic cycle and either glyco- or tauro-conjugated, or transformed into tertiary bile acids</w:t>
      </w:r>
      <w:r w:rsidR="000242B5" w:rsidRPr="008E1461">
        <w:rPr>
          <w:rFonts w:eastAsiaTheme="minorEastAsia" w:cs="Arial"/>
          <w:b w:val="0"/>
          <w:lang w:eastAsia="zh-CN"/>
        </w:rPr>
        <w:t>-</w:t>
      </w:r>
      <w:proofErr w:type="spellStart"/>
      <w:r w:rsidRPr="008E1461">
        <w:rPr>
          <w:rFonts w:cs="Arial"/>
          <w:b w:val="0"/>
        </w:rPr>
        <w:t>sulfolithocholate</w:t>
      </w:r>
      <w:proofErr w:type="spellEnd"/>
      <w:r w:rsidRPr="008E1461">
        <w:rPr>
          <w:rFonts w:cs="Arial"/>
          <w:b w:val="0"/>
        </w:rPr>
        <w:t xml:space="preserve"> </w:t>
      </w:r>
      <w:r w:rsidRPr="008E1461">
        <w:rPr>
          <w:rFonts w:cs="Arial"/>
          <w:b w:val="0"/>
        </w:rPr>
        <w:lastRenderedPageBreak/>
        <w:t xml:space="preserve">and </w:t>
      </w:r>
      <w:proofErr w:type="spellStart"/>
      <w:r w:rsidRPr="008E1461">
        <w:rPr>
          <w:rFonts w:cs="Arial"/>
          <w:b w:val="0"/>
        </w:rPr>
        <w:t>ursodesoxycholate</w:t>
      </w:r>
      <w:proofErr w:type="spellEnd"/>
      <w:r w:rsidRPr="008E1461">
        <w:rPr>
          <w:rFonts w:cs="Arial"/>
          <w:b w:val="0"/>
        </w:rPr>
        <w:t>.</w:t>
      </w:r>
      <w:r w:rsidRPr="008E1461">
        <w:rPr>
          <w:b w:val="0"/>
        </w:rPr>
        <w:t xml:space="preserve"> These pathways could all potentially be altered by IBD. In addition, bile acids are thought to play a role in </w:t>
      </w:r>
      <w:proofErr w:type="gramStart"/>
      <w:r w:rsidR="005533F1" w:rsidRPr="008E1461">
        <w:rPr>
          <w:b w:val="0"/>
        </w:rPr>
        <w:t>dysplasia</w:t>
      </w:r>
      <w:r w:rsidR="005533F1" w:rsidRPr="008E1461">
        <w:rPr>
          <w:b w:val="0"/>
          <w:vertAlign w:val="superscript"/>
        </w:rPr>
        <w:t>[</w:t>
      </w:r>
      <w:proofErr w:type="gramEnd"/>
      <w:r w:rsidRPr="008E1461">
        <w:rPr>
          <w:b w:val="0"/>
          <w:vertAlign w:val="superscript"/>
        </w:rPr>
        <w:t>6]</w:t>
      </w:r>
      <w:r w:rsidRPr="008E1461">
        <w:rPr>
          <w:b w:val="0"/>
        </w:rPr>
        <w:t>, intra-cellular signalling</w:t>
      </w:r>
      <w:r w:rsidRPr="008E1461">
        <w:rPr>
          <w:b w:val="0"/>
          <w:vertAlign w:val="superscript"/>
        </w:rPr>
        <w:t xml:space="preserve">[7] </w:t>
      </w:r>
      <w:r w:rsidRPr="008E1461">
        <w:rPr>
          <w:b w:val="0"/>
        </w:rPr>
        <w:t>as well as in interactions with the intestinal flora</w:t>
      </w:r>
      <w:r w:rsidRPr="008E1461">
        <w:rPr>
          <w:b w:val="0"/>
          <w:vertAlign w:val="superscript"/>
        </w:rPr>
        <w:t>[8]</w:t>
      </w:r>
      <w:r w:rsidRPr="008E1461">
        <w:rPr>
          <w:b w:val="0"/>
        </w:rPr>
        <w:t>.</w:t>
      </w:r>
    </w:p>
    <w:p w:rsidR="005533F1" w:rsidRPr="00843CFD" w:rsidRDefault="005533F1" w:rsidP="000242B5">
      <w:pPr>
        <w:adjustRightInd w:val="0"/>
        <w:snapToGrid w:val="0"/>
        <w:spacing w:line="360" w:lineRule="auto"/>
        <w:ind w:firstLineChars="100" w:firstLine="240"/>
        <w:jc w:val="both"/>
        <w:rPr>
          <w:rFonts w:ascii="Book Antiqua" w:hAnsi="Book Antiqua" w:cs="Arial"/>
          <w:lang w:val="en-GB"/>
        </w:rPr>
      </w:pPr>
      <w:r w:rsidRPr="00843CFD">
        <w:rPr>
          <w:rFonts w:ascii="Book Antiqua" w:hAnsi="Book Antiqua" w:cs="Arial"/>
          <w:lang w:val="en-GB"/>
        </w:rPr>
        <w:t xml:space="preserve">Since the exact prevalence of cholestasis in IBD patients remains unknown and because cholestasis may have a profound impact on the course of the disease, </w:t>
      </w:r>
      <w:r w:rsidRPr="00843CFD">
        <w:rPr>
          <w:rFonts w:ascii="Book Antiqua" w:hAnsi="Book Antiqua"/>
          <w:lang w:val="en-US"/>
        </w:rPr>
        <w:t>a fundamental understanding of its aetiologies and clinical relevance are essential</w:t>
      </w:r>
      <w:r w:rsidRPr="00843CFD">
        <w:rPr>
          <w:rFonts w:ascii="Book Antiqua" w:hAnsi="Book Antiqua" w:cs="Arial"/>
          <w:lang w:val="en-GB"/>
        </w:rPr>
        <w:t>.</w:t>
      </w:r>
    </w:p>
    <w:p w:rsidR="005533F1" w:rsidRPr="00843CFD" w:rsidRDefault="005533F1" w:rsidP="000242B5">
      <w:pPr>
        <w:adjustRightInd w:val="0"/>
        <w:snapToGrid w:val="0"/>
        <w:spacing w:line="360" w:lineRule="auto"/>
        <w:ind w:firstLineChars="100" w:firstLine="240"/>
        <w:jc w:val="both"/>
        <w:rPr>
          <w:rFonts w:ascii="Book Antiqua" w:hAnsi="Book Antiqua" w:cs="Arial"/>
          <w:lang w:val="en-GB" w:eastAsia="zh-CN"/>
        </w:rPr>
      </w:pPr>
      <w:r w:rsidRPr="00843CFD">
        <w:rPr>
          <w:rFonts w:ascii="Book Antiqua" w:hAnsi="Book Antiqua" w:cs="Arial"/>
          <w:lang w:val="en-GB"/>
        </w:rPr>
        <w:t>The primary aim of this study was thus to establish the prevalence of clinical and biological cholestasis in the Swiss IBD Cohort (SIBDC). The secondary aims were to determine the causes of cholestasis and their prevalence as well as to identify bile acid subtypes in confirmed cases of cholestasis.</w:t>
      </w:r>
    </w:p>
    <w:p w:rsidR="00C44C83" w:rsidRPr="00843CFD" w:rsidRDefault="00C44C83" w:rsidP="000242B5">
      <w:pPr>
        <w:adjustRightInd w:val="0"/>
        <w:snapToGrid w:val="0"/>
        <w:spacing w:line="360" w:lineRule="auto"/>
        <w:ind w:firstLineChars="100" w:firstLine="240"/>
        <w:jc w:val="both"/>
        <w:rPr>
          <w:rFonts w:ascii="Book Antiqua" w:hAnsi="Book Antiqua" w:cs="Arial"/>
          <w:lang w:val="en-GB" w:eastAsia="zh-CN"/>
        </w:rPr>
      </w:pPr>
    </w:p>
    <w:p w:rsidR="008A7149" w:rsidRPr="00843CFD" w:rsidRDefault="00C44C83"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MATERIALS AND METHODS</w:t>
      </w:r>
    </w:p>
    <w:p w:rsidR="00261354" w:rsidRPr="00843CFD" w:rsidRDefault="003C511E"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GB"/>
        </w:rPr>
        <w:t xml:space="preserve">The </w:t>
      </w:r>
      <w:r w:rsidR="00C63237" w:rsidRPr="00843CFD">
        <w:rPr>
          <w:rFonts w:ascii="Book Antiqua" w:hAnsi="Book Antiqua" w:cs="Arial"/>
          <w:lang w:val="en-GB"/>
        </w:rPr>
        <w:t>SIBDC</w:t>
      </w:r>
      <w:r w:rsidRPr="00843CFD">
        <w:rPr>
          <w:rFonts w:ascii="Book Antiqua" w:hAnsi="Book Antiqua" w:cs="Arial"/>
          <w:lang w:val="en-GB"/>
        </w:rPr>
        <w:t xml:space="preserve"> </w:t>
      </w:r>
      <w:r w:rsidR="00C63237" w:rsidRPr="00843CFD">
        <w:rPr>
          <w:rFonts w:ascii="Book Antiqua" w:hAnsi="Book Antiqua" w:cs="Arial"/>
          <w:lang w:val="en-GB"/>
        </w:rPr>
        <w:t>consists</w:t>
      </w:r>
      <w:r w:rsidRPr="00843CFD">
        <w:rPr>
          <w:rFonts w:ascii="Book Antiqua" w:hAnsi="Book Antiqua" w:cs="Arial"/>
          <w:lang w:val="en-GB"/>
        </w:rPr>
        <w:t xml:space="preserve"> </w:t>
      </w:r>
      <w:r w:rsidR="00C63237" w:rsidRPr="00843CFD">
        <w:rPr>
          <w:rFonts w:ascii="Book Antiqua" w:hAnsi="Book Antiqua" w:cs="Arial"/>
          <w:lang w:val="en-GB"/>
        </w:rPr>
        <w:t xml:space="preserve">of </w:t>
      </w:r>
      <w:r w:rsidRPr="00843CFD">
        <w:rPr>
          <w:rFonts w:ascii="Book Antiqua" w:hAnsi="Book Antiqua" w:cs="Arial"/>
          <w:lang w:val="en-GB"/>
        </w:rPr>
        <w:t>more than 2</w:t>
      </w:r>
      <w:r w:rsidR="00E82782" w:rsidRPr="00843CFD">
        <w:rPr>
          <w:rFonts w:ascii="Book Antiqua" w:hAnsi="Book Antiqua" w:cs="Arial"/>
          <w:lang w:val="en-GB"/>
        </w:rPr>
        <w:t>8</w:t>
      </w:r>
      <w:r w:rsidR="00651BD9" w:rsidRPr="00843CFD">
        <w:rPr>
          <w:rFonts w:ascii="Book Antiqua" w:hAnsi="Book Antiqua" w:cs="Arial"/>
          <w:lang w:val="en-GB"/>
        </w:rPr>
        <w:t xml:space="preserve">00 patients with </w:t>
      </w:r>
      <w:r w:rsidR="001659B3" w:rsidRPr="00843CFD">
        <w:rPr>
          <w:rFonts w:ascii="Book Antiqua" w:hAnsi="Book Antiqua" w:cs="Arial"/>
          <w:lang w:val="en-GB"/>
        </w:rPr>
        <w:t xml:space="preserve">confirmed </w:t>
      </w:r>
      <w:r w:rsidR="00651BD9" w:rsidRPr="00843CFD">
        <w:rPr>
          <w:rFonts w:ascii="Book Antiqua" w:hAnsi="Book Antiqua" w:cs="Arial"/>
          <w:lang w:val="en-GB"/>
        </w:rPr>
        <w:t>IBD</w:t>
      </w:r>
      <w:r w:rsidR="00ED22B1" w:rsidRPr="00843CFD">
        <w:rPr>
          <w:rFonts w:ascii="Book Antiqua" w:hAnsi="Book Antiqua" w:cs="Arial"/>
          <w:lang w:val="en-GB"/>
        </w:rPr>
        <w:t>,</w:t>
      </w:r>
      <w:r w:rsidR="00D4164F" w:rsidRPr="00843CFD">
        <w:rPr>
          <w:rFonts w:ascii="Book Antiqua" w:hAnsi="Book Antiqua" w:cs="Arial"/>
          <w:lang w:val="en-GB"/>
        </w:rPr>
        <w:t xml:space="preserve"> </w:t>
      </w:r>
      <w:r w:rsidR="00651BD9" w:rsidRPr="00843CFD">
        <w:rPr>
          <w:rFonts w:ascii="Book Antiqua" w:hAnsi="Book Antiqua" w:cs="Arial"/>
          <w:lang w:val="en-GB"/>
        </w:rPr>
        <w:t>included since 2006</w:t>
      </w:r>
      <w:r w:rsidR="00C63237" w:rsidRPr="00843CFD">
        <w:rPr>
          <w:rFonts w:ascii="Book Antiqua" w:hAnsi="Book Antiqua" w:cs="Arial"/>
          <w:lang w:val="en-GB"/>
        </w:rPr>
        <w:t xml:space="preserve"> from all over Switzerland</w:t>
      </w:r>
      <w:r w:rsidR="00651BD9" w:rsidRPr="00843CFD">
        <w:rPr>
          <w:rFonts w:ascii="Book Antiqua" w:hAnsi="Book Antiqua" w:cs="Arial"/>
          <w:lang w:val="en-GB"/>
        </w:rPr>
        <w:t xml:space="preserve">. Clinical data on the disease type, </w:t>
      </w:r>
      <w:r w:rsidR="00ED22B1" w:rsidRPr="00843CFD">
        <w:rPr>
          <w:rFonts w:ascii="Book Antiqua" w:hAnsi="Book Antiqua" w:cs="Arial"/>
          <w:lang w:val="en-GB"/>
        </w:rPr>
        <w:t xml:space="preserve">endoscopy, </w:t>
      </w:r>
      <w:r w:rsidR="00651BD9" w:rsidRPr="00843CFD">
        <w:rPr>
          <w:rFonts w:ascii="Book Antiqua" w:hAnsi="Book Antiqua" w:cs="Arial"/>
          <w:lang w:val="en-GB"/>
        </w:rPr>
        <w:t xml:space="preserve">evolution, treatments as well as complications </w:t>
      </w:r>
      <w:r w:rsidR="00C63237" w:rsidRPr="00843CFD">
        <w:rPr>
          <w:rFonts w:ascii="Book Antiqua" w:hAnsi="Book Antiqua" w:cs="Arial"/>
          <w:lang w:val="en-GB"/>
        </w:rPr>
        <w:t>are</w:t>
      </w:r>
      <w:r w:rsidR="00651BD9" w:rsidRPr="00843CFD">
        <w:rPr>
          <w:rFonts w:ascii="Book Antiqua" w:hAnsi="Book Antiqua" w:cs="Arial"/>
          <w:lang w:val="en-GB"/>
        </w:rPr>
        <w:t xml:space="preserve"> available</w:t>
      </w:r>
      <w:r w:rsidR="00025C14" w:rsidRPr="00843CFD">
        <w:rPr>
          <w:rFonts w:ascii="Book Antiqua" w:hAnsi="Book Antiqua" w:cs="Arial"/>
          <w:lang w:val="en-GB"/>
        </w:rPr>
        <w:t xml:space="preserve"> </w:t>
      </w:r>
      <w:r w:rsidR="00236B67" w:rsidRPr="00843CFD">
        <w:rPr>
          <w:rFonts w:ascii="Book Antiqua" w:hAnsi="Book Antiqua" w:cs="Arial"/>
          <w:lang w:val="en-GB"/>
        </w:rPr>
        <w:t>as along with</w:t>
      </w:r>
      <w:r w:rsidR="00025C14" w:rsidRPr="00843CFD">
        <w:rPr>
          <w:rFonts w:ascii="Book Antiqua" w:hAnsi="Book Antiqua" w:cs="Arial"/>
          <w:lang w:val="en-GB"/>
        </w:rPr>
        <w:t xml:space="preserve"> s</w:t>
      </w:r>
      <w:r w:rsidR="00C63237" w:rsidRPr="00843CFD">
        <w:rPr>
          <w:rFonts w:ascii="Book Antiqua" w:hAnsi="Book Antiqua" w:cs="Arial"/>
          <w:lang w:val="en-GB"/>
        </w:rPr>
        <w:t>erum samples.</w:t>
      </w:r>
      <w:r w:rsidR="00D274C6" w:rsidRPr="00843CFD">
        <w:rPr>
          <w:rFonts w:ascii="Book Antiqua" w:hAnsi="Book Antiqua" w:cs="Arial"/>
          <w:lang w:val="en-GB"/>
        </w:rPr>
        <w:t xml:space="preserve"> Data are collected at inclusion and then yearly, during a meeting with the study coordinator.</w:t>
      </w:r>
      <w:r w:rsidR="00C63237" w:rsidRPr="00843CFD">
        <w:rPr>
          <w:rFonts w:ascii="Book Antiqua" w:hAnsi="Book Antiqua" w:cs="Arial"/>
          <w:lang w:val="en-GB"/>
        </w:rPr>
        <w:t xml:space="preserve"> </w:t>
      </w:r>
      <w:r w:rsidR="00236B67" w:rsidRPr="00843CFD">
        <w:rPr>
          <w:rFonts w:ascii="Book Antiqua" w:hAnsi="Book Antiqua" w:cs="Arial"/>
          <w:lang w:val="en-GB"/>
        </w:rPr>
        <w:t xml:space="preserve">The exclusion </w:t>
      </w:r>
      <w:r w:rsidR="00C63237" w:rsidRPr="00843CFD">
        <w:rPr>
          <w:rFonts w:ascii="Book Antiqua" w:hAnsi="Book Antiqua" w:cs="Arial"/>
          <w:lang w:val="en-GB"/>
        </w:rPr>
        <w:t>criteria</w:t>
      </w:r>
      <w:r w:rsidR="00236B67" w:rsidRPr="00843CFD">
        <w:rPr>
          <w:rFonts w:ascii="Book Antiqua" w:hAnsi="Book Antiqua" w:cs="Arial"/>
          <w:lang w:val="en-GB"/>
        </w:rPr>
        <w:t xml:space="preserve"> of this study</w:t>
      </w:r>
      <w:r w:rsidR="00C63237" w:rsidRPr="00843CFD">
        <w:rPr>
          <w:rFonts w:ascii="Book Antiqua" w:hAnsi="Book Antiqua" w:cs="Arial"/>
          <w:lang w:val="en-GB"/>
        </w:rPr>
        <w:t xml:space="preserve"> were age younger than 16 years</w:t>
      </w:r>
      <w:r w:rsidR="00ED22B1" w:rsidRPr="00843CFD">
        <w:rPr>
          <w:rFonts w:ascii="Book Antiqua" w:hAnsi="Book Antiqua" w:cs="Arial"/>
          <w:lang w:val="en-GB"/>
        </w:rPr>
        <w:t xml:space="preserve"> and </w:t>
      </w:r>
      <w:r w:rsidR="00236B67" w:rsidRPr="00843CFD">
        <w:rPr>
          <w:rFonts w:ascii="Book Antiqua" w:hAnsi="Book Antiqua" w:cs="Arial"/>
          <w:lang w:val="en-GB"/>
        </w:rPr>
        <w:t xml:space="preserve">unavailability of </w:t>
      </w:r>
      <w:r w:rsidR="00ED22B1" w:rsidRPr="00843CFD">
        <w:rPr>
          <w:rFonts w:ascii="Book Antiqua" w:hAnsi="Book Antiqua" w:cs="Arial"/>
          <w:lang w:val="en-GB"/>
        </w:rPr>
        <w:t>serum samples</w:t>
      </w:r>
      <w:r w:rsidR="00C63237" w:rsidRPr="00843CFD">
        <w:rPr>
          <w:rFonts w:ascii="Book Antiqua" w:hAnsi="Book Antiqua" w:cs="Arial"/>
          <w:lang w:val="en-GB"/>
        </w:rPr>
        <w:t xml:space="preserve">. </w:t>
      </w:r>
      <w:r w:rsidR="009B5780" w:rsidRPr="00843CFD">
        <w:rPr>
          <w:rFonts w:ascii="Book Antiqua" w:hAnsi="Book Antiqua" w:cs="Arial"/>
          <w:lang w:val="en-GB"/>
        </w:rPr>
        <w:t>IBD activity was described using</w:t>
      </w:r>
      <w:r w:rsidR="00B07714" w:rsidRPr="00843CFD">
        <w:rPr>
          <w:rFonts w:ascii="Book Antiqua" w:hAnsi="Book Antiqua" w:cs="Arial"/>
          <w:lang w:val="en-GB"/>
        </w:rPr>
        <w:t xml:space="preserve"> the Crohn’s disease activity index (CDAI) for CD and the </w:t>
      </w:r>
      <w:r w:rsidR="006D2792" w:rsidRPr="00843CFD">
        <w:rPr>
          <w:rFonts w:ascii="Book Antiqua" w:hAnsi="Book Antiqua" w:cs="Arial"/>
          <w:shd w:val="clear" w:color="auto" w:fill="FFFFFF"/>
          <w:lang w:val="en-US"/>
        </w:rPr>
        <w:t xml:space="preserve">Modified Truelove </w:t>
      </w:r>
      <w:r w:rsidR="00C44C83" w:rsidRPr="00843CFD">
        <w:rPr>
          <w:rFonts w:ascii="Book Antiqua" w:hAnsi="Book Antiqua" w:cs="Arial"/>
          <w:shd w:val="clear" w:color="auto" w:fill="FFFFFF"/>
          <w:lang w:val="en-US" w:eastAsia="zh-CN"/>
        </w:rPr>
        <w:t>and</w:t>
      </w:r>
      <w:r w:rsidR="006D2792" w:rsidRPr="00843CFD">
        <w:rPr>
          <w:rFonts w:ascii="Book Antiqua" w:hAnsi="Book Antiqua" w:cs="Arial"/>
          <w:shd w:val="clear" w:color="auto" w:fill="FFFFFF"/>
          <w:lang w:val="en-US"/>
        </w:rPr>
        <w:t xml:space="preserve"> </w:t>
      </w:r>
      <w:proofErr w:type="spellStart"/>
      <w:r w:rsidR="006D2792" w:rsidRPr="00843CFD">
        <w:rPr>
          <w:rFonts w:ascii="Book Antiqua" w:hAnsi="Book Antiqua" w:cs="Arial"/>
          <w:shd w:val="clear" w:color="auto" w:fill="FFFFFF"/>
          <w:lang w:val="en-US"/>
        </w:rPr>
        <w:t>Witts</w:t>
      </w:r>
      <w:proofErr w:type="spellEnd"/>
      <w:r w:rsidR="006D2792" w:rsidRPr="00843CFD">
        <w:rPr>
          <w:rFonts w:ascii="Book Antiqua" w:hAnsi="Book Antiqua" w:cs="Arial"/>
          <w:shd w:val="clear" w:color="auto" w:fill="FFFFFF"/>
          <w:lang w:val="en-US"/>
        </w:rPr>
        <w:t xml:space="preserve"> Index </w:t>
      </w:r>
      <w:r w:rsidR="00B07714" w:rsidRPr="00843CFD">
        <w:rPr>
          <w:rFonts w:ascii="Book Antiqua" w:hAnsi="Book Antiqua" w:cs="Arial"/>
          <w:lang w:val="en-GB"/>
        </w:rPr>
        <w:t>(</w:t>
      </w:r>
      <w:r w:rsidR="006D2792" w:rsidRPr="00843CFD">
        <w:rPr>
          <w:rFonts w:ascii="Book Antiqua" w:hAnsi="Book Antiqua" w:cs="Arial"/>
          <w:shd w:val="clear" w:color="auto" w:fill="FFFFFF"/>
          <w:lang w:val="en-US"/>
        </w:rPr>
        <w:t>MTWI</w:t>
      </w:r>
      <w:r w:rsidR="00B07714" w:rsidRPr="00843CFD">
        <w:rPr>
          <w:rFonts w:ascii="Book Antiqua" w:hAnsi="Book Antiqua" w:cs="Arial"/>
          <w:lang w:val="en-GB"/>
        </w:rPr>
        <w:t>) for UC,</w:t>
      </w:r>
      <w:r w:rsidR="009B5780" w:rsidRPr="00843CFD">
        <w:rPr>
          <w:rFonts w:ascii="Book Antiqua" w:hAnsi="Book Antiqua" w:cs="Arial"/>
          <w:lang w:val="en-GB"/>
        </w:rPr>
        <w:t xml:space="preserve"> whereas the site of inflammation was described using the </w:t>
      </w:r>
      <w:r w:rsidR="00A64B74" w:rsidRPr="00843CFD">
        <w:rPr>
          <w:rFonts w:ascii="Book Antiqua" w:hAnsi="Book Antiqua" w:cs="Arial"/>
          <w:lang w:val="en-GB"/>
        </w:rPr>
        <w:t>Montreal</w:t>
      </w:r>
      <w:r w:rsidR="00B07714" w:rsidRPr="00843CFD">
        <w:rPr>
          <w:rFonts w:ascii="Book Antiqua" w:hAnsi="Book Antiqua" w:cs="Arial"/>
          <w:lang w:val="en-GB"/>
        </w:rPr>
        <w:t xml:space="preserve"> </w:t>
      </w:r>
      <w:proofErr w:type="gramStart"/>
      <w:r w:rsidR="00B07714" w:rsidRPr="00843CFD">
        <w:rPr>
          <w:rFonts w:ascii="Book Antiqua" w:hAnsi="Book Antiqua" w:cs="Arial"/>
          <w:lang w:val="en-GB"/>
        </w:rPr>
        <w:t>classification</w:t>
      </w:r>
      <w:r w:rsidR="00506234" w:rsidRPr="00843CFD">
        <w:rPr>
          <w:rFonts w:ascii="Book Antiqua" w:hAnsi="Book Antiqua" w:cs="Arial"/>
          <w:vertAlign w:val="superscript"/>
          <w:lang w:val="en-GB"/>
        </w:rPr>
        <w:t>[</w:t>
      </w:r>
      <w:proofErr w:type="gramEnd"/>
      <w:r w:rsidR="00506234" w:rsidRPr="00843CFD">
        <w:rPr>
          <w:rFonts w:ascii="Book Antiqua" w:hAnsi="Book Antiqua" w:cs="Arial"/>
          <w:vertAlign w:val="superscript"/>
          <w:lang w:val="en-GB"/>
        </w:rPr>
        <w:t>9]</w:t>
      </w:r>
      <w:r w:rsidR="006F2228" w:rsidRPr="00843CFD">
        <w:rPr>
          <w:rFonts w:ascii="Book Antiqua" w:hAnsi="Book Antiqua" w:cs="Arial"/>
          <w:lang w:val="en-GB"/>
        </w:rPr>
        <w:t>.</w:t>
      </w:r>
      <w:r w:rsidR="00866F9B" w:rsidRPr="00843CFD">
        <w:rPr>
          <w:rFonts w:ascii="Book Antiqua" w:hAnsi="Book Antiqua" w:cs="Arial"/>
          <w:lang w:val="en-GB"/>
        </w:rPr>
        <w:t xml:space="preserve"> </w:t>
      </w:r>
      <w:r w:rsidR="002F1259" w:rsidRPr="00843CFD">
        <w:rPr>
          <w:rFonts w:ascii="Book Antiqua" w:hAnsi="Book Antiqua" w:cs="Arial"/>
          <w:lang w:val="en-GB"/>
        </w:rPr>
        <w:t>Cholestasis was defined as a total bile acid</w:t>
      </w:r>
      <w:r w:rsidR="00894A63" w:rsidRPr="00843CFD">
        <w:rPr>
          <w:rFonts w:ascii="Book Antiqua" w:hAnsi="Book Antiqua" w:cs="Arial"/>
          <w:lang w:val="en-GB"/>
        </w:rPr>
        <w:t xml:space="preserve"> (TBA)</w:t>
      </w:r>
      <w:r w:rsidR="002F1259" w:rsidRPr="00843CFD">
        <w:rPr>
          <w:rFonts w:ascii="Book Antiqua" w:hAnsi="Book Antiqua" w:cs="Arial"/>
          <w:lang w:val="en-GB"/>
        </w:rPr>
        <w:t xml:space="preserve"> level </w:t>
      </w:r>
      <w:r w:rsidR="00236B67" w:rsidRPr="00843CFD">
        <w:rPr>
          <w:rFonts w:ascii="Book Antiqua" w:hAnsi="Book Antiqua" w:cs="Arial"/>
          <w:lang w:val="en-GB"/>
        </w:rPr>
        <w:t>higher</w:t>
      </w:r>
      <w:r w:rsidR="00472E89" w:rsidRPr="00843CFD">
        <w:rPr>
          <w:rFonts w:ascii="Book Antiqua" w:hAnsi="Book Antiqua" w:cs="Arial"/>
          <w:lang w:val="en-GB"/>
        </w:rPr>
        <w:t xml:space="preserve"> than</w:t>
      </w:r>
      <w:r w:rsidR="002F1259" w:rsidRPr="00843CFD">
        <w:rPr>
          <w:rFonts w:ascii="Book Antiqua" w:hAnsi="Book Antiqua" w:cs="Arial"/>
          <w:lang w:val="en-GB"/>
        </w:rPr>
        <w:t xml:space="preserve"> </w:t>
      </w:r>
      <w:r w:rsidR="0069524D" w:rsidRPr="00843CFD">
        <w:rPr>
          <w:rFonts w:ascii="Book Antiqua" w:hAnsi="Book Antiqua" w:cs="Arial"/>
          <w:lang w:val="en-GB"/>
        </w:rPr>
        <w:t>8 μmol/</w:t>
      </w:r>
      <w:proofErr w:type="gramStart"/>
      <w:r w:rsidR="0069524D" w:rsidRPr="00843CFD">
        <w:rPr>
          <w:rFonts w:ascii="Book Antiqua" w:hAnsi="Book Antiqua" w:cs="Arial"/>
          <w:lang w:val="en-GB"/>
        </w:rPr>
        <w:t>L</w:t>
      </w:r>
      <w:r w:rsidR="00506234" w:rsidRPr="00843CFD">
        <w:rPr>
          <w:rFonts w:ascii="Book Antiqua" w:hAnsi="Book Antiqua" w:cs="Arial"/>
          <w:vertAlign w:val="superscript"/>
          <w:lang w:val="en-GB"/>
        </w:rPr>
        <w:t>[</w:t>
      </w:r>
      <w:proofErr w:type="gramEnd"/>
      <w:r w:rsidR="00506234" w:rsidRPr="00843CFD">
        <w:rPr>
          <w:rFonts w:ascii="Book Antiqua" w:hAnsi="Book Antiqua" w:cs="Arial"/>
          <w:vertAlign w:val="superscript"/>
          <w:lang w:val="en-GB"/>
        </w:rPr>
        <w:t>1</w:t>
      </w:r>
      <w:r w:rsidR="001E6960" w:rsidRPr="00843CFD">
        <w:rPr>
          <w:rFonts w:ascii="Book Antiqua" w:hAnsi="Book Antiqua" w:cs="Arial"/>
          <w:vertAlign w:val="superscript"/>
          <w:lang w:val="en-GB"/>
        </w:rPr>
        <w:t>0,11</w:t>
      </w:r>
      <w:r w:rsidR="00506234" w:rsidRPr="00843CFD">
        <w:rPr>
          <w:rFonts w:ascii="Book Antiqua" w:hAnsi="Book Antiqua" w:cs="Arial"/>
          <w:vertAlign w:val="superscript"/>
          <w:lang w:val="en-GB"/>
        </w:rPr>
        <w:t>]</w:t>
      </w:r>
      <w:r w:rsidR="002F1259" w:rsidRPr="00843CFD">
        <w:rPr>
          <w:rFonts w:ascii="Book Antiqua" w:hAnsi="Book Antiqua" w:cs="Arial"/>
          <w:lang w:val="en-GB"/>
        </w:rPr>
        <w:t>. I</w:t>
      </w:r>
      <w:r w:rsidR="00261354" w:rsidRPr="00843CFD">
        <w:rPr>
          <w:rFonts w:ascii="Book Antiqua" w:hAnsi="Book Antiqua" w:cs="Arial"/>
          <w:lang w:val="en-GB"/>
        </w:rPr>
        <w:t xml:space="preserve">n order to measure the prevalence of cholestasis, </w:t>
      </w:r>
      <w:r w:rsidR="002F1259" w:rsidRPr="00843CFD">
        <w:rPr>
          <w:rFonts w:ascii="Book Antiqua" w:hAnsi="Book Antiqua" w:cs="Arial"/>
          <w:lang w:val="en-GB"/>
        </w:rPr>
        <w:t xml:space="preserve">a </w:t>
      </w:r>
      <w:r w:rsidR="00236B67" w:rsidRPr="00843CFD">
        <w:rPr>
          <w:rFonts w:ascii="Book Antiqua" w:hAnsi="Book Antiqua" w:cs="Arial"/>
          <w:lang w:val="en-GB"/>
        </w:rPr>
        <w:t>TBA</w:t>
      </w:r>
      <w:r w:rsidR="002F1259" w:rsidRPr="00843CFD">
        <w:rPr>
          <w:rFonts w:ascii="Book Antiqua" w:hAnsi="Book Antiqua" w:cs="Arial"/>
          <w:lang w:val="en-GB"/>
        </w:rPr>
        <w:t xml:space="preserve"> assay was performed on all serum </w:t>
      </w:r>
      <w:r w:rsidR="00894A63" w:rsidRPr="00843CFD">
        <w:rPr>
          <w:rFonts w:ascii="Book Antiqua" w:hAnsi="Book Antiqua" w:cs="Arial"/>
          <w:lang w:val="en-GB"/>
        </w:rPr>
        <w:t>specimens</w:t>
      </w:r>
      <w:r w:rsidR="00031135" w:rsidRPr="00843CFD">
        <w:rPr>
          <w:rFonts w:ascii="Book Antiqua" w:hAnsi="Book Antiqua" w:cs="Arial"/>
          <w:lang w:val="en-GB"/>
        </w:rPr>
        <w:t xml:space="preserve"> </w:t>
      </w:r>
      <w:r w:rsidR="00800302" w:rsidRPr="00843CFD">
        <w:rPr>
          <w:rFonts w:ascii="Book Antiqua" w:hAnsi="Book Antiqua" w:cs="Arial"/>
          <w:lang w:val="en-GB"/>
        </w:rPr>
        <w:t>using a</w:t>
      </w:r>
      <w:r w:rsidR="00031135" w:rsidRPr="00843CFD">
        <w:rPr>
          <w:rFonts w:ascii="Book Antiqua" w:hAnsi="Book Antiqua" w:cs="Arial"/>
          <w:lang w:val="en-GB"/>
        </w:rPr>
        <w:t xml:space="preserve"> </w:t>
      </w:r>
      <w:r w:rsidR="002F1259" w:rsidRPr="00843CFD">
        <w:rPr>
          <w:rFonts w:ascii="Book Antiqua" w:hAnsi="Book Antiqua" w:cs="Arial"/>
          <w:lang w:val="en-GB"/>
        </w:rPr>
        <w:t>highly sens</w:t>
      </w:r>
      <w:r w:rsidR="00031135" w:rsidRPr="00843CFD">
        <w:rPr>
          <w:rFonts w:ascii="Book Antiqua" w:hAnsi="Book Antiqua" w:cs="Arial"/>
          <w:lang w:val="en-GB"/>
        </w:rPr>
        <w:t>itive</w:t>
      </w:r>
      <w:r w:rsidR="002F1259" w:rsidRPr="00843CFD">
        <w:rPr>
          <w:rFonts w:ascii="Book Antiqua" w:hAnsi="Book Antiqua" w:cs="Arial"/>
          <w:lang w:val="en-GB"/>
        </w:rPr>
        <w:t xml:space="preserve"> and specific ELISA test</w:t>
      </w:r>
      <w:r w:rsidR="00031135" w:rsidRPr="00843CFD">
        <w:rPr>
          <w:rFonts w:ascii="Book Antiqua" w:hAnsi="Book Antiqua" w:cs="Arial"/>
          <w:lang w:val="en-GB"/>
        </w:rPr>
        <w:t xml:space="preserve"> (</w:t>
      </w:r>
      <w:proofErr w:type="spellStart"/>
      <w:r w:rsidR="00031135" w:rsidRPr="00843CFD">
        <w:rPr>
          <w:rFonts w:ascii="Book Antiqua" w:hAnsi="Book Antiqua" w:cs="Arial"/>
          <w:lang w:val="en-GB"/>
        </w:rPr>
        <w:t>Labor</w:t>
      </w:r>
      <w:proofErr w:type="spellEnd"/>
      <w:r w:rsidR="00031135" w:rsidRPr="00843CFD">
        <w:rPr>
          <w:rFonts w:ascii="Book Antiqua" w:hAnsi="Book Antiqua" w:cs="Arial"/>
          <w:lang w:val="en-GB"/>
        </w:rPr>
        <w:t xml:space="preserve"> Eberhard, Dortmund, Germany)</w:t>
      </w:r>
      <w:r w:rsidR="002F1259" w:rsidRPr="00843CFD">
        <w:rPr>
          <w:rFonts w:ascii="Book Antiqua" w:hAnsi="Book Antiqua" w:cs="Arial"/>
          <w:lang w:val="en-GB"/>
        </w:rPr>
        <w:t>.</w:t>
      </w:r>
      <w:r w:rsidR="00261354" w:rsidRPr="00843CFD">
        <w:rPr>
          <w:rFonts w:ascii="Book Antiqua" w:hAnsi="Book Antiqua" w:cs="Arial"/>
          <w:lang w:val="en-GB"/>
        </w:rPr>
        <w:t xml:space="preserve"> </w:t>
      </w:r>
      <w:r w:rsidR="00894A63" w:rsidRPr="00843CFD">
        <w:rPr>
          <w:rFonts w:ascii="Book Antiqua" w:hAnsi="Book Antiqua" w:cs="Arial"/>
          <w:lang w:val="en-GB"/>
        </w:rPr>
        <w:t>Thereafter, a</w:t>
      </w:r>
      <w:r w:rsidR="00261354" w:rsidRPr="00843CFD">
        <w:rPr>
          <w:rFonts w:ascii="Book Antiqua" w:hAnsi="Book Antiqua" w:cs="Arial"/>
          <w:lang w:val="en-GB"/>
        </w:rPr>
        <w:t xml:space="preserve"> </w:t>
      </w:r>
      <w:r w:rsidR="00236B67" w:rsidRPr="00843CFD">
        <w:rPr>
          <w:rFonts w:ascii="Book Antiqua" w:hAnsi="Book Antiqua" w:cs="Arial"/>
          <w:lang w:val="en-GB"/>
        </w:rPr>
        <w:t xml:space="preserve">serum </w:t>
      </w:r>
      <w:r w:rsidR="00261354" w:rsidRPr="00843CFD">
        <w:rPr>
          <w:rFonts w:ascii="Book Antiqua" w:hAnsi="Book Antiqua" w:cs="Arial"/>
          <w:lang w:val="en-GB"/>
        </w:rPr>
        <w:t xml:space="preserve">bile acid profile </w:t>
      </w:r>
      <w:r w:rsidR="00894A63" w:rsidRPr="00843CFD">
        <w:rPr>
          <w:rFonts w:ascii="Book Antiqua" w:hAnsi="Book Antiqua" w:cs="Arial"/>
          <w:lang w:val="en-GB"/>
        </w:rPr>
        <w:t>was</w:t>
      </w:r>
      <w:r w:rsidR="00261354" w:rsidRPr="00843CFD">
        <w:rPr>
          <w:rFonts w:ascii="Book Antiqua" w:hAnsi="Book Antiqua" w:cs="Arial"/>
          <w:lang w:val="en-GB"/>
        </w:rPr>
        <w:t xml:space="preserve"> </w:t>
      </w:r>
      <w:r w:rsidR="00236B67" w:rsidRPr="00843CFD">
        <w:rPr>
          <w:rFonts w:ascii="Book Antiqua" w:hAnsi="Book Antiqua" w:cs="Arial"/>
          <w:lang w:val="en-GB"/>
        </w:rPr>
        <w:t>established for</w:t>
      </w:r>
      <w:r w:rsidR="00894A63" w:rsidRPr="00843CFD">
        <w:rPr>
          <w:rFonts w:ascii="Book Antiqua" w:hAnsi="Book Antiqua" w:cs="Arial"/>
          <w:lang w:val="en-GB"/>
        </w:rPr>
        <w:t xml:space="preserve"> all patients with a TBA above </w:t>
      </w:r>
      <w:r w:rsidR="0069524D" w:rsidRPr="00843CFD">
        <w:rPr>
          <w:rFonts w:ascii="Book Antiqua" w:hAnsi="Book Antiqua" w:cs="Arial"/>
          <w:lang w:val="en-GB"/>
        </w:rPr>
        <w:t>8 μmol/L</w:t>
      </w:r>
      <w:r w:rsidR="00236B67" w:rsidRPr="00843CFD">
        <w:rPr>
          <w:rFonts w:ascii="Book Antiqua" w:hAnsi="Book Antiqua" w:cs="Arial"/>
          <w:lang w:val="en-GB"/>
        </w:rPr>
        <w:t>,</w:t>
      </w:r>
      <w:r w:rsidR="00894A63" w:rsidRPr="00843CFD">
        <w:rPr>
          <w:rFonts w:ascii="Book Antiqua" w:hAnsi="Book Antiqua" w:cs="Arial"/>
          <w:lang w:val="en-GB"/>
        </w:rPr>
        <w:t xml:space="preserve"> and </w:t>
      </w:r>
      <w:r w:rsidR="00236B67" w:rsidRPr="00843CFD">
        <w:rPr>
          <w:rFonts w:ascii="Book Antiqua" w:hAnsi="Book Antiqua" w:cs="Arial"/>
          <w:lang w:val="en-GB"/>
        </w:rPr>
        <w:t xml:space="preserve">for </w:t>
      </w:r>
      <w:r w:rsidR="00894A63" w:rsidRPr="00843CFD">
        <w:rPr>
          <w:rFonts w:ascii="Book Antiqua" w:hAnsi="Book Antiqua" w:cs="Arial"/>
          <w:lang w:val="en-GB"/>
        </w:rPr>
        <w:t>an equal number of patients</w:t>
      </w:r>
      <w:r w:rsidR="00031135" w:rsidRPr="00843CFD">
        <w:rPr>
          <w:rFonts w:ascii="Book Antiqua" w:hAnsi="Book Antiqua" w:cs="Arial"/>
          <w:lang w:val="en-GB"/>
        </w:rPr>
        <w:t xml:space="preserve"> </w:t>
      </w:r>
      <w:r w:rsidR="00894A63" w:rsidRPr="00843CFD">
        <w:rPr>
          <w:rFonts w:ascii="Book Antiqua" w:hAnsi="Book Antiqua" w:cs="Arial"/>
          <w:lang w:val="en-GB"/>
        </w:rPr>
        <w:t xml:space="preserve">adjusted for age and type of </w:t>
      </w:r>
      <w:r w:rsidR="00800302" w:rsidRPr="00843CFD">
        <w:rPr>
          <w:rFonts w:ascii="Book Antiqua" w:hAnsi="Book Antiqua" w:cs="Arial"/>
          <w:lang w:val="en-GB"/>
        </w:rPr>
        <w:t>disease with</w:t>
      </w:r>
      <w:r w:rsidR="00894A63" w:rsidRPr="00843CFD">
        <w:rPr>
          <w:rFonts w:ascii="Book Antiqua" w:hAnsi="Book Antiqua" w:cs="Arial"/>
          <w:lang w:val="en-GB"/>
        </w:rPr>
        <w:t xml:space="preserve"> a TBA less than </w:t>
      </w:r>
      <w:r w:rsidR="0069524D" w:rsidRPr="00843CFD">
        <w:rPr>
          <w:rFonts w:ascii="Book Antiqua" w:hAnsi="Book Antiqua" w:cs="Arial"/>
          <w:lang w:val="en-GB"/>
        </w:rPr>
        <w:t>8 μmol/L</w:t>
      </w:r>
      <w:r w:rsidR="005F7A0C" w:rsidRPr="00843CFD">
        <w:rPr>
          <w:rFonts w:ascii="Book Antiqua" w:hAnsi="Book Antiqua" w:cs="Arial"/>
          <w:lang w:val="en-GB"/>
        </w:rPr>
        <w:t>.</w:t>
      </w:r>
      <w:r w:rsidR="00261354" w:rsidRPr="00843CFD">
        <w:rPr>
          <w:rFonts w:ascii="Book Antiqua" w:hAnsi="Book Antiqua" w:cs="Arial"/>
          <w:lang w:val="en-GB"/>
        </w:rPr>
        <w:t xml:space="preserve"> </w:t>
      </w:r>
      <w:r w:rsidR="00A66A0A" w:rsidRPr="00843CFD">
        <w:rPr>
          <w:rFonts w:ascii="Book Antiqua" w:hAnsi="Book Antiqua" w:cs="Arial"/>
          <w:lang w:val="en-GB"/>
        </w:rPr>
        <w:t xml:space="preserve">These latter patients </w:t>
      </w:r>
      <w:r w:rsidR="00ED22B1" w:rsidRPr="00843CFD">
        <w:rPr>
          <w:rFonts w:ascii="Book Antiqua" w:hAnsi="Book Antiqua" w:cs="Arial"/>
          <w:lang w:val="en-GB"/>
        </w:rPr>
        <w:t xml:space="preserve">were </w:t>
      </w:r>
      <w:r w:rsidR="00A66A0A" w:rsidRPr="00843CFD">
        <w:rPr>
          <w:rFonts w:ascii="Book Antiqua" w:hAnsi="Book Antiqua" w:cs="Arial"/>
          <w:lang w:val="en-GB"/>
        </w:rPr>
        <w:t xml:space="preserve">randomly selected among </w:t>
      </w:r>
      <w:r w:rsidR="00236B67" w:rsidRPr="00843CFD">
        <w:rPr>
          <w:rFonts w:ascii="Book Antiqua" w:hAnsi="Book Antiqua" w:cs="Arial"/>
          <w:lang w:val="en-GB"/>
        </w:rPr>
        <w:t xml:space="preserve">those in </w:t>
      </w:r>
      <w:r w:rsidR="00A66A0A" w:rsidRPr="00843CFD">
        <w:rPr>
          <w:rFonts w:ascii="Book Antiqua" w:hAnsi="Book Antiqua" w:cs="Arial"/>
          <w:lang w:val="en-GB"/>
        </w:rPr>
        <w:t xml:space="preserve">the SIBDC. </w:t>
      </w:r>
      <w:r w:rsidR="005F7A0C" w:rsidRPr="00843CFD">
        <w:rPr>
          <w:rFonts w:ascii="Book Antiqua" w:hAnsi="Book Antiqua" w:cs="Arial"/>
          <w:lang w:val="en-GB"/>
        </w:rPr>
        <w:t xml:space="preserve">This </w:t>
      </w:r>
      <w:r w:rsidR="00031135" w:rsidRPr="00843CFD">
        <w:rPr>
          <w:rFonts w:ascii="Book Antiqua" w:hAnsi="Book Antiqua" w:cs="Arial"/>
          <w:lang w:val="en-GB"/>
        </w:rPr>
        <w:t xml:space="preserve">further </w:t>
      </w:r>
      <w:r w:rsidR="005F7A0C" w:rsidRPr="00843CFD">
        <w:rPr>
          <w:rFonts w:ascii="Book Antiqua" w:hAnsi="Book Antiqua" w:cs="Arial"/>
          <w:lang w:val="en-GB"/>
        </w:rPr>
        <w:t>analys</w:t>
      </w:r>
      <w:r w:rsidR="00031135" w:rsidRPr="00843CFD">
        <w:rPr>
          <w:rFonts w:ascii="Book Antiqua" w:hAnsi="Book Antiqua" w:cs="Arial"/>
          <w:lang w:val="en-GB"/>
        </w:rPr>
        <w:t>is</w:t>
      </w:r>
      <w:r w:rsidR="005F7A0C" w:rsidRPr="00843CFD">
        <w:rPr>
          <w:rFonts w:ascii="Book Antiqua" w:hAnsi="Book Antiqua" w:cs="Arial"/>
          <w:lang w:val="en-GB"/>
        </w:rPr>
        <w:t xml:space="preserve"> was performed using </w:t>
      </w:r>
      <w:r w:rsidR="00800302" w:rsidRPr="00843CFD">
        <w:rPr>
          <w:rFonts w:ascii="Book Antiqua" w:hAnsi="Book Antiqua" w:cs="Arial"/>
          <w:lang w:val="en-GB"/>
        </w:rPr>
        <w:t>ultra-high</w:t>
      </w:r>
      <w:r w:rsidR="005F7A0C" w:rsidRPr="00843CFD">
        <w:rPr>
          <w:rFonts w:ascii="Book Antiqua" w:hAnsi="Book Antiqua" w:cs="Arial"/>
          <w:lang w:val="en-GB"/>
        </w:rPr>
        <w:t xml:space="preserve"> performance </w:t>
      </w:r>
      <w:r w:rsidR="00E93750" w:rsidRPr="00843CFD">
        <w:rPr>
          <w:rFonts w:ascii="Book Antiqua" w:hAnsi="Book Antiqua" w:cs="Arial"/>
          <w:lang w:val="en-GB"/>
        </w:rPr>
        <w:t>liquid chromatography</w:t>
      </w:r>
      <w:r w:rsidR="00236B67" w:rsidRPr="00843CFD">
        <w:rPr>
          <w:rFonts w:ascii="Book Antiqua" w:hAnsi="Book Antiqua" w:cs="Arial"/>
          <w:lang w:val="en-GB"/>
        </w:rPr>
        <w:t xml:space="preserve"> with </w:t>
      </w:r>
      <w:r w:rsidR="005F7A0C" w:rsidRPr="00843CFD">
        <w:rPr>
          <w:rFonts w:ascii="Book Antiqua" w:hAnsi="Book Antiqua" w:cs="Arial"/>
          <w:lang w:val="en-GB"/>
        </w:rPr>
        <w:t>tandem mass spectrometry</w:t>
      </w:r>
      <w:r w:rsidR="00E33145" w:rsidRPr="00843CFD">
        <w:rPr>
          <w:rFonts w:ascii="Book Antiqua" w:hAnsi="Book Antiqua" w:cs="Arial"/>
          <w:lang w:val="en-GB"/>
        </w:rPr>
        <w:t>. Serum samples were mixed with a methanolic standard solution. After several centrifugation</w:t>
      </w:r>
      <w:r w:rsidR="00236B67" w:rsidRPr="00843CFD">
        <w:rPr>
          <w:rFonts w:ascii="Book Antiqua" w:hAnsi="Book Antiqua" w:cs="Arial"/>
          <w:lang w:val="en-GB"/>
        </w:rPr>
        <w:t>s</w:t>
      </w:r>
      <w:r w:rsidR="00E33145" w:rsidRPr="00843CFD">
        <w:rPr>
          <w:rFonts w:ascii="Book Antiqua" w:hAnsi="Book Antiqua" w:cs="Arial"/>
          <w:lang w:val="en-GB"/>
        </w:rPr>
        <w:t xml:space="preserve"> and dilution</w:t>
      </w:r>
      <w:r w:rsidR="00236B67" w:rsidRPr="00843CFD">
        <w:rPr>
          <w:rFonts w:ascii="Book Antiqua" w:hAnsi="Book Antiqua" w:cs="Arial"/>
          <w:lang w:val="en-GB"/>
        </w:rPr>
        <w:t>s</w:t>
      </w:r>
      <w:r w:rsidR="00E33145" w:rsidRPr="00843CFD">
        <w:rPr>
          <w:rFonts w:ascii="Book Antiqua" w:hAnsi="Book Antiqua" w:cs="Arial"/>
          <w:lang w:val="en-GB"/>
        </w:rPr>
        <w:t xml:space="preserve"> with methanol/water 1:1, </w:t>
      </w:r>
      <w:r w:rsidR="00236B67" w:rsidRPr="00843CFD">
        <w:rPr>
          <w:rFonts w:ascii="Book Antiqua" w:hAnsi="Book Antiqua" w:cs="Arial"/>
          <w:lang w:val="en-GB"/>
        </w:rPr>
        <w:t xml:space="preserve">the </w:t>
      </w:r>
      <w:r w:rsidR="00E33145" w:rsidRPr="00843CFD">
        <w:rPr>
          <w:rFonts w:ascii="Book Antiqua" w:hAnsi="Book Antiqua" w:cs="Arial"/>
          <w:lang w:val="en-GB"/>
        </w:rPr>
        <w:t xml:space="preserve">final </w:t>
      </w:r>
      <w:r w:rsidR="00236B67" w:rsidRPr="00843CFD">
        <w:rPr>
          <w:rFonts w:ascii="Book Antiqua" w:hAnsi="Book Antiqua" w:cs="Arial"/>
          <w:lang w:val="en-GB"/>
        </w:rPr>
        <w:t>20</w:t>
      </w:r>
      <w:r w:rsidR="00E33145" w:rsidRPr="00843CFD">
        <w:rPr>
          <w:rFonts w:ascii="Book Antiqua" w:hAnsi="Book Antiqua" w:cs="Arial"/>
          <w:lang w:val="en-GB"/>
        </w:rPr>
        <w:t xml:space="preserve"> µ</w:t>
      </w:r>
      <w:r w:rsidR="00CB17CA" w:rsidRPr="00843CFD">
        <w:rPr>
          <w:rFonts w:ascii="Book Antiqua" w:hAnsi="Book Antiqua" w:cs="Arial"/>
          <w:lang w:val="en-GB" w:eastAsia="zh-CN"/>
        </w:rPr>
        <w:t>L</w:t>
      </w:r>
      <w:r w:rsidR="00E33145" w:rsidRPr="00843CFD">
        <w:rPr>
          <w:rFonts w:ascii="Book Antiqua" w:hAnsi="Book Antiqua" w:cs="Arial"/>
          <w:lang w:val="en-GB"/>
        </w:rPr>
        <w:t xml:space="preserve"> of the supernatant was used for</w:t>
      </w:r>
      <w:r w:rsidR="00236B67" w:rsidRPr="00843CFD">
        <w:rPr>
          <w:rFonts w:ascii="Book Antiqua" w:hAnsi="Book Antiqua" w:cs="Arial"/>
          <w:lang w:val="en-GB"/>
        </w:rPr>
        <w:t xml:space="preserve"> high performance</w:t>
      </w:r>
      <w:r w:rsidR="00E33145" w:rsidRPr="00843CFD">
        <w:rPr>
          <w:rFonts w:ascii="Book Antiqua" w:hAnsi="Book Antiqua" w:cs="Arial"/>
          <w:lang w:val="en-GB"/>
        </w:rPr>
        <w:t xml:space="preserve"> </w:t>
      </w:r>
      <w:r w:rsidR="00E33145" w:rsidRPr="00843CFD">
        <w:rPr>
          <w:rFonts w:ascii="Book Antiqua" w:hAnsi="Book Antiqua" w:cs="Arial"/>
          <w:lang w:val="en-GB"/>
        </w:rPr>
        <w:lastRenderedPageBreak/>
        <w:t xml:space="preserve">liquid chromatography on </w:t>
      </w:r>
      <w:r w:rsidR="00236B67" w:rsidRPr="00843CFD">
        <w:rPr>
          <w:rFonts w:ascii="Book Antiqua" w:hAnsi="Book Antiqua" w:cs="Arial"/>
          <w:lang w:val="en-GB"/>
        </w:rPr>
        <w:t xml:space="preserve">a </w:t>
      </w:r>
      <w:r w:rsidR="00E33145" w:rsidRPr="00843CFD">
        <w:rPr>
          <w:rFonts w:ascii="Book Antiqua" w:hAnsi="Book Antiqua" w:cs="Arial"/>
          <w:lang w:val="en-GB"/>
        </w:rPr>
        <w:t>C18 column</w:t>
      </w:r>
      <w:r w:rsidR="00274423" w:rsidRPr="00843CFD">
        <w:rPr>
          <w:rFonts w:ascii="Book Antiqua" w:hAnsi="Book Antiqua" w:cs="Arial"/>
          <w:lang w:val="en-GB"/>
        </w:rPr>
        <w:t xml:space="preserve">. </w:t>
      </w:r>
      <w:r w:rsidR="00236B67" w:rsidRPr="00843CFD">
        <w:rPr>
          <w:rFonts w:ascii="Book Antiqua" w:hAnsi="Book Antiqua" w:cs="Arial"/>
          <w:lang w:val="en-GB"/>
        </w:rPr>
        <w:t>The f</w:t>
      </w:r>
      <w:r w:rsidR="00274423" w:rsidRPr="00843CFD">
        <w:rPr>
          <w:rFonts w:ascii="Book Antiqua" w:hAnsi="Book Antiqua" w:cs="Arial"/>
          <w:lang w:val="en-GB"/>
        </w:rPr>
        <w:t>inal analys</w:t>
      </w:r>
      <w:r w:rsidR="00236B67" w:rsidRPr="00843CFD">
        <w:rPr>
          <w:rFonts w:ascii="Book Antiqua" w:hAnsi="Book Antiqua" w:cs="Arial"/>
          <w:lang w:val="en-GB"/>
        </w:rPr>
        <w:t>e</w:t>
      </w:r>
      <w:r w:rsidR="00274423" w:rsidRPr="00843CFD">
        <w:rPr>
          <w:rFonts w:ascii="Book Antiqua" w:hAnsi="Book Antiqua" w:cs="Arial"/>
          <w:lang w:val="en-GB"/>
        </w:rPr>
        <w:t xml:space="preserve">s </w:t>
      </w:r>
      <w:r w:rsidR="00236B67" w:rsidRPr="00843CFD">
        <w:rPr>
          <w:rFonts w:ascii="Book Antiqua" w:hAnsi="Book Antiqua" w:cs="Arial"/>
          <w:lang w:val="en-GB"/>
        </w:rPr>
        <w:t xml:space="preserve">were </w:t>
      </w:r>
      <w:r w:rsidR="00274423" w:rsidRPr="00843CFD">
        <w:rPr>
          <w:rFonts w:ascii="Book Antiqua" w:hAnsi="Book Antiqua" w:cs="Arial"/>
          <w:lang w:val="en-GB"/>
        </w:rPr>
        <w:t xml:space="preserve">performed </w:t>
      </w:r>
      <w:r w:rsidR="00236B67" w:rsidRPr="00843CFD">
        <w:rPr>
          <w:rFonts w:ascii="Book Antiqua" w:hAnsi="Book Antiqua" w:cs="Arial"/>
          <w:lang w:val="en-GB"/>
        </w:rPr>
        <w:t xml:space="preserve">using </w:t>
      </w:r>
      <w:r w:rsidR="00274423" w:rsidRPr="00843CFD">
        <w:rPr>
          <w:rFonts w:ascii="Book Antiqua" w:hAnsi="Book Antiqua" w:cs="Arial"/>
          <w:lang w:val="en-GB"/>
        </w:rPr>
        <w:t>a QUATTRO Micro tandem mass spectrometer</w:t>
      </w:r>
      <w:r w:rsidR="00E33145" w:rsidRPr="00843CFD">
        <w:rPr>
          <w:rFonts w:ascii="Book Antiqua" w:hAnsi="Book Antiqua" w:cs="Arial"/>
          <w:lang w:val="en-GB"/>
        </w:rPr>
        <w:t xml:space="preserve"> </w:t>
      </w:r>
      <w:r w:rsidR="00031135" w:rsidRPr="00843CFD">
        <w:rPr>
          <w:rFonts w:ascii="Book Antiqua" w:hAnsi="Book Antiqua" w:cs="Arial"/>
          <w:lang w:val="en-GB"/>
        </w:rPr>
        <w:t>(Screening-</w:t>
      </w:r>
      <w:proofErr w:type="spellStart"/>
      <w:r w:rsidR="00031135" w:rsidRPr="00843CFD">
        <w:rPr>
          <w:rFonts w:ascii="Book Antiqua" w:hAnsi="Book Antiqua" w:cs="Arial"/>
          <w:lang w:val="en-GB"/>
        </w:rPr>
        <w:t>Labor</w:t>
      </w:r>
      <w:proofErr w:type="spellEnd"/>
      <w:r w:rsidR="00031135" w:rsidRPr="00843CFD">
        <w:rPr>
          <w:rFonts w:ascii="Book Antiqua" w:hAnsi="Book Antiqua" w:cs="Arial"/>
          <w:lang w:val="en-GB"/>
        </w:rPr>
        <w:t>, Hannover, Germany)</w:t>
      </w:r>
      <w:r w:rsidR="00506234" w:rsidRPr="00843CFD">
        <w:rPr>
          <w:rFonts w:ascii="Book Antiqua" w:hAnsi="Book Antiqua" w:cs="Arial"/>
          <w:vertAlign w:val="superscript"/>
          <w:lang w:val="en-GB"/>
        </w:rPr>
        <w:t>[1</w:t>
      </w:r>
      <w:r w:rsidR="001E6960" w:rsidRPr="00843CFD">
        <w:rPr>
          <w:rFonts w:ascii="Book Antiqua" w:hAnsi="Book Antiqua" w:cs="Arial"/>
          <w:vertAlign w:val="superscript"/>
          <w:lang w:val="en-GB"/>
        </w:rPr>
        <w:t>2</w:t>
      </w:r>
      <w:r w:rsidR="00506234" w:rsidRPr="00843CFD">
        <w:rPr>
          <w:rFonts w:ascii="Book Antiqua" w:hAnsi="Book Antiqua" w:cs="Arial"/>
          <w:vertAlign w:val="superscript"/>
          <w:lang w:val="en-GB"/>
        </w:rPr>
        <w:t>]</w:t>
      </w:r>
      <w:r w:rsidR="005F7A0C" w:rsidRPr="00843CFD">
        <w:rPr>
          <w:rFonts w:ascii="Book Antiqua" w:hAnsi="Book Antiqua" w:cs="Arial"/>
          <w:lang w:val="en-GB"/>
        </w:rPr>
        <w:t>.</w:t>
      </w:r>
      <w:r w:rsidR="00290AB6" w:rsidRPr="00843CFD">
        <w:rPr>
          <w:rFonts w:ascii="Book Antiqua" w:hAnsi="Book Antiqua" w:cs="Arial"/>
          <w:lang w:val="en-US"/>
        </w:rPr>
        <w:t xml:space="preserve"> For a better understanding of the bile </w:t>
      </w:r>
      <w:r w:rsidR="00B90492" w:rsidRPr="00843CFD">
        <w:rPr>
          <w:rFonts w:ascii="Book Antiqua" w:hAnsi="Book Antiqua" w:cs="Arial"/>
          <w:lang w:val="en-US"/>
        </w:rPr>
        <w:t>acid</w:t>
      </w:r>
      <w:r w:rsidR="00290AB6" w:rsidRPr="00843CFD">
        <w:rPr>
          <w:rFonts w:ascii="Book Antiqua" w:hAnsi="Book Antiqua" w:cs="Arial"/>
          <w:lang w:val="en-US"/>
        </w:rPr>
        <w:t xml:space="preserve"> </w:t>
      </w:r>
      <w:r w:rsidR="00652494" w:rsidRPr="00843CFD">
        <w:rPr>
          <w:rFonts w:ascii="Book Antiqua" w:hAnsi="Book Antiqua" w:cs="Arial"/>
          <w:lang w:val="en-US"/>
        </w:rPr>
        <w:t>profile</w:t>
      </w:r>
      <w:r w:rsidR="00236B67" w:rsidRPr="00843CFD">
        <w:rPr>
          <w:rFonts w:ascii="Book Antiqua" w:hAnsi="Book Antiqua" w:cs="Arial"/>
          <w:lang w:val="en-US"/>
        </w:rPr>
        <w:t>s</w:t>
      </w:r>
      <w:r w:rsidR="00652494" w:rsidRPr="00843CFD">
        <w:rPr>
          <w:rFonts w:ascii="Book Antiqua" w:hAnsi="Book Antiqua" w:cs="Arial"/>
          <w:lang w:val="en-US"/>
        </w:rPr>
        <w:t xml:space="preserve">, </w:t>
      </w:r>
      <w:r w:rsidR="00290AB6" w:rsidRPr="00843CFD">
        <w:rPr>
          <w:rFonts w:ascii="Book Antiqua" w:hAnsi="Book Antiqua" w:cs="Arial"/>
          <w:lang w:val="en-US"/>
        </w:rPr>
        <w:t xml:space="preserve">Figure </w:t>
      </w:r>
      <w:r w:rsidR="00806233" w:rsidRPr="00843CFD">
        <w:rPr>
          <w:rFonts w:ascii="Book Antiqua" w:hAnsi="Book Antiqua" w:cs="Arial"/>
          <w:lang w:val="en-US"/>
        </w:rPr>
        <w:t>1</w:t>
      </w:r>
      <w:r w:rsidR="00290AB6" w:rsidRPr="00843CFD">
        <w:rPr>
          <w:rFonts w:ascii="Book Antiqua" w:hAnsi="Book Antiqua" w:cs="Arial"/>
          <w:lang w:val="en-US"/>
        </w:rPr>
        <w:t xml:space="preserve"> </w:t>
      </w:r>
      <w:r w:rsidR="00236B67" w:rsidRPr="00843CFD">
        <w:rPr>
          <w:rFonts w:ascii="Book Antiqua" w:hAnsi="Book Antiqua" w:cs="Arial"/>
          <w:lang w:val="en-US"/>
        </w:rPr>
        <w:t xml:space="preserve">shows </w:t>
      </w:r>
      <w:r w:rsidR="00290AB6" w:rsidRPr="00843CFD">
        <w:rPr>
          <w:rFonts w:ascii="Book Antiqua" w:hAnsi="Book Antiqua" w:cs="Arial"/>
          <w:lang w:val="en-US"/>
        </w:rPr>
        <w:t xml:space="preserve">a </w:t>
      </w:r>
      <w:r w:rsidR="00B9699D" w:rsidRPr="00843CFD">
        <w:rPr>
          <w:rFonts w:ascii="Book Antiqua" w:hAnsi="Book Antiqua" w:cs="Arial"/>
          <w:lang w:val="en-US"/>
        </w:rPr>
        <w:t xml:space="preserve">diagram </w:t>
      </w:r>
      <w:r w:rsidR="00290AB6" w:rsidRPr="00843CFD">
        <w:rPr>
          <w:rFonts w:ascii="Book Antiqua" w:hAnsi="Book Antiqua" w:cs="Arial"/>
          <w:lang w:val="en-US"/>
        </w:rPr>
        <w:t xml:space="preserve">that </w:t>
      </w:r>
      <w:r w:rsidR="009C23A7" w:rsidRPr="00843CFD">
        <w:rPr>
          <w:rFonts w:ascii="Book Antiqua" w:hAnsi="Book Antiqua" w:cs="Arial"/>
          <w:lang w:val="en-US"/>
        </w:rPr>
        <w:t>summar</w:t>
      </w:r>
      <w:r w:rsidR="00652494" w:rsidRPr="00843CFD">
        <w:rPr>
          <w:rFonts w:ascii="Book Antiqua" w:hAnsi="Book Antiqua" w:cs="Arial"/>
          <w:lang w:val="en-US"/>
        </w:rPr>
        <w:t>izes</w:t>
      </w:r>
      <w:r w:rsidR="00290AB6" w:rsidRPr="00843CFD">
        <w:rPr>
          <w:rFonts w:ascii="Book Antiqua" w:hAnsi="Book Antiqua" w:cs="Arial"/>
          <w:lang w:val="en-US"/>
        </w:rPr>
        <w:t xml:space="preserve"> </w:t>
      </w:r>
      <w:r w:rsidR="00B90492" w:rsidRPr="00843CFD">
        <w:rPr>
          <w:rFonts w:ascii="Book Antiqua" w:hAnsi="Book Antiqua" w:cs="Arial"/>
          <w:lang w:val="en-US"/>
        </w:rPr>
        <w:t>bile</w:t>
      </w:r>
      <w:r w:rsidR="00290AB6" w:rsidRPr="00843CFD">
        <w:rPr>
          <w:rFonts w:ascii="Book Antiqua" w:hAnsi="Book Antiqua" w:cs="Arial"/>
          <w:lang w:val="en-US"/>
        </w:rPr>
        <w:t xml:space="preserve"> acid metabolism</w:t>
      </w:r>
      <w:r w:rsidR="00773E30" w:rsidRPr="00843CFD">
        <w:rPr>
          <w:rFonts w:ascii="Book Antiqua" w:hAnsi="Book Antiqua" w:cs="Arial"/>
          <w:lang w:val="en-US"/>
        </w:rPr>
        <w:t>.</w:t>
      </w:r>
      <w:r w:rsidR="0031008A" w:rsidRPr="00843CFD">
        <w:rPr>
          <w:rFonts w:ascii="Book Antiqua" w:hAnsi="Book Antiqua" w:cs="Arial"/>
          <w:lang w:val="en-US"/>
        </w:rPr>
        <w:t xml:space="preserve"> </w:t>
      </w:r>
    </w:p>
    <w:p w:rsidR="000168E1" w:rsidRPr="00843CFD" w:rsidRDefault="000168E1" w:rsidP="000242B5">
      <w:pPr>
        <w:adjustRightInd w:val="0"/>
        <w:snapToGrid w:val="0"/>
        <w:spacing w:line="360" w:lineRule="auto"/>
        <w:jc w:val="both"/>
        <w:rPr>
          <w:rFonts w:ascii="Book Antiqua" w:hAnsi="Book Antiqua" w:cs="Arial"/>
          <w:b/>
          <w:lang w:val="en-US"/>
        </w:rPr>
      </w:pPr>
    </w:p>
    <w:p w:rsidR="000B3BBA" w:rsidRPr="00843CFD" w:rsidRDefault="000B3BBA"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Statistical analysis</w:t>
      </w:r>
      <w:r w:rsidR="002519FE" w:rsidRPr="00843CFD">
        <w:rPr>
          <w:rFonts w:ascii="Book Antiqua" w:hAnsi="Book Antiqua" w:cs="Arial"/>
          <w:b/>
          <w:i/>
          <w:lang w:val="en-US"/>
        </w:rPr>
        <w:t xml:space="preserve"> </w:t>
      </w:r>
    </w:p>
    <w:p w:rsidR="006E2352" w:rsidRPr="00843CFD" w:rsidRDefault="00277539"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Categorical and continuous variables were described as percentages</w:t>
      </w:r>
      <w:r w:rsidR="00236B67" w:rsidRPr="00843CFD">
        <w:rPr>
          <w:rFonts w:ascii="Book Antiqua" w:hAnsi="Book Antiqua" w:cs="Arial"/>
          <w:lang w:val="en-US"/>
        </w:rPr>
        <w:t>,</w:t>
      </w:r>
      <w:r w:rsidRPr="00843CFD">
        <w:rPr>
          <w:rFonts w:ascii="Book Antiqua" w:hAnsi="Book Antiqua" w:cs="Arial"/>
          <w:lang w:val="en-US"/>
        </w:rPr>
        <w:t xml:space="preserve"> mean</w:t>
      </w:r>
      <w:r w:rsidR="00236B67" w:rsidRPr="00843CFD">
        <w:rPr>
          <w:rFonts w:ascii="Book Antiqua" w:hAnsi="Book Antiqua" w:cs="Arial"/>
          <w:lang w:val="en-US"/>
        </w:rPr>
        <w:t>s</w:t>
      </w:r>
      <w:r w:rsidRPr="00843CFD">
        <w:rPr>
          <w:rFonts w:ascii="Book Antiqua" w:hAnsi="Book Antiqua" w:cs="Arial"/>
          <w:lang w:val="en-US"/>
        </w:rPr>
        <w:t xml:space="preserve"> </w:t>
      </w:r>
      <w:r w:rsidR="00236B67" w:rsidRPr="00843CFD">
        <w:rPr>
          <w:rFonts w:ascii="Book Antiqua" w:hAnsi="Book Antiqua" w:cs="Arial"/>
          <w:lang w:val="en-US"/>
        </w:rPr>
        <w:t xml:space="preserve">and </w:t>
      </w:r>
      <w:r w:rsidRPr="00843CFD">
        <w:rPr>
          <w:rFonts w:ascii="Book Antiqua" w:hAnsi="Book Antiqua" w:cs="Arial"/>
          <w:lang w:val="en-US"/>
        </w:rPr>
        <w:t>standard deviation</w:t>
      </w:r>
      <w:r w:rsidR="00236B67" w:rsidRPr="00843CFD">
        <w:rPr>
          <w:rFonts w:ascii="Book Antiqua" w:hAnsi="Book Antiqua" w:cs="Arial"/>
          <w:lang w:val="en-US"/>
        </w:rPr>
        <w:t>s</w:t>
      </w:r>
      <w:r w:rsidRPr="00843CFD">
        <w:rPr>
          <w:rFonts w:ascii="Book Antiqua" w:hAnsi="Book Antiqua" w:cs="Arial"/>
          <w:lang w:val="en-US"/>
        </w:rPr>
        <w:t xml:space="preserve">. </w:t>
      </w:r>
      <w:r w:rsidR="00236B67" w:rsidRPr="00843CFD">
        <w:rPr>
          <w:rFonts w:ascii="Book Antiqua" w:hAnsi="Book Antiqua" w:cs="Arial"/>
          <w:lang w:val="en-US"/>
        </w:rPr>
        <w:t>G</w:t>
      </w:r>
      <w:r w:rsidRPr="00843CFD">
        <w:rPr>
          <w:rFonts w:ascii="Book Antiqua" w:hAnsi="Book Antiqua" w:cs="Arial"/>
          <w:lang w:val="en-US"/>
        </w:rPr>
        <w:t xml:space="preserve">roups were </w:t>
      </w:r>
      <w:r w:rsidR="00A05723" w:rsidRPr="00843CFD">
        <w:rPr>
          <w:rFonts w:ascii="Book Antiqua" w:hAnsi="Book Antiqua" w:cs="Arial"/>
          <w:lang w:val="en-US"/>
        </w:rPr>
        <w:t xml:space="preserve">compared </w:t>
      </w:r>
      <w:r w:rsidRPr="00843CFD">
        <w:rPr>
          <w:rFonts w:ascii="Book Antiqua" w:hAnsi="Book Antiqua" w:cs="Arial"/>
          <w:lang w:val="en-US"/>
        </w:rPr>
        <w:t xml:space="preserve">using </w:t>
      </w:r>
      <w:r w:rsidR="00924208" w:rsidRPr="00843CFD">
        <w:rPr>
          <w:rFonts w:ascii="Book Antiqua" w:hAnsi="Book Antiqua" w:cs="Arial"/>
          <w:lang w:val="en-US"/>
        </w:rPr>
        <w:t>Fisher’s exact</w:t>
      </w:r>
      <w:r w:rsidRPr="00843CFD">
        <w:rPr>
          <w:rFonts w:ascii="Book Antiqua" w:hAnsi="Book Antiqua" w:cs="Arial"/>
          <w:lang w:val="en-US"/>
        </w:rPr>
        <w:t xml:space="preserve"> test for categorical data and the Student </w:t>
      </w:r>
      <w:r w:rsidR="000242B5" w:rsidRPr="00843CFD">
        <w:rPr>
          <w:rFonts w:ascii="Book Antiqua" w:hAnsi="Book Antiqua" w:cs="Arial"/>
          <w:i/>
          <w:lang w:val="en-US"/>
        </w:rPr>
        <w:t>t</w:t>
      </w:r>
      <w:r w:rsidR="000242B5" w:rsidRPr="00843CFD">
        <w:rPr>
          <w:rFonts w:ascii="Book Antiqua" w:hAnsi="Book Antiqua" w:cs="Arial"/>
          <w:lang w:val="en-US" w:eastAsia="zh-CN"/>
        </w:rPr>
        <w:t>-</w:t>
      </w:r>
      <w:r w:rsidRPr="00843CFD">
        <w:rPr>
          <w:rFonts w:ascii="Book Antiqua" w:hAnsi="Book Antiqua" w:cs="Arial"/>
          <w:lang w:val="en-US"/>
        </w:rPr>
        <w:t>test for continuous variables.</w:t>
      </w:r>
      <w:r w:rsidR="00E82782" w:rsidRPr="00843CFD">
        <w:rPr>
          <w:rFonts w:ascii="Book Antiqua" w:hAnsi="Book Antiqua" w:cs="Arial"/>
          <w:lang w:val="en-US"/>
        </w:rPr>
        <w:t xml:space="preserve"> Multivariate analysis was performed </w:t>
      </w:r>
      <w:r w:rsidR="00A05723" w:rsidRPr="00843CFD">
        <w:rPr>
          <w:rFonts w:ascii="Book Antiqua" w:hAnsi="Book Antiqua" w:cs="Arial"/>
          <w:lang w:val="en-US"/>
        </w:rPr>
        <w:t xml:space="preserve">using the software </w:t>
      </w:r>
      <w:r w:rsidR="00924208" w:rsidRPr="00843CFD">
        <w:rPr>
          <w:rFonts w:ascii="Book Antiqua" w:hAnsi="Book Antiqua" w:cs="Arial"/>
          <w:lang w:val="en-US"/>
        </w:rPr>
        <w:t>R statistics</w:t>
      </w:r>
      <w:r w:rsidR="00E82782" w:rsidRPr="00843CFD">
        <w:rPr>
          <w:rFonts w:ascii="Book Antiqua" w:hAnsi="Book Antiqua" w:cs="Arial"/>
          <w:lang w:val="en-US"/>
        </w:rPr>
        <w:t>.</w:t>
      </w:r>
      <w:r w:rsidR="001E1961" w:rsidRPr="00843CFD">
        <w:rPr>
          <w:rFonts w:ascii="Book Antiqua" w:hAnsi="Book Antiqua" w:cs="Arial"/>
          <w:lang w:val="en-US"/>
        </w:rPr>
        <w:t xml:space="preserve"> All variables with </w:t>
      </w:r>
      <w:r w:rsidR="000242B5" w:rsidRPr="00843CFD">
        <w:rPr>
          <w:rFonts w:ascii="Book Antiqua" w:hAnsi="Book Antiqua" w:cs="Arial"/>
          <w:i/>
          <w:lang w:val="en-US"/>
        </w:rPr>
        <w:t>P</w:t>
      </w:r>
      <w:r w:rsidR="001E1961" w:rsidRPr="00843CFD">
        <w:rPr>
          <w:rFonts w:ascii="Book Antiqua" w:hAnsi="Book Antiqua" w:cs="Arial"/>
          <w:lang w:val="en-US"/>
        </w:rPr>
        <w:t xml:space="preserve"> &lt;</w:t>
      </w:r>
      <w:r w:rsidR="000242B5" w:rsidRPr="00843CFD">
        <w:rPr>
          <w:rFonts w:ascii="Book Antiqua" w:hAnsi="Book Antiqua" w:cs="Arial"/>
          <w:lang w:val="en-US" w:eastAsia="zh-CN"/>
        </w:rPr>
        <w:t xml:space="preserve"> </w:t>
      </w:r>
      <w:r w:rsidR="001E1961" w:rsidRPr="00843CFD">
        <w:rPr>
          <w:rFonts w:ascii="Book Antiqua" w:hAnsi="Book Antiqua" w:cs="Arial"/>
          <w:lang w:val="en-US"/>
        </w:rPr>
        <w:t xml:space="preserve">0.1 in univariate analysis were included in multivariate analysis </w:t>
      </w:r>
      <w:r w:rsidR="00A05723" w:rsidRPr="00843CFD">
        <w:rPr>
          <w:rFonts w:ascii="Book Antiqua" w:hAnsi="Book Antiqua" w:cs="Arial"/>
          <w:lang w:val="en-US"/>
        </w:rPr>
        <w:t>to</w:t>
      </w:r>
      <w:r w:rsidR="001E1961" w:rsidRPr="00843CFD">
        <w:rPr>
          <w:rFonts w:ascii="Book Antiqua" w:hAnsi="Book Antiqua" w:cs="Arial"/>
          <w:lang w:val="en-US"/>
        </w:rPr>
        <w:t xml:space="preserve"> account </w:t>
      </w:r>
      <w:r w:rsidR="00A05723" w:rsidRPr="00843CFD">
        <w:rPr>
          <w:rFonts w:ascii="Book Antiqua" w:hAnsi="Book Antiqua" w:cs="Arial"/>
          <w:lang w:val="en-US"/>
        </w:rPr>
        <w:t xml:space="preserve">for </w:t>
      </w:r>
      <w:r w:rsidR="001E1961" w:rsidRPr="00843CFD">
        <w:rPr>
          <w:rFonts w:ascii="Book Antiqua" w:hAnsi="Book Antiqua" w:cs="Arial"/>
          <w:lang w:val="en-US"/>
        </w:rPr>
        <w:t xml:space="preserve">all possible confounders. </w:t>
      </w:r>
      <w:r w:rsidRPr="00843CFD">
        <w:rPr>
          <w:rFonts w:ascii="Book Antiqua" w:hAnsi="Book Antiqua" w:cs="Arial"/>
          <w:lang w:val="en-US"/>
        </w:rPr>
        <w:t xml:space="preserve">All </w:t>
      </w:r>
      <w:r w:rsidR="00A05723" w:rsidRPr="00843CFD">
        <w:rPr>
          <w:rFonts w:ascii="Book Antiqua" w:hAnsi="Book Antiqua" w:cs="Arial"/>
          <w:lang w:val="en-US"/>
        </w:rPr>
        <w:t xml:space="preserve">significance </w:t>
      </w:r>
      <w:r w:rsidRPr="00843CFD">
        <w:rPr>
          <w:rFonts w:ascii="Book Antiqua" w:hAnsi="Book Antiqua" w:cs="Arial"/>
          <w:lang w:val="en-US"/>
        </w:rPr>
        <w:t xml:space="preserve">tests were two-sided, and </w:t>
      </w:r>
      <w:r w:rsidR="00CB17CA" w:rsidRPr="00843CFD">
        <w:rPr>
          <w:rFonts w:ascii="Book Antiqua" w:hAnsi="Book Antiqua" w:cs="Arial"/>
          <w:i/>
          <w:lang w:val="en-US"/>
        </w:rPr>
        <w:t>P</w:t>
      </w:r>
      <w:r w:rsidR="00CB17CA" w:rsidRPr="00843CFD">
        <w:rPr>
          <w:rFonts w:ascii="Book Antiqua" w:hAnsi="Book Antiqua" w:cs="Arial"/>
          <w:lang w:val="en-US" w:eastAsia="zh-CN"/>
        </w:rPr>
        <w:t xml:space="preserve"> </w:t>
      </w:r>
      <w:r w:rsidRPr="00843CFD">
        <w:rPr>
          <w:rFonts w:ascii="Book Antiqua" w:hAnsi="Book Antiqua" w:cs="Arial"/>
          <w:lang w:val="en-US"/>
        </w:rPr>
        <w:t>&lt;</w:t>
      </w:r>
      <w:r w:rsidR="00CB17CA" w:rsidRPr="00843CFD">
        <w:rPr>
          <w:rFonts w:ascii="Book Antiqua" w:hAnsi="Book Antiqua" w:cs="Arial"/>
          <w:lang w:val="en-US" w:eastAsia="zh-CN"/>
        </w:rPr>
        <w:t xml:space="preserve"> </w:t>
      </w:r>
      <w:r w:rsidRPr="00843CFD">
        <w:rPr>
          <w:rFonts w:ascii="Book Antiqua" w:hAnsi="Book Antiqua" w:cs="Arial"/>
          <w:lang w:val="en-US"/>
        </w:rPr>
        <w:t>0.05</w:t>
      </w:r>
      <w:r w:rsidR="00E82782" w:rsidRPr="00843CFD">
        <w:rPr>
          <w:rFonts w:ascii="Book Antiqua" w:hAnsi="Book Antiqua" w:cs="Arial"/>
          <w:lang w:val="en-US"/>
        </w:rPr>
        <w:t xml:space="preserve"> were considered significant</w:t>
      </w:r>
      <w:r w:rsidRPr="00843CFD">
        <w:rPr>
          <w:rFonts w:ascii="Book Antiqua" w:hAnsi="Book Antiqua" w:cs="Arial"/>
          <w:lang w:val="en-US"/>
        </w:rPr>
        <w:t>.</w:t>
      </w:r>
      <w:r w:rsidR="00E66FE7" w:rsidRPr="00843CFD">
        <w:rPr>
          <w:rFonts w:ascii="Book Antiqua" w:hAnsi="Book Antiqua" w:cs="Arial"/>
          <w:lang w:val="en-US"/>
        </w:rPr>
        <w:t xml:space="preserve"> </w:t>
      </w:r>
      <w:r w:rsidR="00F0297C" w:rsidRPr="00843CFD">
        <w:rPr>
          <w:rFonts w:ascii="Book Antiqua" w:hAnsi="Book Antiqua" w:cs="Arial"/>
          <w:lang w:val="en-US"/>
        </w:rPr>
        <w:t xml:space="preserve">The statistical methods of this study were reviewed by </w:t>
      </w:r>
      <w:proofErr w:type="spellStart"/>
      <w:r w:rsidR="00F0297C" w:rsidRPr="00843CFD">
        <w:rPr>
          <w:rFonts w:ascii="Book Antiqua" w:hAnsi="Book Antiqua" w:cs="Arial"/>
          <w:lang w:val="en-US"/>
        </w:rPr>
        <w:t>Mr</w:t>
      </w:r>
      <w:proofErr w:type="spellEnd"/>
      <w:r w:rsidR="00F0297C" w:rsidRPr="00843CFD">
        <w:rPr>
          <w:rFonts w:ascii="Book Antiqua" w:hAnsi="Book Antiqua" w:cs="Arial"/>
          <w:lang w:val="en-US"/>
        </w:rPr>
        <w:t xml:space="preserve"> Fournier Nicolas from the SIBDC.</w:t>
      </w:r>
    </w:p>
    <w:p w:rsidR="00F34688" w:rsidRPr="00843CFD" w:rsidRDefault="00F34688" w:rsidP="000242B5">
      <w:pPr>
        <w:adjustRightInd w:val="0"/>
        <w:snapToGrid w:val="0"/>
        <w:spacing w:line="360" w:lineRule="auto"/>
        <w:jc w:val="both"/>
        <w:rPr>
          <w:rFonts w:ascii="Book Antiqua" w:hAnsi="Book Antiqua" w:cs="Arial"/>
          <w:lang w:val="en-US"/>
        </w:rPr>
      </w:pPr>
    </w:p>
    <w:p w:rsidR="006E2352" w:rsidRPr="00843CFD" w:rsidRDefault="006E2352"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Ethi</w:t>
      </w:r>
      <w:r w:rsidR="00CB17CA" w:rsidRPr="00843CFD">
        <w:rPr>
          <w:rFonts w:ascii="Book Antiqua" w:hAnsi="Book Antiqua" w:cs="Arial"/>
          <w:b/>
          <w:i/>
          <w:lang w:val="en-US"/>
        </w:rPr>
        <w:t>cal con</w:t>
      </w:r>
      <w:r w:rsidRPr="00843CFD">
        <w:rPr>
          <w:rFonts w:ascii="Book Antiqua" w:hAnsi="Book Antiqua" w:cs="Arial"/>
          <w:b/>
          <w:i/>
          <w:lang w:val="en-US"/>
        </w:rPr>
        <w:t>siderations</w:t>
      </w:r>
    </w:p>
    <w:p w:rsidR="00866F9B" w:rsidRPr="00843CFD" w:rsidRDefault="00ED22B1"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 xml:space="preserve">The study was approved by the </w:t>
      </w:r>
      <w:r w:rsidR="00A05723" w:rsidRPr="00843CFD">
        <w:rPr>
          <w:rFonts w:ascii="Book Antiqua" w:hAnsi="Book Antiqua" w:cs="Arial"/>
          <w:lang w:val="en-US"/>
        </w:rPr>
        <w:t xml:space="preserve">ethical review board of the </w:t>
      </w:r>
      <w:r w:rsidR="000441D5" w:rsidRPr="00843CFD">
        <w:rPr>
          <w:rFonts w:ascii="Book Antiqua" w:hAnsi="Book Antiqua" w:cs="Arial"/>
          <w:lang w:val="en-US"/>
        </w:rPr>
        <w:t xml:space="preserve">SIBDC </w:t>
      </w:r>
      <w:r w:rsidR="00A05723" w:rsidRPr="00843CFD">
        <w:rPr>
          <w:rFonts w:ascii="Book Antiqua" w:hAnsi="Book Antiqua" w:cs="Arial"/>
          <w:lang w:val="en-US"/>
        </w:rPr>
        <w:t>and of</w:t>
      </w:r>
      <w:r w:rsidR="000441D5" w:rsidRPr="00843CFD">
        <w:rPr>
          <w:rFonts w:ascii="Book Antiqua" w:hAnsi="Book Antiqua" w:cs="Arial"/>
          <w:lang w:val="en-US"/>
        </w:rPr>
        <w:t xml:space="preserve"> </w:t>
      </w:r>
      <w:r w:rsidR="000441D5" w:rsidRPr="00843CFD">
        <w:rPr>
          <w:rFonts w:ascii="Book Antiqua" w:hAnsi="Book Antiqua" w:cs="Arial"/>
          <w:lang w:val="en-GB"/>
        </w:rPr>
        <w:t>Geneva University</w:t>
      </w:r>
      <w:r w:rsidR="000441D5" w:rsidRPr="00843CFD">
        <w:rPr>
          <w:rFonts w:ascii="Book Antiqua" w:hAnsi="Book Antiqua" w:cs="Arial"/>
          <w:lang w:val="en-US"/>
        </w:rPr>
        <w:t xml:space="preserve"> in September 2012.</w:t>
      </w:r>
      <w:r w:rsidRPr="00843CFD">
        <w:rPr>
          <w:rFonts w:ascii="Book Antiqua" w:hAnsi="Book Antiqua" w:cs="Arial"/>
          <w:lang w:val="en-GB"/>
        </w:rPr>
        <w:t xml:space="preserve"> </w:t>
      </w:r>
      <w:r w:rsidR="000441D5" w:rsidRPr="00843CFD">
        <w:rPr>
          <w:rFonts w:ascii="Book Antiqua" w:hAnsi="Book Antiqua" w:cs="Arial"/>
          <w:lang w:val="en-US"/>
        </w:rPr>
        <w:t>Written, informed consent was obtained from each patient included in the study</w:t>
      </w:r>
      <w:r w:rsidR="000441D5" w:rsidRPr="00843CFD">
        <w:rPr>
          <w:rFonts w:ascii="Book Antiqua" w:hAnsi="Book Antiqua" w:cs="Arial"/>
          <w:lang w:val="en-GB"/>
        </w:rPr>
        <w:t xml:space="preserve"> </w:t>
      </w:r>
      <w:r w:rsidR="006E2352" w:rsidRPr="00843CFD">
        <w:rPr>
          <w:rFonts w:ascii="Book Antiqua" w:hAnsi="Book Antiqua" w:cs="Arial"/>
          <w:lang w:val="en-GB"/>
        </w:rPr>
        <w:t>at inclusion in the SIBDC. The study protocol conformed to the ethical guidelines of the 1975 Declaration of Helsinki</w:t>
      </w:r>
      <w:r w:rsidR="007B3823" w:rsidRPr="00843CFD">
        <w:rPr>
          <w:rFonts w:ascii="Book Antiqua" w:hAnsi="Book Antiqua" w:cs="Arial"/>
          <w:lang w:val="en-GB"/>
        </w:rPr>
        <w:t xml:space="preserve"> </w:t>
      </w:r>
      <w:r w:rsidR="000441D5" w:rsidRPr="00843CFD">
        <w:rPr>
          <w:rFonts w:ascii="Book Antiqua" w:hAnsi="Book Antiqua" w:cs="Arial"/>
          <w:lang w:val="en-US"/>
        </w:rPr>
        <w:t>as reflected in a prior approval by the institution's human research committee.</w:t>
      </w:r>
    </w:p>
    <w:p w:rsidR="00866F9B" w:rsidRPr="00843CFD" w:rsidRDefault="00866F9B" w:rsidP="000242B5">
      <w:pPr>
        <w:adjustRightInd w:val="0"/>
        <w:snapToGrid w:val="0"/>
        <w:spacing w:line="360" w:lineRule="auto"/>
        <w:jc w:val="both"/>
        <w:rPr>
          <w:rFonts w:ascii="Book Antiqua" w:hAnsi="Book Antiqua" w:cs="Arial"/>
          <w:lang w:val="en-US" w:eastAsia="zh-CN"/>
        </w:rPr>
      </w:pPr>
    </w:p>
    <w:p w:rsidR="00891CF0" w:rsidRPr="00843CFD" w:rsidRDefault="00CB17CA" w:rsidP="000242B5">
      <w:pPr>
        <w:adjustRightInd w:val="0"/>
        <w:snapToGrid w:val="0"/>
        <w:spacing w:line="360" w:lineRule="auto"/>
        <w:jc w:val="both"/>
        <w:rPr>
          <w:rFonts w:ascii="Book Antiqua" w:hAnsi="Book Antiqua" w:cs="Arial"/>
          <w:lang w:val="en-US"/>
        </w:rPr>
      </w:pPr>
      <w:r w:rsidRPr="00843CFD">
        <w:rPr>
          <w:rFonts w:ascii="Book Antiqua" w:hAnsi="Book Antiqua" w:cs="Arial"/>
          <w:b/>
          <w:lang w:val="en-US"/>
        </w:rPr>
        <w:t>RESULTS</w:t>
      </w:r>
    </w:p>
    <w:p w:rsidR="00105D6B" w:rsidRPr="00843CFD" w:rsidRDefault="008E47EF"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A total of 1342 patients w</w:t>
      </w:r>
      <w:r w:rsidR="00771874" w:rsidRPr="00843CFD">
        <w:rPr>
          <w:rFonts w:ascii="Book Antiqua" w:hAnsi="Book Antiqua" w:cs="Arial"/>
          <w:lang w:val="en-US"/>
        </w:rPr>
        <w:t>ere</w:t>
      </w:r>
      <w:r w:rsidR="00031135" w:rsidRPr="00843CFD">
        <w:rPr>
          <w:rFonts w:ascii="Book Antiqua" w:hAnsi="Book Antiqua" w:cs="Arial"/>
          <w:lang w:val="en-US"/>
        </w:rPr>
        <w:t xml:space="preserve"> </w:t>
      </w:r>
      <w:r w:rsidRPr="00843CFD">
        <w:rPr>
          <w:rFonts w:ascii="Book Antiqua" w:hAnsi="Book Antiqua" w:cs="Arial"/>
          <w:lang w:val="en-US"/>
        </w:rPr>
        <w:t>included</w:t>
      </w:r>
      <w:r w:rsidR="00031135" w:rsidRPr="00843CFD">
        <w:rPr>
          <w:rFonts w:ascii="Book Antiqua" w:hAnsi="Book Antiqua" w:cs="Arial"/>
          <w:lang w:val="en-US"/>
        </w:rPr>
        <w:t xml:space="preserve"> in this study</w:t>
      </w:r>
      <w:r w:rsidR="00A80047" w:rsidRPr="00843CFD">
        <w:rPr>
          <w:rFonts w:ascii="Book Antiqua" w:hAnsi="Book Antiqua" w:cs="Arial"/>
          <w:lang w:val="en-US"/>
        </w:rPr>
        <w:t>, of which</w:t>
      </w:r>
      <w:r w:rsidRPr="00843CFD">
        <w:rPr>
          <w:rFonts w:ascii="Book Antiqua" w:hAnsi="Book Antiqua" w:cs="Arial"/>
          <w:lang w:val="en-US"/>
        </w:rPr>
        <w:t xml:space="preserve"> 96 had TBA </w:t>
      </w:r>
      <w:r w:rsidR="00031135" w:rsidRPr="00843CFD">
        <w:rPr>
          <w:rFonts w:ascii="Book Antiqua" w:hAnsi="Book Antiqua" w:cs="Arial"/>
          <w:lang w:val="en-US"/>
        </w:rPr>
        <w:t xml:space="preserve">levels </w:t>
      </w:r>
      <w:r w:rsidRPr="00843CFD">
        <w:rPr>
          <w:rFonts w:ascii="Book Antiqua" w:hAnsi="Book Antiqua" w:cs="Arial"/>
          <w:lang w:val="en-US"/>
        </w:rPr>
        <w:t xml:space="preserve">&gt; </w:t>
      </w:r>
      <w:r w:rsidR="0069524D" w:rsidRPr="00843CFD">
        <w:rPr>
          <w:rFonts w:ascii="Book Antiqua" w:hAnsi="Book Antiqua" w:cs="Arial"/>
          <w:lang w:val="en-US"/>
        </w:rPr>
        <w:t>8 μmol/L</w:t>
      </w:r>
      <w:r w:rsidR="00A80047" w:rsidRPr="00843CFD">
        <w:rPr>
          <w:rFonts w:ascii="Book Antiqua" w:hAnsi="Book Antiqua" w:cs="Arial"/>
          <w:lang w:val="en-US"/>
        </w:rPr>
        <w:t>,</w:t>
      </w:r>
      <w:r w:rsidRPr="00843CFD">
        <w:rPr>
          <w:rFonts w:ascii="Book Antiqua" w:hAnsi="Book Antiqua" w:cs="Arial"/>
          <w:lang w:val="en-US"/>
        </w:rPr>
        <w:t xml:space="preserve"> with a mean level of 21.</w:t>
      </w:r>
      <w:r w:rsidR="0069524D" w:rsidRPr="00843CFD">
        <w:rPr>
          <w:rFonts w:ascii="Book Antiqua" w:hAnsi="Book Antiqua" w:cs="Arial"/>
          <w:lang w:val="en-US"/>
        </w:rPr>
        <w:t>8 μmol/L</w:t>
      </w:r>
      <w:r w:rsidRPr="00843CFD">
        <w:rPr>
          <w:rFonts w:ascii="Book Antiqua" w:hAnsi="Book Antiqua" w:cs="Arial"/>
          <w:lang w:val="en-US"/>
        </w:rPr>
        <w:t xml:space="preserve"> (±</w:t>
      </w:r>
      <w:r w:rsidR="00CB17CA" w:rsidRPr="00843CFD">
        <w:rPr>
          <w:rFonts w:ascii="Book Antiqua" w:hAnsi="Book Antiqua" w:cs="Arial"/>
          <w:lang w:val="en-US" w:eastAsia="zh-CN"/>
        </w:rPr>
        <w:t xml:space="preserve"> </w:t>
      </w:r>
      <w:r w:rsidRPr="00843CFD">
        <w:rPr>
          <w:rFonts w:ascii="Book Antiqua" w:hAnsi="Book Antiqua" w:cs="Arial"/>
          <w:lang w:val="en-US"/>
        </w:rPr>
        <w:t>18)</w:t>
      </w:r>
      <w:r w:rsidR="00771874" w:rsidRPr="00843CFD">
        <w:rPr>
          <w:rFonts w:ascii="Book Antiqua" w:hAnsi="Book Antiqua" w:cs="Arial"/>
          <w:lang w:val="en-US"/>
        </w:rPr>
        <w:t>,</w:t>
      </w:r>
      <w:r w:rsidR="00736A64" w:rsidRPr="00843CFD">
        <w:rPr>
          <w:rFonts w:ascii="Book Antiqua" w:hAnsi="Book Antiqua" w:cs="Arial"/>
          <w:lang w:val="en-US"/>
        </w:rPr>
        <w:t xml:space="preserve"> </w:t>
      </w:r>
      <w:r w:rsidR="00A80047" w:rsidRPr="00843CFD">
        <w:rPr>
          <w:rFonts w:ascii="Book Antiqua" w:hAnsi="Book Antiqua" w:cs="Arial"/>
          <w:lang w:val="en-US"/>
        </w:rPr>
        <w:t xml:space="preserve">and </w:t>
      </w:r>
      <w:r w:rsidR="00736A64" w:rsidRPr="00843CFD">
        <w:rPr>
          <w:rFonts w:ascii="Book Antiqua" w:hAnsi="Book Antiqua" w:cs="Arial"/>
          <w:lang w:val="en-US"/>
        </w:rPr>
        <w:t xml:space="preserve">1246 had TBA </w:t>
      </w:r>
      <w:r w:rsidR="00031135" w:rsidRPr="00843CFD">
        <w:rPr>
          <w:rFonts w:ascii="Book Antiqua" w:hAnsi="Book Antiqua" w:cs="Arial"/>
          <w:lang w:val="en-US"/>
        </w:rPr>
        <w:t xml:space="preserve">levels </w:t>
      </w:r>
      <w:r w:rsidR="00736A64" w:rsidRPr="00843CFD">
        <w:rPr>
          <w:rFonts w:ascii="Book Antiqua" w:hAnsi="Book Antiqua" w:cs="Arial"/>
          <w:lang w:val="en-US"/>
        </w:rPr>
        <w:t xml:space="preserve">&lt; </w:t>
      </w:r>
      <w:r w:rsidR="0069524D" w:rsidRPr="00843CFD">
        <w:rPr>
          <w:rFonts w:ascii="Book Antiqua" w:hAnsi="Book Antiqua" w:cs="Arial"/>
          <w:lang w:val="en-US"/>
        </w:rPr>
        <w:t>8 μmol/L</w:t>
      </w:r>
      <w:r w:rsidR="00736A64" w:rsidRPr="00843CFD">
        <w:rPr>
          <w:rFonts w:ascii="Book Antiqua" w:hAnsi="Book Antiqua" w:cs="Arial"/>
          <w:lang w:val="en-US"/>
        </w:rPr>
        <w:t>.</w:t>
      </w:r>
      <w:r w:rsidRPr="00843CFD">
        <w:rPr>
          <w:rFonts w:ascii="Book Antiqua" w:hAnsi="Book Antiqua" w:cs="Arial"/>
          <w:lang w:val="en-US"/>
        </w:rPr>
        <w:t xml:space="preserve"> </w:t>
      </w:r>
      <w:r w:rsidR="00A80047" w:rsidRPr="00843CFD">
        <w:rPr>
          <w:rFonts w:ascii="Book Antiqua" w:hAnsi="Book Antiqua" w:cs="Arial"/>
          <w:lang w:val="en-US"/>
        </w:rPr>
        <w:t>T</w:t>
      </w:r>
      <w:r w:rsidR="00773E30" w:rsidRPr="00843CFD">
        <w:rPr>
          <w:rFonts w:ascii="Book Antiqua" w:hAnsi="Book Antiqua" w:cs="Arial"/>
          <w:lang w:val="en-US"/>
        </w:rPr>
        <w:t xml:space="preserve">he </w:t>
      </w:r>
      <w:r w:rsidRPr="00843CFD">
        <w:rPr>
          <w:rFonts w:ascii="Book Antiqua" w:hAnsi="Book Antiqua" w:cs="Arial"/>
          <w:lang w:val="en-US"/>
        </w:rPr>
        <w:t>prevalence of cholestasis</w:t>
      </w:r>
      <w:r w:rsidR="00A80047" w:rsidRPr="00843CFD">
        <w:rPr>
          <w:rFonts w:ascii="Book Antiqua" w:hAnsi="Book Antiqua" w:cs="Arial"/>
          <w:lang w:val="en-US"/>
        </w:rPr>
        <w:t xml:space="preserve"> was thus 7.15%, as</w:t>
      </w:r>
      <w:r w:rsidRPr="00843CFD">
        <w:rPr>
          <w:rFonts w:ascii="Book Antiqua" w:hAnsi="Book Antiqua" w:cs="Arial"/>
          <w:lang w:val="en-US"/>
        </w:rPr>
        <w:t xml:space="preserve"> </w:t>
      </w:r>
      <w:r w:rsidR="00BD1E27" w:rsidRPr="00843CFD">
        <w:rPr>
          <w:rFonts w:ascii="Book Antiqua" w:hAnsi="Book Antiqua" w:cs="Arial"/>
          <w:lang w:val="en-US"/>
        </w:rPr>
        <w:t xml:space="preserve">defined by elevated bile acids </w:t>
      </w:r>
      <w:r w:rsidRPr="00843CFD">
        <w:rPr>
          <w:rFonts w:ascii="Book Antiqua" w:hAnsi="Book Antiqua" w:cs="Arial"/>
          <w:lang w:val="en-US"/>
        </w:rPr>
        <w:t xml:space="preserve">in the SIBDC. </w:t>
      </w:r>
    </w:p>
    <w:p w:rsidR="00335CE0" w:rsidRPr="00843CFD" w:rsidRDefault="00A80047"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The c</w:t>
      </w:r>
      <w:r w:rsidR="008E47EF" w:rsidRPr="00843CFD">
        <w:rPr>
          <w:rFonts w:ascii="Book Antiqua" w:hAnsi="Book Antiqua" w:cs="Arial"/>
          <w:lang w:val="en-US"/>
        </w:rPr>
        <w:t>haracteristic</w:t>
      </w:r>
      <w:r w:rsidR="00E93750" w:rsidRPr="00843CFD">
        <w:rPr>
          <w:rFonts w:ascii="Book Antiqua" w:hAnsi="Book Antiqua" w:cs="Arial"/>
          <w:lang w:val="en-US"/>
        </w:rPr>
        <w:t>s</w:t>
      </w:r>
      <w:r w:rsidR="008E47EF" w:rsidRPr="00843CFD">
        <w:rPr>
          <w:rFonts w:ascii="Book Antiqua" w:hAnsi="Book Antiqua" w:cs="Arial"/>
          <w:lang w:val="en-US"/>
        </w:rPr>
        <w:t xml:space="preserve"> of </w:t>
      </w:r>
      <w:r w:rsidRPr="00843CFD">
        <w:rPr>
          <w:rFonts w:ascii="Book Antiqua" w:hAnsi="Book Antiqua" w:cs="Arial"/>
          <w:lang w:val="en-US"/>
        </w:rPr>
        <w:t xml:space="preserve">the </w:t>
      </w:r>
      <w:r w:rsidR="008E47EF" w:rsidRPr="00843CFD">
        <w:rPr>
          <w:rFonts w:ascii="Book Antiqua" w:hAnsi="Book Antiqua" w:cs="Arial"/>
          <w:lang w:val="en-US"/>
        </w:rPr>
        <w:t xml:space="preserve">patients are </w:t>
      </w:r>
      <w:r w:rsidRPr="00843CFD">
        <w:rPr>
          <w:rFonts w:ascii="Book Antiqua" w:hAnsi="Book Antiqua" w:cs="Arial"/>
          <w:lang w:val="en-US"/>
        </w:rPr>
        <w:t xml:space="preserve">listed </w:t>
      </w:r>
      <w:r w:rsidR="008E47EF" w:rsidRPr="00843CFD">
        <w:rPr>
          <w:rFonts w:ascii="Book Antiqua" w:hAnsi="Book Antiqua" w:cs="Arial"/>
          <w:lang w:val="en-US"/>
        </w:rPr>
        <w:t xml:space="preserve">in Table 1. </w:t>
      </w:r>
      <w:proofErr w:type="gramStart"/>
      <w:r w:rsidR="000441D5" w:rsidRPr="00843CFD">
        <w:rPr>
          <w:rFonts w:ascii="Book Antiqua" w:hAnsi="Book Antiqua" w:cs="Arial"/>
          <w:lang w:val="en-US"/>
        </w:rPr>
        <w:t>Age, type of disease and activity indexes were</w:t>
      </w:r>
      <w:proofErr w:type="gramEnd"/>
      <w:r w:rsidR="000441D5" w:rsidRPr="00843CFD">
        <w:rPr>
          <w:rFonts w:ascii="Book Antiqua" w:hAnsi="Book Antiqua" w:cs="Arial"/>
          <w:lang w:val="en-US"/>
        </w:rPr>
        <w:t xml:space="preserve"> similar </w:t>
      </w:r>
      <w:r w:rsidRPr="00843CFD">
        <w:rPr>
          <w:rFonts w:ascii="Book Antiqua" w:hAnsi="Book Antiqua" w:cs="Arial"/>
          <w:lang w:val="en-US"/>
        </w:rPr>
        <w:t>in the two</w:t>
      </w:r>
      <w:r w:rsidR="000441D5" w:rsidRPr="00843CFD">
        <w:rPr>
          <w:rFonts w:ascii="Book Antiqua" w:hAnsi="Book Antiqua" w:cs="Arial"/>
          <w:lang w:val="en-US"/>
        </w:rPr>
        <w:t xml:space="preserve"> groups. </w:t>
      </w:r>
      <w:r w:rsidR="008E47EF" w:rsidRPr="00843CFD">
        <w:rPr>
          <w:rFonts w:ascii="Book Antiqua" w:hAnsi="Book Antiqua" w:cs="Arial"/>
          <w:lang w:val="en-US"/>
        </w:rPr>
        <w:t xml:space="preserve">There were more </w:t>
      </w:r>
      <w:r w:rsidR="00736A64" w:rsidRPr="00843CFD">
        <w:rPr>
          <w:rFonts w:ascii="Book Antiqua" w:hAnsi="Book Antiqua" w:cs="Arial"/>
          <w:lang w:val="en-US"/>
        </w:rPr>
        <w:t>male</w:t>
      </w:r>
      <w:r w:rsidR="00773E30" w:rsidRPr="00843CFD">
        <w:rPr>
          <w:rFonts w:ascii="Book Antiqua" w:hAnsi="Book Antiqua" w:cs="Arial"/>
          <w:lang w:val="en-US"/>
        </w:rPr>
        <w:t>s</w:t>
      </w:r>
      <w:r w:rsidR="00736A64" w:rsidRPr="00843CFD">
        <w:rPr>
          <w:rFonts w:ascii="Book Antiqua" w:hAnsi="Book Antiqua" w:cs="Arial"/>
          <w:lang w:val="en-US"/>
        </w:rPr>
        <w:t xml:space="preserve"> in the cholestasis group </w:t>
      </w:r>
      <w:r w:rsidR="00020FA2" w:rsidRPr="00843CFD">
        <w:rPr>
          <w:rFonts w:ascii="Book Antiqua" w:hAnsi="Book Antiqua" w:cs="Arial"/>
          <w:lang w:val="en-US"/>
        </w:rPr>
        <w:t>(</w:t>
      </w:r>
      <w:r w:rsidR="00736A64" w:rsidRPr="00843CFD">
        <w:rPr>
          <w:rFonts w:ascii="Book Antiqua" w:hAnsi="Book Antiqua" w:cs="Arial"/>
          <w:lang w:val="en-US"/>
        </w:rPr>
        <w:t>63%</w:t>
      </w:r>
      <w:r w:rsidR="00FE1973" w:rsidRPr="00843CFD">
        <w:rPr>
          <w:rFonts w:ascii="Book Antiqua" w:hAnsi="Book Antiqua" w:cs="Arial"/>
          <w:i/>
          <w:lang w:val="en-US"/>
        </w:rPr>
        <w:t xml:space="preserve"> vs</w:t>
      </w:r>
      <w:r w:rsidR="00866F9B" w:rsidRPr="00843CFD">
        <w:rPr>
          <w:rFonts w:ascii="Book Antiqua" w:hAnsi="Book Antiqua" w:cs="Arial"/>
          <w:i/>
          <w:lang w:val="en-US"/>
        </w:rPr>
        <w:t xml:space="preserve"> </w:t>
      </w:r>
      <w:r w:rsidR="00736A64" w:rsidRPr="00843CFD">
        <w:rPr>
          <w:rFonts w:ascii="Book Antiqua" w:hAnsi="Book Antiqua" w:cs="Arial"/>
          <w:lang w:val="en-US"/>
        </w:rPr>
        <w:t xml:space="preserve">51%, </w:t>
      </w:r>
      <w:r w:rsidR="00FE1973" w:rsidRPr="00843CFD">
        <w:rPr>
          <w:rFonts w:ascii="Book Antiqua" w:hAnsi="Book Antiqua" w:cs="Arial"/>
          <w:i/>
          <w:lang w:val="en-US"/>
        </w:rPr>
        <w:t>P =</w:t>
      </w:r>
      <w:r w:rsidRPr="00843CFD">
        <w:rPr>
          <w:rFonts w:ascii="Book Antiqua" w:hAnsi="Book Antiqua" w:cs="Arial"/>
          <w:lang w:val="en-US"/>
        </w:rPr>
        <w:t xml:space="preserve"> </w:t>
      </w:r>
      <w:r w:rsidR="00736A64" w:rsidRPr="00843CFD">
        <w:rPr>
          <w:rFonts w:ascii="Book Antiqua" w:hAnsi="Book Antiqua" w:cs="Arial"/>
          <w:lang w:val="en-US"/>
        </w:rPr>
        <w:t>0.027</w:t>
      </w:r>
      <w:r w:rsidR="00020FA2" w:rsidRPr="00843CFD">
        <w:rPr>
          <w:rFonts w:ascii="Book Antiqua" w:hAnsi="Book Antiqua" w:cs="Arial"/>
          <w:lang w:val="en-US"/>
        </w:rPr>
        <w:t>)</w:t>
      </w:r>
      <w:r w:rsidR="00A84C62" w:rsidRPr="00843CFD">
        <w:rPr>
          <w:rFonts w:ascii="Book Antiqua" w:hAnsi="Book Antiqua" w:cs="Arial"/>
          <w:lang w:val="en-US"/>
        </w:rPr>
        <w:t xml:space="preserve"> and nonsmokers (83%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A84C62" w:rsidRPr="00843CFD">
        <w:rPr>
          <w:rFonts w:ascii="Book Antiqua" w:hAnsi="Book Antiqua" w:cs="Arial"/>
          <w:lang w:val="en-US"/>
        </w:rPr>
        <w:t xml:space="preserve">72%, </w:t>
      </w:r>
      <w:r w:rsidR="00FE1973" w:rsidRPr="00843CFD">
        <w:rPr>
          <w:rFonts w:ascii="Book Antiqua" w:hAnsi="Book Antiqua" w:cs="Arial"/>
          <w:i/>
          <w:lang w:val="en-US"/>
        </w:rPr>
        <w:t>P =</w:t>
      </w:r>
      <w:r w:rsidRPr="00843CFD">
        <w:rPr>
          <w:rFonts w:ascii="Book Antiqua" w:hAnsi="Book Antiqua" w:cs="Arial"/>
          <w:lang w:val="en-US"/>
        </w:rPr>
        <w:t xml:space="preserve"> </w:t>
      </w:r>
      <w:r w:rsidR="00A84C62" w:rsidRPr="00843CFD">
        <w:rPr>
          <w:rFonts w:ascii="Book Antiqua" w:hAnsi="Book Antiqua" w:cs="Arial"/>
          <w:lang w:val="en-US"/>
        </w:rPr>
        <w:t>0.023)</w:t>
      </w:r>
      <w:r w:rsidR="00736A64" w:rsidRPr="00843CFD">
        <w:rPr>
          <w:rFonts w:ascii="Book Antiqua" w:hAnsi="Book Antiqua" w:cs="Arial"/>
          <w:lang w:val="en-US"/>
        </w:rPr>
        <w:t xml:space="preserve">. Patients in the cholestasis group had lower serum albumin </w:t>
      </w:r>
      <w:r w:rsidRPr="00843CFD">
        <w:rPr>
          <w:rFonts w:ascii="Book Antiqua" w:hAnsi="Book Antiqua" w:cs="Arial"/>
          <w:lang w:val="en-US"/>
        </w:rPr>
        <w:t xml:space="preserve">levels </w:t>
      </w:r>
      <w:r w:rsidR="00736A64" w:rsidRPr="00843CFD">
        <w:rPr>
          <w:rFonts w:ascii="Book Antiqua" w:hAnsi="Book Antiqua" w:cs="Arial"/>
          <w:lang w:val="en-US"/>
        </w:rPr>
        <w:t>(38</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736A64" w:rsidRPr="00843CFD">
        <w:rPr>
          <w:rFonts w:ascii="Book Antiqua" w:hAnsi="Book Antiqua" w:cs="Arial"/>
          <w:lang w:val="en-US"/>
        </w:rPr>
        <w:t>39.8 g</w:t>
      </w:r>
      <w:r w:rsidR="00472E89" w:rsidRPr="00843CFD">
        <w:rPr>
          <w:rFonts w:ascii="Book Antiqua" w:hAnsi="Book Antiqua" w:cs="Arial"/>
          <w:lang w:val="en-US"/>
        </w:rPr>
        <w:t>/</w:t>
      </w:r>
      <w:r w:rsidR="000242B5" w:rsidRPr="00843CFD">
        <w:rPr>
          <w:rFonts w:ascii="Book Antiqua" w:hAnsi="Book Antiqua" w:cs="Arial"/>
          <w:lang w:val="en-US"/>
        </w:rPr>
        <w:t>L</w:t>
      </w:r>
      <w:r w:rsidR="00736A64" w:rsidRPr="00843CFD">
        <w:rPr>
          <w:rFonts w:ascii="Book Antiqua" w:hAnsi="Book Antiqua" w:cs="Arial"/>
          <w:lang w:val="en-US"/>
        </w:rPr>
        <w:t xml:space="preserve">, </w:t>
      </w:r>
      <w:r w:rsidR="00FE1973" w:rsidRPr="00843CFD">
        <w:rPr>
          <w:rFonts w:ascii="Book Antiqua" w:hAnsi="Book Antiqua" w:cs="Arial"/>
          <w:i/>
          <w:lang w:val="en-US"/>
        </w:rPr>
        <w:t>P =</w:t>
      </w:r>
      <w:r w:rsidRPr="00843CFD">
        <w:rPr>
          <w:rFonts w:ascii="Book Antiqua" w:hAnsi="Book Antiqua" w:cs="Arial"/>
          <w:lang w:val="en-US"/>
        </w:rPr>
        <w:t xml:space="preserve"> </w:t>
      </w:r>
      <w:r w:rsidR="00736A64" w:rsidRPr="00843CFD">
        <w:rPr>
          <w:rFonts w:ascii="Book Antiqua" w:hAnsi="Book Antiqua" w:cs="Arial"/>
          <w:lang w:val="en-US"/>
        </w:rPr>
        <w:lastRenderedPageBreak/>
        <w:t>0.016) and higher serum alkaline phosphatase</w:t>
      </w:r>
      <w:r w:rsidRPr="00843CFD">
        <w:rPr>
          <w:rFonts w:ascii="Book Antiqua" w:hAnsi="Book Antiqua" w:cs="Arial"/>
          <w:lang w:val="en-US"/>
        </w:rPr>
        <w:t xml:space="preserve"> levels</w:t>
      </w:r>
      <w:r w:rsidR="00736A64" w:rsidRPr="00843CFD">
        <w:rPr>
          <w:rFonts w:ascii="Book Antiqua" w:hAnsi="Book Antiqua" w:cs="Arial"/>
          <w:lang w:val="en-US"/>
        </w:rPr>
        <w:t xml:space="preserve"> (108.1</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736A64" w:rsidRPr="00843CFD">
        <w:rPr>
          <w:rFonts w:ascii="Book Antiqua" w:hAnsi="Book Antiqua" w:cs="Arial"/>
          <w:lang w:val="en-US"/>
        </w:rPr>
        <w:t xml:space="preserve">69.7 </w:t>
      </w:r>
      <w:r w:rsidR="00472E89" w:rsidRPr="00843CFD">
        <w:rPr>
          <w:rFonts w:ascii="Book Antiqua" w:hAnsi="Book Antiqua" w:cs="Arial"/>
          <w:lang w:val="en-US"/>
        </w:rPr>
        <w:t>U/</w:t>
      </w:r>
      <w:r w:rsidR="000242B5" w:rsidRPr="00843CFD">
        <w:rPr>
          <w:rFonts w:ascii="Book Antiqua" w:hAnsi="Book Antiqua" w:cs="Arial"/>
          <w:lang w:val="en-US"/>
        </w:rPr>
        <w:t>L</w:t>
      </w:r>
      <w:r w:rsidR="00736A64" w:rsidRPr="00843CFD">
        <w:rPr>
          <w:rFonts w:ascii="Book Antiqua" w:hAnsi="Book Antiqua" w:cs="Arial"/>
          <w:lang w:val="en-US"/>
        </w:rPr>
        <w:t xml:space="preserve">, </w:t>
      </w:r>
      <w:r w:rsidR="00FE1973" w:rsidRPr="00843CFD">
        <w:rPr>
          <w:rFonts w:ascii="Book Antiqua" w:hAnsi="Book Antiqua" w:cs="Arial"/>
          <w:i/>
          <w:lang w:val="en-US"/>
        </w:rPr>
        <w:t>P =</w:t>
      </w:r>
      <w:r w:rsidRPr="00843CFD">
        <w:rPr>
          <w:rFonts w:ascii="Book Antiqua" w:hAnsi="Book Antiqua" w:cs="Arial"/>
          <w:lang w:val="en-US"/>
        </w:rPr>
        <w:t xml:space="preserve"> </w:t>
      </w:r>
      <w:r w:rsidR="00736A64" w:rsidRPr="00843CFD">
        <w:rPr>
          <w:rFonts w:ascii="Book Antiqua" w:hAnsi="Book Antiqua" w:cs="Arial"/>
          <w:lang w:val="en-US"/>
        </w:rPr>
        <w:t>10</w:t>
      </w:r>
      <w:r w:rsidR="00736A64" w:rsidRPr="00843CFD">
        <w:rPr>
          <w:rFonts w:ascii="Book Antiqua" w:hAnsi="Book Antiqua" w:cs="Arial"/>
          <w:vertAlign w:val="superscript"/>
          <w:lang w:val="en-US"/>
        </w:rPr>
        <w:t>-12</w:t>
      </w:r>
      <w:r w:rsidR="00736A64" w:rsidRPr="00843CFD">
        <w:rPr>
          <w:rFonts w:ascii="Book Antiqua" w:hAnsi="Book Antiqua" w:cs="Arial"/>
          <w:lang w:val="en-US"/>
        </w:rPr>
        <w:t>)</w:t>
      </w:r>
      <w:r w:rsidR="000441D5" w:rsidRPr="00843CFD">
        <w:rPr>
          <w:rFonts w:ascii="Book Antiqua" w:hAnsi="Book Antiqua" w:cs="Arial"/>
          <w:lang w:val="en-US"/>
        </w:rPr>
        <w:t>;</w:t>
      </w:r>
      <w:r w:rsidR="00736A64" w:rsidRPr="00843CFD">
        <w:rPr>
          <w:rFonts w:ascii="Book Antiqua" w:hAnsi="Book Antiqua" w:cs="Arial"/>
          <w:lang w:val="en-US"/>
        </w:rPr>
        <w:t xml:space="preserve"> </w:t>
      </w:r>
      <w:r w:rsidR="00D07740" w:rsidRPr="00843CFD">
        <w:rPr>
          <w:rFonts w:ascii="Book Antiqua" w:hAnsi="Book Antiqua" w:cs="Arial"/>
          <w:lang w:val="en-US"/>
        </w:rPr>
        <w:t xml:space="preserve">a higher proportion </w:t>
      </w:r>
      <w:r w:rsidR="00736A64" w:rsidRPr="00843CFD">
        <w:rPr>
          <w:rFonts w:ascii="Book Antiqua" w:hAnsi="Book Antiqua" w:cs="Arial"/>
          <w:lang w:val="en-US"/>
        </w:rPr>
        <w:t>received</w:t>
      </w:r>
      <w:r w:rsidR="000441D5" w:rsidRPr="00843CFD">
        <w:rPr>
          <w:rFonts w:ascii="Book Antiqua" w:hAnsi="Book Antiqua" w:cs="Arial"/>
          <w:lang w:val="en-US"/>
        </w:rPr>
        <w:t xml:space="preserve"> </w:t>
      </w:r>
      <w:r w:rsidR="00736A64" w:rsidRPr="00843CFD">
        <w:rPr>
          <w:rFonts w:ascii="Book Antiqua" w:hAnsi="Book Antiqua" w:cs="Arial"/>
          <w:lang w:val="en-US"/>
        </w:rPr>
        <w:t>calcium (39%</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736A64" w:rsidRPr="00843CFD">
        <w:rPr>
          <w:rFonts w:ascii="Book Antiqua" w:hAnsi="Book Antiqua" w:cs="Arial"/>
          <w:lang w:val="en-US"/>
        </w:rPr>
        <w:t xml:space="preserve">29%,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736A64" w:rsidRPr="00843CFD">
        <w:rPr>
          <w:rFonts w:ascii="Book Antiqua" w:hAnsi="Book Antiqua" w:cs="Arial"/>
          <w:lang w:val="en-US"/>
        </w:rPr>
        <w:t xml:space="preserve">0.038), </w:t>
      </w:r>
      <w:r w:rsidR="00D07740" w:rsidRPr="00843CFD">
        <w:rPr>
          <w:rFonts w:ascii="Book Antiqua" w:hAnsi="Book Antiqua" w:cs="Arial"/>
          <w:lang w:val="en-US"/>
        </w:rPr>
        <w:t xml:space="preserve">and </w:t>
      </w:r>
      <w:r w:rsidR="00736A64" w:rsidRPr="00843CFD">
        <w:rPr>
          <w:rFonts w:ascii="Book Antiqua" w:hAnsi="Book Antiqua" w:cs="Arial"/>
          <w:lang w:val="en-US"/>
        </w:rPr>
        <w:t xml:space="preserve">vitamin E </w:t>
      </w:r>
      <w:r w:rsidR="00D07740" w:rsidRPr="00843CFD">
        <w:rPr>
          <w:rFonts w:ascii="Book Antiqua" w:hAnsi="Book Antiqua" w:cs="Arial"/>
          <w:lang w:val="en-US"/>
        </w:rPr>
        <w:t xml:space="preserve">supplements </w:t>
      </w:r>
      <w:r w:rsidR="00736A64" w:rsidRPr="00843CFD">
        <w:rPr>
          <w:rFonts w:ascii="Book Antiqua" w:hAnsi="Book Antiqua" w:cs="Arial"/>
          <w:lang w:val="en-US"/>
        </w:rPr>
        <w:t>(3%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736A64" w:rsidRPr="00843CFD">
        <w:rPr>
          <w:rFonts w:ascii="Book Antiqua" w:hAnsi="Book Antiqua" w:cs="Arial"/>
          <w:lang w:val="en-US"/>
        </w:rPr>
        <w:t xml:space="preserve">1%,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736A64" w:rsidRPr="00843CFD">
        <w:rPr>
          <w:rFonts w:ascii="Book Antiqua" w:hAnsi="Book Antiqua" w:cs="Arial"/>
          <w:lang w:val="en-US"/>
        </w:rPr>
        <w:t>0.016)</w:t>
      </w:r>
      <w:r w:rsidR="00D07740" w:rsidRPr="00843CFD">
        <w:rPr>
          <w:rFonts w:ascii="Book Antiqua" w:hAnsi="Book Antiqua" w:cs="Arial"/>
          <w:lang w:val="en-US"/>
        </w:rPr>
        <w:t>,</w:t>
      </w:r>
      <w:r w:rsidR="00736A64" w:rsidRPr="00843CFD">
        <w:rPr>
          <w:rFonts w:ascii="Book Antiqua" w:hAnsi="Book Antiqua" w:cs="Arial"/>
          <w:lang w:val="en-US"/>
        </w:rPr>
        <w:t xml:space="preserve"> and were treated with</w:t>
      </w:r>
      <w:r w:rsidR="00066BD1" w:rsidRPr="00843CFD">
        <w:rPr>
          <w:rFonts w:ascii="Book Antiqua" w:hAnsi="Book Antiqua" w:cs="Arial"/>
          <w:lang w:val="en-US"/>
        </w:rPr>
        <w:t xml:space="preserve"> tacrolimus (3%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66BD1" w:rsidRPr="00843CFD">
        <w:rPr>
          <w:rFonts w:ascii="Book Antiqua" w:hAnsi="Book Antiqua" w:cs="Arial"/>
          <w:lang w:val="en-US"/>
        </w:rPr>
        <w:t xml:space="preserve">1%,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066BD1" w:rsidRPr="00843CFD">
        <w:rPr>
          <w:rFonts w:ascii="Book Antiqua" w:hAnsi="Book Antiqua" w:cs="Arial"/>
          <w:lang w:val="en-US"/>
        </w:rPr>
        <w:t>0.0093)</w:t>
      </w:r>
      <w:r w:rsidR="00A84C62" w:rsidRPr="00843CFD">
        <w:rPr>
          <w:rFonts w:ascii="Book Antiqua" w:hAnsi="Book Antiqua" w:cs="Arial"/>
          <w:lang w:val="en-US"/>
        </w:rPr>
        <w:t xml:space="preserve"> and</w:t>
      </w:r>
      <w:r w:rsidR="00066BD1" w:rsidRPr="00843CFD">
        <w:rPr>
          <w:rFonts w:ascii="Book Antiqua" w:hAnsi="Book Antiqua" w:cs="Arial"/>
          <w:lang w:val="en-US"/>
        </w:rPr>
        <w:t xml:space="preserve"> </w:t>
      </w:r>
      <w:proofErr w:type="spellStart"/>
      <w:r w:rsidR="00736A64" w:rsidRPr="00843CFD">
        <w:rPr>
          <w:rFonts w:ascii="Book Antiqua" w:hAnsi="Book Antiqua" w:cs="Arial"/>
          <w:lang w:val="en-US"/>
        </w:rPr>
        <w:t>ursodesoxycholic</w:t>
      </w:r>
      <w:proofErr w:type="spellEnd"/>
      <w:r w:rsidR="00736A64" w:rsidRPr="00843CFD">
        <w:rPr>
          <w:rFonts w:ascii="Book Antiqua" w:hAnsi="Book Antiqua" w:cs="Arial"/>
          <w:lang w:val="en-US"/>
        </w:rPr>
        <w:t xml:space="preserve"> acid</w:t>
      </w:r>
      <w:r w:rsidR="00066BD1" w:rsidRPr="00843CFD">
        <w:rPr>
          <w:rFonts w:ascii="Book Antiqua" w:hAnsi="Book Antiqua" w:cs="Arial"/>
          <w:lang w:val="en-US"/>
        </w:rPr>
        <w:t xml:space="preserve"> (10%</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66BD1" w:rsidRPr="00843CFD">
        <w:rPr>
          <w:rFonts w:ascii="Book Antiqua" w:hAnsi="Book Antiqua" w:cs="Arial"/>
          <w:lang w:val="en-US"/>
        </w:rPr>
        <w:t xml:space="preserve">1%, </w:t>
      </w:r>
      <w:r w:rsidR="00CB17CA" w:rsidRPr="00843CFD">
        <w:rPr>
          <w:rFonts w:ascii="Book Antiqua" w:hAnsi="Book Antiqua" w:cs="Arial"/>
          <w:i/>
          <w:lang w:val="en-US"/>
        </w:rPr>
        <w:t>P</w:t>
      </w:r>
      <w:r w:rsidR="000242B5" w:rsidRPr="00843CFD">
        <w:rPr>
          <w:rFonts w:ascii="Book Antiqua" w:hAnsi="Book Antiqua" w:cs="Arial"/>
          <w:i/>
          <w:lang w:val="en-US" w:eastAsia="zh-CN"/>
        </w:rPr>
        <w:t xml:space="preserve"> </w:t>
      </w:r>
      <w:r w:rsidR="00066BD1" w:rsidRPr="00843CFD">
        <w:rPr>
          <w:rFonts w:ascii="Book Antiqua" w:hAnsi="Book Antiqua" w:cs="Arial"/>
          <w:lang w:val="en-US"/>
        </w:rPr>
        <w:t>=</w:t>
      </w:r>
      <w:r w:rsidR="000242B5" w:rsidRPr="00843CFD">
        <w:rPr>
          <w:rFonts w:ascii="Book Antiqua" w:hAnsi="Book Antiqua" w:cs="Arial"/>
          <w:lang w:val="en-US" w:eastAsia="zh-CN"/>
        </w:rPr>
        <w:t xml:space="preserve"> </w:t>
      </w:r>
      <w:r w:rsidR="00066BD1" w:rsidRPr="00843CFD">
        <w:rPr>
          <w:rFonts w:ascii="Book Antiqua" w:hAnsi="Book Antiqua" w:cs="Arial"/>
          <w:lang w:val="en-US"/>
        </w:rPr>
        <w:t>2.8</w:t>
      </w:r>
      <w:r w:rsidR="000242B5" w:rsidRPr="00843CFD">
        <w:rPr>
          <w:rFonts w:ascii="Book Antiqua" w:hAnsi="Book Antiqua" w:cs="Arial"/>
          <w:lang w:val="en-US" w:eastAsia="zh-CN"/>
        </w:rPr>
        <w:t xml:space="preserve"> </w:t>
      </w:r>
      <w:r w:rsidR="00066BD1" w:rsidRPr="00843CFD">
        <w:rPr>
          <w:rFonts w:ascii="Book Antiqua" w:hAnsi="Book Antiqua" w:cs="Arial"/>
          <w:lang w:val="en-US"/>
        </w:rPr>
        <w:t>x</w:t>
      </w:r>
      <w:r w:rsidR="000242B5" w:rsidRPr="00843CFD">
        <w:rPr>
          <w:rFonts w:ascii="Book Antiqua" w:hAnsi="Book Antiqua" w:cs="Arial"/>
          <w:lang w:val="en-US" w:eastAsia="zh-CN"/>
        </w:rPr>
        <w:t xml:space="preserve"> </w:t>
      </w:r>
      <w:r w:rsidR="00066BD1" w:rsidRPr="00843CFD">
        <w:rPr>
          <w:rFonts w:ascii="Book Antiqua" w:hAnsi="Book Antiqua" w:cs="Arial"/>
          <w:lang w:val="en-US"/>
        </w:rPr>
        <w:t>10e-8).</w:t>
      </w:r>
      <w:r w:rsidR="00A80D71" w:rsidRPr="00843CFD">
        <w:rPr>
          <w:rFonts w:ascii="Book Antiqua" w:hAnsi="Book Antiqua" w:cs="Arial"/>
          <w:lang w:val="en-US"/>
        </w:rPr>
        <w:t xml:space="preserve"> The </w:t>
      </w:r>
      <w:r w:rsidR="00D07740" w:rsidRPr="00843CFD">
        <w:rPr>
          <w:rFonts w:ascii="Book Antiqua" w:hAnsi="Book Antiqua" w:cs="Arial"/>
          <w:lang w:val="en-US"/>
        </w:rPr>
        <w:t xml:space="preserve">proportion </w:t>
      </w:r>
      <w:r w:rsidR="00A80D71" w:rsidRPr="00843CFD">
        <w:rPr>
          <w:rFonts w:ascii="Book Antiqua" w:hAnsi="Book Antiqua" w:cs="Arial"/>
          <w:lang w:val="en-US"/>
        </w:rPr>
        <w:t>of patients with PSC was</w:t>
      </w:r>
      <w:r w:rsidR="00A84C62" w:rsidRPr="00843CFD">
        <w:rPr>
          <w:rFonts w:ascii="Book Antiqua" w:hAnsi="Book Antiqua" w:cs="Arial"/>
          <w:lang w:val="en-US"/>
        </w:rPr>
        <w:t xml:space="preserve"> much</w:t>
      </w:r>
      <w:r w:rsidR="00A80D71" w:rsidRPr="00843CFD">
        <w:rPr>
          <w:rFonts w:ascii="Book Antiqua" w:hAnsi="Book Antiqua" w:cs="Arial"/>
          <w:lang w:val="en-US"/>
        </w:rPr>
        <w:t xml:space="preserve"> higher in the cholestasis group (</w:t>
      </w:r>
      <w:r w:rsidR="00066BD1" w:rsidRPr="00843CFD">
        <w:rPr>
          <w:rFonts w:ascii="Book Antiqua" w:hAnsi="Book Antiqua" w:cs="Arial"/>
          <w:lang w:val="en-US"/>
        </w:rPr>
        <w:t>5</w:t>
      </w:r>
      <w:r w:rsidR="00866F9B" w:rsidRPr="00843CFD">
        <w:rPr>
          <w:rFonts w:ascii="Book Antiqua" w:hAnsi="Book Antiqua" w:cs="Arial"/>
          <w:i/>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66BD1" w:rsidRPr="00843CFD">
        <w:rPr>
          <w:rFonts w:ascii="Book Antiqua" w:hAnsi="Book Antiqua" w:cs="Arial"/>
          <w:lang w:val="en-US"/>
        </w:rPr>
        <w:t xml:space="preserve">1%,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066BD1" w:rsidRPr="00843CFD">
        <w:rPr>
          <w:rFonts w:ascii="Book Antiqua" w:hAnsi="Book Antiqua" w:cs="Arial"/>
          <w:lang w:val="en-US"/>
        </w:rPr>
        <w:t>0.00007</w:t>
      </w:r>
      <w:r w:rsidR="00A84C62" w:rsidRPr="00843CFD">
        <w:rPr>
          <w:rFonts w:ascii="Book Antiqua" w:hAnsi="Book Antiqua" w:cs="Arial"/>
          <w:lang w:val="en-US"/>
        </w:rPr>
        <w:t>)</w:t>
      </w:r>
      <w:r w:rsidR="00BD1E27" w:rsidRPr="00843CFD">
        <w:rPr>
          <w:rFonts w:ascii="Book Antiqua" w:hAnsi="Book Antiqua" w:cs="Arial"/>
          <w:lang w:val="en-US"/>
        </w:rPr>
        <w:t>. Multivariate analysis performed at this point showed that PSC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BD1E27" w:rsidRPr="00843CFD">
        <w:rPr>
          <w:rFonts w:ascii="Book Antiqua" w:hAnsi="Book Antiqua" w:cs="Arial"/>
          <w:lang w:val="en-US"/>
        </w:rPr>
        <w:t>0.012) and tacrolimus treatment (</w:t>
      </w:r>
      <w:r w:rsidR="00FE1973" w:rsidRPr="00843CFD">
        <w:rPr>
          <w:rFonts w:ascii="Book Antiqua" w:hAnsi="Book Antiqua" w:cs="Arial"/>
          <w:i/>
          <w:lang w:val="en-US"/>
        </w:rPr>
        <w:t>P =</w:t>
      </w:r>
      <w:r w:rsidR="00D07740" w:rsidRPr="00843CFD">
        <w:rPr>
          <w:rFonts w:ascii="Book Antiqua" w:hAnsi="Book Antiqua" w:cs="Arial"/>
          <w:lang w:val="en-US"/>
        </w:rPr>
        <w:t xml:space="preserve"> </w:t>
      </w:r>
      <w:r w:rsidR="00BD1E27" w:rsidRPr="00843CFD">
        <w:rPr>
          <w:rFonts w:ascii="Book Antiqua" w:hAnsi="Book Antiqua" w:cs="Arial"/>
          <w:lang w:val="en-US"/>
        </w:rPr>
        <w:t xml:space="preserve">0.017) were the only factors </w:t>
      </w:r>
      <w:r w:rsidR="00D07740" w:rsidRPr="00843CFD">
        <w:rPr>
          <w:rFonts w:ascii="Book Antiqua" w:hAnsi="Book Antiqua" w:cs="Arial"/>
          <w:lang w:val="en-US"/>
        </w:rPr>
        <w:t xml:space="preserve">significantly </w:t>
      </w:r>
      <w:r w:rsidR="00BD1E27" w:rsidRPr="00843CFD">
        <w:rPr>
          <w:rFonts w:ascii="Book Antiqua" w:hAnsi="Book Antiqua" w:cs="Arial"/>
          <w:lang w:val="en-US"/>
        </w:rPr>
        <w:t>associated with cholestasis.</w:t>
      </w:r>
    </w:p>
    <w:p w:rsidR="00810A5A" w:rsidRDefault="00810A5A" w:rsidP="000242B5">
      <w:pPr>
        <w:adjustRightInd w:val="0"/>
        <w:snapToGrid w:val="0"/>
        <w:spacing w:line="360" w:lineRule="auto"/>
        <w:jc w:val="both"/>
        <w:rPr>
          <w:rFonts w:ascii="Book Antiqua" w:hAnsi="Book Antiqua" w:cs="Arial"/>
          <w:lang w:val="en-US" w:eastAsia="zh-CN"/>
        </w:rPr>
      </w:pPr>
    </w:p>
    <w:p w:rsidR="00BF2154" w:rsidRPr="00843CFD" w:rsidRDefault="00BF2154"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 xml:space="preserve">Characteristics of patients with </w:t>
      </w:r>
      <w:r w:rsidR="00D07740" w:rsidRPr="00843CFD">
        <w:rPr>
          <w:rFonts w:ascii="Book Antiqua" w:hAnsi="Book Antiqua" w:cs="Arial"/>
          <w:b/>
          <w:i/>
          <w:lang w:val="en-US"/>
        </w:rPr>
        <w:t xml:space="preserve">the </w:t>
      </w:r>
      <w:r w:rsidRPr="00843CFD">
        <w:rPr>
          <w:rFonts w:ascii="Book Antiqua" w:hAnsi="Book Antiqua" w:cs="Arial"/>
          <w:b/>
          <w:i/>
          <w:lang w:val="en-US"/>
        </w:rPr>
        <w:t>highest TBA</w:t>
      </w:r>
      <w:r w:rsidR="00D07740" w:rsidRPr="00843CFD">
        <w:rPr>
          <w:rFonts w:ascii="Book Antiqua" w:hAnsi="Book Antiqua" w:cs="Arial"/>
          <w:b/>
          <w:i/>
          <w:lang w:val="en-US"/>
        </w:rPr>
        <w:t xml:space="preserve"> concentrations</w:t>
      </w:r>
    </w:p>
    <w:p w:rsidR="008F6165" w:rsidRPr="00843CFD" w:rsidRDefault="00D07740"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S</w:t>
      </w:r>
      <w:r w:rsidR="008576F6" w:rsidRPr="00843CFD">
        <w:rPr>
          <w:rFonts w:ascii="Book Antiqua" w:hAnsi="Book Antiqua" w:cs="Arial"/>
          <w:lang w:val="en-US"/>
        </w:rPr>
        <w:t xml:space="preserve">ixteen </w:t>
      </w:r>
      <w:r w:rsidRPr="00843CFD">
        <w:rPr>
          <w:rFonts w:ascii="Book Antiqua" w:hAnsi="Book Antiqua" w:cs="Arial"/>
          <w:lang w:val="en-US"/>
        </w:rPr>
        <w:t>patients</w:t>
      </w:r>
      <w:r w:rsidR="008576F6" w:rsidRPr="00843CFD">
        <w:rPr>
          <w:rFonts w:ascii="Book Antiqua" w:hAnsi="Book Antiqua" w:cs="Arial"/>
          <w:lang w:val="en-US"/>
        </w:rPr>
        <w:t xml:space="preserve"> had very </w:t>
      </w:r>
      <w:r w:rsidRPr="00843CFD">
        <w:rPr>
          <w:rFonts w:ascii="Book Antiqua" w:hAnsi="Book Antiqua" w:cs="Arial"/>
          <w:lang w:val="en-US"/>
        </w:rPr>
        <w:t xml:space="preserve">high </w:t>
      </w:r>
      <w:r w:rsidR="008576F6" w:rsidRPr="00843CFD">
        <w:rPr>
          <w:rFonts w:ascii="Book Antiqua" w:hAnsi="Book Antiqua" w:cs="Arial"/>
          <w:lang w:val="en-US"/>
        </w:rPr>
        <w:t>TBA</w:t>
      </w:r>
      <w:r w:rsidRPr="00843CFD">
        <w:rPr>
          <w:rFonts w:ascii="Book Antiqua" w:hAnsi="Book Antiqua" w:cs="Arial"/>
          <w:lang w:val="en-US"/>
        </w:rPr>
        <w:t xml:space="preserve"> levels,</w:t>
      </w:r>
      <w:r w:rsidR="00BF2154" w:rsidRPr="00843CFD">
        <w:rPr>
          <w:rFonts w:ascii="Book Antiqua" w:hAnsi="Book Antiqua" w:cs="Arial"/>
          <w:lang w:val="en-US"/>
        </w:rPr>
        <w:t xml:space="preserve"> </w:t>
      </w:r>
      <w:r w:rsidR="00B12230" w:rsidRPr="00843CFD">
        <w:rPr>
          <w:rFonts w:ascii="Book Antiqua" w:hAnsi="Book Antiqua" w:cs="Arial"/>
          <w:lang w:val="en-US"/>
        </w:rPr>
        <w:t xml:space="preserve">between 21 and 483 </w:t>
      </w:r>
      <w:r w:rsidR="00CB17CA" w:rsidRPr="00843CFD">
        <w:rPr>
          <w:rFonts w:ascii="Book Antiqua" w:hAnsi="Book Antiqua" w:cs="Arial"/>
          <w:lang w:val="en-US"/>
        </w:rPr>
        <w:t>μ</w:t>
      </w:r>
      <w:r w:rsidR="00B12230" w:rsidRPr="00843CFD">
        <w:rPr>
          <w:rFonts w:ascii="Book Antiqua" w:hAnsi="Book Antiqua" w:cs="Arial"/>
          <w:lang w:val="en-US"/>
        </w:rPr>
        <w:t>mol/</w:t>
      </w:r>
      <w:r w:rsidR="00CB17CA" w:rsidRPr="00843CFD">
        <w:rPr>
          <w:rFonts w:ascii="Book Antiqua" w:hAnsi="Book Antiqua" w:cs="Arial"/>
          <w:lang w:val="en-US" w:eastAsia="zh-CN"/>
        </w:rPr>
        <w:t>L</w:t>
      </w:r>
      <w:r w:rsidRPr="00843CFD">
        <w:rPr>
          <w:rFonts w:ascii="Book Antiqua" w:hAnsi="Book Antiqua" w:cs="Arial"/>
          <w:lang w:val="en-US"/>
        </w:rPr>
        <w:t>,</w:t>
      </w:r>
      <w:r w:rsidR="00B12230" w:rsidRPr="00843CFD">
        <w:rPr>
          <w:rFonts w:ascii="Book Antiqua" w:hAnsi="Book Antiqua" w:cs="Arial"/>
          <w:lang w:val="en-US"/>
        </w:rPr>
        <w:t xml:space="preserve"> </w:t>
      </w:r>
      <w:r w:rsidRPr="00843CFD">
        <w:rPr>
          <w:rFonts w:ascii="Book Antiqua" w:hAnsi="Book Antiqua" w:cs="Arial"/>
          <w:lang w:val="en-US"/>
        </w:rPr>
        <w:t xml:space="preserve">much </w:t>
      </w:r>
      <w:r w:rsidR="00B12230" w:rsidRPr="00843CFD">
        <w:rPr>
          <w:rFonts w:ascii="Book Antiqua" w:hAnsi="Book Antiqua" w:cs="Arial"/>
          <w:lang w:val="en-US"/>
        </w:rPr>
        <w:t xml:space="preserve">higher than </w:t>
      </w:r>
      <w:r w:rsidRPr="00843CFD">
        <w:rPr>
          <w:rFonts w:ascii="Book Antiqua" w:hAnsi="Book Antiqua" w:cs="Arial"/>
          <w:lang w:val="en-US"/>
        </w:rPr>
        <w:t xml:space="preserve">those of the </w:t>
      </w:r>
      <w:r w:rsidR="00B12230" w:rsidRPr="00843CFD">
        <w:rPr>
          <w:rFonts w:ascii="Book Antiqua" w:hAnsi="Book Antiqua" w:cs="Arial"/>
          <w:lang w:val="en-US"/>
        </w:rPr>
        <w:t xml:space="preserve">other patients. A </w:t>
      </w:r>
      <w:r w:rsidR="00BF2154" w:rsidRPr="00843CFD">
        <w:rPr>
          <w:rFonts w:ascii="Book Antiqua" w:hAnsi="Book Antiqua" w:cs="Arial"/>
          <w:lang w:val="en-US"/>
        </w:rPr>
        <w:t>detailed chart review</w:t>
      </w:r>
      <w:r w:rsidR="00B12230" w:rsidRPr="00843CFD">
        <w:rPr>
          <w:rFonts w:ascii="Book Antiqua" w:hAnsi="Book Antiqua" w:cs="Arial"/>
          <w:lang w:val="en-US"/>
        </w:rPr>
        <w:t xml:space="preserve"> of these particular patients</w:t>
      </w:r>
      <w:r w:rsidR="00BF2154" w:rsidRPr="00843CFD">
        <w:rPr>
          <w:rFonts w:ascii="Book Antiqua" w:hAnsi="Book Antiqua" w:cs="Arial"/>
          <w:lang w:val="en-US"/>
        </w:rPr>
        <w:t xml:space="preserve"> was performed</w:t>
      </w:r>
      <w:r w:rsidR="00B12230" w:rsidRPr="00843CFD">
        <w:rPr>
          <w:rFonts w:ascii="Book Antiqua" w:hAnsi="Book Antiqua" w:cs="Arial"/>
          <w:lang w:val="en-US"/>
        </w:rPr>
        <w:t xml:space="preserve">. </w:t>
      </w:r>
      <w:r w:rsidR="00BF2154" w:rsidRPr="00843CFD">
        <w:rPr>
          <w:rFonts w:ascii="Book Antiqua" w:hAnsi="Book Antiqua" w:cs="Arial"/>
          <w:lang w:val="en-US"/>
        </w:rPr>
        <w:t>The</w:t>
      </w:r>
      <w:r w:rsidR="00F754B1" w:rsidRPr="00843CFD">
        <w:rPr>
          <w:rFonts w:ascii="Book Antiqua" w:hAnsi="Book Antiqua" w:cs="Arial"/>
          <w:lang w:val="en-US"/>
        </w:rPr>
        <w:t xml:space="preserve"> apparent</w:t>
      </w:r>
      <w:r w:rsidR="00BF2154" w:rsidRPr="00843CFD">
        <w:rPr>
          <w:rFonts w:ascii="Book Antiqua" w:hAnsi="Book Antiqua" w:cs="Arial"/>
          <w:lang w:val="en-US"/>
        </w:rPr>
        <w:t xml:space="preserve"> causes </w:t>
      </w:r>
      <w:r w:rsidRPr="00843CFD">
        <w:rPr>
          <w:rFonts w:ascii="Book Antiqua" w:hAnsi="Book Antiqua" w:cs="Arial"/>
          <w:lang w:val="en-US"/>
        </w:rPr>
        <w:t xml:space="preserve">for </w:t>
      </w:r>
      <w:r w:rsidR="00BF2154" w:rsidRPr="00843CFD">
        <w:rPr>
          <w:rFonts w:ascii="Book Antiqua" w:hAnsi="Book Antiqua" w:cs="Arial"/>
          <w:lang w:val="en-US"/>
        </w:rPr>
        <w:t xml:space="preserve">such </w:t>
      </w:r>
      <w:r w:rsidRPr="00843CFD">
        <w:rPr>
          <w:rFonts w:ascii="Book Antiqua" w:hAnsi="Book Antiqua" w:cs="Arial"/>
          <w:lang w:val="en-US"/>
        </w:rPr>
        <w:t xml:space="preserve">severe </w:t>
      </w:r>
      <w:r w:rsidR="00BF2154" w:rsidRPr="00843CFD">
        <w:rPr>
          <w:rFonts w:ascii="Book Antiqua" w:hAnsi="Book Antiqua" w:cs="Arial"/>
          <w:lang w:val="en-US"/>
        </w:rPr>
        <w:t>cholestasis were PSC</w:t>
      </w:r>
      <w:r w:rsidRPr="00843CFD">
        <w:rPr>
          <w:rFonts w:ascii="Book Antiqua" w:hAnsi="Book Antiqua" w:cs="Arial"/>
          <w:lang w:val="en-US"/>
        </w:rPr>
        <w:t xml:space="preserve"> for</w:t>
      </w:r>
      <w:r w:rsidR="00BF2154" w:rsidRPr="00843CFD">
        <w:rPr>
          <w:rFonts w:ascii="Book Antiqua" w:hAnsi="Book Antiqua" w:cs="Arial"/>
          <w:lang w:val="en-US"/>
        </w:rPr>
        <w:t xml:space="preserve"> 2 patients, </w:t>
      </w:r>
      <w:r w:rsidR="00F754B1" w:rsidRPr="00843CFD">
        <w:rPr>
          <w:rFonts w:ascii="Book Antiqua" w:hAnsi="Book Antiqua" w:cs="Arial"/>
          <w:lang w:val="en-US"/>
        </w:rPr>
        <w:t>important</w:t>
      </w:r>
      <w:r w:rsidR="00BF2154" w:rsidRPr="00843CFD">
        <w:rPr>
          <w:rFonts w:ascii="Book Antiqua" w:hAnsi="Book Antiqua" w:cs="Arial"/>
          <w:lang w:val="en-US"/>
        </w:rPr>
        <w:t xml:space="preserve"> </w:t>
      </w:r>
      <w:r w:rsidR="00F754B1" w:rsidRPr="00843CFD">
        <w:rPr>
          <w:rFonts w:ascii="Book Antiqua" w:hAnsi="Book Antiqua" w:cs="Arial"/>
          <w:lang w:val="en-US"/>
        </w:rPr>
        <w:t xml:space="preserve">clinical and </w:t>
      </w:r>
      <w:r w:rsidR="00773E30" w:rsidRPr="00843CFD">
        <w:rPr>
          <w:rFonts w:ascii="Book Antiqua" w:hAnsi="Book Antiqua" w:cs="Arial"/>
          <w:lang w:val="en-US"/>
        </w:rPr>
        <w:t>laboratory</w:t>
      </w:r>
      <w:r w:rsidR="00F754B1" w:rsidRPr="00843CFD">
        <w:rPr>
          <w:rFonts w:ascii="Book Antiqua" w:hAnsi="Book Antiqua" w:cs="Arial"/>
          <w:lang w:val="en-US"/>
        </w:rPr>
        <w:t xml:space="preserve"> </w:t>
      </w:r>
      <w:r w:rsidR="00BF2154" w:rsidRPr="00843CFD">
        <w:rPr>
          <w:rFonts w:ascii="Book Antiqua" w:hAnsi="Book Antiqua" w:cs="Arial"/>
          <w:lang w:val="en-US"/>
        </w:rPr>
        <w:t xml:space="preserve">inflammatory </w:t>
      </w:r>
      <w:r w:rsidR="00B12230" w:rsidRPr="00843CFD">
        <w:rPr>
          <w:rFonts w:ascii="Book Antiqua" w:hAnsi="Book Antiqua" w:cs="Arial"/>
          <w:lang w:val="en-US"/>
        </w:rPr>
        <w:t>conditions</w:t>
      </w:r>
      <w:r w:rsidR="004E571A" w:rsidRPr="00843CFD">
        <w:rPr>
          <w:rFonts w:ascii="Book Antiqua" w:hAnsi="Book Antiqua" w:cs="Arial"/>
          <w:lang w:val="en-US"/>
        </w:rPr>
        <w:t xml:space="preserve"> </w:t>
      </w:r>
      <w:r w:rsidRPr="00843CFD">
        <w:rPr>
          <w:rFonts w:ascii="Book Antiqua" w:hAnsi="Book Antiqua" w:cs="Arial"/>
          <w:lang w:val="en-US"/>
        </w:rPr>
        <w:t xml:space="preserve">for </w:t>
      </w:r>
      <w:r w:rsidR="00BF2154" w:rsidRPr="00843CFD">
        <w:rPr>
          <w:rFonts w:ascii="Book Antiqua" w:hAnsi="Book Antiqua" w:cs="Arial"/>
          <w:lang w:val="en-US"/>
        </w:rPr>
        <w:t>2 patients</w:t>
      </w:r>
      <w:r w:rsidR="004E571A" w:rsidRPr="00843CFD">
        <w:rPr>
          <w:rFonts w:ascii="Book Antiqua" w:hAnsi="Book Antiqua" w:cs="Arial"/>
          <w:lang w:val="en-US"/>
        </w:rPr>
        <w:t xml:space="preserve"> (disease flare with high C reactive protein level</w:t>
      </w:r>
      <w:r w:rsidRPr="00843CFD">
        <w:rPr>
          <w:rFonts w:ascii="Book Antiqua" w:hAnsi="Book Antiqua" w:cs="Arial"/>
          <w:lang w:val="en-US"/>
        </w:rPr>
        <w:t>s</w:t>
      </w:r>
      <w:r w:rsidR="00BF2154" w:rsidRPr="00843CFD">
        <w:rPr>
          <w:rFonts w:ascii="Book Antiqua" w:hAnsi="Book Antiqua" w:cs="Arial"/>
          <w:lang w:val="en-US"/>
        </w:rPr>
        <w:t xml:space="preserve">), </w:t>
      </w:r>
      <w:r w:rsidRPr="00843CFD">
        <w:rPr>
          <w:rFonts w:ascii="Book Antiqua" w:hAnsi="Book Antiqua" w:cs="Arial"/>
          <w:lang w:val="en-US"/>
        </w:rPr>
        <w:t xml:space="preserve">a </w:t>
      </w:r>
      <w:r w:rsidR="00BF2154" w:rsidRPr="00843CFD">
        <w:rPr>
          <w:rFonts w:ascii="Book Antiqua" w:hAnsi="Book Antiqua" w:cs="Arial"/>
          <w:lang w:val="en-US"/>
        </w:rPr>
        <w:t xml:space="preserve">complex fistula phenotype </w:t>
      </w:r>
      <w:r w:rsidRPr="00843CFD">
        <w:rPr>
          <w:rFonts w:ascii="Book Antiqua" w:hAnsi="Book Antiqua" w:cs="Arial"/>
          <w:lang w:val="en-US"/>
        </w:rPr>
        <w:t xml:space="preserve">for </w:t>
      </w:r>
      <w:r w:rsidR="00BF2154" w:rsidRPr="00843CFD">
        <w:rPr>
          <w:rFonts w:ascii="Book Antiqua" w:hAnsi="Book Antiqua" w:cs="Arial"/>
          <w:lang w:val="en-US"/>
        </w:rPr>
        <w:t xml:space="preserve">3 patients, </w:t>
      </w:r>
      <w:r w:rsidRPr="00843CFD">
        <w:rPr>
          <w:rFonts w:ascii="Book Antiqua" w:hAnsi="Book Antiqua" w:cs="Arial"/>
          <w:lang w:val="en-US"/>
        </w:rPr>
        <w:t xml:space="preserve">and </w:t>
      </w:r>
      <w:r w:rsidR="00BF2154" w:rsidRPr="00843CFD">
        <w:rPr>
          <w:rFonts w:ascii="Book Antiqua" w:hAnsi="Book Antiqua" w:cs="Arial"/>
          <w:lang w:val="en-US"/>
        </w:rPr>
        <w:t>treatment with azathioprine, methotrexate or tacrolimus</w:t>
      </w:r>
      <w:r w:rsidRPr="00843CFD">
        <w:rPr>
          <w:rFonts w:ascii="Book Antiqua" w:hAnsi="Book Antiqua" w:cs="Arial"/>
          <w:lang w:val="en-US"/>
        </w:rPr>
        <w:t xml:space="preserve"> for </w:t>
      </w:r>
      <w:r w:rsidR="00BF2154" w:rsidRPr="00843CFD">
        <w:rPr>
          <w:rFonts w:ascii="Book Antiqua" w:hAnsi="Book Antiqua" w:cs="Arial"/>
          <w:lang w:val="en-US"/>
        </w:rPr>
        <w:t xml:space="preserve">6 patients. In 25% of </w:t>
      </w:r>
      <w:r w:rsidRPr="00843CFD">
        <w:rPr>
          <w:rFonts w:ascii="Book Antiqua" w:hAnsi="Book Antiqua" w:cs="Arial"/>
          <w:lang w:val="en-US"/>
        </w:rPr>
        <w:t xml:space="preserve">these </w:t>
      </w:r>
      <w:r w:rsidR="00BF2154" w:rsidRPr="00843CFD">
        <w:rPr>
          <w:rFonts w:ascii="Book Antiqua" w:hAnsi="Book Antiqua" w:cs="Arial"/>
          <w:lang w:val="en-US"/>
        </w:rPr>
        <w:t xml:space="preserve">patients the </w:t>
      </w:r>
      <w:r w:rsidR="00105D6B" w:rsidRPr="00843CFD">
        <w:rPr>
          <w:rFonts w:ascii="Book Antiqua" w:hAnsi="Book Antiqua" w:cs="Arial"/>
          <w:lang w:val="en-US"/>
        </w:rPr>
        <w:t xml:space="preserve">underlying </w:t>
      </w:r>
      <w:r w:rsidR="00BF2154" w:rsidRPr="00843CFD">
        <w:rPr>
          <w:rFonts w:ascii="Book Antiqua" w:hAnsi="Book Antiqua" w:cs="Arial"/>
          <w:lang w:val="en-US"/>
        </w:rPr>
        <w:t>cause of cholestasis remained unexplained</w:t>
      </w:r>
      <w:r w:rsidR="00F754B1" w:rsidRPr="00843CFD">
        <w:rPr>
          <w:rFonts w:ascii="Book Antiqua" w:hAnsi="Book Antiqua" w:cs="Arial"/>
          <w:lang w:val="en-US"/>
        </w:rPr>
        <w:t xml:space="preserve"> </w:t>
      </w:r>
      <w:r w:rsidR="00B12230" w:rsidRPr="00843CFD">
        <w:rPr>
          <w:rFonts w:ascii="Book Antiqua" w:hAnsi="Book Antiqua" w:cs="Arial"/>
          <w:lang w:val="en-US"/>
        </w:rPr>
        <w:t>after complete</w:t>
      </w:r>
      <w:r w:rsidR="00105D6B" w:rsidRPr="00843CFD">
        <w:rPr>
          <w:rFonts w:ascii="Book Antiqua" w:hAnsi="Book Antiqua" w:cs="Arial"/>
          <w:lang w:val="en-US"/>
        </w:rPr>
        <w:t xml:space="preserve"> </w:t>
      </w:r>
      <w:r w:rsidR="00F754B1" w:rsidRPr="00843CFD">
        <w:rPr>
          <w:rFonts w:ascii="Book Antiqua" w:hAnsi="Book Antiqua" w:cs="Arial"/>
          <w:lang w:val="en-US"/>
        </w:rPr>
        <w:t>investigation</w:t>
      </w:r>
      <w:r w:rsidR="00BF2154" w:rsidRPr="00843CFD">
        <w:rPr>
          <w:rFonts w:ascii="Book Antiqua" w:hAnsi="Book Antiqua" w:cs="Arial"/>
          <w:lang w:val="en-US"/>
        </w:rPr>
        <w:t>.</w:t>
      </w:r>
    </w:p>
    <w:p w:rsidR="002925CB" w:rsidRPr="00843CFD" w:rsidRDefault="006B7938"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In</w:t>
      </w:r>
      <w:r w:rsidR="008F6165" w:rsidRPr="00843CFD">
        <w:rPr>
          <w:rFonts w:ascii="Book Antiqua" w:hAnsi="Book Antiqua" w:cs="Arial"/>
          <w:lang w:val="en-US"/>
        </w:rPr>
        <w:t xml:space="preserve"> order to</w:t>
      </w:r>
      <w:r w:rsidR="008362FB" w:rsidRPr="00843CFD">
        <w:rPr>
          <w:rFonts w:ascii="Book Antiqua" w:hAnsi="Book Antiqua" w:cs="Arial"/>
          <w:lang w:val="en-US"/>
        </w:rPr>
        <w:t xml:space="preserve"> better </w:t>
      </w:r>
      <w:r w:rsidR="006F2228" w:rsidRPr="00843CFD">
        <w:rPr>
          <w:rFonts w:ascii="Book Antiqua" w:hAnsi="Book Antiqua" w:cs="Arial"/>
          <w:lang w:val="en-US"/>
        </w:rPr>
        <w:t xml:space="preserve">define </w:t>
      </w:r>
      <w:r w:rsidR="008F6165" w:rsidRPr="00843CFD">
        <w:rPr>
          <w:rFonts w:ascii="Book Antiqua" w:hAnsi="Book Antiqua" w:cs="Arial"/>
          <w:lang w:val="en-US"/>
        </w:rPr>
        <w:t xml:space="preserve">the factors </w:t>
      </w:r>
      <w:r w:rsidR="008362FB" w:rsidRPr="00843CFD">
        <w:rPr>
          <w:rFonts w:ascii="Book Antiqua" w:hAnsi="Book Antiqua" w:cs="Arial"/>
          <w:lang w:val="en-US"/>
        </w:rPr>
        <w:t xml:space="preserve">associated with the emergence </w:t>
      </w:r>
      <w:r w:rsidR="00B2107C" w:rsidRPr="00843CFD">
        <w:rPr>
          <w:rFonts w:ascii="Book Antiqua" w:hAnsi="Book Antiqua" w:cs="Arial"/>
          <w:lang w:val="en-US"/>
        </w:rPr>
        <w:t>of cholestasis</w:t>
      </w:r>
      <w:r w:rsidR="008F6165" w:rsidRPr="00843CFD">
        <w:rPr>
          <w:rFonts w:ascii="Book Antiqua" w:hAnsi="Book Antiqua" w:cs="Arial"/>
          <w:lang w:val="en-US"/>
        </w:rPr>
        <w:t xml:space="preserve">, we decided to exclude all patients </w:t>
      </w:r>
      <w:r w:rsidR="008362FB" w:rsidRPr="00843CFD">
        <w:rPr>
          <w:rFonts w:ascii="Book Antiqua" w:hAnsi="Book Antiqua" w:cs="Arial"/>
          <w:lang w:val="en-US"/>
        </w:rPr>
        <w:t>with an obvious</w:t>
      </w:r>
      <w:r w:rsidR="008F6165" w:rsidRPr="00843CFD">
        <w:rPr>
          <w:rFonts w:ascii="Book Antiqua" w:hAnsi="Book Antiqua" w:cs="Arial"/>
          <w:lang w:val="en-US"/>
        </w:rPr>
        <w:t xml:space="preserve"> cause of cholestasis</w:t>
      </w:r>
      <w:r w:rsidR="00EE29CE" w:rsidRPr="00843CFD">
        <w:rPr>
          <w:rFonts w:ascii="Book Antiqua" w:hAnsi="Book Antiqua" w:cs="Arial"/>
          <w:lang w:val="en-US"/>
        </w:rPr>
        <w:t xml:space="preserve"> </w:t>
      </w:r>
      <w:r w:rsidR="00BD1E27" w:rsidRPr="00843CFD">
        <w:rPr>
          <w:rFonts w:ascii="Book Antiqua" w:hAnsi="Book Antiqua" w:cs="Arial"/>
          <w:lang w:val="en-US"/>
        </w:rPr>
        <w:t xml:space="preserve">(PSC, treatment with calcineurin inhibitors, </w:t>
      </w:r>
      <w:r w:rsidR="009F48D6" w:rsidRPr="00843CFD">
        <w:rPr>
          <w:rFonts w:ascii="Book Antiqua" w:hAnsi="Book Antiqua" w:cs="Arial"/>
          <w:lang w:val="en-US"/>
        </w:rPr>
        <w:t xml:space="preserve">and </w:t>
      </w:r>
      <w:r w:rsidR="00BD1E27" w:rsidRPr="00843CFD">
        <w:rPr>
          <w:rFonts w:ascii="Book Antiqua" w:hAnsi="Book Antiqua" w:cs="Arial"/>
          <w:lang w:val="en-US"/>
        </w:rPr>
        <w:t>transplanted patients</w:t>
      </w:r>
      <w:r w:rsidR="009F48D6" w:rsidRPr="00843CFD">
        <w:rPr>
          <w:rFonts w:ascii="Book Antiqua" w:hAnsi="Book Antiqua" w:cs="Arial"/>
          <w:lang w:val="en-US"/>
        </w:rPr>
        <w:t>, who are</w:t>
      </w:r>
      <w:r w:rsidR="008E579F" w:rsidRPr="00843CFD">
        <w:rPr>
          <w:rFonts w:ascii="Book Antiqua" w:hAnsi="Book Antiqua" w:cs="Arial"/>
          <w:lang w:val="en-US"/>
        </w:rPr>
        <w:t xml:space="preserve"> </w:t>
      </w:r>
      <w:r w:rsidR="009E69A6" w:rsidRPr="00843CFD">
        <w:rPr>
          <w:rFonts w:ascii="Book Antiqua" w:hAnsi="Book Antiqua" w:cs="Arial"/>
          <w:lang w:val="en-US"/>
        </w:rPr>
        <w:t>often treated</w:t>
      </w:r>
      <w:r w:rsidR="00BD1E27" w:rsidRPr="00843CFD">
        <w:rPr>
          <w:rFonts w:ascii="Book Antiqua" w:hAnsi="Book Antiqua" w:cs="Arial"/>
          <w:lang w:val="en-US"/>
        </w:rPr>
        <w:t xml:space="preserve"> with </w:t>
      </w:r>
      <w:r w:rsidR="009F48D6" w:rsidRPr="00843CFD">
        <w:rPr>
          <w:rFonts w:ascii="Book Antiqua" w:hAnsi="Book Antiqua" w:cs="Arial"/>
          <w:lang w:val="en-US"/>
        </w:rPr>
        <w:t xml:space="preserve">these </w:t>
      </w:r>
      <w:r w:rsidR="00BD1E27" w:rsidRPr="00843CFD">
        <w:rPr>
          <w:rFonts w:ascii="Book Antiqua" w:hAnsi="Book Antiqua" w:cs="Arial"/>
          <w:lang w:val="en-US"/>
        </w:rPr>
        <w:t>drugs).</w:t>
      </w:r>
      <w:r w:rsidR="008F6165" w:rsidRPr="00843CFD">
        <w:rPr>
          <w:rFonts w:ascii="Book Antiqua" w:hAnsi="Book Antiqua" w:cs="Arial"/>
          <w:lang w:val="en-US"/>
        </w:rPr>
        <w:t xml:space="preserve"> We </w:t>
      </w:r>
      <w:r w:rsidRPr="00843CFD">
        <w:rPr>
          <w:rFonts w:ascii="Book Antiqua" w:hAnsi="Book Antiqua" w:cs="Arial"/>
          <w:lang w:val="en-US"/>
        </w:rPr>
        <w:t xml:space="preserve">therefore </w:t>
      </w:r>
      <w:r w:rsidR="008F6165" w:rsidRPr="00843CFD">
        <w:rPr>
          <w:rFonts w:ascii="Book Antiqua" w:hAnsi="Book Antiqua" w:cs="Arial"/>
          <w:lang w:val="en-US"/>
        </w:rPr>
        <w:t xml:space="preserve">removed from the </w:t>
      </w:r>
      <w:r w:rsidR="002E5ACC" w:rsidRPr="00843CFD">
        <w:rPr>
          <w:rFonts w:ascii="Book Antiqua" w:hAnsi="Book Antiqua" w:cs="Arial"/>
          <w:lang w:val="en-US"/>
        </w:rPr>
        <w:t xml:space="preserve">final </w:t>
      </w:r>
      <w:r w:rsidR="00412EE0" w:rsidRPr="00843CFD">
        <w:rPr>
          <w:rFonts w:ascii="Book Antiqua" w:hAnsi="Book Antiqua" w:cs="Arial"/>
          <w:lang w:val="en-US"/>
        </w:rPr>
        <w:t>analysis patients</w:t>
      </w:r>
      <w:r w:rsidR="008F6165" w:rsidRPr="00843CFD">
        <w:rPr>
          <w:rFonts w:ascii="Book Antiqua" w:hAnsi="Book Antiqua" w:cs="Arial"/>
          <w:lang w:val="en-US"/>
        </w:rPr>
        <w:t xml:space="preserve"> with PSC</w:t>
      </w:r>
      <w:r w:rsidR="006F2228" w:rsidRPr="00843CFD">
        <w:rPr>
          <w:rFonts w:ascii="Book Antiqua" w:hAnsi="Book Antiqua" w:cs="Arial"/>
          <w:lang w:val="en-US"/>
        </w:rPr>
        <w:t xml:space="preserve"> (</w:t>
      </w:r>
      <w:r w:rsidR="006F2228" w:rsidRPr="00843CFD">
        <w:rPr>
          <w:rFonts w:ascii="Book Antiqua" w:hAnsi="Book Antiqua" w:cs="Arial"/>
          <w:i/>
          <w:lang w:val="en-US"/>
        </w:rPr>
        <w:t>n</w:t>
      </w:r>
      <w:r w:rsidR="009F48D6" w:rsidRPr="00843CFD">
        <w:rPr>
          <w:rFonts w:ascii="Book Antiqua" w:hAnsi="Book Antiqua" w:cs="Arial"/>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5)</w:t>
      </w:r>
      <w:r w:rsidR="008F6165" w:rsidRPr="00843CFD">
        <w:rPr>
          <w:rFonts w:ascii="Book Antiqua" w:hAnsi="Book Antiqua" w:cs="Arial"/>
          <w:lang w:val="en-US"/>
        </w:rPr>
        <w:t xml:space="preserve">, patients who </w:t>
      </w:r>
      <w:r w:rsidR="009F48D6" w:rsidRPr="00843CFD">
        <w:rPr>
          <w:rFonts w:ascii="Book Antiqua" w:hAnsi="Book Antiqua" w:cs="Arial"/>
          <w:lang w:val="en-US"/>
        </w:rPr>
        <w:t xml:space="preserve">had undergone </w:t>
      </w:r>
      <w:r w:rsidR="008F6165" w:rsidRPr="00843CFD">
        <w:rPr>
          <w:rFonts w:ascii="Book Antiqua" w:hAnsi="Book Antiqua" w:cs="Arial"/>
          <w:lang w:val="en-US"/>
        </w:rPr>
        <w:t>organ transplantation</w:t>
      </w:r>
      <w:r w:rsidR="006F2228" w:rsidRPr="00843CFD">
        <w:rPr>
          <w:rFonts w:ascii="Book Antiqua" w:hAnsi="Book Antiqua" w:cs="Arial"/>
          <w:lang w:val="en-US"/>
        </w:rPr>
        <w:t xml:space="preserve"> (</w:t>
      </w:r>
      <w:r w:rsidR="006F2228" w:rsidRPr="00843CFD">
        <w:rPr>
          <w:rFonts w:ascii="Book Antiqua" w:hAnsi="Book Antiqua" w:cs="Arial"/>
          <w:i/>
          <w:lang w:val="en-US"/>
        </w:rPr>
        <w:t>n</w:t>
      </w:r>
      <w:r w:rsidR="009F48D6" w:rsidRPr="00843CFD">
        <w:rPr>
          <w:rFonts w:ascii="Book Antiqua" w:hAnsi="Book Antiqua" w:cs="Arial"/>
          <w:i/>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3)</w:t>
      </w:r>
      <w:r w:rsidR="008F6165" w:rsidRPr="00843CFD">
        <w:rPr>
          <w:rFonts w:ascii="Book Antiqua" w:hAnsi="Book Antiqua" w:cs="Arial"/>
          <w:lang w:val="en-US"/>
        </w:rPr>
        <w:t>, patients treated with</w:t>
      </w:r>
      <w:r w:rsidR="009F48D6" w:rsidRPr="00843CFD">
        <w:rPr>
          <w:rFonts w:ascii="Book Antiqua" w:hAnsi="Book Antiqua" w:cs="Arial"/>
          <w:lang w:val="en-US"/>
        </w:rPr>
        <w:t xml:space="preserve"> drugs known to cause chole</w:t>
      </w:r>
      <w:r w:rsidR="00CB17CA" w:rsidRPr="00843CFD">
        <w:rPr>
          <w:rFonts w:ascii="Book Antiqua" w:hAnsi="Book Antiqua" w:cs="Arial"/>
          <w:lang w:val="en-US"/>
        </w:rPr>
        <w:t>sta</w:t>
      </w:r>
      <w:r w:rsidR="009F48D6" w:rsidRPr="00843CFD">
        <w:rPr>
          <w:rFonts w:ascii="Book Antiqua" w:hAnsi="Book Antiqua" w:cs="Arial"/>
          <w:lang w:val="en-US"/>
        </w:rPr>
        <w:t>sis, namely</w:t>
      </w:r>
      <w:r w:rsidR="002E5ACC" w:rsidRPr="00843CFD">
        <w:rPr>
          <w:rFonts w:ascii="Book Antiqua" w:hAnsi="Book Antiqua" w:cs="Arial"/>
          <w:lang w:val="en-US"/>
        </w:rPr>
        <w:t xml:space="preserve"> </w:t>
      </w:r>
      <w:r w:rsidR="00412EE0" w:rsidRPr="00843CFD">
        <w:rPr>
          <w:rFonts w:ascii="Book Antiqua" w:hAnsi="Book Antiqua" w:cs="Arial"/>
          <w:lang w:val="en-US"/>
        </w:rPr>
        <w:t>cyclosporine (</w:t>
      </w:r>
      <w:r w:rsidR="006F2228" w:rsidRPr="00843CFD">
        <w:rPr>
          <w:rFonts w:ascii="Book Antiqua" w:hAnsi="Book Antiqua" w:cs="Arial"/>
          <w:i/>
          <w:lang w:val="en-US"/>
        </w:rPr>
        <w:t>n</w:t>
      </w:r>
      <w:r w:rsidR="009F48D6" w:rsidRPr="00843CFD">
        <w:rPr>
          <w:rFonts w:ascii="Book Antiqua" w:hAnsi="Book Antiqua" w:cs="Arial"/>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 xml:space="preserve">12) </w:t>
      </w:r>
      <w:r w:rsidR="009F48D6" w:rsidRPr="00843CFD">
        <w:rPr>
          <w:rFonts w:ascii="Book Antiqua" w:hAnsi="Book Antiqua" w:cs="Arial"/>
          <w:lang w:val="en-US"/>
        </w:rPr>
        <w:t xml:space="preserve">and </w:t>
      </w:r>
      <w:r w:rsidR="008F6165" w:rsidRPr="00843CFD">
        <w:rPr>
          <w:rFonts w:ascii="Book Antiqua" w:hAnsi="Book Antiqua" w:cs="Arial"/>
          <w:lang w:val="en-US"/>
        </w:rPr>
        <w:t>tacrolimus</w:t>
      </w:r>
      <w:r w:rsidR="006F2228" w:rsidRPr="00843CFD">
        <w:rPr>
          <w:rFonts w:ascii="Book Antiqua" w:hAnsi="Book Antiqua" w:cs="Arial"/>
          <w:lang w:val="en-US"/>
        </w:rPr>
        <w:t xml:space="preserve"> (</w:t>
      </w:r>
      <w:r w:rsidR="006F2228" w:rsidRPr="00843CFD">
        <w:rPr>
          <w:rFonts w:ascii="Book Antiqua" w:hAnsi="Book Antiqua" w:cs="Arial"/>
          <w:i/>
          <w:lang w:val="en-US"/>
        </w:rPr>
        <w:t>n</w:t>
      </w:r>
      <w:r w:rsidR="009F48D6" w:rsidRPr="00843CFD">
        <w:rPr>
          <w:rFonts w:ascii="Book Antiqua" w:hAnsi="Book Antiqua" w:cs="Arial"/>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11)</w:t>
      </w:r>
      <w:r w:rsidR="008F6165" w:rsidRPr="00843CFD">
        <w:rPr>
          <w:rFonts w:ascii="Book Antiqua" w:hAnsi="Book Antiqua" w:cs="Arial"/>
          <w:lang w:val="en-US"/>
        </w:rPr>
        <w:t xml:space="preserve">, and </w:t>
      </w:r>
      <w:r w:rsidR="009F48D6" w:rsidRPr="00843CFD">
        <w:rPr>
          <w:rFonts w:ascii="Book Antiqua" w:hAnsi="Book Antiqua" w:cs="Arial"/>
          <w:lang w:val="en-US"/>
        </w:rPr>
        <w:t xml:space="preserve">finally </w:t>
      </w:r>
      <w:r w:rsidR="008F6165" w:rsidRPr="00843CFD">
        <w:rPr>
          <w:rFonts w:ascii="Book Antiqua" w:hAnsi="Book Antiqua" w:cs="Arial"/>
          <w:lang w:val="en-US"/>
        </w:rPr>
        <w:t xml:space="preserve">patients who </w:t>
      </w:r>
      <w:r w:rsidR="009F48D6" w:rsidRPr="00843CFD">
        <w:rPr>
          <w:rFonts w:ascii="Book Antiqua" w:hAnsi="Book Antiqua" w:cs="Arial"/>
          <w:lang w:val="en-US"/>
        </w:rPr>
        <w:t xml:space="preserve">had received drugs that can substantially modify the bile acid metabolism (Supplementary Table 1), namely </w:t>
      </w:r>
      <w:r w:rsidR="008F6165" w:rsidRPr="00843CFD">
        <w:rPr>
          <w:rFonts w:ascii="Book Antiqua" w:hAnsi="Book Antiqua" w:cs="Arial"/>
          <w:lang w:val="en-US"/>
        </w:rPr>
        <w:t xml:space="preserve">ursodesoxycholic acid </w:t>
      </w:r>
      <w:r w:rsidR="006F2228" w:rsidRPr="00843CFD">
        <w:rPr>
          <w:rFonts w:ascii="Book Antiqua" w:hAnsi="Book Antiqua" w:cs="Arial"/>
          <w:lang w:val="en-US"/>
        </w:rPr>
        <w:t>(</w:t>
      </w:r>
      <w:r w:rsidR="006F2228" w:rsidRPr="00843CFD">
        <w:rPr>
          <w:rFonts w:ascii="Book Antiqua" w:hAnsi="Book Antiqua" w:cs="Arial"/>
          <w:i/>
          <w:lang w:val="en-US"/>
        </w:rPr>
        <w:t>n</w:t>
      </w:r>
      <w:r w:rsidR="009F48D6" w:rsidRPr="00843CFD">
        <w:rPr>
          <w:rFonts w:ascii="Book Antiqua" w:hAnsi="Book Antiqua" w:cs="Arial"/>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 xml:space="preserve">16) </w:t>
      </w:r>
      <w:r w:rsidR="008F6165" w:rsidRPr="00843CFD">
        <w:rPr>
          <w:rFonts w:ascii="Book Antiqua" w:hAnsi="Book Antiqua" w:cs="Arial"/>
          <w:lang w:val="en-US"/>
        </w:rPr>
        <w:t>and cholestyramine</w:t>
      </w:r>
      <w:r w:rsidR="006F2228" w:rsidRPr="00843CFD">
        <w:rPr>
          <w:rFonts w:ascii="Book Antiqua" w:hAnsi="Book Antiqua" w:cs="Arial"/>
          <w:lang w:val="en-US"/>
        </w:rPr>
        <w:t xml:space="preserve"> (</w:t>
      </w:r>
      <w:r w:rsidR="006F2228" w:rsidRPr="00843CFD">
        <w:rPr>
          <w:rFonts w:ascii="Book Antiqua" w:hAnsi="Book Antiqua" w:cs="Arial"/>
          <w:i/>
          <w:lang w:val="en-US"/>
        </w:rPr>
        <w:t>n</w:t>
      </w:r>
      <w:r w:rsidR="009F48D6" w:rsidRPr="00843CFD">
        <w:rPr>
          <w:rFonts w:ascii="Book Antiqua" w:hAnsi="Book Antiqua" w:cs="Arial"/>
          <w:lang w:val="en-US"/>
        </w:rPr>
        <w:t xml:space="preserve"> </w:t>
      </w:r>
      <w:r w:rsidR="006F2228" w:rsidRPr="00843CFD">
        <w:rPr>
          <w:rFonts w:ascii="Book Antiqua" w:hAnsi="Book Antiqua" w:cs="Arial"/>
          <w:lang w:val="en-US"/>
        </w:rPr>
        <w:t>=</w:t>
      </w:r>
      <w:r w:rsidR="009F48D6" w:rsidRPr="00843CFD">
        <w:rPr>
          <w:rFonts w:ascii="Book Antiqua" w:hAnsi="Book Antiqua" w:cs="Arial"/>
          <w:lang w:val="en-US"/>
        </w:rPr>
        <w:t xml:space="preserve"> </w:t>
      </w:r>
      <w:r w:rsidR="006F2228" w:rsidRPr="00843CFD">
        <w:rPr>
          <w:rFonts w:ascii="Book Antiqua" w:hAnsi="Book Antiqua" w:cs="Arial"/>
          <w:lang w:val="en-US"/>
        </w:rPr>
        <w:t>25)</w:t>
      </w:r>
      <w:r w:rsidR="00BF2154" w:rsidRPr="00843CFD">
        <w:rPr>
          <w:rFonts w:ascii="Book Antiqua" w:hAnsi="Book Antiqua" w:cs="Arial"/>
          <w:lang w:val="en-US"/>
        </w:rPr>
        <w:t xml:space="preserve"> drugs</w:t>
      </w:r>
      <w:r w:rsidR="00BD1E27" w:rsidRPr="00843CFD">
        <w:rPr>
          <w:rFonts w:ascii="Book Antiqua" w:hAnsi="Book Antiqua" w:cs="Arial"/>
          <w:lang w:val="en-US"/>
        </w:rPr>
        <w:t>.</w:t>
      </w:r>
      <w:r w:rsidR="008F6165" w:rsidRPr="00843CFD">
        <w:rPr>
          <w:rFonts w:ascii="Book Antiqua" w:hAnsi="Book Antiqua" w:cs="Arial"/>
          <w:lang w:val="en-US"/>
        </w:rPr>
        <w:t xml:space="preserve"> </w:t>
      </w:r>
      <w:r w:rsidR="009F48D6" w:rsidRPr="00843CFD">
        <w:rPr>
          <w:rFonts w:ascii="Book Antiqua" w:hAnsi="Book Antiqua" w:cs="Arial"/>
          <w:lang w:val="en-US"/>
        </w:rPr>
        <w:t>This yielded a cohort of</w:t>
      </w:r>
      <w:r w:rsidR="002E5ACC" w:rsidRPr="00843CFD">
        <w:rPr>
          <w:rFonts w:ascii="Book Antiqua" w:hAnsi="Book Antiqua" w:cs="Arial"/>
          <w:lang w:val="en-US"/>
        </w:rPr>
        <w:t xml:space="preserve"> </w:t>
      </w:r>
      <w:r w:rsidR="008F6165" w:rsidRPr="00843CFD">
        <w:rPr>
          <w:rFonts w:ascii="Book Antiqua" w:hAnsi="Book Antiqua" w:cs="Arial"/>
          <w:lang w:val="en-US"/>
        </w:rPr>
        <w:t xml:space="preserve">1190 patients with a TBA level &lt; </w:t>
      </w:r>
      <w:r w:rsidR="0069524D" w:rsidRPr="00843CFD">
        <w:rPr>
          <w:rFonts w:ascii="Book Antiqua" w:hAnsi="Book Antiqua" w:cs="Arial"/>
          <w:lang w:val="en-US"/>
        </w:rPr>
        <w:t>8 μmol/L</w:t>
      </w:r>
      <w:r w:rsidR="009F48D6" w:rsidRPr="00843CFD">
        <w:rPr>
          <w:rFonts w:ascii="Book Antiqua" w:hAnsi="Book Antiqua" w:cs="Arial"/>
          <w:lang w:val="en-US"/>
        </w:rPr>
        <w:t xml:space="preserve"> (93.7%)</w:t>
      </w:r>
      <w:r w:rsidR="002E5ACC" w:rsidRPr="00843CFD">
        <w:rPr>
          <w:rFonts w:ascii="Book Antiqua" w:hAnsi="Book Antiqua" w:cs="Arial"/>
          <w:lang w:val="en-US"/>
        </w:rPr>
        <w:t xml:space="preserve"> </w:t>
      </w:r>
      <w:r w:rsidR="00412EE0" w:rsidRPr="00843CFD">
        <w:rPr>
          <w:rFonts w:ascii="Book Antiqua" w:hAnsi="Book Antiqua" w:cs="Arial"/>
          <w:lang w:val="en-US"/>
        </w:rPr>
        <w:t>and 80</w:t>
      </w:r>
      <w:r w:rsidR="008F6165" w:rsidRPr="00843CFD">
        <w:rPr>
          <w:rFonts w:ascii="Book Antiqua" w:hAnsi="Book Antiqua" w:cs="Arial"/>
          <w:lang w:val="en-US"/>
        </w:rPr>
        <w:t xml:space="preserve"> patients with a TBA &gt; </w:t>
      </w:r>
      <w:r w:rsidR="0069524D" w:rsidRPr="00843CFD">
        <w:rPr>
          <w:rFonts w:ascii="Book Antiqua" w:hAnsi="Book Antiqua" w:cs="Arial"/>
          <w:lang w:val="en-US"/>
        </w:rPr>
        <w:t>8 μmol/L</w:t>
      </w:r>
      <w:r w:rsidR="009F48D6" w:rsidRPr="00843CFD">
        <w:rPr>
          <w:rFonts w:ascii="Book Antiqua" w:hAnsi="Book Antiqua" w:cs="Arial"/>
          <w:lang w:val="en-US"/>
        </w:rPr>
        <w:t xml:space="preserve"> (6.3%)</w:t>
      </w:r>
      <w:r w:rsidR="00920EA2" w:rsidRPr="00843CFD">
        <w:rPr>
          <w:rFonts w:ascii="Book Antiqua" w:hAnsi="Book Antiqua" w:cs="Arial"/>
          <w:lang w:val="en-US"/>
        </w:rPr>
        <w:t>.</w:t>
      </w:r>
      <w:r w:rsidR="00773E30" w:rsidRPr="00843CFD">
        <w:rPr>
          <w:rFonts w:ascii="Book Antiqua" w:hAnsi="Book Antiqua" w:cs="Arial"/>
          <w:lang w:val="en-US"/>
        </w:rPr>
        <w:t xml:space="preserve"> </w:t>
      </w:r>
      <w:r w:rsidR="002E5ACC" w:rsidRPr="00843CFD">
        <w:rPr>
          <w:rFonts w:ascii="Book Antiqua" w:hAnsi="Book Antiqua" w:cs="Arial"/>
          <w:lang w:val="en-US"/>
        </w:rPr>
        <w:t xml:space="preserve">All data </w:t>
      </w:r>
      <w:r w:rsidR="009F48D6" w:rsidRPr="00843CFD">
        <w:rPr>
          <w:rFonts w:ascii="Book Antiqua" w:hAnsi="Book Antiqua" w:cs="Arial"/>
          <w:lang w:val="en-US"/>
        </w:rPr>
        <w:t>considered</w:t>
      </w:r>
      <w:r w:rsidR="002E5ACC" w:rsidRPr="00843CFD">
        <w:rPr>
          <w:rFonts w:ascii="Book Antiqua" w:hAnsi="Book Antiqua" w:cs="Arial"/>
          <w:lang w:val="en-US"/>
        </w:rPr>
        <w:t xml:space="preserve"> together, we found </w:t>
      </w:r>
      <w:r w:rsidR="00412EE0" w:rsidRPr="00843CFD">
        <w:rPr>
          <w:rFonts w:ascii="Book Antiqua" w:hAnsi="Book Antiqua" w:cs="Arial"/>
          <w:lang w:val="en-US"/>
        </w:rPr>
        <w:t>that alkaline</w:t>
      </w:r>
      <w:r w:rsidR="00104FA3" w:rsidRPr="00843CFD">
        <w:rPr>
          <w:rFonts w:ascii="Book Antiqua" w:hAnsi="Book Antiqua" w:cs="Arial"/>
          <w:lang w:val="en-US"/>
        </w:rPr>
        <w:t xml:space="preserve"> phosphatase </w:t>
      </w:r>
      <w:r w:rsidR="00412EE0" w:rsidRPr="00843CFD">
        <w:rPr>
          <w:rFonts w:ascii="Book Antiqua" w:hAnsi="Book Antiqua" w:cs="Arial"/>
          <w:lang w:val="en-US"/>
        </w:rPr>
        <w:t>levels,</w:t>
      </w:r>
      <w:r w:rsidR="00104FA3" w:rsidRPr="00843CFD">
        <w:rPr>
          <w:rFonts w:ascii="Book Antiqua" w:hAnsi="Book Antiqua" w:cs="Arial"/>
          <w:lang w:val="en-US"/>
        </w:rPr>
        <w:t xml:space="preserve"> albumin level, supplementation with vitamin D, azathioprine</w:t>
      </w:r>
      <w:r w:rsidR="00A66A0A" w:rsidRPr="00843CFD">
        <w:rPr>
          <w:rFonts w:ascii="Book Antiqua" w:hAnsi="Book Antiqua" w:cs="Arial"/>
          <w:lang w:val="en-US"/>
        </w:rPr>
        <w:t xml:space="preserve"> use</w:t>
      </w:r>
      <w:r w:rsidR="00104FA3" w:rsidRPr="00843CFD">
        <w:rPr>
          <w:rFonts w:ascii="Book Antiqua" w:hAnsi="Book Antiqua" w:cs="Arial"/>
          <w:lang w:val="en-US"/>
        </w:rPr>
        <w:t xml:space="preserve">, </w:t>
      </w:r>
      <w:r w:rsidR="00A66A0A" w:rsidRPr="00843CFD">
        <w:rPr>
          <w:rFonts w:ascii="Book Antiqua" w:hAnsi="Book Antiqua" w:cs="Arial"/>
          <w:lang w:val="en-US"/>
        </w:rPr>
        <w:t xml:space="preserve">current </w:t>
      </w:r>
      <w:r w:rsidR="00104FA3" w:rsidRPr="00843CFD">
        <w:rPr>
          <w:rFonts w:ascii="Book Antiqua" w:hAnsi="Book Antiqua" w:cs="Arial"/>
          <w:lang w:val="en-US"/>
        </w:rPr>
        <w:t xml:space="preserve">smoking status and </w:t>
      </w:r>
      <w:r w:rsidR="002E5ACC" w:rsidRPr="00843CFD">
        <w:rPr>
          <w:rFonts w:ascii="Book Antiqua" w:hAnsi="Book Antiqua" w:cs="Arial"/>
          <w:lang w:val="en-US"/>
        </w:rPr>
        <w:t xml:space="preserve">previous deep </w:t>
      </w:r>
      <w:r w:rsidR="00104FA3" w:rsidRPr="00843CFD">
        <w:rPr>
          <w:rFonts w:ascii="Book Antiqua" w:hAnsi="Book Antiqua" w:cs="Arial"/>
          <w:lang w:val="en-US"/>
        </w:rPr>
        <w:t xml:space="preserve">venous thrombosis </w:t>
      </w:r>
      <w:r w:rsidR="00412EE0" w:rsidRPr="00843CFD">
        <w:rPr>
          <w:rFonts w:ascii="Book Antiqua" w:hAnsi="Book Antiqua" w:cs="Arial"/>
          <w:lang w:val="en-US"/>
        </w:rPr>
        <w:t xml:space="preserve">were </w:t>
      </w:r>
      <w:r w:rsidR="00BD1E27" w:rsidRPr="00843CFD">
        <w:rPr>
          <w:rFonts w:ascii="Book Antiqua" w:hAnsi="Book Antiqua" w:cs="Arial"/>
          <w:lang w:val="en-US"/>
        </w:rPr>
        <w:t>significantly associated with</w:t>
      </w:r>
      <w:r w:rsidR="00104FA3" w:rsidRPr="00843CFD">
        <w:rPr>
          <w:rFonts w:ascii="Book Antiqua" w:hAnsi="Book Antiqua" w:cs="Arial"/>
          <w:lang w:val="en-US"/>
        </w:rPr>
        <w:t xml:space="preserve"> cholestasis.</w:t>
      </w:r>
      <w:r w:rsidR="00412EE0" w:rsidRPr="00843CFD">
        <w:rPr>
          <w:rFonts w:ascii="Book Antiqua" w:hAnsi="Book Antiqua" w:cs="Arial"/>
          <w:lang w:val="en-US"/>
        </w:rPr>
        <w:t xml:space="preserve"> </w:t>
      </w:r>
      <w:r w:rsidR="009F48D6" w:rsidRPr="00843CFD">
        <w:rPr>
          <w:rFonts w:ascii="Book Antiqua" w:hAnsi="Book Antiqua" w:cs="Arial"/>
          <w:lang w:val="en-US"/>
        </w:rPr>
        <w:t>T</w:t>
      </w:r>
      <w:r w:rsidR="00412EE0" w:rsidRPr="00843CFD">
        <w:rPr>
          <w:rFonts w:ascii="Book Antiqua" w:hAnsi="Book Antiqua" w:cs="Arial"/>
          <w:lang w:val="en-US"/>
        </w:rPr>
        <w:t>here was</w:t>
      </w:r>
      <w:r w:rsidR="009F48D6" w:rsidRPr="00843CFD">
        <w:rPr>
          <w:rFonts w:ascii="Book Antiqua" w:hAnsi="Book Antiqua" w:cs="Arial"/>
          <w:lang w:val="en-US"/>
        </w:rPr>
        <w:t xml:space="preserve"> also</w:t>
      </w:r>
      <w:r w:rsidR="00412EE0" w:rsidRPr="00843CFD">
        <w:rPr>
          <w:rFonts w:ascii="Book Antiqua" w:hAnsi="Book Antiqua" w:cs="Arial"/>
          <w:lang w:val="en-US"/>
        </w:rPr>
        <w:t xml:space="preserve"> a </w:t>
      </w:r>
      <w:r w:rsidR="008A668A" w:rsidRPr="00843CFD">
        <w:rPr>
          <w:rFonts w:ascii="Book Antiqua" w:hAnsi="Book Antiqua" w:cs="Arial"/>
          <w:lang w:val="en-US"/>
        </w:rPr>
        <w:t>close to significant association with</w:t>
      </w:r>
      <w:r w:rsidR="00412EE0" w:rsidRPr="00843CFD">
        <w:rPr>
          <w:rFonts w:ascii="Book Antiqua" w:hAnsi="Book Antiqua" w:cs="Arial"/>
          <w:lang w:val="en-US"/>
        </w:rPr>
        <w:t xml:space="preserve"> calcium supplementation (</w:t>
      </w:r>
      <w:r w:rsidR="00FE1973" w:rsidRPr="00843CFD">
        <w:rPr>
          <w:rFonts w:ascii="Book Antiqua" w:hAnsi="Book Antiqua" w:cs="Arial"/>
          <w:i/>
          <w:lang w:val="en-US"/>
        </w:rPr>
        <w:t>P =</w:t>
      </w:r>
      <w:r w:rsidR="008A668A" w:rsidRPr="00843CFD">
        <w:rPr>
          <w:rFonts w:ascii="Book Antiqua" w:hAnsi="Book Antiqua" w:cs="Arial"/>
          <w:lang w:val="en-US"/>
        </w:rPr>
        <w:t xml:space="preserve"> </w:t>
      </w:r>
      <w:r w:rsidR="00412EE0" w:rsidRPr="00843CFD">
        <w:rPr>
          <w:rFonts w:ascii="Book Antiqua" w:hAnsi="Book Antiqua" w:cs="Arial"/>
          <w:lang w:val="en-US"/>
        </w:rPr>
        <w:t xml:space="preserve">0.076). </w:t>
      </w:r>
      <w:r w:rsidR="002E5ACC" w:rsidRPr="00843CFD">
        <w:rPr>
          <w:rFonts w:ascii="Book Antiqua" w:hAnsi="Book Antiqua" w:cs="Arial"/>
          <w:lang w:val="en-US"/>
        </w:rPr>
        <w:t xml:space="preserve">Table 2 shows all </w:t>
      </w:r>
      <w:r w:rsidR="008A668A" w:rsidRPr="00843CFD">
        <w:rPr>
          <w:rFonts w:ascii="Book Antiqua" w:hAnsi="Book Antiqua" w:cs="Arial"/>
          <w:lang w:val="en-US"/>
        </w:rPr>
        <w:t xml:space="preserve">the comparison </w:t>
      </w:r>
      <w:r w:rsidR="00412EE0" w:rsidRPr="00843CFD">
        <w:rPr>
          <w:rFonts w:ascii="Book Antiqua" w:hAnsi="Book Antiqua" w:cs="Arial"/>
          <w:lang w:val="en-US"/>
        </w:rPr>
        <w:t>b</w:t>
      </w:r>
      <w:r w:rsidR="008A668A" w:rsidRPr="00843CFD">
        <w:rPr>
          <w:rFonts w:ascii="Book Antiqua" w:hAnsi="Book Antiqua" w:cs="Arial"/>
          <w:lang w:val="en-US"/>
        </w:rPr>
        <w:t>etween the</w:t>
      </w:r>
      <w:r w:rsidR="002E5ACC" w:rsidRPr="00843CFD">
        <w:rPr>
          <w:rFonts w:ascii="Book Antiqua" w:hAnsi="Book Antiqua" w:cs="Arial"/>
          <w:lang w:val="en-US"/>
        </w:rPr>
        <w:t xml:space="preserve"> groups</w:t>
      </w:r>
      <w:r w:rsidR="00806233" w:rsidRPr="00843CFD">
        <w:rPr>
          <w:rFonts w:ascii="Book Antiqua" w:hAnsi="Book Antiqua" w:cs="Arial"/>
          <w:lang w:val="en-US"/>
        </w:rPr>
        <w:t xml:space="preserve"> </w:t>
      </w:r>
      <w:r w:rsidR="008A1BB4" w:rsidRPr="00843CFD">
        <w:rPr>
          <w:rFonts w:ascii="Book Antiqua" w:hAnsi="Book Antiqua" w:cs="Arial"/>
          <w:lang w:val="en-US"/>
        </w:rPr>
        <w:t xml:space="preserve">in </w:t>
      </w:r>
      <w:r w:rsidR="00412EE0" w:rsidRPr="00843CFD">
        <w:rPr>
          <w:rFonts w:ascii="Book Antiqua" w:hAnsi="Book Antiqua" w:cs="Arial"/>
          <w:lang w:val="en-US"/>
        </w:rPr>
        <w:t>univariate</w:t>
      </w:r>
      <w:r w:rsidR="008A1BB4" w:rsidRPr="00843CFD">
        <w:rPr>
          <w:rFonts w:ascii="Book Antiqua" w:hAnsi="Book Antiqua" w:cs="Arial"/>
          <w:lang w:val="en-US"/>
        </w:rPr>
        <w:t xml:space="preserve"> </w:t>
      </w:r>
      <w:r w:rsidR="00412EE0" w:rsidRPr="00843CFD">
        <w:rPr>
          <w:rFonts w:ascii="Book Antiqua" w:hAnsi="Book Antiqua" w:cs="Arial"/>
          <w:lang w:val="en-US"/>
        </w:rPr>
        <w:t>analys</w:t>
      </w:r>
      <w:r w:rsidR="00806233" w:rsidRPr="00843CFD">
        <w:rPr>
          <w:rFonts w:ascii="Book Antiqua" w:hAnsi="Book Antiqua" w:cs="Arial"/>
          <w:lang w:val="en-US"/>
        </w:rPr>
        <w:t>i</w:t>
      </w:r>
      <w:r w:rsidR="00412EE0" w:rsidRPr="00843CFD">
        <w:rPr>
          <w:rFonts w:ascii="Book Antiqua" w:hAnsi="Book Antiqua" w:cs="Arial"/>
          <w:lang w:val="en-US"/>
        </w:rPr>
        <w:t>s.</w:t>
      </w:r>
    </w:p>
    <w:p w:rsidR="00E60B21" w:rsidRPr="00843CFD" w:rsidRDefault="00E93750"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A m</w:t>
      </w:r>
      <w:r w:rsidR="002925CB" w:rsidRPr="00843CFD">
        <w:rPr>
          <w:rFonts w:ascii="Book Antiqua" w:hAnsi="Book Antiqua" w:cs="Arial"/>
          <w:lang w:val="en-US"/>
        </w:rPr>
        <w:t>ultivariate analysis of factors influencing the presence of cholestasis in IBD</w:t>
      </w:r>
      <w:r w:rsidRPr="00843CFD">
        <w:rPr>
          <w:rFonts w:ascii="Book Antiqua" w:hAnsi="Book Antiqua" w:cs="Arial"/>
          <w:lang w:val="en-US"/>
        </w:rPr>
        <w:t xml:space="preserve"> was </w:t>
      </w:r>
      <w:r w:rsidR="00104FA3" w:rsidRPr="00843CFD">
        <w:rPr>
          <w:rFonts w:ascii="Book Antiqua" w:hAnsi="Book Antiqua" w:cs="Arial"/>
          <w:lang w:val="en-US"/>
        </w:rPr>
        <w:t xml:space="preserve">then </w:t>
      </w:r>
      <w:r w:rsidR="00E60B21" w:rsidRPr="00843CFD">
        <w:rPr>
          <w:rFonts w:ascii="Book Antiqua" w:hAnsi="Book Antiqua" w:cs="Arial"/>
          <w:lang w:val="en-US"/>
        </w:rPr>
        <w:t>performed</w:t>
      </w:r>
      <w:r w:rsidR="00104FA3" w:rsidRPr="00843CFD">
        <w:rPr>
          <w:rFonts w:ascii="Book Antiqua" w:hAnsi="Book Antiqua" w:cs="Arial"/>
          <w:lang w:val="en-US"/>
        </w:rPr>
        <w:t xml:space="preserve"> </w:t>
      </w:r>
      <w:r w:rsidRPr="00843CFD">
        <w:rPr>
          <w:rFonts w:ascii="Book Antiqua" w:hAnsi="Book Antiqua" w:cs="Arial"/>
          <w:lang w:val="en-US"/>
        </w:rPr>
        <w:t>(</w:t>
      </w:r>
      <w:r w:rsidR="00920EA2" w:rsidRPr="00843CFD">
        <w:rPr>
          <w:rFonts w:ascii="Book Antiqua" w:hAnsi="Book Antiqua" w:cs="Arial"/>
          <w:lang w:val="en-US"/>
        </w:rPr>
        <w:t>Table 3</w:t>
      </w:r>
      <w:r w:rsidRPr="00843CFD">
        <w:rPr>
          <w:rFonts w:ascii="Book Antiqua" w:hAnsi="Book Antiqua" w:cs="Arial"/>
          <w:lang w:val="en-US"/>
        </w:rPr>
        <w:t xml:space="preserve">). </w:t>
      </w:r>
      <w:r w:rsidR="008A1BB4" w:rsidRPr="00843CFD">
        <w:rPr>
          <w:rFonts w:ascii="Book Antiqua" w:hAnsi="Book Antiqua" w:cs="Arial"/>
          <w:lang w:val="en-US"/>
        </w:rPr>
        <w:t>We found that s</w:t>
      </w:r>
      <w:r w:rsidR="00E60B21" w:rsidRPr="00843CFD">
        <w:rPr>
          <w:rFonts w:ascii="Book Antiqua" w:hAnsi="Book Antiqua" w:cs="Arial"/>
          <w:lang w:val="en-US"/>
        </w:rPr>
        <w:t xml:space="preserve">upplementation with calcium was </w:t>
      </w:r>
      <w:r w:rsidRPr="00843CFD">
        <w:rPr>
          <w:rFonts w:ascii="Book Antiqua" w:hAnsi="Book Antiqua" w:cs="Arial"/>
          <w:lang w:val="en-US"/>
        </w:rPr>
        <w:t>significantly associated with cholestasis</w:t>
      </w:r>
      <w:r w:rsidR="00E60B21" w:rsidRPr="00843CFD">
        <w:rPr>
          <w:rFonts w:ascii="Book Antiqua" w:hAnsi="Book Antiqua" w:cs="Arial"/>
          <w:lang w:val="en-US"/>
        </w:rPr>
        <w:t xml:space="preserve"> </w:t>
      </w:r>
      <w:r w:rsidR="00CB17CA" w:rsidRPr="00843CFD">
        <w:rPr>
          <w:rFonts w:ascii="Book Antiqua" w:hAnsi="Book Antiqua" w:cs="Arial"/>
          <w:lang w:val="en-US" w:eastAsia="zh-CN"/>
        </w:rPr>
        <w:t>[</w:t>
      </w:r>
      <w:r w:rsidR="00E60B21" w:rsidRPr="00843CFD">
        <w:rPr>
          <w:rFonts w:ascii="Book Antiqua" w:hAnsi="Book Antiqua" w:cs="Arial"/>
          <w:lang w:val="en-US"/>
        </w:rPr>
        <w:t>OR: 2.36 (1.00</w:t>
      </w:r>
      <w:r w:rsidR="000242B5" w:rsidRPr="00843CFD">
        <w:rPr>
          <w:rFonts w:ascii="Book Antiqua" w:hAnsi="Book Antiqua" w:cs="Arial"/>
          <w:lang w:val="en-US" w:eastAsia="zh-CN"/>
        </w:rPr>
        <w:t>-</w:t>
      </w:r>
      <w:r w:rsidR="00E60B21" w:rsidRPr="00843CFD">
        <w:rPr>
          <w:rFonts w:ascii="Book Antiqua" w:hAnsi="Book Antiqua" w:cs="Arial"/>
          <w:lang w:val="en-US"/>
        </w:rPr>
        <w:t xml:space="preserve">5.21), </w:t>
      </w:r>
      <w:r w:rsidR="00FE1973" w:rsidRPr="00843CFD">
        <w:rPr>
          <w:rFonts w:ascii="Book Antiqua" w:hAnsi="Book Antiqua" w:cs="Arial"/>
          <w:i/>
          <w:lang w:val="en-US"/>
        </w:rPr>
        <w:t>P =</w:t>
      </w:r>
      <w:r w:rsidR="00E60B21" w:rsidRPr="00843CFD">
        <w:rPr>
          <w:rFonts w:ascii="Book Antiqua" w:hAnsi="Book Antiqua" w:cs="Arial"/>
          <w:lang w:val="en-US"/>
        </w:rPr>
        <w:t xml:space="preserve"> 0.040</w:t>
      </w:r>
      <w:r w:rsidR="00CB17CA" w:rsidRPr="00843CFD">
        <w:rPr>
          <w:rFonts w:ascii="Book Antiqua" w:hAnsi="Book Antiqua" w:cs="Arial"/>
          <w:lang w:val="en-US" w:eastAsia="zh-CN"/>
        </w:rPr>
        <w:t>]</w:t>
      </w:r>
      <w:r w:rsidR="008A668A" w:rsidRPr="00843CFD">
        <w:rPr>
          <w:rFonts w:ascii="Book Antiqua" w:hAnsi="Book Antiqua" w:cs="Arial"/>
          <w:lang w:val="en-US"/>
        </w:rPr>
        <w:t>,</w:t>
      </w:r>
      <w:r w:rsidR="00F16787" w:rsidRPr="00843CFD">
        <w:rPr>
          <w:rFonts w:ascii="Book Antiqua" w:hAnsi="Book Antiqua"/>
          <w:lang w:val="en-US"/>
        </w:rPr>
        <w:t xml:space="preserve"> </w:t>
      </w:r>
      <w:r w:rsidR="008A668A" w:rsidRPr="00843CFD">
        <w:rPr>
          <w:rFonts w:ascii="Book Antiqua" w:hAnsi="Book Antiqua" w:cs="Arial"/>
          <w:lang w:val="en-US"/>
        </w:rPr>
        <w:t xml:space="preserve">albeit with </w:t>
      </w:r>
      <w:r w:rsidR="00F16787" w:rsidRPr="00843CFD">
        <w:rPr>
          <w:rFonts w:ascii="Book Antiqua" w:hAnsi="Book Antiqua" w:cs="Arial"/>
          <w:lang w:val="en-US"/>
        </w:rPr>
        <w:t>a borderline confidence interval,</w:t>
      </w:r>
      <w:r w:rsidR="00E60B21" w:rsidRPr="00843CFD">
        <w:rPr>
          <w:rFonts w:ascii="Book Antiqua" w:hAnsi="Book Antiqua" w:cs="Arial"/>
          <w:lang w:val="en-US"/>
        </w:rPr>
        <w:t xml:space="preserve"> while current smoking status </w:t>
      </w:r>
      <w:r w:rsidR="00BD1E27" w:rsidRPr="00843CFD">
        <w:rPr>
          <w:rFonts w:ascii="Book Antiqua" w:hAnsi="Book Antiqua" w:cs="Arial"/>
          <w:lang w:val="en-US"/>
        </w:rPr>
        <w:t>was inversely associated with</w:t>
      </w:r>
      <w:r w:rsidR="00E60B21" w:rsidRPr="00843CFD">
        <w:rPr>
          <w:rFonts w:ascii="Book Antiqua" w:hAnsi="Book Antiqua" w:cs="Arial"/>
          <w:lang w:val="en-US"/>
        </w:rPr>
        <w:t xml:space="preserve"> cholestasis </w:t>
      </w:r>
      <w:r w:rsidR="00CB17CA" w:rsidRPr="00843CFD">
        <w:rPr>
          <w:rFonts w:ascii="Book Antiqua" w:hAnsi="Book Antiqua" w:cs="Arial"/>
          <w:lang w:val="en-US" w:eastAsia="zh-CN"/>
        </w:rPr>
        <w:t>[</w:t>
      </w:r>
      <w:r w:rsidR="00E60B21" w:rsidRPr="00843CFD">
        <w:rPr>
          <w:rFonts w:ascii="Book Antiqua" w:hAnsi="Book Antiqua" w:cs="Arial"/>
          <w:lang w:val="en-US"/>
        </w:rPr>
        <w:t>OR: 0.42 (0.17</w:t>
      </w:r>
      <w:r w:rsidR="000242B5" w:rsidRPr="00843CFD">
        <w:rPr>
          <w:rFonts w:ascii="Book Antiqua" w:hAnsi="Book Antiqua" w:cs="Arial"/>
          <w:lang w:val="en-US" w:eastAsia="zh-CN"/>
        </w:rPr>
        <w:t>-</w:t>
      </w:r>
      <w:r w:rsidR="00E60B21" w:rsidRPr="00843CFD">
        <w:rPr>
          <w:rFonts w:ascii="Book Antiqua" w:hAnsi="Book Antiqua" w:cs="Arial"/>
          <w:lang w:val="en-US"/>
        </w:rPr>
        <w:t xml:space="preserve">0.91), </w:t>
      </w:r>
      <w:r w:rsidR="00FE1973" w:rsidRPr="00843CFD">
        <w:rPr>
          <w:rFonts w:ascii="Book Antiqua" w:hAnsi="Book Antiqua" w:cs="Arial"/>
          <w:i/>
          <w:lang w:val="en-US"/>
        </w:rPr>
        <w:t>P =</w:t>
      </w:r>
      <w:r w:rsidR="00E60B21" w:rsidRPr="00843CFD">
        <w:rPr>
          <w:rFonts w:ascii="Book Antiqua" w:hAnsi="Book Antiqua" w:cs="Arial"/>
          <w:lang w:val="en-US"/>
        </w:rPr>
        <w:t xml:space="preserve"> 0.041</w:t>
      </w:r>
      <w:r w:rsidR="00CB17CA" w:rsidRPr="00843CFD">
        <w:rPr>
          <w:rFonts w:ascii="Book Antiqua" w:hAnsi="Book Antiqua" w:cs="Arial"/>
          <w:lang w:val="en-US" w:eastAsia="zh-CN"/>
        </w:rPr>
        <w:t>]</w:t>
      </w:r>
      <w:r w:rsidR="00E60B21" w:rsidRPr="00843CFD">
        <w:rPr>
          <w:rFonts w:ascii="Book Antiqua" w:hAnsi="Book Antiqua" w:cs="Arial"/>
          <w:lang w:val="en-US"/>
        </w:rPr>
        <w:t>.</w:t>
      </w:r>
      <w:r w:rsidR="00E60B21" w:rsidRPr="00843CFD">
        <w:rPr>
          <w:rFonts w:ascii="Book Antiqua" w:hAnsi="Book Antiqua" w:cs="Arial"/>
          <w:lang w:val="en-US"/>
        </w:rPr>
        <w:tab/>
      </w:r>
    </w:p>
    <w:p w:rsidR="00E93750" w:rsidRPr="00843CFD" w:rsidRDefault="00E93750" w:rsidP="000242B5">
      <w:pPr>
        <w:adjustRightInd w:val="0"/>
        <w:snapToGrid w:val="0"/>
        <w:spacing w:line="360" w:lineRule="auto"/>
        <w:jc w:val="both"/>
        <w:rPr>
          <w:rFonts w:ascii="Book Antiqua" w:hAnsi="Book Antiqua" w:cs="Arial"/>
          <w:lang w:val="en-US"/>
        </w:rPr>
      </w:pPr>
    </w:p>
    <w:p w:rsidR="00E93750" w:rsidRPr="00843CFD" w:rsidRDefault="00E93750"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Bile acids profile</w:t>
      </w:r>
    </w:p>
    <w:p w:rsidR="00C9761D" w:rsidRPr="00843CFD" w:rsidRDefault="008A668A"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B</w:t>
      </w:r>
      <w:r w:rsidR="00992EE6" w:rsidRPr="00843CFD">
        <w:rPr>
          <w:rFonts w:ascii="Book Antiqua" w:hAnsi="Book Antiqua" w:cs="Arial"/>
          <w:lang w:val="en-US"/>
        </w:rPr>
        <w:t>ile acid subtype profile</w:t>
      </w:r>
      <w:r w:rsidRPr="00843CFD">
        <w:rPr>
          <w:rFonts w:ascii="Book Antiqua" w:hAnsi="Book Antiqua" w:cs="Arial"/>
          <w:lang w:val="en-US"/>
        </w:rPr>
        <w:t>s</w:t>
      </w:r>
      <w:r w:rsidR="00992EE6" w:rsidRPr="00843CFD">
        <w:rPr>
          <w:rFonts w:ascii="Book Antiqua" w:hAnsi="Book Antiqua" w:cs="Arial"/>
          <w:lang w:val="en-US"/>
        </w:rPr>
        <w:t xml:space="preserve"> w</w:t>
      </w:r>
      <w:r w:rsidRPr="00843CFD">
        <w:rPr>
          <w:rFonts w:ascii="Book Antiqua" w:hAnsi="Book Antiqua" w:cs="Arial"/>
          <w:lang w:val="en-US"/>
        </w:rPr>
        <w:t>ere</w:t>
      </w:r>
      <w:r w:rsidR="00E90142" w:rsidRPr="00843CFD">
        <w:rPr>
          <w:rFonts w:ascii="Book Antiqua" w:hAnsi="Book Antiqua" w:cs="Arial"/>
          <w:lang w:val="en-US"/>
        </w:rPr>
        <w:t xml:space="preserve"> then</w:t>
      </w:r>
      <w:r w:rsidR="007804E8" w:rsidRPr="00843CFD">
        <w:rPr>
          <w:rFonts w:ascii="Book Antiqua" w:hAnsi="Book Antiqua" w:cs="Arial"/>
          <w:lang w:val="en-US"/>
        </w:rPr>
        <w:t xml:space="preserve"> </w:t>
      </w:r>
      <w:r w:rsidR="00B64CC4" w:rsidRPr="00843CFD">
        <w:rPr>
          <w:rFonts w:ascii="Book Antiqua" w:hAnsi="Book Antiqua" w:cs="Arial"/>
          <w:lang w:val="en-US"/>
        </w:rPr>
        <w:t xml:space="preserve">determined </w:t>
      </w:r>
      <w:r w:rsidRPr="00843CFD">
        <w:rPr>
          <w:rFonts w:ascii="Book Antiqua" w:hAnsi="Book Antiqua" w:cs="Arial"/>
          <w:lang w:val="en-US"/>
        </w:rPr>
        <w:t xml:space="preserve">for </w:t>
      </w:r>
      <w:r w:rsidR="00607B35" w:rsidRPr="00843CFD">
        <w:rPr>
          <w:rFonts w:ascii="Book Antiqua" w:hAnsi="Book Antiqua" w:cs="Arial"/>
          <w:lang w:val="en-US"/>
        </w:rPr>
        <w:t>the</w:t>
      </w:r>
      <w:r w:rsidR="00B64CC4" w:rsidRPr="00843CFD">
        <w:rPr>
          <w:rFonts w:ascii="Book Antiqua" w:hAnsi="Book Antiqua" w:cs="Arial"/>
          <w:lang w:val="en-US"/>
        </w:rPr>
        <w:t xml:space="preserve"> group of </w:t>
      </w:r>
      <w:r w:rsidR="007804E8" w:rsidRPr="00843CFD">
        <w:rPr>
          <w:rFonts w:ascii="Book Antiqua" w:hAnsi="Book Antiqua" w:cs="Arial"/>
          <w:lang w:val="en-US"/>
        </w:rPr>
        <w:t>80 patients with</w:t>
      </w:r>
      <w:r w:rsidR="00992EE6" w:rsidRPr="00843CFD">
        <w:rPr>
          <w:rFonts w:ascii="Book Antiqua" w:hAnsi="Book Antiqua" w:cs="Arial"/>
          <w:lang w:val="en-US"/>
        </w:rPr>
        <w:t xml:space="preserve"> cho</w:t>
      </w:r>
      <w:r w:rsidR="007804E8" w:rsidRPr="00843CFD">
        <w:rPr>
          <w:rFonts w:ascii="Book Antiqua" w:hAnsi="Book Antiqua" w:cs="Arial"/>
          <w:lang w:val="en-US"/>
        </w:rPr>
        <w:t>lestasis (TBA &gt; 8</w:t>
      </w:r>
      <w:r w:rsidR="00CB17CA" w:rsidRPr="00843CFD">
        <w:rPr>
          <w:rFonts w:ascii="Book Antiqua" w:hAnsi="Book Antiqua" w:cs="Arial"/>
          <w:lang w:val="en-US" w:eastAsia="zh-CN"/>
        </w:rPr>
        <w:t xml:space="preserve"> </w:t>
      </w:r>
      <w:r w:rsidR="00CB17CA" w:rsidRPr="00843CFD">
        <w:rPr>
          <w:rFonts w:ascii="Book Antiqua" w:hAnsi="Book Antiqua" w:cs="Arial"/>
          <w:lang w:val="en-US"/>
        </w:rPr>
        <w:t>μmol/L</w:t>
      </w:r>
      <w:r w:rsidR="007804E8" w:rsidRPr="00843CFD">
        <w:rPr>
          <w:rFonts w:ascii="Book Antiqua" w:hAnsi="Book Antiqua" w:cs="Arial"/>
          <w:lang w:val="en-US"/>
        </w:rPr>
        <w:t xml:space="preserve">) and </w:t>
      </w:r>
      <w:r w:rsidRPr="00843CFD">
        <w:rPr>
          <w:rFonts w:ascii="Book Antiqua" w:hAnsi="Book Antiqua" w:cs="Arial"/>
          <w:lang w:val="en-US"/>
        </w:rPr>
        <w:t>for</w:t>
      </w:r>
      <w:r w:rsidR="00CB17CA" w:rsidRPr="00843CFD">
        <w:rPr>
          <w:rFonts w:ascii="Book Antiqua" w:hAnsi="Book Antiqua" w:cs="Arial"/>
          <w:lang w:val="en-US" w:eastAsia="zh-CN"/>
        </w:rPr>
        <w:t xml:space="preserve"> </w:t>
      </w:r>
      <w:r w:rsidR="007804E8" w:rsidRPr="00843CFD">
        <w:rPr>
          <w:rFonts w:ascii="Book Antiqua" w:hAnsi="Book Antiqua" w:cs="Arial"/>
          <w:lang w:val="en-US"/>
        </w:rPr>
        <w:t>80</w:t>
      </w:r>
      <w:r w:rsidR="00992EE6" w:rsidRPr="00843CFD">
        <w:rPr>
          <w:rFonts w:ascii="Book Antiqua" w:hAnsi="Book Antiqua" w:cs="Arial"/>
          <w:lang w:val="en-US"/>
        </w:rPr>
        <w:t xml:space="preserve"> patients without cholestasis</w:t>
      </w:r>
      <w:r w:rsidR="00773E30" w:rsidRPr="00843CFD">
        <w:rPr>
          <w:rFonts w:ascii="Book Antiqua" w:hAnsi="Book Antiqua" w:cs="Arial"/>
          <w:lang w:val="en-US"/>
        </w:rPr>
        <w:t>,</w:t>
      </w:r>
      <w:r w:rsidR="00992EE6" w:rsidRPr="00843CFD">
        <w:rPr>
          <w:rFonts w:ascii="Book Antiqua" w:hAnsi="Book Antiqua" w:cs="Arial"/>
          <w:lang w:val="en-US"/>
        </w:rPr>
        <w:t xml:space="preserve"> </w:t>
      </w:r>
      <w:r w:rsidRPr="00843CFD">
        <w:rPr>
          <w:rFonts w:ascii="Book Antiqua" w:hAnsi="Book Antiqua" w:cs="Arial"/>
          <w:lang w:val="en-US"/>
        </w:rPr>
        <w:t>matched with the former group</w:t>
      </w:r>
      <w:r w:rsidR="00992EE6" w:rsidRPr="00843CFD">
        <w:rPr>
          <w:rFonts w:ascii="Book Antiqua" w:hAnsi="Book Antiqua" w:cs="Arial"/>
          <w:lang w:val="en-GB"/>
        </w:rPr>
        <w:t xml:space="preserve"> for age and type of disease</w:t>
      </w:r>
      <w:r w:rsidR="00773E30" w:rsidRPr="00843CFD">
        <w:rPr>
          <w:rFonts w:ascii="Book Antiqua" w:hAnsi="Book Antiqua" w:cs="Arial"/>
          <w:lang w:val="en-GB"/>
        </w:rPr>
        <w:t>.</w:t>
      </w:r>
      <w:r w:rsidR="00A66A0A" w:rsidRPr="00843CFD">
        <w:rPr>
          <w:rFonts w:ascii="Book Antiqua" w:hAnsi="Book Antiqua" w:cs="Arial"/>
          <w:lang w:val="en-GB"/>
        </w:rPr>
        <w:t xml:space="preserve"> </w:t>
      </w:r>
      <w:r w:rsidR="001713CB" w:rsidRPr="00843CFD">
        <w:rPr>
          <w:rFonts w:ascii="Book Antiqua" w:hAnsi="Book Antiqua" w:cs="Arial"/>
          <w:lang w:val="en-GB"/>
        </w:rPr>
        <w:t xml:space="preserve">Results of the bile acid profile are fully presented in Table 4. </w:t>
      </w:r>
      <w:r w:rsidRPr="00843CFD">
        <w:rPr>
          <w:rFonts w:ascii="Book Antiqua" w:hAnsi="Book Antiqua" w:cs="Arial"/>
          <w:lang w:val="en-GB"/>
        </w:rPr>
        <w:t>Note that the</w:t>
      </w:r>
      <w:r w:rsidR="001713CB" w:rsidRPr="00843CFD">
        <w:rPr>
          <w:rFonts w:ascii="Book Antiqua" w:hAnsi="Book Antiqua" w:cs="Arial"/>
          <w:lang w:val="en-GB"/>
        </w:rPr>
        <w:t xml:space="preserve"> bile acids are </w:t>
      </w:r>
      <w:r w:rsidRPr="00843CFD">
        <w:rPr>
          <w:rFonts w:ascii="Book Antiqua" w:hAnsi="Book Antiqua" w:cs="Arial"/>
          <w:lang w:val="en-GB"/>
        </w:rPr>
        <w:t>classified as</w:t>
      </w:r>
      <w:r w:rsidR="001713CB" w:rsidRPr="00843CFD">
        <w:rPr>
          <w:rFonts w:ascii="Book Antiqua" w:hAnsi="Book Antiqua" w:cs="Arial"/>
          <w:lang w:val="en-GB"/>
        </w:rPr>
        <w:t xml:space="preserve"> primary, secondary </w:t>
      </w:r>
      <w:r w:rsidRPr="00843CFD">
        <w:rPr>
          <w:rFonts w:ascii="Book Antiqua" w:hAnsi="Book Antiqua" w:cs="Arial"/>
          <w:lang w:val="en-GB"/>
        </w:rPr>
        <w:t xml:space="preserve">or </w:t>
      </w:r>
      <w:r w:rsidR="001713CB" w:rsidRPr="00843CFD">
        <w:rPr>
          <w:rFonts w:ascii="Book Antiqua" w:hAnsi="Book Antiqua" w:cs="Arial"/>
          <w:lang w:val="en-GB"/>
        </w:rPr>
        <w:t>tertiary bile aci</w:t>
      </w:r>
      <w:r w:rsidR="00CB17CA" w:rsidRPr="00843CFD">
        <w:rPr>
          <w:rFonts w:ascii="Book Antiqua" w:hAnsi="Book Antiqua" w:cs="Arial"/>
          <w:lang w:val="en-GB"/>
        </w:rPr>
        <w:t xml:space="preserve">ds. </w:t>
      </w:r>
      <w:r w:rsidR="009B496D" w:rsidRPr="00843CFD">
        <w:rPr>
          <w:rFonts w:ascii="Book Antiqua" w:hAnsi="Book Antiqua" w:cs="Arial"/>
          <w:lang w:val="en-GB"/>
        </w:rPr>
        <w:t>Table 4 also shows the l</w:t>
      </w:r>
      <w:r w:rsidR="001713CB" w:rsidRPr="00843CFD">
        <w:rPr>
          <w:rFonts w:ascii="Book Antiqua" w:hAnsi="Book Antiqua" w:cs="Arial"/>
          <w:lang w:val="en-GB"/>
        </w:rPr>
        <w:t>evel</w:t>
      </w:r>
      <w:r w:rsidRPr="00843CFD">
        <w:rPr>
          <w:rFonts w:ascii="Book Antiqua" w:hAnsi="Book Antiqua" w:cs="Arial"/>
          <w:lang w:val="en-GB"/>
        </w:rPr>
        <w:t>s</w:t>
      </w:r>
      <w:r w:rsidR="001713CB" w:rsidRPr="00843CFD">
        <w:rPr>
          <w:rFonts w:ascii="Book Antiqua" w:hAnsi="Book Antiqua" w:cs="Arial"/>
          <w:lang w:val="en-GB"/>
        </w:rPr>
        <w:t xml:space="preserve"> of tauro- </w:t>
      </w:r>
      <w:r w:rsidR="009B496D" w:rsidRPr="00843CFD">
        <w:rPr>
          <w:rFonts w:ascii="Book Antiqua" w:hAnsi="Book Antiqua" w:cs="Arial"/>
          <w:lang w:val="en-GB"/>
        </w:rPr>
        <w:t xml:space="preserve">and </w:t>
      </w:r>
      <w:r w:rsidR="001713CB" w:rsidRPr="00843CFD">
        <w:rPr>
          <w:rFonts w:ascii="Book Antiqua" w:hAnsi="Book Antiqua" w:cs="Arial"/>
          <w:lang w:val="en-GB"/>
        </w:rPr>
        <w:t>glyco- conjugated bile acids</w:t>
      </w:r>
      <w:r w:rsidRPr="00843CFD">
        <w:rPr>
          <w:rFonts w:ascii="Book Antiqua" w:hAnsi="Book Antiqua" w:cs="Arial"/>
          <w:lang w:val="en-GB"/>
        </w:rPr>
        <w:t xml:space="preserve"> and the </w:t>
      </w:r>
      <w:r w:rsidR="001713CB" w:rsidRPr="00843CFD">
        <w:rPr>
          <w:rFonts w:ascii="Book Antiqua" w:hAnsi="Book Antiqua" w:cs="Arial"/>
          <w:lang w:val="en-GB"/>
        </w:rPr>
        <w:t xml:space="preserve">primary </w:t>
      </w:r>
      <w:r w:rsidRPr="00843CFD">
        <w:rPr>
          <w:rFonts w:ascii="Book Antiqua" w:hAnsi="Book Antiqua" w:cs="Arial"/>
          <w:lang w:val="en-GB"/>
        </w:rPr>
        <w:t xml:space="preserve">to </w:t>
      </w:r>
      <w:r w:rsidR="001713CB" w:rsidRPr="00843CFD">
        <w:rPr>
          <w:rFonts w:ascii="Book Antiqua" w:hAnsi="Book Antiqua" w:cs="Arial"/>
          <w:lang w:val="en-GB"/>
        </w:rPr>
        <w:t xml:space="preserve">secondary </w:t>
      </w:r>
      <w:r w:rsidRPr="00843CFD">
        <w:rPr>
          <w:rFonts w:ascii="Book Antiqua" w:hAnsi="Book Antiqua" w:cs="Arial"/>
          <w:lang w:val="en-GB"/>
        </w:rPr>
        <w:t xml:space="preserve">and </w:t>
      </w:r>
      <w:r w:rsidR="001713CB" w:rsidRPr="00843CFD">
        <w:rPr>
          <w:rFonts w:ascii="Book Antiqua" w:hAnsi="Book Antiqua" w:cs="Arial"/>
          <w:lang w:val="en-GB"/>
        </w:rPr>
        <w:t xml:space="preserve">primary </w:t>
      </w:r>
      <w:r w:rsidRPr="00843CFD">
        <w:rPr>
          <w:rFonts w:ascii="Book Antiqua" w:hAnsi="Book Antiqua" w:cs="Arial"/>
          <w:lang w:val="en-GB"/>
        </w:rPr>
        <w:t xml:space="preserve">to </w:t>
      </w:r>
      <w:r w:rsidR="001713CB" w:rsidRPr="00843CFD">
        <w:rPr>
          <w:rFonts w:ascii="Book Antiqua" w:hAnsi="Book Antiqua" w:cs="Arial"/>
          <w:lang w:val="en-GB"/>
        </w:rPr>
        <w:t>total bile acids</w:t>
      </w:r>
      <w:r w:rsidRPr="00843CFD">
        <w:rPr>
          <w:rFonts w:ascii="Book Antiqua" w:hAnsi="Book Antiqua" w:cs="Arial"/>
          <w:lang w:val="en-GB"/>
        </w:rPr>
        <w:t xml:space="preserve"> ratios,</w:t>
      </w:r>
      <w:r w:rsidR="001713CB" w:rsidRPr="00843CFD">
        <w:rPr>
          <w:rFonts w:ascii="Book Antiqua" w:hAnsi="Book Antiqua" w:cs="Arial"/>
          <w:lang w:val="en-GB"/>
        </w:rPr>
        <w:t xml:space="preserve"> to better </w:t>
      </w:r>
      <w:r w:rsidRPr="00843CFD">
        <w:rPr>
          <w:rFonts w:ascii="Book Antiqua" w:hAnsi="Book Antiqua" w:cs="Arial"/>
          <w:lang w:val="en-GB"/>
        </w:rPr>
        <w:t xml:space="preserve">characterize </w:t>
      </w:r>
      <w:r w:rsidR="001713CB" w:rsidRPr="00843CFD">
        <w:rPr>
          <w:rFonts w:ascii="Book Antiqua" w:hAnsi="Book Antiqua" w:cs="Arial"/>
          <w:lang w:val="en-GB"/>
        </w:rPr>
        <w:t xml:space="preserve">the </w:t>
      </w:r>
      <w:r w:rsidR="009B496D" w:rsidRPr="00843CFD">
        <w:rPr>
          <w:rFonts w:ascii="Book Antiqua" w:hAnsi="Book Antiqua" w:cs="Arial"/>
          <w:lang w:val="en-GB"/>
        </w:rPr>
        <w:t>different types present</w:t>
      </w:r>
      <w:r w:rsidR="001713CB" w:rsidRPr="00843CFD">
        <w:rPr>
          <w:rFonts w:ascii="Book Antiqua" w:hAnsi="Book Antiqua" w:cs="Arial"/>
          <w:lang w:val="en-GB"/>
        </w:rPr>
        <w:t xml:space="preserve">. </w:t>
      </w:r>
      <w:r w:rsidR="006229AC" w:rsidRPr="00843CFD">
        <w:rPr>
          <w:rFonts w:ascii="Book Antiqua" w:hAnsi="Book Antiqua" w:cs="Arial"/>
          <w:lang w:val="en-GB"/>
        </w:rPr>
        <w:t>The levels of 13</w:t>
      </w:r>
      <w:r w:rsidR="00C941C1" w:rsidRPr="00843CFD">
        <w:rPr>
          <w:rFonts w:ascii="Book Antiqua" w:hAnsi="Book Antiqua" w:cs="Arial"/>
          <w:lang w:val="en-GB"/>
        </w:rPr>
        <w:t xml:space="preserve"> of these subtypes</w:t>
      </w:r>
      <w:r w:rsidR="00992EE6" w:rsidRPr="00843CFD">
        <w:rPr>
          <w:rFonts w:ascii="Book Antiqua" w:hAnsi="Book Antiqua" w:cs="Arial"/>
          <w:lang w:val="en-GB"/>
        </w:rPr>
        <w:t xml:space="preserve"> were significantly higher in the cholestasis group</w:t>
      </w:r>
      <w:r w:rsidR="009B496D" w:rsidRPr="00843CFD">
        <w:rPr>
          <w:rFonts w:ascii="Book Antiqua" w:hAnsi="Book Antiqua" w:cs="Arial"/>
          <w:lang w:val="en-GB"/>
        </w:rPr>
        <w:t xml:space="preserve"> than in the control group</w:t>
      </w:r>
      <w:r w:rsidR="00992EE6" w:rsidRPr="00843CFD">
        <w:rPr>
          <w:rFonts w:ascii="Book Antiqua" w:hAnsi="Book Antiqua" w:cs="Arial"/>
          <w:lang w:val="en-GB"/>
        </w:rPr>
        <w:t xml:space="preserve">, </w:t>
      </w:r>
      <w:r w:rsidR="00A912D1" w:rsidRPr="00843CFD">
        <w:rPr>
          <w:rFonts w:ascii="Book Antiqua" w:hAnsi="Book Antiqua" w:cs="Arial"/>
          <w:lang w:val="en-GB"/>
        </w:rPr>
        <w:t>3</w:t>
      </w:r>
      <w:r w:rsidR="009B496D" w:rsidRPr="00843CFD">
        <w:rPr>
          <w:rFonts w:ascii="Book Antiqua" w:hAnsi="Book Antiqua" w:cs="Arial"/>
          <w:lang w:val="en-GB"/>
        </w:rPr>
        <w:t xml:space="preserve"> of which</w:t>
      </w:r>
      <w:r w:rsidR="00A912D1" w:rsidRPr="00843CFD">
        <w:rPr>
          <w:rFonts w:ascii="Book Antiqua" w:hAnsi="Book Antiqua" w:cs="Arial"/>
          <w:lang w:val="en-GB"/>
        </w:rPr>
        <w:t xml:space="preserve"> </w:t>
      </w:r>
      <w:r w:rsidR="009B496D" w:rsidRPr="00843CFD">
        <w:rPr>
          <w:rFonts w:ascii="Book Antiqua" w:hAnsi="Book Antiqua" w:cs="Arial"/>
          <w:lang w:val="en-GB"/>
        </w:rPr>
        <w:t>markedly so;</w:t>
      </w:r>
      <w:r w:rsidR="00A912D1" w:rsidRPr="00843CFD">
        <w:rPr>
          <w:rFonts w:ascii="Book Antiqua" w:hAnsi="Book Antiqua" w:cs="Arial"/>
          <w:lang w:val="en-GB"/>
        </w:rPr>
        <w:t xml:space="preserve"> </w:t>
      </w:r>
      <w:r w:rsidR="0031008A" w:rsidRPr="00843CFD">
        <w:rPr>
          <w:rFonts w:ascii="Book Antiqua" w:hAnsi="Book Antiqua" w:cs="Arial"/>
          <w:lang w:val="en-GB"/>
        </w:rPr>
        <w:t>specifically</w:t>
      </w:r>
      <w:r w:rsidR="006229AC" w:rsidRPr="00843CFD">
        <w:rPr>
          <w:rFonts w:ascii="Book Antiqua" w:hAnsi="Book Antiqua" w:cs="Arial"/>
          <w:lang w:val="en-GB"/>
        </w:rPr>
        <w:t xml:space="preserve">, </w:t>
      </w:r>
      <w:r w:rsidR="009B496D" w:rsidRPr="00843CFD">
        <w:rPr>
          <w:rFonts w:ascii="Book Antiqua" w:hAnsi="Book Antiqua" w:cs="Arial"/>
          <w:lang w:val="en-GB"/>
        </w:rPr>
        <w:t xml:space="preserve">for </w:t>
      </w:r>
      <w:proofErr w:type="spellStart"/>
      <w:r w:rsidR="006229AC" w:rsidRPr="00843CFD">
        <w:rPr>
          <w:rFonts w:ascii="Book Antiqua" w:hAnsi="Book Antiqua" w:cs="Arial"/>
          <w:lang w:val="en-US"/>
        </w:rPr>
        <w:t>g</w:t>
      </w:r>
      <w:r w:rsidR="00AC2CD7" w:rsidRPr="00843CFD">
        <w:rPr>
          <w:rFonts w:ascii="Book Antiqua" w:hAnsi="Book Antiqua" w:cs="Arial"/>
          <w:lang w:val="en-US"/>
        </w:rPr>
        <w:t>lycochenodeoxycholate</w:t>
      </w:r>
      <w:proofErr w:type="spellEnd"/>
      <w:r w:rsidR="009B496D" w:rsidRPr="00843CFD">
        <w:rPr>
          <w:rFonts w:ascii="Book Antiqua" w:hAnsi="Book Antiqua" w:cs="Arial"/>
          <w:lang w:val="en-US"/>
        </w:rPr>
        <w:t>, the</w:t>
      </w:r>
      <w:r w:rsidR="000D1E86" w:rsidRPr="00843CFD">
        <w:rPr>
          <w:rFonts w:ascii="Book Antiqua" w:hAnsi="Book Antiqua" w:cs="Arial"/>
          <w:lang w:val="en-US"/>
        </w:rPr>
        <w:t xml:space="preserve"> level</w:t>
      </w:r>
      <w:r w:rsidR="009B496D" w:rsidRPr="00843CFD">
        <w:rPr>
          <w:rFonts w:ascii="Book Antiqua" w:hAnsi="Book Antiqua" w:cs="Arial"/>
          <w:lang w:val="en-US"/>
        </w:rPr>
        <w:t>s</w:t>
      </w:r>
      <w:r w:rsidR="000D1E86" w:rsidRPr="00843CFD">
        <w:rPr>
          <w:rFonts w:ascii="Book Antiqua" w:hAnsi="Book Antiqua" w:cs="Arial"/>
          <w:lang w:val="en-US"/>
        </w:rPr>
        <w:t xml:space="preserve"> </w:t>
      </w:r>
      <w:r w:rsidR="009B496D" w:rsidRPr="00843CFD">
        <w:rPr>
          <w:rFonts w:ascii="Book Antiqua" w:hAnsi="Book Antiqua" w:cs="Arial"/>
          <w:lang w:val="en-US"/>
        </w:rPr>
        <w:t xml:space="preserve">were </w:t>
      </w:r>
      <w:r w:rsidR="007A6905" w:rsidRPr="00843CFD">
        <w:rPr>
          <w:rFonts w:ascii="Book Antiqua" w:hAnsi="Book Antiqua" w:cs="Arial"/>
          <w:lang w:val="en-GB"/>
        </w:rPr>
        <w:t>4.72</w:t>
      </w:r>
      <w:r w:rsidR="00CB17CA" w:rsidRPr="00843CFD">
        <w:rPr>
          <w:rFonts w:ascii="Book Antiqua" w:hAnsi="Book Antiqua" w:cs="Arial"/>
          <w:lang w:val="en-GB" w:eastAsia="zh-CN"/>
        </w:rPr>
        <w:t xml:space="preserve"> </w:t>
      </w:r>
      <w:proofErr w:type="spellStart"/>
      <w:r w:rsidR="00CB17CA" w:rsidRPr="00843CFD">
        <w:rPr>
          <w:rFonts w:ascii="Book Antiqua" w:hAnsi="Book Antiqua" w:cs="Arial"/>
          <w:lang w:val="en-US"/>
        </w:rPr>
        <w:t>μmol</w:t>
      </w:r>
      <w:proofErr w:type="spellEnd"/>
      <w:r w:rsidR="00CB17CA" w:rsidRPr="00843CFD">
        <w:rPr>
          <w:rFonts w:ascii="Book Antiqua" w:hAnsi="Book Antiqua" w:cs="Arial"/>
          <w:lang w:val="en-US"/>
        </w:rPr>
        <w:t>/L</w:t>
      </w:r>
      <w:r w:rsidR="00866F9B" w:rsidRPr="00843CFD">
        <w:rPr>
          <w:rFonts w:ascii="Book Antiqua" w:hAnsi="Book Antiqua" w:cs="Arial"/>
          <w:lang w:val="en-GB"/>
        </w:rPr>
        <w:t xml:space="preserve"> </w:t>
      </w:r>
      <w:r w:rsidR="00FE1973" w:rsidRPr="00843CFD">
        <w:rPr>
          <w:rFonts w:ascii="Book Antiqua" w:hAnsi="Book Antiqua" w:cs="Arial"/>
          <w:i/>
          <w:lang w:val="en-GB"/>
        </w:rPr>
        <w:t>vs</w:t>
      </w:r>
      <w:r w:rsidR="00866F9B" w:rsidRPr="00843CFD">
        <w:rPr>
          <w:rFonts w:ascii="Book Antiqua" w:hAnsi="Book Antiqua" w:cs="Arial"/>
          <w:i/>
          <w:lang w:val="en-GB"/>
        </w:rPr>
        <w:t xml:space="preserve"> </w:t>
      </w:r>
      <w:r w:rsidR="000D1E86" w:rsidRPr="00843CFD">
        <w:rPr>
          <w:rFonts w:ascii="Book Antiqua" w:hAnsi="Book Antiqua" w:cs="Arial"/>
          <w:lang w:val="en-GB"/>
        </w:rPr>
        <w:t>1.4</w:t>
      </w:r>
      <w:r w:rsidR="007A6905" w:rsidRPr="00843CFD">
        <w:rPr>
          <w:rFonts w:ascii="Book Antiqua" w:hAnsi="Book Antiqua" w:cs="Arial"/>
          <w:lang w:val="en-GB"/>
        </w:rPr>
        <w:t>2</w:t>
      </w:r>
      <w:r w:rsidR="00CB17CA" w:rsidRPr="00843CFD">
        <w:rPr>
          <w:rFonts w:ascii="Book Antiqua" w:hAnsi="Book Antiqua" w:cs="Arial"/>
          <w:lang w:val="en-GB" w:eastAsia="zh-CN"/>
        </w:rPr>
        <w:t xml:space="preserve"> </w:t>
      </w:r>
      <w:proofErr w:type="spellStart"/>
      <w:r w:rsidR="00CB17CA" w:rsidRPr="00843CFD">
        <w:rPr>
          <w:rFonts w:ascii="Book Antiqua" w:hAnsi="Book Antiqua" w:cs="Arial"/>
          <w:lang w:val="en-US"/>
        </w:rPr>
        <w:t>μmol</w:t>
      </w:r>
      <w:proofErr w:type="spellEnd"/>
      <w:r w:rsidR="00CB17CA" w:rsidRPr="00843CFD">
        <w:rPr>
          <w:rFonts w:ascii="Book Antiqua" w:hAnsi="Book Antiqua" w:cs="Arial"/>
          <w:lang w:val="en-US"/>
        </w:rPr>
        <w:t>/L</w:t>
      </w:r>
      <w:r w:rsidR="006229AC" w:rsidRPr="00843CFD">
        <w:rPr>
          <w:rFonts w:ascii="Book Antiqua" w:hAnsi="Book Antiqua" w:cs="Arial"/>
          <w:lang w:val="en-GB"/>
        </w:rPr>
        <w:t xml:space="preserve"> (</w:t>
      </w:r>
      <w:r w:rsidR="00FE1973" w:rsidRPr="00843CFD">
        <w:rPr>
          <w:rFonts w:ascii="Book Antiqua" w:hAnsi="Book Antiqua" w:cs="Arial"/>
          <w:i/>
          <w:lang w:val="en-GB"/>
        </w:rPr>
        <w:t>P =</w:t>
      </w:r>
      <w:r w:rsidR="009B496D" w:rsidRPr="00843CFD">
        <w:rPr>
          <w:rFonts w:ascii="Book Antiqua" w:hAnsi="Book Antiqua" w:cs="Arial"/>
          <w:lang w:val="en-GB"/>
        </w:rPr>
        <w:t xml:space="preserve"> </w:t>
      </w:r>
      <w:r w:rsidR="000D1E86" w:rsidRPr="00843CFD">
        <w:rPr>
          <w:rFonts w:ascii="Book Antiqua" w:hAnsi="Book Antiqua" w:cs="Arial"/>
          <w:lang w:val="en-GB"/>
        </w:rPr>
        <w:t>1.</w:t>
      </w:r>
      <w:r w:rsidR="007A6905" w:rsidRPr="00843CFD">
        <w:rPr>
          <w:rFonts w:ascii="Book Antiqua" w:hAnsi="Book Antiqua" w:cs="Arial"/>
          <w:lang w:val="en-GB"/>
        </w:rPr>
        <w:t>54E</w:t>
      </w:r>
      <w:r w:rsidR="000D1E86" w:rsidRPr="00843CFD">
        <w:rPr>
          <w:rFonts w:ascii="Book Antiqua" w:hAnsi="Book Antiqua" w:cs="Arial"/>
          <w:lang w:val="en-GB"/>
        </w:rPr>
        <w:t>-</w:t>
      </w:r>
      <w:r w:rsidR="007A6905" w:rsidRPr="00843CFD">
        <w:rPr>
          <w:rFonts w:ascii="Book Antiqua" w:hAnsi="Book Antiqua" w:cs="Arial"/>
          <w:lang w:val="en-GB"/>
        </w:rPr>
        <w:t>1</w:t>
      </w:r>
      <w:r w:rsidR="000D1E86" w:rsidRPr="00843CFD">
        <w:rPr>
          <w:rFonts w:ascii="Book Antiqua" w:hAnsi="Book Antiqua" w:cs="Arial"/>
          <w:lang w:val="en-GB"/>
        </w:rPr>
        <w:t>6</w:t>
      </w:r>
      <w:r w:rsidR="006229AC" w:rsidRPr="00843CFD">
        <w:rPr>
          <w:rFonts w:ascii="Book Antiqua" w:hAnsi="Book Antiqua" w:cs="Arial"/>
          <w:lang w:val="en-GB"/>
        </w:rPr>
        <w:t>)</w:t>
      </w:r>
      <w:r w:rsidR="000D1E86" w:rsidRPr="00843CFD">
        <w:rPr>
          <w:rFonts w:ascii="Book Antiqua" w:hAnsi="Book Antiqua" w:cs="Arial"/>
          <w:lang w:val="en-GB"/>
        </w:rPr>
        <w:t>,</w:t>
      </w:r>
      <w:r w:rsidR="00992EE6" w:rsidRPr="00843CFD">
        <w:rPr>
          <w:rFonts w:ascii="Book Antiqua" w:hAnsi="Book Antiqua" w:cs="Arial"/>
          <w:lang w:val="en-US"/>
        </w:rPr>
        <w:t xml:space="preserve"> </w:t>
      </w:r>
      <w:r w:rsidR="009B496D" w:rsidRPr="00843CFD">
        <w:rPr>
          <w:rFonts w:ascii="Book Antiqua" w:hAnsi="Book Antiqua" w:cs="Arial"/>
          <w:lang w:val="en-US"/>
        </w:rPr>
        <w:t xml:space="preserve">for </w:t>
      </w:r>
      <w:proofErr w:type="spellStart"/>
      <w:r w:rsidR="00AC2CD7" w:rsidRPr="00843CFD">
        <w:rPr>
          <w:rFonts w:ascii="Book Antiqua" w:hAnsi="Book Antiqua" w:cs="Arial"/>
          <w:lang w:val="en-US"/>
        </w:rPr>
        <w:t>glycodeoxycholate</w:t>
      </w:r>
      <w:proofErr w:type="spellEnd"/>
      <w:r w:rsidR="000D1E86" w:rsidRPr="00843CFD">
        <w:rPr>
          <w:rFonts w:ascii="Book Antiqua" w:hAnsi="Book Antiqua" w:cs="Arial"/>
          <w:lang w:val="en-US"/>
        </w:rPr>
        <w:t xml:space="preserve"> </w:t>
      </w:r>
      <w:r w:rsidR="007A6905" w:rsidRPr="00843CFD">
        <w:rPr>
          <w:rFonts w:ascii="Book Antiqua" w:hAnsi="Book Antiqua" w:cs="Arial"/>
          <w:lang w:val="en-US"/>
        </w:rPr>
        <w:t>1.01</w:t>
      </w:r>
      <w:r w:rsidR="00FE1973" w:rsidRPr="00843CFD">
        <w:rPr>
          <w:rFonts w:ascii="Book Antiqua" w:hAnsi="Book Antiqua" w:cs="Arial"/>
          <w:lang w:val="en-US" w:eastAsia="zh-CN"/>
        </w:rPr>
        <w:t xml:space="preserve">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D1E86" w:rsidRPr="00843CFD">
        <w:rPr>
          <w:rFonts w:ascii="Book Antiqua" w:hAnsi="Book Antiqua" w:cs="Arial"/>
          <w:lang w:val="en-US"/>
        </w:rPr>
        <w:t>0.</w:t>
      </w:r>
      <w:r w:rsidR="007A6905" w:rsidRPr="00843CFD">
        <w:rPr>
          <w:rFonts w:ascii="Book Antiqua" w:hAnsi="Book Antiqua" w:cs="Arial"/>
          <w:lang w:val="en-US"/>
        </w:rPr>
        <w:t>3</w:t>
      </w:r>
      <w:r w:rsidR="00FE1973" w:rsidRPr="00843CFD">
        <w:rPr>
          <w:rFonts w:ascii="Book Antiqua" w:hAnsi="Book Antiqua" w:cs="Arial"/>
          <w:lang w:val="en-US" w:eastAsia="zh-CN"/>
        </w:rPr>
        <w:t xml:space="preserve">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0D1E86" w:rsidRPr="00843CFD">
        <w:rPr>
          <w:rFonts w:ascii="Book Antiqua" w:hAnsi="Book Antiqua" w:cs="Arial"/>
          <w:lang w:val="en-GB"/>
        </w:rPr>
        <w:t>;</w:t>
      </w:r>
      <w:r w:rsidR="00A912D1" w:rsidRPr="00843CFD">
        <w:rPr>
          <w:rFonts w:ascii="Book Antiqua" w:hAnsi="Book Antiqua" w:cs="Arial"/>
          <w:lang w:val="en-US"/>
        </w:rPr>
        <w:t xml:space="preserve"> </w:t>
      </w:r>
      <w:r w:rsidR="00FE1973" w:rsidRPr="00843CFD">
        <w:rPr>
          <w:rFonts w:ascii="Book Antiqua" w:hAnsi="Book Antiqua" w:cs="Arial"/>
          <w:i/>
          <w:lang w:val="en-US"/>
        </w:rPr>
        <w:t>P =</w:t>
      </w:r>
      <w:r w:rsidR="009B496D" w:rsidRPr="00843CFD">
        <w:rPr>
          <w:rFonts w:ascii="Book Antiqua" w:hAnsi="Book Antiqua" w:cs="Arial"/>
          <w:lang w:val="en-US"/>
        </w:rPr>
        <w:t xml:space="preserve"> </w:t>
      </w:r>
      <w:r w:rsidR="007A6905" w:rsidRPr="00843CFD">
        <w:rPr>
          <w:rFonts w:ascii="Book Antiqua" w:hAnsi="Book Antiqua" w:cs="Arial"/>
          <w:lang w:val="en-US"/>
        </w:rPr>
        <w:t>1.39</w:t>
      </w:r>
      <w:r w:rsidR="000D1E86" w:rsidRPr="00843CFD">
        <w:rPr>
          <w:rFonts w:ascii="Book Antiqua" w:hAnsi="Book Antiqua" w:cs="Arial"/>
          <w:lang w:val="en-US"/>
        </w:rPr>
        <w:t>E-</w:t>
      </w:r>
      <w:r w:rsidR="007A6905" w:rsidRPr="00843CFD">
        <w:rPr>
          <w:rFonts w:ascii="Book Antiqua" w:hAnsi="Book Antiqua" w:cs="Arial"/>
          <w:lang w:val="en-US"/>
        </w:rPr>
        <w:t>9</w:t>
      </w:r>
      <w:r w:rsidR="009B496D" w:rsidRPr="00843CFD">
        <w:rPr>
          <w:rFonts w:ascii="Book Antiqua" w:hAnsi="Book Antiqua" w:cs="Arial"/>
          <w:lang w:val="en-US"/>
        </w:rPr>
        <w:t>,</w:t>
      </w:r>
      <w:r w:rsidR="000D1E86" w:rsidRPr="00843CFD">
        <w:rPr>
          <w:rFonts w:ascii="Book Antiqua" w:hAnsi="Book Antiqua" w:cs="Arial"/>
          <w:lang w:val="en-US"/>
        </w:rPr>
        <w:t xml:space="preserve"> </w:t>
      </w:r>
      <w:r w:rsidR="00992EE6" w:rsidRPr="00843CFD">
        <w:rPr>
          <w:rFonts w:ascii="Book Antiqua" w:hAnsi="Book Antiqua" w:cs="Arial"/>
          <w:lang w:val="en-US"/>
        </w:rPr>
        <w:t>and</w:t>
      </w:r>
      <w:r w:rsidR="009B496D" w:rsidRPr="00843CFD">
        <w:rPr>
          <w:rFonts w:ascii="Book Antiqua" w:hAnsi="Book Antiqua" w:cs="Arial"/>
          <w:lang w:val="en-US"/>
        </w:rPr>
        <w:t xml:space="preserve"> for</w:t>
      </w:r>
      <w:r w:rsidR="00992EE6" w:rsidRPr="00843CFD">
        <w:rPr>
          <w:rFonts w:ascii="Book Antiqua" w:hAnsi="Book Antiqua" w:cs="Arial"/>
          <w:lang w:val="en-US"/>
        </w:rPr>
        <w:t xml:space="preserve"> </w:t>
      </w:r>
      <w:proofErr w:type="spellStart"/>
      <w:r w:rsidR="00AC2CD7" w:rsidRPr="00843CFD">
        <w:rPr>
          <w:rFonts w:ascii="Book Antiqua" w:hAnsi="Book Antiqua" w:cs="Arial"/>
          <w:lang w:val="en-US"/>
        </w:rPr>
        <w:t>tauro</w:t>
      </w:r>
      <w:r w:rsidR="00A912D1" w:rsidRPr="00843CFD">
        <w:rPr>
          <w:rFonts w:ascii="Book Antiqua" w:hAnsi="Book Antiqua" w:cs="Arial"/>
          <w:lang w:val="en-US"/>
        </w:rPr>
        <w:t>urso</w:t>
      </w:r>
      <w:r w:rsidR="00AC2CD7" w:rsidRPr="00843CFD">
        <w:rPr>
          <w:rFonts w:ascii="Book Antiqua" w:hAnsi="Book Antiqua" w:cs="Arial"/>
          <w:lang w:val="en-US"/>
        </w:rPr>
        <w:t>deoxycholate</w:t>
      </w:r>
      <w:proofErr w:type="spellEnd"/>
      <w:r w:rsidR="009B496D" w:rsidRPr="00843CFD">
        <w:rPr>
          <w:rFonts w:ascii="Book Antiqua" w:hAnsi="Book Antiqua" w:cs="Arial"/>
          <w:lang w:val="en-US"/>
        </w:rPr>
        <w:t>,</w:t>
      </w:r>
      <w:r w:rsidR="000D1E86" w:rsidRPr="00843CFD">
        <w:rPr>
          <w:rFonts w:ascii="Book Antiqua" w:hAnsi="Book Antiqua" w:cs="Arial"/>
          <w:lang w:val="en-GB"/>
        </w:rPr>
        <w:t xml:space="preserve"> </w:t>
      </w:r>
      <w:r w:rsidR="00A912D1" w:rsidRPr="00843CFD">
        <w:rPr>
          <w:rFonts w:ascii="Book Antiqua" w:hAnsi="Book Antiqua" w:cs="Arial"/>
          <w:lang w:val="en-GB"/>
        </w:rPr>
        <w:t>0.</w:t>
      </w:r>
      <w:r w:rsidR="007A6905" w:rsidRPr="00843CFD">
        <w:rPr>
          <w:rFonts w:ascii="Book Antiqua" w:hAnsi="Book Antiqua" w:cs="Arial"/>
          <w:lang w:val="en-GB"/>
        </w:rPr>
        <w:t>2</w:t>
      </w:r>
      <w:r w:rsidR="00FE1973" w:rsidRPr="00843CFD">
        <w:rPr>
          <w:rFonts w:ascii="Book Antiqua" w:hAnsi="Book Antiqua" w:cs="Arial"/>
          <w:lang w:val="en-GB" w:eastAsia="zh-CN"/>
        </w:rPr>
        <w:t xml:space="preserve">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GB"/>
        </w:rPr>
        <w:t xml:space="preserve"> </w:t>
      </w:r>
      <w:r w:rsidR="00FE1973" w:rsidRPr="00843CFD">
        <w:rPr>
          <w:rFonts w:ascii="Book Antiqua" w:hAnsi="Book Antiqua" w:cs="Arial"/>
          <w:i/>
          <w:lang w:val="en-GB"/>
        </w:rPr>
        <w:t>vs</w:t>
      </w:r>
      <w:r w:rsidR="00866F9B" w:rsidRPr="00843CFD">
        <w:rPr>
          <w:rFonts w:ascii="Book Antiqua" w:hAnsi="Book Antiqua" w:cs="Arial"/>
          <w:i/>
          <w:lang w:val="en-GB"/>
        </w:rPr>
        <w:t xml:space="preserve"> </w:t>
      </w:r>
      <w:r w:rsidR="00A912D1" w:rsidRPr="00843CFD">
        <w:rPr>
          <w:rFonts w:ascii="Book Antiqua" w:hAnsi="Book Antiqua" w:cs="Arial"/>
          <w:lang w:val="en-GB"/>
        </w:rPr>
        <w:t>0.0</w:t>
      </w:r>
      <w:r w:rsidR="007A6905" w:rsidRPr="00843CFD">
        <w:rPr>
          <w:rFonts w:ascii="Book Antiqua" w:hAnsi="Book Antiqua" w:cs="Arial"/>
          <w:lang w:val="en-GB"/>
        </w:rPr>
        <w:t>5</w:t>
      </w:r>
      <w:r w:rsidR="00FE1973" w:rsidRPr="00843CFD">
        <w:rPr>
          <w:rFonts w:ascii="Book Antiqua" w:hAnsi="Book Antiqua" w:cs="Arial"/>
          <w:lang w:val="en-GB" w:eastAsia="zh-CN"/>
        </w:rPr>
        <w:t xml:space="preserve">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A912D1" w:rsidRPr="00843CFD">
        <w:rPr>
          <w:rFonts w:ascii="Book Antiqua" w:hAnsi="Book Antiqua" w:cs="Arial"/>
          <w:lang w:val="en-GB"/>
        </w:rPr>
        <w:t xml:space="preserve">; </w:t>
      </w:r>
      <w:r w:rsidR="00FE1973" w:rsidRPr="00843CFD">
        <w:rPr>
          <w:rFonts w:ascii="Book Antiqua" w:hAnsi="Book Antiqua" w:cs="Arial"/>
          <w:i/>
          <w:lang w:val="en-GB"/>
        </w:rPr>
        <w:t>P =</w:t>
      </w:r>
      <w:r w:rsidR="009B496D" w:rsidRPr="00843CFD">
        <w:rPr>
          <w:rFonts w:ascii="Book Antiqua" w:hAnsi="Book Antiqua" w:cs="Arial"/>
          <w:lang w:val="en-GB"/>
        </w:rPr>
        <w:t xml:space="preserve"> </w:t>
      </w:r>
      <w:r w:rsidR="007A6905" w:rsidRPr="00843CFD">
        <w:rPr>
          <w:rFonts w:ascii="Book Antiqua" w:hAnsi="Book Antiqua" w:cs="Arial"/>
          <w:lang w:val="en-GB"/>
        </w:rPr>
        <w:t>8.78</w:t>
      </w:r>
      <w:r w:rsidR="00A912D1" w:rsidRPr="00843CFD">
        <w:rPr>
          <w:rFonts w:ascii="Book Antiqua" w:hAnsi="Book Antiqua" w:cs="Arial"/>
          <w:lang w:val="en-GB"/>
        </w:rPr>
        <w:t>E-</w:t>
      </w:r>
      <w:r w:rsidR="007A6905" w:rsidRPr="00843CFD">
        <w:rPr>
          <w:rFonts w:ascii="Book Antiqua" w:hAnsi="Book Antiqua" w:cs="Arial"/>
          <w:lang w:val="en-GB"/>
        </w:rPr>
        <w:t>7</w:t>
      </w:r>
      <w:r w:rsidR="000D1E86" w:rsidRPr="00843CFD">
        <w:rPr>
          <w:rFonts w:ascii="Book Antiqua" w:hAnsi="Book Antiqua" w:cs="Arial"/>
          <w:lang w:val="en-US"/>
        </w:rPr>
        <w:t xml:space="preserve">. </w:t>
      </w:r>
      <w:r w:rsidR="00A912D1" w:rsidRPr="00843CFD">
        <w:rPr>
          <w:rFonts w:ascii="Book Antiqua" w:hAnsi="Book Antiqua" w:cs="Arial"/>
          <w:lang w:val="en-US"/>
        </w:rPr>
        <w:t>Interestingly</w:t>
      </w:r>
      <w:r w:rsidR="009B496D" w:rsidRPr="00843CFD">
        <w:rPr>
          <w:rFonts w:ascii="Book Antiqua" w:hAnsi="Book Antiqua" w:cs="Arial"/>
          <w:lang w:val="en-US"/>
        </w:rPr>
        <w:t>,</w:t>
      </w:r>
      <w:r w:rsidR="000D1E86" w:rsidRPr="00843CFD">
        <w:rPr>
          <w:rFonts w:ascii="Book Antiqua" w:hAnsi="Book Antiqua" w:cs="Arial"/>
          <w:lang w:val="en-US"/>
        </w:rPr>
        <w:t xml:space="preserve"> these </w:t>
      </w:r>
      <w:r w:rsidR="009B496D" w:rsidRPr="00843CFD">
        <w:rPr>
          <w:rFonts w:ascii="Book Antiqua" w:hAnsi="Book Antiqua" w:cs="Arial"/>
          <w:lang w:val="en-US"/>
        </w:rPr>
        <w:t xml:space="preserve">three </w:t>
      </w:r>
      <w:r w:rsidR="00773E30" w:rsidRPr="00843CFD">
        <w:rPr>
          <w:rFonts w:ascii="Book Antiqua" w:hAnsi="Book Antiqua" w:cs="Arial"/>
          <w:lang w:val="en-US"/>
        </w:rPr>
        <w:t xml:space="preserve">are respectively </w:t>
      </w:r>
      <w:r w:rsidR="00A912D1" w:rsidRPr="00843CFD">
        <w:rPr>
          <w:rFonts w:ascii="Book Antiqua" w:hAnsi="Book Antiqua" w:cs="Arial"/>
          <w:lang w:val="en-US"/>
        </w:rPr>
        <w:t xml:space="preserve">primary, secondary and tertiary </w:t>
      </w:r>
      <w:r w:rsidR="00025C14" w:rsidRPr="00843CFD">
        <w:rPr>
          <w:rFonts w:ascii="Book Antiqua" w:hAnsi="Book Antiqua" w:cs="Arial"/>
          <w:lang w:val="en-US"/>
        </w:rPr>
        <w:t xml:space="preserve">conjugated </w:t>
      </w:r>
      <w:r w:rsidR="00A912D1" w:rsidRPr="00843CFD">
        <w:rPr>
          <w:rFonts w:ascii="Book Antiqua" w:hAnsi="Book Antiqua" w:cs="Arial"/>
          <w:lang w:val="en-US"/>
        </w:rPr>
        <w:t xml:space="preserve">bile acids. </w:t>
      </w:r>
      <w:r w:rsidR="009B496D" w:rsidRPr="00843CFD">
        <w:rPr>
          <w:rFonts w:ascii="Book Antiqua" w:hAnsi="Book Antiqua" w:cs="Arial"/>
          <w:lang w:val="en-US"/>
        </w:rPr>
        <w:t>Overall</w:t>
      </w:r>
      <w:r w:rsidR="008362FB" w:rsidRPr="00843CFD">
        <w:rPr>
          <w:rFonts w:ascii="Book Antiqua" w:hAnsi="Book Antiqua" w:cs="Arial"/>
          <w:lang w:val="en-US"/>
        </w:rPr>
        <w:t xml:space="preserve">, we found that </w:t>
      </w:r>
      <w:r w:rsidR="00A912D1" w:rsidRPr="00843CFD">
        <w:rPr>
          <w:rFonts w:ascii="Book Antiqua" w:hAnsi="Book Antiqua" w:cs="Arial"/>
          <w:lang w:val="en-US"/>
        </w:rPr>
        <w:t xml:space="preserve">the conjugated bile acids were </w:t>
      </w:r>
      <w:r w:rsidR="009B496D" w:rsidRPr="00843CFD">
        <w:rPr>
          <w:rFonts w:ascii="Book Antiqua" w:hAnsi="Book Antiqua" w:cs="Arial"/>
          <w:lang w:val="en-US"/>
        </w:rPr>
        <w:t xml:space="preserve">all </w:t>
      </w:r>
      <w:r w:rsidR="00A912D1" w:rsidRPr="00843CFD">
        <w:rPr>
          <w:rFonts w:ascii="Book Antiqua" w:hAnsi="Book Antiqua" w:cs="Arial"/>
          <w:lang w:val="en-US"/>
        </w:rPr>
        <w:t>more elevated in the cholestasis group</w:t>
      </w:r>
      <w:r w:rsidR="006229AC" w:rsidRPr="00843CFD">
        <w:rPr>
          <w:rFonts w:ascii="Book Antiqua" w:hAnsi="Book Antiqua" w:cs="Arial"/>
          <w:lang w:val="en-US"/>
        </w:rPr>
        <w:t xml:space="preserve"> </w:t>
      </w:r>
      <w:r w:rsidR="009B496D" w:rsidRPr="00843CFD">
        <w:rPr>
          <w:rFonts w:ascii="Book Antiqua" w:hAnsi="Book Antiqua" w:cs="Arial"/>
          <w:lang w:val="en-US"/>
        </w:rPr>
        <w:t>than in</w:t>
      </w:r>
      <w:r w:rsidR="006229AC" w:rsidRPr="00843CFD">
        <w:rPr>
          <w:rFonts w:ascii="Book Antiqua" w:hAnsi="Book Antiqua" w:cs="Arial"/>
          <w:lang w:val="en-US"/>
        </w:rPr>
        <w:t xml:space="preserve"> the control group</w:t>
      </w:r>
      <w:r w:rsidR="00025C14" w:rsidRPr="00843CFD">
        <w:rPr>
          <w:rFonts w:ascii="Book Antiqua" w:hAnsi="Book Antiqua" w:cs="Arial"/>
          <w:lang w:val="en-US"/>
        </w:rPr>
        <w:t>.</w:t>
      </w:r>
    </w:p>
    <w:p w:rsidR="008B57CB" w:rsidRPr="00843CFD" w:rsidRDefault="002F0BD9"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Based on these results, w</w:t>
      </w:r>
      <w:r w:rsidR="007E56AA" w:rsidRPr="00843CFD">
        <w:rPr>
          <w:rFonts w:ascii="Book Antiqua" w:hAnsi="Book Antiqua" w:cs="Arial"/>
          <w:lang w:val="en-US"/>
        </w:rPr>
        <w:t xml:space="preserve">e </w:t>
      </w:r>
      <w:r w:rsidR="009B496D" w:rsidRPr="00843CFD">
        <w:rPr>
          <w:rFonts w:ascii="Book Antiqua" w:hAnsi="Book Antiqua" w:cs="Arial"/>
          <w:lang w:val="en-US"/>
        </w:rPr>
        <w:t>investigated</w:t>
      </w:r>
      <w:r w:rsidRPr="00843CFD">
        <w:rPr>
          <w:rFonts w:ascii="Book Antiqua" w:hAnsi="Book Antiqua" w:cs="Arial"/>
          <w:lang w:val="en-US"/>
        </w:rPr>
        <w:t xml:space="preserve"> the potential relationship between high TBA level</w:t>
      </w:r>
      <w:r w:rsidR="009B496D" w:rsidRPr="00843CFD">
        <w:rPr>
          <w:rFonts w:ascii="Book Antiqua" w:hAnsi="Book Antiqua" w:cs="Arial"/>
          <w:lang w:val="en-US"/>
        </w:rPr>
        <w:t>s</w:t>
      </w:r>
      <w:r w:rsidRPr="00843CFD">
        <w:rPr>
          <w:rFonts w:ascii="Book Antiqua" w:hAnsi="Book Antiqua" w:cs="Arial"/>
          <w:lang w:val="en-US"/>
        </w:rPr>
        <w:t xml:space="preserve"> and </w:t>
      </w:r>
      <w:r w:rsidR="009940BD" w:rsidRPr="00843CFD">
        <w:rPr>
          <w:rFonts w:ascii="Book Antiqua" w:hAnsi="Book Antiqua" w:cs="Arial"/>
          <w:lang w:val="en-US"/>
        </w:rPr>
        <w:t xml:space="preserve">three </w:t>
      </w:r>
      <w:r w:rsidRPr="00843CFD">
        <w:rPr>
          <w:rFonts w:ascii="Book Antiqua" w:hAnsi="Book Antiqua" w:cs="Arial"/>
          <w:lang w:val="en-US"/>
        </w:rPr>
        <w:t>dissimilar factors that can interfere with the metabolism of bile acids</w:t>
      </w:r>
      <w:r w:rsidR="009940BD" w:rsidRPr="00843CFD">
        <w:rPr>
          <w:rFonts w:ascii="Book Antiqua" w:hAnsi="Book Antiqua" w:cs="Arial"/>
          <w:lang w:val="en-US"/>
        </w:rPr>
        <w:t>, namely</w:t>
      </w:r>
      <w:r w:rsidRPr="00843CFD">
        <w:rPr>
          <w:rFonts w:ascii="Book Antiqua" w:hAnsi="Book Antiqua" w:cs="Arial"/>
          <w:lang w:val="en-US"/>
        </w:rPr>
        <w:t xml:space="preserve"> the gut microbiota,</w:t>
      </w:r>
      <w:r w:rsidR="00DD5BC7" w:rsidRPr="00843CFD">
        <w:rPr>
          <w:rFonts w:ascii="Book Antiqua" w:hAnsi="Book Antiqua" w:cs="Arial"/>
          <w:lang w:val="en-US"/>
        </w:rPr>
        <w:t xml:space="preserve"> </w:t>
      </w:r>
      <w:r w:rsidRPr="00843CFD">
        <w:rPr>
          <w:rFonts w:ascii="Book Antiqua" w:hAnsi="Book Antiqua" w:cs="Arial"/>
          <w:lang w:val="en-US"/>
        </w:rPr>
        <w:t>inflammatory activity</w:t>
      </w:r>
      <w:r w:rsidR="009940BD" w:rsidRPr="00843CFD">
        <w:rPr>
          <w:rFonts w:ascii="Book Antiqua" w:hAnsi="Book Antiqua" w:cs="Arial"/>
          <w:lang w:val="en-US"/>
        </w:rPr>
        <w:t>,</w:t>
      </w:r>
      <w:r w:rsidRPr="00843CFD">
        <w:rPr>
          <w:rFonts w:ascii="Book Antiqua" w:hAnsi="Book Antiqua" w:cs="Arial"/>
          <w:lang w:val="en-US"/>
        </w:rPr>
        <w:t xml:space="preserve"> and smoking status. </w:t>
      </w:r>
      <w:r w:rsidR="00025C14" w:rsidRPr="00843CFD">
        <w:rPr>
          <w:rFonts w:ascii="Book Antiqua" w:hAnsi="Book Antiqua" w:cs="Arial"/>
          <w:lang w:val="en-US"/>
        </w:rPr>
        <w:t>We</w:t>
      </w:r>
      <w:r w:rsidRPr="00843CFD">
        <w:rPr>
          <w:rFonts w:ascii="Book Antiqua" w:hAnsi="Book Antiqua" w:cs="Arial"/>
          <w:lang w:val="en-US"/>
        </w:rPr>
        <w:t xml:space="preserve"> compared </w:t>
      </w:r>
      <w:r w:rsidR="007E56AA" w:rsidRPr="00843CFD">
        <w:rPr>
          <w:rFonts w:ascii="Book Antiqua" w:hAnsi="Book Antiqua" w:cs="Arial"/>
          <w:lang w:val="en-US"/>
        </w:rPr>
        <w:t>patients with ileal disease to those with colonic disease</w:t>
      </w:r>
      <w:r w:rsidR="00142A34" w:rsidRPr="00843CFD">
        <w:rPr>
          <w:rFonts w:ascii="Book Antiqua" w:hAnsi="Book Antiqua" w:cs="Arial"/>
          <w:lang w:val="en-US"/>
        </w:rPr>
        <w:t>,</w:t>
      </w:r>
      <w:r w:rsidR="007E56AA" w:rsidRPr="00843CFD">
        <w:rPr>
          <w:rFonts w:ascii="Book Antiqua" w:hAnsi="Book Antiqua" w:cs="Arial"/>
          <w:lang w:val="en-US"/>
        </w:rPr>
        <w:t xml:space="preserve"> patients with high inflammation </w:t>
      </w:r>
      <w:r w:rsidR="00717FDA" w:rsidRPr="00843CFD">
        <w:rPr>
          <w:rFonts w:ascii="Book Antiqua" w:hAnsi="Book Antiqua" w:cs="Arial"/>
          <w:lang w:val="en-US"/>
        </w:rPr>
        <w:t xml:space="preserve">activity </w:t>
      </w:r>
      <w:r w:rsidR="00727E0C" w:rsidRPr="00843CFD">
        <w:rPr>
          <w:rFonts w:ascii="Book Antiqua" w:hAnsi="Book Antiqua" w:cs="Arial"/>
          <w:lang w:val="en-US"/>
        </w:rPr>
        <w:t>to</w:t>
      </w:r>
      <w:r w:rsidR="007E56AA" w:rsidRPr="00843CFD">
        <w:rPr>
          <w:rFonts w:ascii="Book Antiqua" w:hAnsi="Book Antiqua" w:cs="Arial"/>
          <w:lang w:val="en-US"/>
        </w:rPr>
        <w:t xml:space="preserve"> those without inflammation</w:t>
      </w:r>
      <w:r w:rsidR="00142A34" w:rsidRPr="00843CFD">
        <w:rPr>
          <w:rFonts w:ascii="Book Antiqua" w:hAnsi="Book Antiqua" w:cs="Arial"/>
          <w:lang w:val="en-US"/>
        </w:rPr>
        <w:t xml:space="preserve"> and </w:t>
      </w:r>
      <w:r w:rsidR="007E56AA" w:rsidRPr="00843CFD">
        <w:rPr>
          <w:rFonts w:ascii="Book Antiqua" w:hAnsi="Book Antiqua" w:cs="Arial"/>
          <w:lang w:val="en-US"/>
        </w:rPr>
        <w:t xml:space="preserve">active </w:t>
      </w:r>
      <w:r w:rsidR="009940BD" w:rsidRPr="00843CFD">
        <w:rPr>
          <w:rFonts w:ascii="Book Antiqua" w:hAnsi="Book Antiqua" w:cs="Arial"/>
          <w:lang w:val="en-US"/>
        </w:rPr>
        <w:t xml:space="preserve">smokers </w:t>
      </w:r>
      <w:r w:rsidR="00717FDA" w:rsidRPr="00843CFD">
        <w:rPr>
          <w:rFonts w:ascii="Book Antiqua" w:hAnsi="Book Antiqua" w:cs="Arial"/>
          <w:lang w:val="en-US"/>
        </w:rPr>
        <w:t xml:space="preserve">to </w:t>
      </w:r>
      <w:r w:rsidR="007E56AA" w:rsidRPr="00843CFD">
        <w:rPr>
          <w:rFonts w:ascii="Book Antiqua" w:hAnsi="Book Antiqua" w:cs="Arial"/>
          <w:lang w:val="en-US"/>
        </w:rPr>
        <w:t>those who did</w:t>
      </w:r>
      <w:r w:rsidR="00773E30" w:rsidRPr="00843CFD">
        <w:rPr>
          <w:rFonts w:ascii="Book Antiqua" w:hAnsi="Book Antiqua" w:cs="Arial"/>
          <w:lang w:val="en-US"/>
        </w:rPr>
        <w:t xml:space="preserve"> </w:t>
      </w:r>
      <w:r w:rsidR="007E56AA" w:rsidRPr="00843CFD">
        <w:rPr>
          <w:rFonts w:ascii="Book Antiqua" w:hAnsi="Book Antiqua" w:cs="Arial"/>
          <w:lang w:val="en-US"/>
        </w:rPr>
        <w:t>n</w:t>
      </w:r>
      <w:r w:rsidR="00773E30" w:rsidRPr="00843CFD">
        <w:rPr>
          <w:rFonts w:ascii="Book Antiqua" w:hAnsi="Book Antiqua" w:cs="Arial"/>
          <w:lang w:val="en-US"/>
        </w:rPr>
        <w:t>o</w:t>
      </w:r>
      <w:r w:rsidR="007E56AA" w:rsidRPr="00843CFD">
        <w:rPr>
          <w:rFonts w:ascii="Book Antiqua" w:hAnsi="Book Antiqua" w:cs="Arial"/>
          <w:lang w:val="en-US"/>
        </w:rPr>
        <w:t xml:space="preserve">t </w:t>
      </w:r>
      <w:r w:rsidR="00DD5BC7" w:rsidRPr="00843CFD">
        <w:rPr>
          <w:rFonts w:ascii="Book Antiqua" w:hAnsi="Book Antiqua" w:cs="Arial"/>
          <w:lang w:val="en-US"/>
        </w:rPr>
        <w:t>smoke</w:t>
      </w:r>
      <w:r w:rsidR="007E56AA" w:rsidRPr="00843CFD">
        <w:rPr>
          <w:rFonts w:ascii="Book Antiqua" w:hAnsi="Book Antiqua" w:cs="Arial"/>
          <w:lang w:val="en-US"/>
        </w:rPr>
        <w:t xml:space="preserve">. </w:t>
      </w:r>
      <w:r w:rsidR="009940BD" w:rsidRPr="00843CFD">
        <w:rPr>
          <w:rFonts w:ascii="Book Antiqua" w:hAnsi="Book Antiqua" w:cs="Arial"/>
          <w:lang w:val="en-US"/>
        </w:rPr>
        <w:t>The corresponding u</w:t>
      </w:r>
      <w:r w:rsidR="00C9761D" w:rsidRPr="00843CFD">
        <w:rPr>
          <w:rFonts w:ascii="Book Antiqua" w:hAnsi="Book Antiqua" w:cs="Arial"/>
          <w:lang w:val="en-US"/>
        </w:rPr>
        <w:t xml:space="preserve">nivariate </w:t>
      </w:r>
      <w:r w:rsidR="009940BD" w:rsidRPr="00843CFD">
        <w:rPr>
          <w:rFonts w:ascii="Book Antiqua" w:hAnsi="Book Antiqua" w:cs="Arial"/>
          <w:lang w:val="en-US"/>
        </w:rPr>
        <w:t>analyses are</w:t>
      </w:r>
      <w:r w:rsidR="007E56AA" w:rsidRPr="00843CFD">
        <w:rPr>
          <w:rFonts w:ascii="Book Antiqua" w:hAnsi="Book Antiqua" w:cs="Arial"/>
          <w:lang w:val="en-US"/>
        </w:rPr>
        <w:t xml:space="preserve"> shown in </w:t>
      </w:r>
      <w:r w:rsidR="000826F2">
        <w:rPr>
          <w:rFonts w:ascii="Book Antiqua" w:hAnsi="Book Antiqua" w:cs="Arial" w:hint="eastAsia"/>
          <w:lang w:val="en-US" w:eastAsia="zh-CN"/>
        </w:rPr>
        <w:t>s</w:t>
      </w:r>
      <w:r w:rsidR="00116232" w:rsidRPr="00843CFD">
        <w:rPr>
          <w:rFonts w:ascii="Book Antiqua" w:hAnsi="Book Antiqua" w:cs="Arial"/>
          <w:lang w:val="en-US"/>
        </w:rPr>
        <w:t xml:space="preserve">upplementary </w:t>
      </w:r>
      <w:r w:rsidR="005F2E9E" w:rsidRPr="00843CFD">
        <w:rPr>
          <w:rFonts w:ascii="Book Antiqua" w:hAnsi="Book Antiqua" w:cs="Arial"/>
          <w:lang w:val="en-US"/>
        </w:rPr>
        <w:t xml:space="preserve">Table </w:t>
      </w:r>
      <w:r w:rsidR="00970887" w:rsidRPr="00843CFD">
        <w:rPr>
          <w:rFonts w:ascii="Book Antiqua" w:hAnsi="Book Antiqua" w:cs="Arial"/>
          <w:lang w:val="en-US"/>
        </w:rPr>
        <w:t>2</w:t>
      </w:r>
      <w:r w:rsidR="007E56AA" w:rsidRPr="00843CFD">
        <w:rPr>
          <w:rFonts w:ascii="Book Antiqua" w:hAnsi="Book Antiqua" w:cs="Arial"/>
          <w:lang w:val="en-US"/>
        </w:rPr>
        <w:t>.</w:t>
      </w:r>
    </w:p>
    <w:p w:rsidR="00815784" w:rsidRPr="00843CFD" w:rsidRDefault="00BB0D3A"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Patients with ileal</w:t>
      </w:r>
      <w:r w:rsidR="009940BD" w:rsidRPr="00843CFD">
        <w:rPr>
          <w:rFonts w:ascii="Book Antiqua" w:hAnsi="Book Antiqua" w:cs="Arial"/>
          <w:lang w:val="en-US"/>
        </w:rPr>
        <w:t xml:space="preserve"> disease were more likely to receive</w:t>
      </w:r>
      <w:r w:rsidR="00815784" w:rsidRPr="00843CFD">
        <w:rPr>
          <w:rFonts w:ascii="Book Antiqua" w:hAnsi="Book Antiqua" w:cs="Arial"/>
          <w:lang w:val="en-US"/>
        </w:rPr>
        <w:t xml:space="preserve"> </w:t>
      </w:r>
      <w:r w:rsidR="008B57CB" w:rsidRPr="00843CFD">
        <w:rPr>
          <w:rFonts w:ascii="Book Antiqua" w:hAnsi="Book Antiqua" w:cs="Arial"/>
          <w:lang w:val="en-US"/>
        </w:rPr>
        <w:t>vitamin</w:t>
      </w:r>
      <w:r w:rsidRPr="00843CFD">
        <w:rPr>
          <w:rFonts w:ascii="Book Antiqua" w:hAnsi="Book Antiqua" w:cs="Arial"/>
          <w:lang w:val="en-US"/>
        </w:rPr>
        <w:t xml:space="preserve"> D and B12 supplementation</w:t>
      </w:r>
      <w:r w:rsidR="009940BD" w:rsidRPr="00843CFD">
        <w:rPr>
          <w:rFonts w:ascii="Book Antiqua" w:hAnsi="Book Antiqua" w:cs="Arial"/>
          <w:lang w:val="en-US"/>
        </w:rPr>
        <w:t xml:space="preserve"> than those with colonic disease were</w:t>
      </w:r>
      <w:r w:rsidR="00532BA3" w:rsidRPr="00843CFD">
        <w:rPr>
          <w:rFonts w:ascii="Book Antiqua" w:hAnsi="Book Antiqua" w:cs="Arial"/>
          <w:lang w:val="en-US"/>
        </w:rPr>
        <w:t xml:space="preserve"> (</w:t>
      </w:r>
      <w:r w:rsidRPr="00843CFD">
        <w:rPr>
          <w:rFonts w:ascii="Book Antiqua" w:hAnsi="Book Antiqua" w:cs="Arial"/>
          <w:lang w:val="en-US"/>
        </w:rPr>
        <w:t>35%</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20%</w:t>
      </w:r>
      <w:r w:rsidR="009940BD" w:rsidRPr="00843CFD">
        <w:rPr>
          <w:rFonts w:ascii="Book Antiqua" w:hAnsi="Book Antiqua" w:cs="Arial"/>
          <w:lang w:val="en-US"/>
        </w:rPr>
        <w:t>,</w:t>
      </w:r>
      <w:r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Pr="00843CFD">
        <w:rPr>
          <w:rFonts w:ascii="Book Antiqua" w:hAnsi="Book Antiqua" w:cs="Arial"/>
          <w:lang w:val="en-US"/>
        </w:rPr>
        <w:t>0.025</w:t>
      </w:r>
      <w:r w:rsidR="006229AC" w:rsidRPr="00843CFD">
        <w:rPr>
          <w:rFonts w:ascii="Book Antiqua" w:hAnsi="Book Antiqua" w:cs="Arial"/>
          <w:lang w:val="en-US"/>
        </w:rPr>
        <w:t xml:space="preserve"> </w:t>
      </w:r>
      <w:r w:rsidR="00C43694" w:rsidRPr="00843CFD">
        <w:rPr>
          <w:rFonts w:ascii="Book Antiqua" w:hAnsi="Book Antiqua" w:cs="Arial"/>
          <w:lang w:val="en-US"/>
        </w:rPr>
        <w:t>and 26</w:t>
      </w:r>
      <w:r w:rsidRPr="00843CFD">
        <w:rPr>
          <w:rFonts w:ascii="Book Antiqua" w:hAnsi="Book Antiqua" w:cs="Arial"/>
          <w:lang w:val="en-US"/>
        </w:rPr>
        <w:t>%</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5%</w:t>
      </w:r>
      <w:r w:rsidR="009940BD" w:rsidRPr="00843CFD">
        <w:rPr>
          <w:rFonts w:ascii="Book Antiqua" w:hAnsi="Book Antiqua" w:cs="Arial"/>
          <w:lang w:val="en-US"/>
        </w:rPr>
        <w:t>,</w:t>
      </w:r>
      <w:r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Pr="00843CFD">
        <w:rPr>
          <w:rFonts w:ascii="Book Antiqua" w:hAnsi="Book Antiqua" w:cs="Arial"/>
          <w:lang w:val="en-US"/>
        </w:rPr>
        <w:t>0.0001</w:t>
      </w:r>
      <w:r w:rsidR="006229AC" w:rsidRPr="00843CFD">
        <w:rPr>
          <w:rFonts w:ascii="Book Antiqua" w:hAnsi="Book Antiqua" w:cs="Arial"/>
          <w:lang w:val="en-US"/>
        </w:rPr>
        <w:t>, respectively</w:t>
      </w:r>
      <w:r w:rsidR="00532BA3" w:rsidRPr="00843CFD">
        <w:rPr>
          <w:rFonts w:ascii="Book Antiqua" w:hAnsi="Book Antiqua" w:cs="Arial"/>
          <w:lang w:val="en-US"/>
        </w:rPr>
        <w:t>)</w:t>
      </w:r>
      <w:r w:rsidR="008B57CB" w:rsidRPr="00843CFD">
        <w:rPr>
          <w:rFonts w:ascii="Book Antiqua" w:hAnsi="Book Antiqua" w:cs="Arial"/>
          <w:lang w:val="en-US"/>
        </w:rPr>
        <w:t xml:space="preserve">. </w:t>
      </w:r>
      <w:r w:rsidR="00815784" w:rsidRPr="00843CFD">
        <w:rPr>
          <w:rFonts w:ascii="Book Antiqua" w:hAnsi="Book Antiqua" w:cs="Arial"/>
          <w:lang w:val="en-US"/>
        </w:rPr>
        <w:t xml:space="preserve">They </w:t>
      </w:r>
      <w:r w:rsidR="008B57CB" w:rsidRPr="00843CFD">
        <w:rPr>
          <w:rFonts w:ascii="Book Antiqua" w:hAnsi="Book Antiqua" w:cs="Arial"/>
          <w:lang w:val="en-US"/>
        </w:rPr>
        <w:t xml:space="preserve">were </w:t>
      </w:r>
      <w:r w:rsidR="009940BD" w:rsidRPr="00843CFD">
        <w:rPr>
          <w:rFonts w:ascii="Book Antiqua" w:hAnsi="Book Antiqua" w:cs="Arial"/>
          <w:lang w:val="en-US"/>
        </w:rPr>
        <w:t xml:space="preserve">also </w:t>
      </w:r>
      <w:r w:rsidR="008B57CB" w:rsidRPr="00843CFD">
        <w:rPr>
          <w:rFonts w:ascii="Book Antiqua" w:hAnsi="Book Antiqua" w:cs="Arial"/>
          <w:lang w:val="en-US"/>
        </w:rPr>
        <w:t xml:space="preserve">more </w:t>
      </w:r>
      <w:r w:rsidR="009940BD" w:rsidRPr="00843CFD">
        <w:rPr>
          <w:rFonts w:ascii="Book Antiqua" w:hAnsi="Book Antiqua" w:cs="Arial"/>
          <w:lang w:val="en-US"/>
        </w:rPr>
        <w:t xml:space="preserve">likely to be </w:t>
      </w:r>
      <w:r w:rsidR="008B57CB" w:rsidRPr="00843CFD">
        <w:rPr>
          <w:rFonts w:ascii="Book Antiqua" w:hAnsi="Book Antiqua" w:cs="Arial"/>
          <w:lang w:val="en-US"/>
        </w:rPr>
        <w:t xml:space="preserve">treated with </w:t>
      </w:r>
      <w:proofErr w:type="spellStart"/>
      <w:r w:rsidR="008B57CB" w:rsidRPr="00843CFD">
        <w:rPr>
          <w:rFonts w:ascii="Book Antiqua" w:hAnsi="Book Antiqua" w:cs="Arial"/>
          <w:lang w:val="en-US"/>
        </w:rPr>
        <w:t>certolizumab</w:t>
      </w:r>
      <w:proofErr w:type="spellEnd"/>
      <w:r w:rsidR="008B57CB" w:rsidRPr="00843CFD">
        <w:rPr>
          <w:rFonts w:ascii="Book Antiqua" w:hAnsi="Book Antiqua" w:cs="Arial"/>
          <w:lang w:val="en-US"/>
        </w:rPr>
        <w:t xml:space="preserve"> </w:t>
      </w:r>
      <w:proofErr w:type="spellStart"/>
      <w:r w:rsidR="008B57CB" w:rsidRPr="00843CFD">
        <w:rPr>
          <w:rFonts w:ascii="Book Antiqua" w:hAnsi="Book Antiqua" w:cs="Arial"/>
          <w:lang w:val="en-US"/>
        </w:rPr>
        <w:t>pegol</w:t>
      </w:r>
      <w:proofErr w:type="spellEnd"/>
      <w:r w:rsidR="008B57CB" w:rsidRPr="00843CFD">
        <w:rPr>
          <w:rFonts w:ascii="Book Antiqua" w:hAnsi="Book Antiqua" w:cs="Arial"/>
          <w:lang w:val="en-US"/>
        </w:rPr>
        <w:t xml:space="preserve"> and budesonide</w:t>
      </w:r>
      <w:r w:rsidR="00532BA3" w:rsidRPr="00843CFD">
        <w:rPr>
          <w:rFonts w:ascii="Book Antiqua" w:hAnsi="Book Antiqua" w:cs="Arial"/>
          <w:lang w:val="en-US"/>
        </w:rPr>
        <w:t xml:space="preserve"> (</w:t>
      </w:r>
      <w:r w:rsidR="008B57CB" w:rsidRPr="00843CFD">
        <w:rPr>
          <w:rFonts w:ascii="Book Antiqua" w:hAnsi="Book Antiqua" w:cs="Arial"/>
          <w:lang w:val="en-US"/>
        </w:rPr>
        <w:t>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8B57CB" w:rsidRPr="00843CFD">
        <w:rPr>
          <w:rFonts w:ascii="Book Antiqua" w:hAnsi="Book Antiqua" w:cs="Arial"/>
          <w:lang w:val="en-US"/>
        </w:rPr>
        <w:t>0%</w:t>
      </w:r>
      <w:r w:rsidR="009940BD" w:rsidRPr="00843CFD">
        <w:rPr>
          <w:rFonts w:ascii="Book Antiqua" w:hAnsi="Book Antiqua" w:cs="Arial"/>
          <w:lang w:val="en-US"/>
        </w:rPr>
        <w:t>,</w:t>
      </w:r>
      <w:r w:rsidR="008B57CB"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8B57CB" w:rsidRPr="00843CFD">
        <w:rPr>
          <w:rFonts w:ascii="Book Antiqua" w:hAnsi="Book Antiqua" w:cs="Arial"/>
          <w:lang w:val="en-US"/>
        </w:rPr>
        <w:t>0.041</w:t>
      </w:r>
      <w:r w:rsidR="00532BA3" w:rsidRPr="00843CFD">
        <w:rPr>
          <w:rFonts w:ascii="Book Antiqua" w:hAnsi="Book Antiqua" w:cs="Arial"/>
          <w:lang w:val="en-US"/>
        </w:rPr>
        <w:t>,</w:t>
      </w:r>
      <w:r w:rsidR="008B57CB" w:rsidRPr="00843CFD">
        <w:rPr>
          <w:rFonts w:ascii="Book Antiqua" w:hAnsi="Book Antiqua" w:cs="Arial"/>
          <w:lang w:val="en-US"/>
        </w:rPr>
        <w:t xml:space="preserve"> </w:t>
      </w:r>
      <w:r w:rsidR="00815784" w:rsidRPr="00843CFD">
        <w:rPr>
          <w:rFonts w:ascii="Book Antiqua" w:hAnsi="Book Antiqua" w:cs="Arial"/>
          <w:lang w:val="en-US"/>
        </w:rPr>
        <w:t xml:space="preserve">and </w:t>
      </w:r>
      <w:r w:rsidR="008B57CB" w:rsidRPr="00843CFD">
        <w:rPr>
          <w:rFonts w:ascii="Book Antiqua" w:hAnsi="Book Antiqua" w:cs="Arial"/>
          <w:lang w:val="en-US"/>
        </w:rPr>
        <w:t>18%</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8B57CB" w:rsidRPr="00843CFD">
        <w:rPr>
          <w:rFonts w:ascii="Book Antiqua" w:hAnsi="Book Antiqua" w:cs="Arial"/>
          <w:lang w:val="en-US"/>
        </w:rPr>
        <w:t>7%</w:t>
      </w:r>
      <w:r w:rsidR="009940BD" w:rsidRPr="00843CFD">
        <w:rPr>
          <w:rFonts w:ascii="Book Antiqua" w:hAnsi="Book Antiqua" w:cs="Arial"/>
          <w:lang w:val="en-US"/>
        </w:rPr>
        <w:t>,</w:t>
      </w:r>
      <w:r w:rsidR="008B57CB"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8B57CB" w:rsidRPr="00843CFD">
        <w:rPr>
          <w:rFonts w:ascii="Book Antiqua" w:hAnsi="Book Antiqua" w:cs="Arial"/>
          <w:lang w:val="en-US"/>
        </w:rPr>
        <w:t>0.02</w:t>
      </w:r>
      <w:r w:rsidR="00815784" w:rsidRPr="00843CFD">
        <w:rPr>
          <w:rFonts w:ascii="Book Antiqua" w:hAnsi="Book Antiqua" w:cs="Arial"/>
          <w:lang w:val="en-US"/>
        </w:rPr>
        <w:t>7, respectively</w:t>
      </w:r>
      <w:r w:rsidR="00532BA3" w:rsidRPr="00843CFD">
        <w:rPr>
          <w:rFonts w:ascii="Book Antiqua" w:hAnsi="Book Antiqua" w:cs="Arial"/>
          <w:lang w:val="en-US"/>
        </w:rPr>
        <w:t>)</w:t>
      </w:r>
      <w:r w:rsidR="009940BD" w:rsidRPr="00843CFD">
        <w:rPr>
          <w:rFonts w:ascii="Book Antiqua" w:hAnsi="Book Antiqua" w:cs="Arial"/>
          <w:lang w:val="en-US"/>
        </w:rPr>
        <w:t>,</w:t>
      </w:r>
      <w:r w:rsidR="008B57CB" w:rsidRPr="00843CFD">
        <w:rPr>
          <w:rFonts w:ascii="Book Antiqua" w:hAnsi="Book Antiqua" w:cs="Arial"/>
          <w:lang w:val="en-US"/>
        </w:rPr>
        <w:t xml:space="preserve"> and less </w:t>
      </w:r>
      <w:r w:rsidR="009940BD" w:rsidRPr="00843CFD">
        <w:rPr>
          <w:rFonts w:ascii="Book Antiqua" w:hAnsi="Book Antiqua" w:cs="Arial"/>
          <w:lang w:val="en-US"/>
        </w:rPr>
        <w:t xml:space="preserve">likely to be treated </w:t>
      </w:r>
      <w:r w:rsidR="008B57CB" w:rsidRPr="00843CFD">
        <w:rPr>
          <w:rFonts w:ascii="Book Antiqua" w:hAnsi="Book Antiqua" w:cs="Arial"/>
          <w:lang w:val="en-US"/>
        </w:rPr>
        <w:t>with oral or topical 5ASA</w:t>
      </w:r>
      <w:r w:rsidR="00532BA3" w:rsidRPr="00843CFD">
        <w:rPr>
          <w:rFonts w:ascii="Book Antiqua" w:hAnsi="Book Antiqua" w:cs="Arial"/>
          <w:lang w:val="en-US"/>
        </w:rPr>
        <w:t xml:space="preserve"> (</w:t>
      </w:r>
      <w:r w:rsidR="008B57CB" w:rsidRPr="00843CFD">
        <w:rPr>
          <w:rFonts w:ascii="Book Antiqua" w:hAnsi="Book Antiqua" w:cs="Arial"/>
          <w:lang w:val="en-US"/>
        </w:rPr>
        <w:t>53%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8B57CB" w:rsidRPr="00843CFD">
        <w:rPr>
          <w:rFonts w:ascii="Book Antiqua" w:hAnsi="Book Antiqua" w:cs="Arial"/>
          <w:lang w:val="en-US"/>
        </w:rPr>
        <w:t>15%</w:t>
      </w:r>
      <w:r w:rsidR="009940BD" w:rsidRPr="00843CFD">
        <w:rPr>
          <w:rFonts w:ascii="Book Antiqua" w:hAnsi="Book Antiqua" w:cs="Arial"/>
          <w:lang w:val="en-US"/>
        </w:rPr>
        <w:t>,</w:t>
      </w:r>
      <w:r w:rsidR="008B57CB"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8B57CB" w:rsidRPr="00843CFD">
        <w:rPr>
          <w:rFonts w:ascii="Book Antiqua" w:hAnsi="Book Antiqua" w:cs="Arial"/>
          <w:lang w:val="en-US"/>
        </w:rPr>
        <w:t>5.8 E-7</w:t>
      </w:r>
      <w:r w:rsidR="00532BA3" w:rsidRPr="00843CFD">
        <w:rPr>
          <w:rFonts w:ascii="Book Antiqua" w:hAnsi="Book Antiqua" w:cs="Arial"/>
          <w:lang w:val="en-US"/>
        </w:rPr>
        <w:t>,</w:t>
      </w:r>
      <w:r w:rsidR="008B57CB" w:rsidRPr="00843CFD">
        <w:rPr>
          <w:rFonts w:ascii="Book Antiqua" w:hAnsi="Book Antiqua" w:cs="Arial"/>
          <w:lang w:val="en-US"/>
        </w:rPr>
        <w:t xml:space="preserve"> </w:t>
      </w:r>
      <w:r w:rsidR="00815784" w:rsidRPr="00843CFD">
        <w:rPr>
          <w:rFonts w:ascii="Book Antiqua" w:hAnsi="Book Antiqua" w:cs="Arial"/>
          <w:lang w:val="en-US"/>
        </w:rPr>
        <w:t>and</w:t>
      </w:r>
      <w:r w:rsidR="008B57CB" w:rsidRPr="00843CFD">
        <w:rPr>
          <w:rFonts w:ascii="Book Antiqua" w:hAnsi="Book Antiqua" w:cs="Arial"/>
          <w:lang w:val="en-US"/>
        </w:rPr>
        <w:t>11%</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8B57CB" w:rsidRPr="00843CFD">
        <w:rPr>
          <w:rFonts w:ascii="Book Antiqua" w:hAnsi="Book Antiqua" w:cs="Arial"/>
          <w:lang w:val="en-US"/>
        </w:rPr>
        <w:t>0%</w:t>
      </w:r>
      <w:r w:rsidR="009940BD" w:rsidRPr="00843CFD">
        <w:rPr>
          <w:rFonts w:ascii="Book Antiqua" w:hAnsi="Book Antiqua" w:cs="Arial"/>
          <w:lang w:val="en-US"/>
        </w:rPr>
        <w:t>,</w:t>
      </w:r>
      <w:r w:rsidR="008B57CB"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8B57CB" w:rsidRPr="00843CFD">
        <w:rPr>
          <w:rFonts w:ascii="Book Antiqua" w:hAnsi="Book Antiqua" w:cs="Arial"/>
          <w:lang w:val="en-US"/>
        </w:rPr>
        <w:t>0.004</w:t>
      </w:r>
      <w:r w:rsidR="00815784" w:rsidRPr="00843CFD">
        <w:rPr>
          <w:rFonts w:ascii="Book Antiqua" w:hAnsi="Book Antiqua" w:cs="Arial"/>
          <w:lang w:val="en-US"/>
        </w:rPr>
        <w:t>, respectively</w:t>
      </w:r>
      <w:r w:rsidR="00532BA3" w:rsidRPr="00843CFD">
        <w:rPr>
          <w:rFonts w:ascii="Book Antiqua" w:hAnsi="Book Antiqua" w:cs="Arial"/>
          <w:lang w:val="en-US"/>
        </w:rPr>
        <w:t>)</w:t>
      </w:r>
      <w:r w:rsidR="008B57CB" w:rsidRPr="00843CFD">
        <w:rPr>
          <w:rFonts w:ascii="Book Antiqua" w:hAnsi="Book Antiqua" w:cs="Arial"/>
          <w:lang w:val="en-US"/>
        </w:rPr>
        <w:t xml:space="preserve">. </w:t>
      </w:r>
      <w:r w:rsidR="00727E0C" w:rsidRPr="00843CFD">
        <w:rPr>
          <w:rFonts w:ascii="Book Antiqua" w:hAnsi="Book Antiqua" w:cs="Arial"/>
          <w:lang w:val="en-US"/>
        </w:rPr>
        <w:t>T</w:t>
      </w:r>
      <w:r w:rsidR="008B57CB" w:rsidRPr="00843CFD">
        <w:rPr>
          <w:rFonts w:ascii="Book Antiqua" w:hAnsi="Book Antiqua" w:cs="Arial"/>
          <w:lang w:val="en-US"/>
        </w:rPr>
        <w:t>he</w:t>
      </w:r>
      <w:r w:rsidR="009940BD" w:rsidRPr="00843CFD">
        <w:rPr>
          <w:rFonts w:ascii="Book Antiqua" w:hAnsi="Book Antiqua" w:cs="Arial"/>
          <w:lang w:val="en-US"/>
        </w:rPr>
        <w:t>re was a marked difference in the proportion of smokers in the two groups, with</w:t>
      </w:r>
      <w:r w:rsidR="00C43694" w:rsidRPr="00843CFD">
        <w:rPr>
          <w:rFonts w:ascii="Book Antiqua" w:hAnsi="Book Antiqua" w:cs="Arial"/>
          <w:lang w:val="en-US"/>
        </w:rPr>
        <w:t>, 90</w:t>
      </w:r>
      <w:r w:rsidR="008B57CB" w:rsidRPr="00843CFD">
        <w:rPr>
          <w:rFonts w:ascii="Book Antiqua" w:hAnsi="Book Antiqua" w:cs="Arial"/>
          <w:lang w:val="en-US"/>
        </w:rPr>
        <w:t xml:space="preserve">% of patients with colonic disease </w:t>
      </w:r>
      <w:r w:rsidR="00727E0C" w:rsidRPr="00843CFD">
        <w:rPr>
          <w:rFonts w:ascii="Book Antiqua" w:hAnsi="Book Antiqua" w:cs="Arial"/>
          <w:lang w:val="en-US"/>
        </w:rPr>
        <w:t xml:space="preserve">being </w:t>
      </w:r>
      <w:r w:rsidR="008B57CB" w:rsidRPr="00843CFD">
        <w:rPr>
          <w:rFonts w:ascii="Book Antiqua" w:hAnsi="Book Antiqua" w:cs="Arial"/>
          <w:lang w:val="en-US"/>
        </w:rPr>
        <w:t xml:space="preserve">nonsmokers </w:t>
      </w:r>
      <w:r w:rsidR="00343676" w:rsidRPr="00843CFD">
        <w:rPr>
          <w:rFonts w:ascii="Book Antiqua" w:hAnsi="Book Antiqua" w:cs="Arial"/>
          <w:i/>
          <w:lang w:val="en-US"/>
        </w:rPr>
        <w:t>v</w:t>
      </w:r>
      <w:r w:rsidR="009940BD" w:rsidRPr="00843CFD">
        <w:rPr>
          <w:rFonts w:ascii="Book Antiqua" w:hAnsi="Book Antiqua" w:cs="Arial"/>
          <w:i/>
          <w:lang w:val="en-US"/>
        </w:rPr>
        <w:t>s</w:t>
      </w:r>
      <w:r w:rsidR="008B57CB" w:rsidRPr="00843CFD">
        <w:rPr>
          <w:rFonts w:ascii="Book Antiqua" w:hAnsi="Book Antiqua" w:cs="Arial"/>
          <w:lang w:val="en-US"/>
        </w:rPr>
        <w:t xml:space="preserve"> </w:t>
      </w:r>
      <w:r w:rsidR="009940BD" w:rsidRPr="00843CFD">
        <w:rPr>
          <w:rFonts w:ascii="Book Antiqua" w:hAnsi="Book Antiqua" w:cs="Arial"/>
          <w:lang w:val="en-US"/>
        </w:rPr>
        <w:t xml:space="preserve">just </w:t>
      </w:r>
      <w:r w:rsidR="008B57CB" w:rsidRPr="00843CFD">
        <w:rPr>
          <w:rFonts w:ascii="Book Antiqua" w:hAnsi="Book Antiqua" w:cs="Arial"/>
          <w:lang w:val="en-US"/>
        </w:rPr>
        <w:t xml:space="preserve">66% </w:t>
      </w:r>
      <w:r w:rsidR="00815784" w:rsidRPr="00843CFD">
        <w:rPr>
          <w:rFonts w:ascii="Book Antiqua" w:hAnsi="Book Antiqua" w:cs="Arial"/>
          <w:lang w:val="en-US"/>
        </w:rPr>
        <w:t>in the ileal disease group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8B57CB" w:rsidRPr="00843CFD">
        <w:rPr>
          <w:rFonts w:ascii="Book Antiqua" w:hAnsi="Book Antiqua" w:cs="Arial"/>
          <w:lang w:val="en-US"/>
        </w:rPr>
        <w:t>0.0001</w:t>
      </w:r>
      <w:r w:rsidR="00815784" w:rsidRPr="00843CFD">
        <w:rPr>
          <w:rFonts w:ascii="Book Antiqua" w:hAnsi="Book Antiqua" w:cs="Arial"/>
          <w:lang w:val="en-US"/>
        </w:rPr>
        <w:t>)</w:t>
      </w:r>
      <w:r w:rsidR="009940BD" w:rsidRPr="00843CFD">
        <w:rPr>
          <w:rFonts w:ascii="Book Antiqua" w:hAnsi="Book Antiqua" w:cs="Arial"/>
          <w:lang w:val="en-US"/>
        </w:rPr>
        <w:t>.</w:t>
      </w:r>
    </w:p>
    <w:p w:rsidR="008B57CB" w:rsidRPr="00843CFD" w:rsidRDefault="008B57CB"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 xml:space="preserve">Patients with </w:t>
      </w:r>
      <w:r w:rsidR="00815784" w:rsidRPr="00843CFD">
        <w:rPr>
          <w:rFonts w:ascii="Book Antiqua" w:hAnsi="Book Antiqua" w:cs="Arial"/>
          <w:lang w:val="en-US"/>
        </w:rPr>
        <w:t>active IBD</w:t>
      </w:r>
      <w:r w:rsidR="00532BA3" w:rsidRPr="00843CFD">
        <w:rPr>
          <w:rFonts w:ascii="Book Antiqua" w:hAnsi="Book Antiqua" w:cs="Arial"/>
          <w:lang w:val="en-US"/>
        </w:rPr>
        <w:t xml:space="preserve"> had a higher UC activity index (</w:t>
      </w:r>
      <w:r w:rsidR="002C322F" w:rsidRPr="00843CFD">
        <w:rPr>
          <w:rFonts w:ascii="Book Antiqua" w:hAnsi="Book Antiqua" w:cs="Arial"/>
          <w:lang w:val="en-US"/>
        </w:rPr>
        <w:t xml:space="preserve">8.3 </w:t>
      </w:r>
      <w:r w:rsidR="000826F2">
        <w:rPr>
          <w:rFonts w:ascii="Book Antiqua" w:hAnsi="Book Antiqua" w:cs="Arial"/>
          <w:lang w:val="en-US"/>
        </w:rPr>
        <w:t>±</w:t>
      </w:r>
      <w:r w:rsidR="002C322F" w:rsidRPr="00843CFD">
        <w:rPr>
          <w:rFonts w:ascii="Book Antiqua" w:hAnsi="Book Antiqua" w:cs="Arial"/>
          <w:lang w:val="en-US"/>
        </w:rPr>
        <w:t xml:space="preserve"> 1.2</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2C322F" w:rsidRPr="00843CFD">
        <w:rPr>
          <w:rFonts w:ascii="Book Antiqua" w:hAnsi="Book Antiqua" w:cs="Arial"/>
          <w:lang w:val="en-US"/>
        </w:rPr>
        <w:t xml:space="preserve">3.3 </w:t>
      </w:r>
      <w:r w:rsidR="000826F2">
        <w:rPr>
          <w:rFonts w:ascii="Book Antiqua" w:hAnsi="Book Antiqua" w:cs="Arial"/>
          <w:lang w:val="en-US"/>
        </w:rPr>
        <w:t>±</w:t>
      </w:r>
      <w:r w:rsidR="002C322F" w:rsidRPr="00843CFD">
        <w:rPr>
          <w:rFonts w:ascii="Book Antiqua" w:hAnsi="Book Antiqua" w:cs="Arial"/>
          <w:lang w:val="en-US"/>
        </w:rPr>
        <w:t xml:space="preserve"> 0.5</w:t>
      </w:r>
      <w:r w:rsidR="009940BD" w:rsidRPr="00843CFD">
        <w:rPr>
          <w:rFonts w:ascii="Book Antiqua" w:hAnsi="Book Antiqua" w:cs="Arial"/>
          <w:lang w:val="en-US"/>
        </w:rPr>
        <w:t>,</w:t>
      </w:r>
      <w:r w:rsidR="002C322F" w:rsidRPr="00843CFD">
        <w:rPr>
          <w:rFonts w:ascii="Book Antiqua" w:hAnsi="Book Antiqua" w:cs="Arial"/>
          <w:lang w:val="en-US"/>
        </w:rPr>
        <w:t xml:space="preserve"> </w:t>
      </w:r>
      <w:r w:rsidR="00FE1973" w:rsidRPr="00843CFD">
        <w:rPr>
          <w:rFonts w:ascii="Book Antiqua" w:hAnsi="Book Antiqua" w:cs="Arial"/>
          <w:i/>
          <w:lang w:val="en-US"/>
        </w:rPr>
        <w:t>P =</w:t>
      </w:r>
      <w:r w:rsidR="009940BD" w:rsidRPr="00843CFD">
        <w:rPr>
          <w:rFonts w:ascii="Book Antiqua" w:hAnsi="Book Antiqua" w:cs="Arial"/>
          <w:lang w:val="en-US"/>
        </w:rPr>
        <w:t xml:space="preserve"> </w:t>
      </w:r>
      <w:r w:rsidR="002C322F" w:rsidRPr="00843CFD">
        <w:rPr>
          <w:rFonts w:ascii="Book Antiqua" w:hAnsi="Book Antiqua" w:cs="Arial"/>
          <w:lang w:val="en-US"/>
        </w:rPr>
        <w:t>0.0001</w:t>
      </w:r>
      <w:r w:rsidR="00532BA3" w:rsidRPr="00843CFD">
        <w:rPr>
          <w:rFonts w:ascii="Book Antiqua" w:hAnsi="Book Antiqua" w:cs="Arial"/>
          <w:lang w:val="en-US"/>
        </w:rPr>
        <w:t>)</w:t>
      </w:r>
      <w:r w:rsidR="002C322F" w:rsidRPr="00843CFD">
        <w:rPr>
          <w:rFonts w:ascii="Book Antiqua" w:hAnsi="Book Antiqua" w:cs="Arial"/>
          <w:lang w:val="en-US"/>
        </w:rPr>
        <w:t xml:space="preserve"> while </w:t>
      </w:r>
      <w:r w:rsidR="00773E30" w:rsidRPr="00843CFD">
        <w:rPr>
          <w:rFonts w:ascii="Book Antiqua" w:hAnsi="Book Antiqua" w:cs="Arial"/>
          <w:lang w:val="en-US"/>
        </w:rPr>
        <w:t xml:space="preserve">the </w:t>
      </w:r>
      <w:r w:rsidR="002C322F" w:rsidRPr="00843CFD">
        <w:rPr>
          <w:rFonts w:ascii="Book Antiqua" w:hAnsi="Book Antiqua" w:cs="Arial"/>
          <w:lang w:val="en-US"/>
        </w:rPr>
        <w:t>CD activity index was not different</w:t>
      </w:r>
      <w:r w:rsidR="009940BD" w:rsidRPr="00843CFD">
        <w:rPr>
          <w:rFonts w:ascii="Book Antiqua" w:hAnsi="Book Antiqua" w:cs="Arial"/>
          <w:lang w:val="en-US"/>
        </w:rPr>
        <w:t xml:space="preserve"> between the two groups</w:t>
      </w:r>
      <w:r w:rsidR="002C322F" w:rsidRPr="00843CFD">
        <w:rPr>
          <w:rFonts w:ascii="Book Antiqua" w:hAnsi="Book Antiqua" w:cs="Arial"/>
          <w:lang w:val="en-US"/>
        </w:rPr>
        <w:t xml:space="preserve">. </w:t>
      </w:r>
      <w:r w:rsidR="00433504" w:rsidRPr="00843CFD">
        <w:rPr>
          <w:rFonts w:ascii="Book Antiqua" w:hAnsi="Book Antiqua" w:cs="Arial"/>
          <w:lang w:val="en-US"/>
        </w:rPr>
        <w:t xml:space="preserve">Patients with active IBD </w:t>
      </w:r>
      <w:r w:rsidR="002C322F" w:rsidRPr="00843CFD">
        <w:rPr>
          <w:rFonts w:ascii="Book Antiqua" w:hAnsi="Book Antiqua" w:cs="Arial"/>
          <w:lang w:val="en-US"/>
        </w:rPr>
        <w:t xml:space="preserve">were more </w:t>
      </w:r>
      <w:r w:rsidR="00433504" w:rsidRPr="00843CFD">
        <w:rPr>
          <w:rFonts w:ascii="Book Antiqua" w:hAnsi="Book Antiqua" w:cs="Arial"/>
          <w:lang w:val="en-US"/>
        </w:rPr>
        <w:t xml:space="preserve">likely </w:t>
      </w:r>
      <w:r w:rsidR="00DD5BC7" w:rsidRPr="00843CFD">
        <w:rPr>
          <w:rFonts w:ascii="Book Antiqua" w:hAnsi="Book Antiqua" w:cs="Arial"/>
          <w:lang w:val="en-US"/>
        </w:rPr>
        <w:t>to</w:t>
      </w:r>
      <w:r w:rsidR="00433504" w:rsidRPr="00843CFD">
        <w:rPr>
          <w:rFonts w:ascii="Book Antiqua" w:hAnsi="Book Antiqua" w:cs="Arial"/>
          <w:lang w:val="en-US"/>
        </w:rPr>
        <w:t xml:space="preserve"> have</w:t>
      </w:r>
      <w:r w:rsidR="00727E0C" w:rsidRPr="00843CFD">
        <w:rPr>
          <w:rFonts w:ascii="Book Antiqua" w:hAnsi="Book Antiqua" w:cs="Arial"/>
          <w:lang w:val="en-US"/>
        </w:rPr>
        <w:t xml:space="preserve"> </w:t>
      </w:r>
      <w:r w:rsidR="002C322F" w:rsidRPr="00843CFD">
        <w:rPr>
          <w:rFonts w:ascii="Book Antiqua" w:hAnsi="Book Antiqua" w:cs="Arial"/>
          <w:lang w:val="en-US"/>
        </w:rPr>
        <w:t>anemi</w:t>
      </w:r>
      <w:r w:rsidR="00727E0C" w:rsidRPr="00843CFD">
        <w:rPr>
          <w:rFonts w:ascii="Book Antiqua" w:hAnsi="Book Antiqua" w:cs="Arial"/>
          <w:lang w:val="en-US"/>
        </w:rPr>
        <w:t>a</w:t>
      </w:r>
      <w:r w:rsidR="00532BA3" w:rsidRPr="00843CFD">
        <w:rPr>
          <w:rFonts w:ascii="Book Antiqua" w:hAnsi="Book Antiqua" w:cs="Arial"/>
          <w:lang w:val="en-US"/>
        </w:rPr>
        <w:t xml:space="preserve"> (</w:t>
      </w:r>
      <w:r w:rsidR="002C322F" w:rsidRPr="00843CFD">
        <w:rPr>
          <w:rFonts w:ascii="Book Antiqua" w:hAnsi="Book Antiqua" w:cs="Arial"/>
          <w:lang w:val="en-US"/>
        </w:rPr>
        <w:t>34%</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2C322F" w:rsidRPr="00843CFD">
        <w:rPr>
          <w:rFonts w:ascii="Book Antiqua" w:hAnsi="Book Antiqua" w:cs="Arial"/>
          <w:lang w:val="en-US"/>
        </w:rPr>
        <w:t>11%</w:t>
      </w:r>
      <w:r w:rsidR="00433504" w:rsidRPr="00843CFD">
        <w:rPr>
          <w:rFonts w:ascii="Book Antiqua" w:hAnsi="Book Antiqua" w:cs="Arial"/>
          <w:lang w:val="en-US"/>
        </w:rPr>
        <w:t>,</w:t>
      </w:r>
      <w:r w:rsidR="002C322F" w:rsidRPr="00843CFD">
        <w:rPr>
          <w:rFonts w:ascii="Book Antiqua" w:hAnsi="Book Antiqua" w:cs="Arial"/>
          <w:lang w:val="en-US"/>
        </w:rPr>
        <w:t xml:space="preserve"> </w:t>
      </w:r>
      <w:r w:rsidR="00FE1973" w:rsidRPr="00843CFD">
        <w:rPr>
          <w:rFonts w:ascii="Book Antiqua" w:hAnsi="Book Antiqua" w:cs="Arial"/>
          <w:i/>
          <w:lang w:val="en-US"/>
        </w:rPr>
        <w:t>P =</w:t>
      </w:r>
      <w:r w:rsidR="00433504" w:rsidRPr="00843CFD">
        <w:rPr>
          <w:rFonts w:ascii="Book Antiqua" w:hAnsi="Book Antiqua" w:cs="Arial"/>
          <w:lang w:val="en-US"/>
        </w:rPr>
        <w:t xml:space="preserve"> </w:t>
      </w:r>
      <w:r w:rsidR="002C322F" w:rsidRPr="00843CFD">
        <w:rPr>
          <w:rFonts w:ascii="Book Antiqua" w:hAnsi="Book Antiqua" w:cs="Arial"/>
          <w:lang w:val="en-US"/>
        </w:rPr>
        <w:t>0.0007</w:t>
      </w:r>
      <w:r w:rsidR="00532BA3" w:rsidRPr="00843CFD">
        <w:rPr>
          <w:rFonts w:ascii="Book Antiqua" w:hAnsi="Book Antiqua" w:cs="Arial"/>
          <w:lang w:val="en-US"/>
        </w:rPr>
        <w:t>),</w:t>
      </w:r>
      <w:r w:rsidR="002C322F" w:rsidRPr="00843CFD">
        <w:rPr>
          <w:rFonts w:ascii="Book Antiqua" w:hAnsi="Book Antiqua" w:cs="Arial"/>
          <w:lang w:val="en-US"/>
        </w:rPr>
        <w:t xml:space="preserve"> had lower albumin level</w:t>
      </w:r>
      <w:r w:rsidR="00433504" w:rsidRPr="00843CFD">
        <w:rPr>
          <w:rFonts w:ascii="Book Antiqua" w:hAnsi="Book Antiqua" w:cs="Arial"/>
          <w:lang w:val="en-US"/>
        </w:rPr>
        <w:t>s</w:t>
      </w:r>
      <w:r w:rsidR="00532BA3" w:rsidRPr="00843CFD">
        <w:rPr>
          <w:rFonts w:ascii="Book Antiqua" w:hAnsi="Book Antiqua" w:cs="Arial"/>
          <w:lang w:val="en-US"/>
        </w:rPr>
        <w:t xml:space="preserve"> (</w:t>
      </w:r>
      <w:r w:rsidR="002C322F" w:rsidRPr="00843CFD">
        <w:rPr>
          <w:rFonts w:ascii="Book Antiqua" w:hAnsi="Book Antiqua" w:cs="Arial"/>
          <w:lang w:val="en-US"/>
        </w:rPr>
        <w:t xml:space="preserve">35.6 </w:t>
      </w:r>
      <w:r w:rsidR="000826F2">
        <w:rPr>
          <w:rFonts w:ascii="Book Antiqua" w:hAnsi="Book Antiqua" w:cs="Arial"/>
          <w:lang w:val="en-US"/>
        </w:rPr>
        <w:t>±</w:t>
      </w:r>
      <w:r w:rsidR="002C322F" w:rsidRPr="00843CFD">
        <w:rPr>
          <w:rFonts w:ascii="Book Antiqua" w:hAnsi="Book Antiqua" w:cs="Arial"/>
          <w:lang w:val="en-US"/>
        </w:rPr>
        <w:t xml:space="preserve"> 1.3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2C322F" w:rsidRPr="00843CFD">
        <w:rPr>
          <w:rFonts w:ascii="Book Antiqua" w:hAnsi="Book Antiqua" w:cs="Arial"/>
          <w:lang w:val="en-US"/>
        </w:rPr>
        <w:t xml:space="preserve">40.2 </w:t>
      </w:r>
      <w:r w:rsidR="000826F2">
        <w:rPr>
          <w:rFonts w:ascii="Book Antiqua" w:hAnsi="Book Antiqua" w:cs="Arial"/>
          <w:lang w:val="en-US"/>
        </w:rPr>
        <w:t>±</w:t>
      </w:r>
      <w:r w:rsidR="002C322F" w:rsidRPr="00843CFD">
        <w:rPr>
          <w:rFonts w:ascii="Book Antiqua" w:hAnsi="Book Antiqua" w:cs="Arial"/>
          <w:lang w:val="en-US"/>
        </w:rPr>
        <w:t xml:space="preserve"> 0.6</w:t>
      </w:r>
      <w:r w:rsidR="00433504" w:rsidRPr="00843CFD">
        <w:rPr>
          <w:rFonts w:ascii="Book Antiqua" w:hAnsi="Book Antiqua" w:cs="Arial"/>
          <w:lang w:val="en-US"/>
        </w:rPr>
        <w:t>,</w:t>
      </w:r>
      <w:r w:rsidR="002C322F" w:rsidRPr="00843CFD">
        <w:rPr>
          <w:rFonts w:ascii="Book Antiqua" w:hAnsi="Book Antiqua" w:cs="Arial"/>
          <w:lang w:val="en-US"/>
        </w:rPr>
        <w:t xml:space="preserve"> </w:t>
      </w:r>
      <w:r w:rsidR="00FE1973" w:rsidRPr="00843CFD">
        <w:rPr>
          <w:rFonts w:ascii="Book Antiqua" w:hAnsi="Book Antiqua" w:cs="Arial"/>
          <w:i/>
          <w:lang w:val="en-US"/>
        </w:rPr>
        <w:t>P =</w:t>
      </w:r>
      <w:r w:rsidR="00433504" w:rsidRPr="00843CFD">
        <w:rPr>
          <w:rFonts w:ascii="Book Antiqua" w:hAnsi="Book Antiqua" w:cs="Arial"/>
          <w:lang w:val="en-US"/>
        </w:rPr>
        <w:t xml:space="preserve"> </w:t>
      </w:r>
      <w:r w:rsidR="002C322F" w:rsidRPr="00843CFD">
        <w:rPr>
          <w:rFonts w:ascii="Book Antiqua" w:hAnsi="Book Antiqua" w:cs="Arial"/>
          <w:lang w:val="en-US"/>
        </w:rPr>
        <w:t>0.001</w:t>
      </w:r>
      <w:r w:rsidR="00727E0C" w:rsidRPr="00843CFD">
        <w:rPr>
          <w:rFonts w:ascii="Book Antiqua" w:hAnsi="Book Antiqua" w:cs="Arial"/>
          <w:lang w:val="en-US"/>
        </w:rPr>
        <w:t>)</w:t>
      </w:r>
      <w:r w:rsidR="002C322F" w:rsidRPr="00843CFD">
        <w:rPr>
          <w:rFonts w:ascii="Book Antiqua" w:hAnsi="Book Antiqua" w:cs="Arial"/>
          <w:lang w:val="en-US"/>
        </w:rPr>
        <w:t xml:space="preserve"> and were more</w:t>
      </w:r>
      <w:r w:rsidR="00727E0C" w:rsidRPr="00843CFD">
        <w:rPr>
          <w:rFonts w:ascii="Book Antiqua" w:hAnsi="Book Antiqua" w:cs="Arial"/>
          <w:lang w:val="en-US"/>
        </w:rPr>
        <w:t xml:space="preserve"> often</w:t>
      </w:r>
      <w:r w:rsidR="002C322F" w:rsidRPr="00843CFD">
        <w:rPr>
          <w:rFonts w:ascii="Book Antiqua" w:hAnsi="Book Antiqua" w:cs="Arial"/>
          <w:lang w:val="en-US"/>
        </w:rPr>
        <w:t xml:space="preserve"> treated with metronidazole</w:t>
      </w:r>
      <w:r w:rsidR="00532BA3" w:rsidRPr="00843CFD">
        <w:rPr>
          <w:rFonts w:ascii="Book Antiqua" w:hAnsi="Book Antiqua" w:cs="Arial"/>
          <w:lang w:val="en-US"/>
        </w:rPr>
        <w:t xml:space="preserve"> (</w:t>
      </w:r>
      <w:r w:rsidR="002C322F" w:rsidRPr="00843CFD">
        <w:rPr>
          <w:rFonts w:ascii="Book Antiqua" w:hAnsi="Book Antiqua" w:cs="Arial"/>
          <w:lang w:val="en-US"/>
        </w:rPr>
        <w:t>5%</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2C322F" w:rsidRPr="00843CFD">
        <w:rPr>
          <w:rFonts w:ascii="Book Antiqua" w:hAnsi="Book Antiqua" w:cs="Arial"/>
          <w:lang w:val="en-US"/>
        </w:rPr>
        <w:t>0%</w:t>
      </w:r>
      <w:r w:rsidR="00433504" w:rsidRPr="00843CFD">
        <w:rPr>
          <w:rFonts w:ascii="Book Antiqua" w:hAnsi="Book Antiqua" w:cs="Arial"/>
          <w:lang w:val="en-US"/>
        </w:rPr>
        <w:t>,</w:t>
      </w:r>
      <w:r w:rsidR="002C322F" w:rsidRPr="00843CFD">
        <w:rPr>
          <w:rFonts w:ascii="Book Antiqua" w:hAnsi="Book Antiqua" w:cs="Arial"/>
          <w:lang w:val="en-US"/>
        </w:rPr>
        <w:t xml:space="preserve"> </w:t>
      </w:r>
      <w:r w:rsidR="00FE1973" w:rsidRPr="00843CFD">
        <w:rPr>
          <w:rFonts w:ascii="Book Antiqua" w:hAnsi="Book Antiqua" w:cs="Arial"/>
          <w:i/>
          <w:lang w:val="en-US"/>
        </w:rPr>
        <w:t>P =</w:t>
      </w:r>
      <w:r w:rsidR="00433504" w:rsidRPr="00843CFD">
        <w:rPr>
          <w:rFonts w:ascii="Book Antiqua" w:hAnsi="Book Antiqua" w:cs="Arial"/>
          <w:lang w:val="en-US"/>
        </w:rPr>
        <w:t xml:space="preserve"> </w:t>
      </w:r>
      <w:r w:rsidR="002C322F" w:rsidRPr="00843CFD">
        <w:rPr>
          <w:rFonts w:ascii="Book Antiqua" w:hAnsi="Book Antiqua" w:cs="Arial"/>
          <w:lang w:val="en-US"/>
        </w:rPr>
        <w:t>0.014</w:t>
      </w:r>
      <w:r w:rsidR="00532BA3" w:rsidRPr="00843CFD">
        <w:rPr>
          <w:rFonts w:ascii="Book Antiqua" w:hAnsi="Book Antiqua" w:cs="Arial"/>
          <w:lang w:val="en-US"/>
        </w:rPr>
        <w:t>)</w:t>
      </w:r>
      <w:r w:rsidR="002C322F" w:rsidRPr="00843CFD">
        <w:rPr>
          <w:rFonts w:ascii="Book Antiqua" w:hAnsi="Book Antiqua" w:cs="Arial"/>
          <w:lang w:val="en-US"/>
        </w:rPr>
        <w:t>.</w:t>
      </w:r>
    </w:p>
    <w:p w:rsidR="002C322F" w:rsidRPr="00843CFD" w:rsidRDefault="002C322F"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 xml:space="preserve">Patients </w:t>
      </w:r>
      <w:r w:rsidR="00433504" w:rsidRPr="00843CFD">
        <w:rPr>
          <w:rFonts w:ascii="Book Antiqua" w:hAnsi="Book Antiqua" w:cs="Arial"/>
          <w:lang w:val="en-US"/>
        </w:rPr>
        <w:t xml:space="preserve">who were active smokers were more likely to </w:t>
      </w:r>
      <w:r w:rsidR="00727E0C" w:rsidRPr="00843CFD">
        <w:rPr>
          <w:rFonts w:ascii="Book Antiqua" w:hAnsi="Book Antiqua" w:cs="Arial"/>
          <w:lang w:val="en-US"/>
        </w:rPr>
        <w:t xml:space="preserve">suffer from </w:t>
      </w:r>
      <w:r w:rsidR="002575D6" w:rsidRPr="00843CFD">
        <w:rPr>
          <w:rFonts w:ascii="Book Antiqua" w:hAnsi="Book Antiqua" w:cs="Arial"/>
          <w:lang w:val="en-US"/>
        </w:rPr>
        <w:t>CD</w:t>
      </w:r>
      <w:r w:rsidR="00532BA3" w:rsidRPr="00843CFD">
        <w:rPr>
          <w:rFonts w:ascii="Book Antiqua" w:hAnsi="Book Antiqua" w:cs="Arial"/>
          <w:lang w:val="en-US"/>
        </w:rPr>
        <w:t xml:space="preserve"> (</w:t>
      </w:r>
      <w:r w:rsidRPr="00843CFD">
        <w:rPr>
          <w:rFonts w:ascii="Book Antiqua" w:hAnsi="Book Antiqua" w:cs="Arial"/>
          <w:lang w:val="en-US"/>
        </w:rPr>
        <w:t>81%</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48%</w:t>
      </w:r>
      <w:r w:rsidR="00433504" w:rsidRPr="00843CFD">
        <w:rPr>
          <w:rFonts w:ascii="Book Antiqua" w:hAnsi="Book Antiqua" w:cs="Arial"/>
          <w:lang w:val="en-US"/>
        </w:rPr>
        <w:t>,</w:t>
      </w:r>
      <w:r w:rsidRPr="00843CFD">
        <w:rPr>
          <w:rFonts w:ascii="Book Antiqua" w:hAnsi="Book Antiqua" w:cs="Arial"/>
          <w:lang w:val="en-US"/>
        </w:rPr>
        <w:t xml:space="preserve"> </w:t>
      </w:r>
      <w:r w:rsidR="00FE1973" w:rsidRPr="00843CFD">
        <w:rPr>
          <w:rFonts w:ascii="Book Antiqua" w:hAnsi="Book Antiqua" w:cs="Arial"/>
          <w:i/>
          <w:lang w:val="en-US"/>
        </w:rPr>
        <w:t>P =</w:t>
      </w:r>
      <w:r w:rsidR="00433504" w:rsidRPr="00843CFD">
        <w:rPr>
          <w:rFonts w:ascii="Book Antiqua" w:hAnsi="Book Antiqua" w:cs="Arial"/>
          <w:lang w:val="en-US"/>
        </w:rPr>
        <w:t xml:space="preserve"> </w:t>
      </w:r>
      <w:r w:rsidRPr="00843CFD">
        <w:rPr>
          <w:rFonts w:ascii="Book Antiqua" w:hAnsi="Book Antiqua" w:cs="Arial"/>
          <w:lang w:val="en-US"/>
        </w:rPr>
        <w:t>0.003</w:t>
      </w:r>
      <w:r w:rsidR="00532BA3" w:rsidRPr="00843CFD">
        <w:rPr>
          <w:rFonts w:ascii="Book Antiqua" w:hAnsi="Book Antiqua" w:cs="Arial"/>
          <w:lang w:val="en-US"/>
        </w:rPr>
        <w:t>)</w:t>
      </w:r>
      <w:r w:rsidRPr="00843CFD">
        <w:rPr>
          <w:rFonts w:ascii="Book Antiqua" w:hAnsi="Book Antiqua" w:cs="Arial"/>
          <w:lang w:val="en-US"/>
        </w:rPr>
        <w:t xml:space="preserve">, </w:t>
      </w:r>
      <w:r w:rsidR="00433504" w:rsidRPr="00843CFD">
        <w:rPr>
          <w:rFonts w:ascii="Book Antiqua" w:hAnsi="Book Antiqua" w:cs="Arial"/>
          <w:lang w:val="en-US"/>
        </w:rPr>
        <w:t>and</w:t>
      </w:r>
      <w:r w:rsidR="00727E0C" w:rsidRPr="00843CFD">
        <w:rPr>
          <w:rFonts w:ascii="Book Antiqua" w:hAnsi="Book Antiqua" w:cs="Arial"/>
          <w:lang w:val="en-US"/>
        </w:rPr>
        <w:t xml:space="preserve"> </w:t>
      </w:r>
      <w:r w:rsidRPr="00843CFD">
        <w:rPr>
          <w:rFonts w:ascii="Book Antiqua" w:hAnsi="Book Antiqua" w:cs="Arial"/>
          <w:lang w:val="en-US"/>
        </w:rPr>
        <w:t>pulmonary embolism</w:t>
      </w:r>
      <w:r w:rsidR="00532BA3" w:rsidRPr="00843CFD">
        <w:rPr>
          <w:rFonts w:ascii="Book Antiqua" w:hAnsi="Book Antiqua" w:cs="Arial"/>
          <w:lang w:val="en-US"/>
        </w:rPr>
        <w:t xml:space="preserve"> (</w:t>
      </w:r>
      <w:r w:rsidRPr="00843CFD">
        <w:rPr>
          <w:rFonts w:ascii="Book Antiqua" w:hAnsi="Book Antiqua" w:cs="Arial"/>
          <w:lang w:val="en-US"/>
        </w:rPr>
        <w:t>6%</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0%</w:t>
      </w:r>
      <w:r w:rsidR="00433504" w:rsidRPr="00843CFD">
        <w:rPr>
          <w:rFonts w:ascii="Book Antiqua" w:hAnsi="Book Antiqua" w:cs="Arial"/>
          <w:lang w:val="en-US"/>
        </w:rPr>
        <w:t>,</w:t>
      </w:r>
      <w:r w:rsidRPr="00843CFD">
        <w:rPr>
          <w:rFonts w:ascii="Book Antiqua" w:hAnsi="Book Antiqua" w:cs="Arial"/>
          <w:lang w:val="en-US"/>
        </w:rPr>
        <w:t xml:space="preserve"> </w:t>
      </w:r>
      <w:r w:rsidR="00FE1973" w:rsidRPr="00843CFD">
        <w:rPr>
          <w:rFonts w:ascii="Book Antiqua" w:hAnsi="Book Antiqua" w:cs="Arial"/>
          <w:i/>
          <w:lang w:val="en-US"/>
        </w:rPr>
        <w:t>P =</w:t>
      </w:r>
      <w:r w:rsidR="00433504" w:rsidRPr="00843CFD">
        <w:rPr>
          <w:rFonts w:ascii="Book Antiqua" w:hAnsi="Book Antiqua" w:cs="Arial"/>
          <w:lang w:val="en-US"/>
        </w:rPr>
        <w:t xml:space="preserve"> </w:t>
      </w:r>
      <w:r w:rsidRPr="00843CFD">
        <w:rPr>
          <w:rFonts w:ascii="Book Antiqua" w:hAnsi="Book Antiqua" w:cs="Arial"/>
          <w:lang w:val="en-US"/>
        </w:rPr>
        <w:t>0.038</w:t>
      </w:r>
      <w:r w:rsidR="00532BA3" w:rsidRPr="00843CFD">
        <w:rPr>
          <w:rFonts w:ascii="Book Antiqua" w:hAnsi="Book Antiqua" w:cs="Arial"/>
          <w:lang w:val="en-US"/>
        </w:rPr>
        <w:t>)</w:t>
      </w:r>
      <w:r w:rsidR="00433504" w:rsidRPr="00843CFD">
        <w:rPr>
          <w:rFonts w:ascii="Book Antiqua" w:hAnsi="Book Antiqua" w:cs="Arial"/>
          <w:lang w:val="en-US"/>
        </w:rPr>
        <w:t xml:space="preserve"> but were less likely to</w:t>
      </w:r>
      <w:r w:rsidRPr="00843CFD">
        <w:rPr>
          <w:rFonts w:ascii="Book Antiqua" w:hAnsi="Book Antiqua" w:cs="Arial"/>
          <w:lang w:val="en-US"/>
        </w:rPr>
        <w:t xml:space="preserve"> receive systemic steroids</w:t>
      </w:r>
      <w:r w:rsidR="00532BA3" w:rsidRPr="00843CFD">
        <w:rPr>
          <w:rFonts w:ascii="Book Antiqua" w:hAnsi="Book Antiqua" w:cs="Arial"/>
          <w:lang w:val="en-US"/>
        </w:rPr>
        <w:t xml:space="preserve"> (</w:t>
      </w:r>
      <w:r w:rsidRPr="00843CFD">
        <w:rPr>
          <w:rFonts w:ascii="Book Antiqua" w:hAnsi="Book Antiqua" w:cs="Arial"/>
          <w:lang w:val="en-US"/>
        </w:rPr>
        <w:t>9%</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Pr="00843CFD">
        <w:rPr>
          <w:rFonts w:ascii="Book Antiqua" w:hAnsi="Book Antiqua" w:cs="Arial"/>
          <w:lang w:val="en-US"/>
        </w:rPr>
        <w:t>27%</w:t>
      </w:r>
      <w:r w:rsidR="00433504" w:rsidRPr="00843CFD">
        <w:rPr>
          <w:rFonts w:ascii="Book Antiqua" w:hAnsi="Book Antiqua" w:cs="Arial"/>
          <w:lang w:val="en-US"/>
        </w:rPr>
        <w:t>,</w:t>
      </w:r>
      <w:r w:rsidR="00FE1973" w:rsidRPr="00843CFD">
        <w:rPr>
          <w:rFonts w:ascii="Book Antiqua" w:hAnsi="Book Antiqua" w:cs="Arial"/>
          <w:i/>
          <w:lang w:val="en-US"/>
        </w:rPr>
        <w:t xml:space="preserve"> P =</w:t>
      </w:r>
      <w:r w:rsidR="00433504" w:rsidRPr="00843CFD">
        <w:rPr>
          <w:rFonts w:ascii="Book Antiqua" w:hAnsi="Book Antiqua" w:cs="Arial"/>
          <w:lang w:val="en-US"/>
        </w:rPr>
        <w:t xml:space="preserve"> </w:t>
      </w:r>
      <w:r w:rsidRPr="00843CFD">
        <w:rPr>
          <w:rFonts w:ascii="Book Antiqua" w:hAnsi="Book Antiqua" w:cs="Arial"/>
          <w:lang w:val="en-US"/>
        </w:rPr>
        <w:t>0.036</w:t>
      </w:r>
      <w:r w:rsidR="00532BA3" w:rsidRPr="00843CFD">
        <w:rPr>
          <w:rFonts w:ascii="Book Antiqua" w:hAnsi="Book Antiqua" w:cs="Arial"/>
          <w:lang w:val="en-US"/>
        </w:rPr>
        <w:t>)</w:t>
      </w:r>
      <w:r w:rsidRPr="00843CFD">
        <w:rPr>
          <w:rFonts w:ascii="Book Antiqua" w:hAnsi="Book Antiqua" w:cs="Arial"/>
          <w:lang w:val="en-US"/>
        </w:rPr>
        <w:t>.</w:t>
      </w:r>
    </w:p>
    <w:p w:rsidR="00C9761D" w:rsidRPr="00843CFD" w:rsidRDefault="000F04FA"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 xml:space="preserve">The differences </w:t>
      </w:r>
      <w:r w:rsidR="001E7645" w:rsidRPr="00843CFD">
        <w:rPr>
          <w:rFonts w:ascii="Book Antiqua" w:hAnsi="Book Antiqua" w:cs="Arial"/>
          <w:lang w:val="en-US"/>
        </w:rPr>
        <w:t>in bile acid subtypes are</w:t>
      </w:r>
      <w:r w:rsidR="00BB0D3A" w:rsidRPr="00843CFD">
        <w:rPr>
          <w:rFonts w:ascii="Book Antiqua" w:hAnsi="Book Antiqua" w:cs="Arial"/>
          <w:lang w:val="en-US"/>
        </w:rPr>
        <w:t xml:space="preserve"> illustrated in </w:t>
      </w:r>
      <w:r w:rsidR="00C9761D" w:rsidRPr="00843CFD">
        <w:rPr>
          <w:rFonts w:ascii="Book Antiqua" w:hAnsi="Book Antiqua" w:cs="Arial"/>
          <w:lang w:val="en-US"/>
        </w:rPr>
        <w:t xml:space="preserve">Figure </w:t>
      </w:r>
      <w:r w:rsidR="00806233" w:rsidRPr="00843CFD">
        <w:rPr>
          <w:rFonts w:ascii="Book Antiqua" w:hAnsi="Book Antiqua" w:cs="Arial"/>
          <w:lang w:val="en-US"/>
        </w:rPr>
        <w:t>2</w:t>
      </w:r>
      <w:r w:rsidR="00BB0D3A" w:rsidRPr="00843CFD">
        <w:rPr>
          <w:rFonts w:ascii="Book Antiqua" w:hAnsi="Book Antiqua" w:cs="Arial"/>
          <w:lang w:val="en-US"/>
        </w:rPr>
        <w:t>.</w:t>
      </w:r>
      <w:r w:rsidR="001E7645" w:rsidRPr="00843CFD">
        <w:rPr>
          <w:rFonts w:ascii="Book Antiqua" w:hAnsi="Book Antiqua" w:cs="Arial"/>
          <w:lang w:val="en-US"/>
        </w:rPr>
        <w:t xml:space="preserve"> </w:t>
      </w:r>
      <w:r w:rsidR="00727E0C" w:rsidRPr="00843CFD">
        <w:rPr>
          <w:rFonts w:ascii="Book Antiqua" w:hAnsi="Book Antiqua" w:cs="Arial"/>
          <w:lang w:val="en-US"/>
        </w:rPr>
        <w:t>I</w:t>
      </w:r>
      <w:r w:rsidR="00033A0F" w:rsidRPr="00843CFD">
        <w:rPr>
          <w:rFonts w:ascii="Book Antiqua" w:hAnsi="Book Antiqua" w:cs="Arial"/>
          <w:lang w:val="en-US"/>
        </w:rPr>
        <w:t xml:space="preserve">nterestingly, </w:t>
      </w:r>
      <w:r w:rsidRPr="00843CFD">
        <w:rPr>
          <w:rFonts w:ascii="Book Antiqua" w:hAnsi="Book Antiqua" w:cs="Arial"/>
          <w:lang w:val="en-US"/>
        </w:rPr>
        <w:t xml:space="preserve">there are several significant differences in terms of </w:t>
      </w:r>
      <w:r w:rsidR="00727E0C" w:rsidRPr="00843CFD">
        <w:rPr>
          <w:rFonts w:ascii="Book Antiqua" w:hAnsi="Book Antiqua" w:cs="Arial"/>
          <w:lang w:val="en-US"/>
        </w:rPr>
        <w:t>the site of bowel inflammation (</w:t>
      </w:r>
      <w:proofErr w:type="spellStart"/>
      <w:r w:rsidR="00033A0F" w:rsidRPr="00843CFD">
        <w:rPr>
          <w:rFonts w:ascii="Book Antiqua" w:hAnsi="Book Antiqua" w:cs="Arial"/>
          <w:lang w:val="en-US"/>
        </w:rPr>
        <w:t>ileal</w:t>
      </w:r>
      <w:proofErr w:type="spellEnd"/>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33A0F" w:rsidRPr="00843CFD">
        <w:rPr>
          <w:rFonts w:ascii="Book Antiqua" w:hAnsi="Book Antiqua" w:cs="Arial"/>
          <w:lang w:val="en-US"/>
        </w:rPr>
        <w:t>colonic</w:t>
      </w:r>
      <w:r w:rsidR="00727E0C" w:rsidRPr="00843CFD">
        <w:rPr>
          <w:rFonts w:ascii="Book Antiqua" w:hAnsi="Book Antiqua" w:cs="Arial"/>
          <w:lang w:val="en-US"/>
        </w:rPr>
        <w:t>)</w:t>
      </w:r>
      <w:r w:rsidR="00033A0F" w:rsidRPr="00843CFD">
        <w:rPr>
          <w:rFonts w:ascii="Book Antiqua" w:hAnsi="Book Antiqua" w:cs="Arial"/>
          <w:lang w:val="en-US"/>
        </w:rPr>
        <w:t xml:space="preserve">. </w:t>
      </w:r>
      <w:r w:rsidRPr="00843CFD">
        <w:rPr>
          <w:rFonts w:ascii="Book Antiqua" w:hAnsi="Book Antiqua" w:cs="Arial"/>
          <w:lang w:val="en-US"/>
        </w:rPr>
        <w:t>Patients in the ileal disease group were indeed</w:t>
      </w:r>
      <w:r w:rsidR="00F827BC" w:rsidRPr="00843CFD">
        <w:rPr>
          <w:rFonts w:ascii="Book Antiqua" w:hAnsi="Book Antiqua" w:cs="Arial"/>
          <w:lang w:val="en-US"/>
        </w:rPr>
        <w:t xml:space="preserve"> found</w:t>
      </w:r>
      <w:r w:rsidRPr="00843CFD">
        <w:rPr>
          <w:rFonts w:ascii="Book Antiqua" w:hAnsi="Book Antiqua" w:cs="Arial"/>
          <w:lang w:val="en-US"/>
        </w:rPr>
        <w:t xml:space="preserve"> to have</w:t>
      </w:r>
      <w:r w:rsidR="00F827BC" w:rsidRPr="00843CFD">
        <w:rPr>
          <w:rFonts w:ascii="Book Antiqua" w:hAnsi="Book Antiqua" w:cs="Arial"/>
          <w:lang w:val="en-US"/>
        </w:rPr>
        <w:t xml:space="preserve"> </w:t>
      </w:r>
      <w:r w:rsidR="00033A0F" w:rsidRPr="00843CFD">
        <w:rPr>
          <w:rFonts w:ascii="Book Antiqua" w:hAnsi="Book Antiqua" w:cs="Arial"/>
          <w:lang w:val="en-US"/>
        </w:rPr>
        <w:t>more primary, secondary and tertiary bile acids</w:t>
      </w:r>
      <w:r w:rsidRPr="00843CFD">
        <w:rPr>
          <w:rFonts w:ascii="Book Antiqua" w:hAnsi="Book Antiqua" w:cs="Arial"/>
          <w:lang w:val="en-US"/>
        </w:rPr>
        <w:t>, specifically higher</w:t>
      </w:r>
      <w:r w:rsidR="00033A0F" w:rsidRPr="00843CFD">
        <w:rPr>
          <w:rFonts w:ascii="Book Antiqua" w:hAnsi="Book Antiqua" w:cs="Arial"/>
          <w:lang w:val="en-US"/>
        </w:rPr>
        <w:t xml:space="preserve"> </w:t>
      </w:r>
      <w:proofErr w:type="spellStart"/>
      <w:r w:rsidR="00033A0F" w:rsidRPr="00843CFD">
        <w:rPr>
          <w:rFonts w:ascii="Book Antiqua" w:hAnsi="Book Antiqua" w:cs="Arial"/>
          <w:lang w:val="en-US"/>
        </w:rPr>
        <w:t>chenodeoxycholate</w:t>
      </w:r>
      <w:proofErr w:type="spellEnd"/>
      <w:r w:rsidR="009B15A9" w:rsidRPr="00843CFD">
        <w:rPr>
          <w:rFonts w:ascii="Book Antiqua" w:hAnsi="Book Antiqua" w:cs="Arial"/>
          <w:lang w:val="en-US"/>
        </w:rPr>
        <w:t xml:space="preserve"> levels</w:t>
      </w:r>
      <w:r w:rsidR="00033A0F" w:rsidRPr="00843CFD">
        <w:rPr>
          <w:rFonts w:ascii="Book Antiqua" w:hAnsi="Book Antiqua" w:cs="Arial"/>
          <w:lang w:val="en-US"/>
        </w:rPr>
        <w:t xml:space="preserve"> </w:t>
      </w:r>
      <w:r w:rsidR="00532BA3" w:rsidRPr="00843CFD">
        <w:rPr>
          <w:rFonts w:ascii="Book Antiqua" w:hAnsi="Book Antiqua" w:cs="Arial"/>
          <w:lang w:val="en-US"/>
        </w:rPr>
        <w:t>(</w:t>
      </w:r>
      <w:r w:rsidR="00033A0F" w:rsidRPr="00843CFD">
        <w:rPr>
          <w:rFonts w:ascii="Book Antiqua" w:hAnsi="Book Antiqua" w:cs="Arial"/>
          <w:lang w:val="en-US"/>
        </w:rPr>
        <w:t>2.41</w:t>
      </w:r>
      <w:r w:rsidR="00FE1973" w:rsidRPr="00843CFD">
        <w:rPr>
          <w:rFonts w:ascii="Book Antiqua" w:hAnsi="Book Antiqua" w:cs="Arial"/>
          <w:lang w:val="en-US" w:eastAsia="zh-CN"/>
        </w:rPr>
        <w:t xml:space="preserve">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033A0F" w:rsidRPr="00843CFD">
        <w:rPr>
          <w:rFonts w:ascii="Book Antiqua" w:hAnsi="Book Antiqua" w:cs="Arial"/>
          <w:lang w:val="en-US"/>
        </w:rPr>
        <w:t xml:space="preserve"> 0.59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033A0F"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033A0F" w:rsidRPr="00843CFD">
        <w:rPr>
          <w:rFonts w:ascii="Book Antiqua" w:hAnsi="Book Antiqua" w:cs="Arial"/>
          <w:lang w:val="en-US"/>
        </w:rPr>
        <w:t>3.3 E-05</w:t>
      </w:r>
      <w:r w:rsidR="00532BA3" w:rsidRPr="00843CFD">
        <w:rPr>
          <w:rFonts w:ascii="Book Antiqua" w:hAnsi="Book Antiqua" w:cs="Arial"/>
          <w:lang w:val="en-US"/>
        </w:rPr>
        <w:t>)</w:t>
      </w:r>
      <w:r w:rsidR="00033A0F" w:rsidRPr="00843CFD">
        <w:rPr>
          <w:rFonts w:ascii="Book Antiqua" w:hAnsi="Book Antiqua" w:cs="Arial"/>
          <w:lang w:val="en-US"/>
        </w:rPr>
        <w:t>, primary</w:t>
      </w:r>
      <w:r w:rsidR="009B15A9" w:rsidRPr="00843CFD">
        <w:rPr>
          <w:rFonts w:ascii="Book Antiqua" w:hAnsi="Book Antiqua" w:cs="Arial"/>
          <w:lang w:val="en-US"/>
        </w:rPr>
        <w:t xml:space="preserve"> to</w:t>
      </w:r>
      <w:r w:rsidR="00033A0F" w:rsidRPr="00843CFD">
        <w:rPr>
          <w:rFonts w:ascii="Book Antiqua" w:hAnsi="Book Antiqua" w:cs="Arial"/>
          <w:lang w:val="en-US"/>
        </w:rPr>
        <w:t xml:space="preserve"> TBA ratio</w:t>
      </w:r>
      <w:r w:rsidR="009B15A9" w:rsidRPr="00843CFD">
        <w:rPr>
          <w:rFonts w:ascii="Book Antiqua" w:hAnsi="Book Antiqua" w:cs="Arial"/>
          <w:lang w:val="en-US"/>
        </w:rPr>
        <w:t>s</w:t>
      </w:r>
      <w:r w:rsidR="00532BA3" w:rsidRPr="00843CFD">
        <w:rPr>
          <w:rFonts w:ascii="Book Antiqua" w:hAnsi="Book Antiqua" w:cs="Arial"/>
          <w:lang w:val="en-US"/>
        </w:rPr>
        <w:t xml:space="preserve"> (</w:t>
      </w:r>
      <w:r w:rsidR="00033A0F" w:rsidRPr="00843CFD">
        <w:rPr>
          <w:rFonts w:ascii="Book Antiqua" w:hAnsi="Book Antiqua" w:cs="Arial"/>
          <w:lang w:val="en-US"/>
        </w:rPr>
        <w:t>0.43</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33A0F" w:rsidRPr="00843CFD">
        <w:rPr>
          <w:rFonts w:ascii="Book Antiqua" w:hAnsi="Book Antiqua" w:cs="Arial"/>
          <w:lang w:val="en-US"/>
        </w:rPr>
        <w:t>0.15</w:t>
      </w:r>
      <w:r w:rsidR="009B15A9" w:rsidRPr="00843CFD">
        <w:rPr>
          <w:rFonts w:ascii="Book Antiqua" w:hAnsi="Book Antiqua" w:cs="Arial"/>
          <w:lang w:val="en-US"/>
        </w:rPr>
        <w:t>,</w:t>
      </w:r>
      <w:r w:rsidR="00033A0F"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033A0F" w:rsidRPr="00843CFD">
        <w:rPr>
          <w:rFonts w:ascii="Book Antiqua" w:hAnsi="Book Antiqua" w:cs="Arial"/>
          <w:lang w:val="en-US"/>
        </w:rPr>
        <w:t>7.8 E-06</w:t>
      </w:r>
      <w:r w:rsidR="00532BA3" w:rsidRPr="00843CFD">
        <w:rPr>
          <w:rFonts w:ascii="Book Antiqua" w:hAnsi="Book Antiqua" w:cs="Arial"/>
          <w:lang w:val="en-US"/>
        </w:rPr>
        <w:t>)</w:t>
      </w:r>
      <w:r w:rsidR="00CC2C7C" w:rsidRPr="00843CFD">
        <w:rPr>
          <w:rFonts w:ascii="Book Antiqua" w:hAnsi="Book Antiqua" w:cs="Arial"/>
          <w:lang w:val="en-US"/>
        </w:rPr>
        <w:t xml:space="preserve">, </w:t>
      </w:r>
      <w:proofErr w:type="spellStart"/>
      <w:r w:rsidR="00CC2C7C" w:rsidRPr="00843CFD">
        <w:rPr>
          <w:rFonts w:ascii="Book Antiqua" w:hAnsi="Book Antiqua" w:cs="Arial"/>
          <w:lang w:val="en-US"/>
        </w:rPr>
        <w:t>deoxycholate</w:t>
      </w:r>
      <w:proofErr w:type="spellEnd"/>
      <w:r w:rsidR="00CC2C7C" w:rsidRPr="00843CFD">
        <w:rPr>
          <w:rFonts w:ascii="Book Antiqua" w:hAnsi="Book Antiqua" w:cs="Arial"/>
          <w:lang w:val="en-US"/>
        </w:rPr>
        <w:t xml:space="preserve"> level</w:t>
      </w:r>
      <w:r w:rsidR="009B15A9" w:rsidRPr="00843CFD">
        <w:rPr>
          <w:rFonts w:ascii="Book Antiqua" w:hAnsi="Book Antiqua" w:cs="Arial"/>
          <w:lang w:val="en-US"/>
        </w:rPr>
        <w:t>s</w:t>
      </w:r>
      <w:r w:rsidR="00532BA3" w:rsidRPr="00843CFD">
        <w:rPr>
          <w:rFonts w:ascii="Book Antiqua" w:hAnsi="Book Antiqua" w:cs="Arial"/>
          <w:lang w:val="en-US"/>
        </w:rPr>
        <w:t xml:space="preserve"> (</w:t>
      </w:r>
      <w:r w:rsidR="00CC2C7C" w:rsidRPr="00843CFD">
        <w:rPr>
          <w:rFonts w:ascii="Book Antiqua" w:hAnsi="Book Antiqua" w:cs="Arial"/>
          <w:lang w:val="en-US"/>
        </w:rPr>
        <w:t xml:space="preserve">1.34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CC2C7C" w:rsidRPr="00843CFD">
        <w:rPr>
          <w:rFonts w:ascii="Book Antiqua" w:hAnsi="Book Antiqua" w:cs="Arial"/>
          <w:lang w:val="en-US"/>
        </w:rPr>
        <w:t xml:space="preserve">0.41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CC2C7C"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CC2C7C" w:rsidRPr="00843CFD">
        <w:rPr>
          <w:rFonts w:ascii="Book Antiqua" w:hAnsi="Book Antiqua" w:cs="Arial"/>
          <w:lang w:val="en-US"/>
        </w:rPr>
        <w:t>0.001</w:t>
      </w:r>
      <w:r w:rsidR="00532BA3" w:rsidRPr="00843CFD">
        <w:rPr>
          <w:rFonts w:ascii="Book Antiqua" w:hAnsi="Book Antiqua" w:cs="Arial"/>
          <w:lang w:val="en-US"/>
        </w:rPr>
        <w:t>)</w:t>
      </w:r>
      <w:r w:rsidR="00033A0F" w:rsidRPr="00843CFD">
        <w:rPr>
          <w:rFonts w:ascii="Book Antiqua" w:hAnsi="Book Antiqua" w:cs="Arial"/>
          <w:lang w:val="en-US"/>
        </w:rPr>
        <w:t xml:space="preserve"> </w:t>
      </w:r>
      <w:r w:rsidR="009B15A9" w:rsidRPr="00843CFD">
        <w:rPr>
          <w:rFonts w:ascii="Book Antiqua" w:hAnsi="Book Antiqua" w:cs="Arial"/>
          <w:lang w:val="en-US"/>
        </w:rPr>
        <w:t>and</w:t>
      </w:r>
      <w:r w:rsidR="00033A0F" w:rsidRPr="00843CFD">
        <w:rPr>
          <w:rFonts w:ascii="Book Antiqua" w:hAnsi="Book Antiqua" w:cs="Arial"/>
          <w:lang w:val="en-US"/>
        </w:rPr>
        <w:t xml:space="preserve"> </w:t>
      </w:r>
      <w:proofErr w:type="spellStart"/>
      <w:r w:rsidR="00033A0F" w:rsidRPr="00843CFD">
        <w:rPr>
          <w:rFonts w:ascii="Book Antiqua" w:hAnsi="Book Antiqua" w:cs="Arial"/>
          <w:lang w:val="en-US"/>
        </w:rPr>
        <w:t>ursodeoxycholate</w:t>
      </w:r>
      <w:proofErr w:type="spellEnd"/>
      <w:r w:rsidR="00033A0F" w:rsidRPr="00843CFD">
        <w:rPr>
          <w:rFonts w:ascii="Book Antiqua" w:hAnsi="Book Antiqua" w:cs="Arial"/>
          <w:lang w:val="en-US"/>
        </w:rPr>
        <w:t xml:space="preserve"> level</w:t>
      </w:r>
      <w:r w:rsidR="009B15A9" w:rsidRPr="00843CFD">
        <w:rPr>
          <w:rFonts w:ascii="Book Antiqua" w:hAnsi="Book Antiqua" w:cs="Arial"/>
          <w:lang w:val="en-US"/>
        </w:rPr>
        <w:t>s</w:t>
      </w:r>
      <w:r w:rsidR="00532BA3" w:rsidRPr="00843CFD">
        <w:rPr>
          <w:rFonts w:ascii="Book Antiqua" w:hAnsi="Book Antiqua" w:cs="Arial"/>
          <w:lang w:val="en-US"/>
        </w:rPr>
        <w:t xml:space="preserve"> (</w:t>
      </w:r>
      <w:r w:rsidR="00033A0F" w:rsidRPr="00843CFD">
        <w:rPr>
          <w:rFonts w:ascii="Book Antiqua" w:hAnsi="Book Antiqua" w:cs="Arial"/>
          <w:lang w:val="en-US"/>
        </w:rPr>
        <w:t xml:space="preserve">0.37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033A0F" w:rsidRPr="00843CFD">
        <w:rPr>
          <w:rFonts w:ascii="Book Antiqua" w:hAnsi="Book Antiqua" w:cs="Arial"/>
          <w:lang w:val="en-US"/>
        </w:rPr>
        <w:t xml:space="preserve">0.13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033A0F"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033A0F" w:rsidRPr="00843CFD">
        <w:rPr>
          <w:rFonts w:ascii="Book Antiqua" w:hAnsi="Book Antiqua" w:cs="Arial"/>
          <w:lang w:val="en-US"/>
        </w:rPr>
        <w:t>1.3 E-05</w:t>
      </w:r>
      <w:r w:rsidR="00532BA3" w:rsidRPr="00843CFD">
        <w:rPr>
          <w:rFonts w:ascii="Book Antiqua" w:hAnsi="Book Antiqua" w:cs="Arial"/>
          <w:lang w:val="en-US"/>
        </w:rPr>
        <w:t>)</w:t>
      </w:r>
      <w:r w:rsidR="00033A0F" w:rsidRPr="00843CFD">
        <w:rPr>
          <w:rFonts w:ascii="Book Antiqua" w:hAnsi="Book Antiqua" w:cs="Arial"/>
          <w:lang w:val="en-US"/>
        </w:rPr>
        <w:t>.</w:t>
      </w:r>
      <w:r w:rsidR="00532BA3" w:rsidRPr="00843CFD">
        <w:rPr>
          <w:rFonts w:ascii="Book Antiqua" w:hAnsi="Book Antiqua" w:cs="Arial"/>
          <w:lang w:val="en-US"/>
        </w:rPr>
        <w:t xml:space="preserve"> On the contrary</w:t>
      </w:r>
      <w:r w:rsidR="00CC2C7C" w:rsidRPr="00843CFD">
        <w:rPr>
          <w:rFonts w:ascii="Book Antiqua" w:hAnsi="Book Antiqua" w:cs="Arial"/>
          <w:lang w:val="en-US"/>
        </w:rPr>
        <w:t xml:space="preserve">, </w:t>
      </w:r>
      <w:r w:rsidR="009B15A9" w:rsidRPr="00843CFD">
        <w:rPr>
          <w:rFonts w:ascii="Book Antiqua" w:hAnsi="Book Antiqua" w:cs="Arial"/>
          <w:lang w:val="en-US"/>
        </w:rPr>
        <w:t xml:space="preserve">patients in </w:t>
      </w:r>
      <w:r w:rsidR="00CC2C7C" w:rsidRPr="00843CFD">
        <w:rPr>
          <w:rFonts w:ascii="Book Antiqua" w:hAnsi="Book Antiqua" w:cs="Arial"/>
          <w:lang w:val="en-US"/>
        </w:rPr>
        <w:t>the colonic disease group</w:t>
      </w:r>
      <w:r w:rsidR="009B15A9" w:rsidRPr="00843CFD">
        <w:rPr>
          <w:rFonts w:ascii="Book Antiqua" w:hAnsi="Book Antiqua" w:cs="Arial"/>
          <w:lang w:val="en-US"/>
        </w:rPr>
        <w:t xml:space="preserve"> had higher concentration of </w:t>
      </w:r>
      <w:r w:rsidR="00CC2C7C" w:rsidRPr="00843CFD">
        <w:rPr>
          <w:rFonts w:ascii="Book Antiqua" w:hAnsi="Book Antiqua" w:cs="Arial"/>
          <w:lang w:val="en-US"/>
        </w:rPr>
        <w:t xml:space="preserve">conjugated bile acids </w:t>
      </w:r>
      <w:r w:rsidR="009B15A9" w:rsidRPr="00843CFD">
        <w:rPr>
          <w:rFonts w:ascii="Book Antiqua" w:hAnsi="Book Antiqua" w:cs="Arial"/>
          <w:lang w:val="en-US"/>
        </w:rPr>
        <w:t>namely</w:t>
      </w:r>
      <w:r w:rsidR="00F827BC" w:rsidRPr="00843CFD">
        <w:rPr>
          <w:rFonts w:ascii="Book Antiqua" w:hAnsi="Book Antiqua" w:cs="Arial"/>
          <w:lang w:val="en-US"/>
        </w:rPr>
        <w:t xml:space="preserve"> </w:t>
      </w:r>
      <w:proofErr w:type="spellStart"/>
      <w:r w:rsidR="00CC2C7C" w:rsidRPr="00843CFD">
        <w:rPr>
          <w:rFonts w:ascii="Book Antiqua" w:hAnsi="Book Antiqua" w:cs="Arial"/>
          <w:lang w:val="en-US"/>
        </w:rPr>
        <w:t>glychocolate</w:t>
      </w:r>
      <w:proofErr w:type="spellEnd"/>
      <w:r w:rsidR="00532BA3" w:rsidRPr="00843CFD">
        <w:rPr>
          <w:rFonts w:ascii="Book Antiqua" w:hAnsi="Book Antiqua" w:cs="Arial"/>
          <w:lang w:val="en-US"/>
        </w:rPr>
        <w:t xml:space="preserve"> (</w:t>
      </w:r>
      <w:r w:rsidR="00CC2C7C" w:rsidRPr="00843CFD">
        <w:rPr>
          <w:rFonts w:ascii="Book Antiqua" w:hAnsi="Book Antiqua" w:cs="Arial"/>
          <w:lang w:val="en-US"/>
        </w:rPr>
        <w:t xml:space="preserve">1.42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CC2C7C" w:rsidRPr="00843CFD">
        <w:rPr>
          <w:rFonts w:ascii="Book Antiqua" w:hAnsi="Book Antiqua" w:cs="Arial"/>
          <w:lang w:val="en-US"/>
        </w:rPr>
        <w:t xml:space="preserve">0.6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CC2C7C"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CC2C7C" w:rsidRPr="00843CFD">
        <w:rPr>
          <w:rFonts w:ascii="Book Antiqua" w:hAnsi="Book Antiqua" w:cs="Arial"/>
          <w:lang w:val="en-US"/>
        </w:rPr>
        <w:t>0.006</w:t>
      </w:r>
      <w:r w:rsidR="00532BA3" w:rsidRPr="00843CFD">
        <w:rPr>
          <w:rFonts w:ascii="Book Antiqua" w:hAnsi="Book Antiqua" w:cs="Arial"/>
          <w:lang w:val="en-US"/>
        </w:rPr>
        <w:t>)</w:t>
      </w:r>
      <w:r w:rsidR="00CC2C7C" w:rsidRPr="00843CFD">
        <w:rPr>
          <w:rFonts w:ascii="Book Antiqua" w:hAnsi="Book Antiqua" w:cs="Arial"/>
          <w:lang w:val="en-US"/>
        </w:rPr>
        <w:t>, taurocholate</w:t>
      </w:r>
      <w:r w:rsidR="00532BA3" w:rsidRPr="00843CFD">
        <w:rPr>
          <w:rFonts w:ascii="Book Antiqua" w:hAnsi="Book Antiqua" w:cs="Arial"/>
          <w:lang w:val="en-US"/>
        </w:rPr>
        <w:t xml:space="preserve"> (</w:t>
      </w:r>
      <w:r w:rsidR="00CC2C7C" w:rsidRPr="00843CFD">
        <w:rPr>
          <w:rFonts w:ascii="Book Antiqua" w:hAnsi="Book Antiqua" w:cs="Arial"/>
          <w:lang w:val="en-US"/>
        </w:rPr>
        <w:t xml:space="preserve">0.3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CC2C7C" w:rsidRPr="00843CFD">
        <w:rPr>
          <w:rFonts w:ascii="Book Antiqua" w:hAnsi="Book Antiqua" w:cs="Arial"/>
          <w:lang w:val="en-US"/>
        </w:rPr>
        <w:t xml:space="preserve">0.07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CC2C7C"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CC2C7C" w:rsidRPr="00843CFD">
        <w:rPr>
          <w:rFonts w:ascii="Book Antiqua" w:hAnsi="Book Antiqua" w:cs="Arial"/>
          <w:lang w:val="en-US"/>
        </w:rPr>
        <w:t>0.008</w:t>
      </w:r>
      <w:r w:rsidR="00532BA3" w:rsidRPr="00843CFD">
        <w:rPr>
          <w:rFonts w:ascii="Book Antiqua" w:hAnsi="Book Antiqua" w:cs="Arial"/>
          <w:lang w:val="en-US"/>
        </w:rPr>
        <w:t>)</w:t>
      </w:r>
      <w:r w:rsidR="00DD5BC7" w:rsidRPr="00843CFD">
        <w:rPr>
          <w:rFonts w:ascii="Book Antiqua" w:hAnsi="Book Antiqua" w:cs="Arial"/>
          <w:lang w:val="en-US"/>
        </w:rPr>
        <w:t xml:space="preserve">, </w:t>
      </w:r>
      <w:proofErr w:type="spellStart"/>
      <w:r w:rsidR="00CC2C7C" w:rsidRPr="00843CFD">
        <w:rPr>
          <w:rFonts w:ascii="Book Antiqua" w:hAnsi="Book Antiqua" w:cs="Arial"/>
          <w:lang w:val="en-US"/>
        </w:rPr>
        <w:t>taurochenodeoxycholate</w:t>
      </w:r>
      <w:proofErr w:type="spellEnd"/>
      <w:r w:rsidR="00CC2C7C" w:rsidRPr="00843CFD">
        <w:rPr>
          <w:rFonts w:ascii="Book Antiqua" w:hAnsi="Book Antiqua" w:cs="Arial"/>
          <w:lang w:val="en-US"/>
        </w:rPr>
        <w:t xml:space="preserve"> </w:t>
      </w:r>
      <w:r w:rsidR="00532BA3" w:rsidRPr="00843CFD">
        <w:rPr>
          <w:rFonts w:ascii="Book Antiqua" w:hAnsi="Book Antiqua" w:cs="Arial"/>
          <w:lang w:val="en-US"/>
        </w:rPr>
        <w:t>(</w:t>
      </w:r>
      <w:r w:rsidR="00CC2C7C" w:rsidRPr="00843CFD">
        <w:rPr>
          <w:rFonts w:ascii="Book Antiqua" w:hAnsi="Book Antiqua" w:cs="Arial"/>
          <w:lang w:val="en-US"/>
        </w:rPr>
        <w:t xml:space="preserve">0.62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CC2C7C" w:rsidRPr="00843CFD">
        <w:rPr>
          <w:rFonts w:ascii="Book Antiqua" w:hAnsi="Book Antiqua" w:cs="Arial"/>
          <w:lang w:val="en-US"/>
        </w:rPr>
        <w:t xml:space="preserve">0.24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CC2C7C"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CC2C7C" w:rsidRPr="00843CFD">
        <w:rPr>
          <w:rFonts w:ascii="Book Antiqua" w:hAnsi="Book Antiqua" w:cs="Arial"/>
          <w:lang w:val="en-US"/>
        </w:rPr>
        <w:t>0.001</w:t>
      </w:r>
      <w:r w:rsidR="00532BA3" w:rsidRPr="00843CFD">
        <w:rPr>
          <w:rFonts w:ascii="Book Antiqua" w:hAnsi="Book Antiqua" w:cs="Arial"/>
          <w:lang w:val="en-US"/>
        </w:rPr>
        <w:t>)</w:t>
      </w:r>
      <w:r w:rsidR="00CC2C7C" w:rsidRPr="00843CFD">
        <w:rPr>
          <w:rFonts w:ascii="Book Antiqua" w:hAnsi="Book Antiqua" w:cs="Arial"/>
          <w:lang w:val="en-US"/>
        </w:rPr>
        <w:t xml:space="preserve"> and </w:t>
      </w:r>
      <w:proofErr w:type="spellStart"/>
      <w:r w:rsidR="00CC2C7C" w:rsidRPr="00843CFD">
        <w:rPr>
          <w:rFonts w:ascii="Book Antiqua" w:hAnsi="Book Antiqua" w:cs="Arial"/>
          <w:lang w:val="en-US"/>
        </w:rPr>
        <w:t>taurodeoxycholate</w:t>
      </w:r>
      <w:proofErr w:type="spellEnd"/>
      <w:r w:rsidR="00CC2C7C" w:rsidRPr="00843CFD">
        <w:rPr>
          <w:rFonts w:ascii="Book Antiqua" w:hAnsi="Book Antiqua" w:cs="Arial"/>
          <w:lang w:val="en-US"/>
        </w:rPr>
        <w:t xml:space="preserve"> </w:t>
      </w:r>
      <w:r w:rsidR="00532BA3" w:rsidRPr="00843CFD">
        <w:rPr>
          <w:rFonts w:ascii="Book Antiqua" w:hAnsi="Book Antiqua" w:cs="Arial"/>
          <w:lang w:val="en-US"/>
        </w:rPr>
        <w:t>(</w:t>
      </w:r>
      <w:r w:rsidR="00CC2C7C" w:rsidRPr="00843CFD">
        <w:rPr>
          <w:rFonts w:ascii="Book Antiqua" w:hAnsi="Book Antiqua" w:cs="Arial"/>
          <w:lang w:val="en-US"/>
        </w:rPr>
        <w:t xml:space="preserve">0.17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CC2C7C" w:rsidRPr="00843CFD">
        <w:rPr>
          <w:rFonts w:ascii="Book Antiqua" w:hAnsi="Book Antiqua" w:cs="Arial"/>
          <w:lang w:val="en-US"/>
        </w:rPr>
        <w:t xml:space="preserve">0.06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w:t>
      </w:r>
      <w:r w:rsidR="00CC2C7C"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w:t>
      </w:r>
      <w:r w:rsidR="00CC2C7C" w:rsidRPr="00843CFD">
        <w:rPr>
          <w:rFonts w:ascii="Book Antiqua" w:hAnsi="Book Antiqua" w:cs="Arial"/>
          <w:lang w:val="en-US"/>
        </w:rPr>
        <w:t>0.0008</w:t>
      </w:r>
      <w:r w:rsidR="00532BA3" w:rsidRPr="00843CFD">
        <w:rPr>
          <w:rFonts w:ascii="Book Antiqua" w:hAnsi="Book Antiqua" w:cs="Arial"/>
          <w:lang w:val="en-US"/>
        </w:rPr>
        <w:t xml:space="preserve">), </w:t>
      </w:r>
      <w:r w:rsidR="00DD5BC7" w:rsidRPr="00843CFD">
        <w:rPr>
          <w:rFonts w:ascii="Book Antiqua" w:hAnsi="Book Antiqua" w:cs="Arial"/>
          <w:lang w:val="en-US"/>
        </w:rPr>
        <w:t xml:space="preserve">all </w:t>
      </w:r>
      <w:r w:rsidR="009B15A9" w:rsidRPr="00843CFD">
        <w:rPr>
          <w:rFonts w:ascii="Book Antiqua" w:hAnsi="Book Antiqua" w:cs="Arial"/>
          <w:lang w:val="en-US"/>
        </w:rPr>
        <w:t xml:space="preserve">of which are </w:t>
      </w:r>
      <w:r w:rsidR="00F827BC" w:rsidRPr="00843CFD">
        <w:rPr>
          <w:rFonts w:ascii="Book Antiqua" w:hAnsi="Book Antiqua" w:cs="Arial"/>
          <w:lang w:val="en-US"/>
        </w:rPr>
        <w:t xml:space="preserve">either </w:t>
      </w:r>
      <w:r w:rsidR="00DD5BC7" w:rsidRPr="00843CFD">
        <w:rPr>
          <w:rFonts w:ascii="Book Antiqua" w:hAnsi="Book Antiqua" w:cs="Arial"/>
          <w:lang w:val="en-US"/>
        </w:rPr>
        <w:t xml:space="preserve">primary </w:t>
      </w:r>
      <w:r w:rsidR="009B15A9" w:rsidRPr="00843CFD">
        <w:rPr>
          <w:rFonts w:ascii="Book Antiqua" w:hAnsi="Book Antiqua" w:cs="Arial"/>
          <w:lang w:val="en-US"/>
        </w:rPr>
        <w:t xml:space="preserve">or </w:t>
      </w:r>
      <w:r w:rsidR="00DD5BC7" w:rsidRPr="00843CFD">
        <w:rPr>
          <w:rFonts w:ascii="Book Antiqua" w:hAnsi="Book Antiqua" w:cs="Arial"/>
          <w:lang w:val="en-US"/>
        </w:rPr>
        <w:t>secondary conjugated bile acids</w:t>
      </w:r>
      <w:r w:rsidR="00B96CEC" w:rsidRPr="00843CFD">
        <w:rPr>
          <w:rFonts w:ascii="Book Antiqua" w:hAnsi="Book Antiqua" w:cs="Arial"/>
          <w:lang w:val="en-US"/>
        </w:rPr>
        <w:t>.</w:t>
      </w:r>
    </w:p>
    <w:p w:rsidR="00115C87" w:rsidRPr="00843CFD" w:rsidRDefault="004A777D"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 xml:space="preserve">Low inflammatory activity </w:t>
      </w:r>
      <w:r w:rsidR="00D67EDF" w:rsidRPr="00843CFD">
        <w:rPr>
          <w:rFonts w:ascii="Book Antiqua" w:hAnsi="Book Antiqua" w:cs="Arial"/>
          <w:lang w:val="en-US"/>
        </w:rPr>
        <w:t xml:space="preserve">was associated with a higher </w:t>
      </w:r>
      <w:proofErr w:type="spellStart"/>
      <w:r w:rsidR="00D67EDF" w:rsidRPr="00843CFD">
        <w:rPr>
          <w:rFonts w:ascii="Book Antiqua" w:hAnsi="Book Antiqua" w:cs="Arial"/>
          <w:lang w:val="en-US"/>
        </w:rPr>
        <w:t>glychochenodeoxycholate</w:t>
      </w:r>
      <w:proofErr w:type="spellEnd"/>
      <w:r w:rsidR="00D67EDF" w:rsidRPr="00843CFD">
        <w:rPr>
          <w:rFonts w:ascii="Book Antiqua" w:hAnsi="Book Antiqua" w:cs="Arial"/>
          <w:lang w:val="en-US"/>
        </w:rPr>
        <w:t xml:space="preserve"> level</w:t>
      </w:r>
      <w:r w:rsidR="009B15A9" w:rsidRPr="00843CFD">
        <w:rPr>
          <w:rFonts w:ascii="Book Antiqua" w:hAnsi="Book Antiqua" w:cs="Arial"/>
          <w:lang w:val="en-US"/>
        </w:rPr>
        <w:t xml:space="preserve"> (3.38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 xml:space="preserve">vs </w:t>
      </w:r>
      <w:r w:rsidR="009B15A9" w:rsidRPr="00843CFD">
        <w:rPr>
          <w:rFonts w:ascii="Book Antiqua" w:hAnsi="Book Antiqua" w:cs="Arial"/>
          <w:lang w:val="en-US"/>
        </w:rPr>
        <w:t xml:space="preserve">2.15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0.02)</w:t>
      </w:r>
      <w:r w:rsidR="00532BA3" w:rsidRPr="00843CFD">
        <w:rPr>
          <w:rFonts w:ascii="Book Antiqua" w:hAnsi="Book Antiqua" w:cs="Arial"/>
          <w:lang w:val="en-US"/>
        </w:rPr>
        <w:t>, a</w:t>
      </w:r>
      <w:r w:rsidR="00D67EDF" w:rsidRPr="00843CFD">
        <w:rPr>
          <w:rFonts w:ascii="Book Antiqua" w:hAnsi="Book Antiqua" w:cs="Arial"/>
          <w:lang w:val="en-US"/>
        </w:rPr>
        <w:t xml:space="preserve"> primary </w:t>
      </w:r>
      <w:r w:rsidR="00B96CEC" w:rsidRPr="00843CFD">
        <w:rPr>
          <w:rFonts w:ascii="Book Antiqua" w:hAnsi="Book Antiqua" w:cs="Arial"/>
          <w:lang w:val="en-US"/>
        </w:rPr>
        <w:t xml:space="preserve">conjugated </w:t>
      </w:r>
      <w:r w:rsidR="00D67EDF" w:rsidRPr="00843CFD">
        <w:rPr>
          <w:rFonts w:ascii="Book Antiqua" w:hAnsi="Book Antiqua" w:cs="Arial"/>
          <w:lang w:val="en-US"/>
        </w:rPr>
        <w:t>bile acid</w:t>
      </w:r>
      <w:r w:rsidR="009B15A9" w:rsidRPr="00843CFD">
        <w:rPr>
          <w:rFonts w:ascii="Book Antiqua" w:hAnsi="Book Antiqua" w:cs="Arial"/>
          <w:lang w:val="en-US"/>
        </w:rPr>
        <w:t>,</w:t>
      </w:r>
      <w:r w:rsidR="00D67EDF" w:rsidRPr="00843CFD">
        <w:rPr>
          <w:rFonts w:ascii="Book Antiqua" w:hAnsi="Book Antiqua" w:cs="Arial"/>
          <w:lang w:val="en-US"/>
        </w:rPr>
        <w:t xml:space="preserve"> </w:t>
      </w:r>
      <w:r w:rsidRPr="00843CFD">
        <w:rPr>
          <w:rFonts w:ascii="Book Antiqua" w:hAnsi="Book Antiqua" w:cs="Arial"/>
          <w:lang w:val="en-US"/>
        </w:rPr>
        <w:t xml:space="preserve">whereas </w:t>
      </w:r>
      <w:r w:rsidR="00D67EDF" w:rsidRPr="00843CFD">
        <w:rPr>
          <w:rFonts w:ascii="Book Antiqua" w:hAnsi="Book Antiqua" w:cs="Arial"/>
          <w:lang w:val="en-US"/>
        </w:rPr>
        <w:t xml:space="preserve">nonsmokers had higher </w:t>
      </w:r>
      <w:proofErr w:type="spellStart"/>
      <w:r w:rsidR="00D67EDF" w:rsidRPr="00843CFD">
        <w:rPr>
          <w:rFonts w:ascii="Book Antiqua" w:hAnsi="Book Antiqua" w:cs="Arial"/>
          <w:lang w:val="en-US"/>
        </w:rPr>
        <w:t>taurolithocholate</w:t>
      </w:r>
      <w:proofErr w:type="spellEnd"/>
      <w:r w:rsidR="00D67EDF" w:rsidRPr="00843CFD">
        <w:rPr>
          <w:rFonts w:ascii="Book Antiqua" w:hAnsi="Book Antiqua" w:cs="Arial"/>
          <w:lang w:val="en-US"/>
        </w:rPr>
        <w:t xml:space="preserve"> level</w:t>
      </w:r>
      <w:r w:rsidR="009B15A9" w:rsidRPr="00843CFD">
        <w:rPr>
          <w:rFonts w:ascii="Book Antiqua" w:hAnsi="Book Antiqua" w:cs="Arial"/>
          <w:lang w:val="en-US"/>
        </w:rPr>
        <w:t xml:space="preserve"> (0.03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866F9B" w:rsidRPr="00843CFD">
        <w:rPr>
          <w:rFonts w:ascii="Book Antiqua" w:hAnsi="Book Antiqua" w:cs="Arial"/>
          <w:lang w:val="en-US"/>
        </w:rPr>
        <w:t xml:space="preserve"> </w:t>
      </w:r>
      <w:r w:rsidR="00FE1973" w:rsidRPr="00843CFD">
        <w:rPr>
          <w:rFonts w:ascii="Book Antiqua" w:hAnsi="Book Antiqua" w:cs="Arial"/>
          <w:i/>
          <w:lang w:val="en-US"/>
        </w:rPr>
        <w:t>vs</w:t>
      </w:r>
      <w:r w:rsidR="00866F9B" w:rsidRPr="00843CFD">
        <w:rPr>
          <w:rFonts w:ascii="Book Antiqua" w:hAnsi="Book Antiqua" w:cs="Arial"/>
          <w:i/>
          <w:lang w:val="en-US"/>
        </w:rPr>
        <w:t xml:space="preserve"> </w:t>
      </w:r>
      <w:r w:rsidR="009B15A9" w:rsidRPr="00843CFD">
        <w:rPr>
          <w:rFonts w:ascii="Book Antiqua" w:hAnsi="Book Antiqua" w:cs="Arial"/>
          <w:lang w:val="en-US"/>
        </w:rPr>
        <w:t xml:space="preserve">0.006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009B15A9" w:rsidRPr="00843CFD">
        <w:rPr>
          <w:rFonts w:ascii="Book Antiqua" w:hAnsi="Book Antiqua" w:cs="Arial"/>
          <w:lang w:val="en-US"/>
        </w:rPr>
        <w:t xml:space="preserve">, </w:t>
      </w:r>
      <w:r w:rsidR="00FE1973" w:rsidRPr="00843CFD">
        <w:rPr>
          <w:rFonts w:ascii="Book Antiqua" w:hAnsi="Book Antiqua" w:cs="Arial"/>
          <w:i/>
          <w:lang w:val="en-US"/>
        </w:rPr>
        <w:t>P =</w:t>
      </w:r>
      <w:r w:rsidR="009B15A9" w:rsidRPr="00843CFD">
        <w:rPr>
          <w:rFonts w:ascii="Book Antiqua" w:hAnsi="Book Antiqua" w:cs="Arial"/>
          <w:lang w:val="en-US"/>
        </w:rPr>
        <w:t xml:space="preserve"> 0.007)</w:t>
      </w:r>
      <w:r w:rsidR="00532BA3" w:rsidRPr="00843CFD">
        <w:rPr>
          <w:rFonts w:ascii="Book Antiqua" w:hAnsi="Book Antiqua" w:cs="Arial"/>
          <w:lang w:val="en-US"/>
        </w:rPr>
        <w:t>,</w:t>
      </w:r>
      <w:r w:rsidR="00D67EDF" w:rsidRPr="00843CFD">
        <w:rPr>
          <w:rFonts w:ascii="Book Antiqua" w:hAnsi="Book Antiqua" w:cs="Arial"/>
          <w:lang w:val="en-US"/>
        </w:rPr>
        <w:t xml:space="preserve"> </w:t>
      </w:r>
      <w:r w:rsidR="00532BA3" w:rsidRPr="00843CFD">
        <w:rPr>
          <w:rFonts w:ascii="Book Antiqua" w:hAnsi="Book Antiqua" w:cs="Arial"/>
          <w:lang w:val="en-US"/>
        </w:rPr>
        <w:t xml:space="preserve">a </w:t>
      </w:r>
      <w:r w:rsidR="00D67EDF" w:rsidRPr="00843CFD">
        <w:rPr>
          <w:rFonts w:ascii="Book Antiqua" w:hAnsi="Book Antiqua" w:cs="Arial"/>
          <w:lang w:val="en-US"/>
        </w:rPr>
        <w:t xml:space="preserve">secondary </w:t>
      </w:r>
      <w:r w:rsidR="00B96CEC" w:rsidRPr="00843CFD">
        <w:rPr>
          <w:rFonts w:ascii="Book Antiqua" w:hAnsi="Book Antiqua" w:cs="Arial"/>
          <w:lang w:val="en-US"/>
        </w:rPr>
        <w:t xml:space="preserve">conjugated </w:t>
      </w:r>
      <w:r w:rsidR="00D67EDF" w:rsidRPr="00843CFD">
        <w:rPr>
          <w:rFonts w:ascii="Book Antiqua" w:hAnsi="Book Antiqua" w:cs="Arial"/>
          <w:lang w:val="en-US"/>
        </w:rPr>
        <w:t>bile acid.</w:t>
      </w:r>
    </w:p>
    <w:p w:rsidR="000242B5" w:rsidRPr="00843CFD" w:rsidRDefault="000242B5" w:rsidP="000242B5">
      <w:pPr>
        <w:adjustRightInd w:val="0"/>
        <w:snapToGrid w:val="0"/>
        <w:spacing w:line="360" w:lineRule="auto"/>
        <w:jc w:val="both"/>
        <w:rPr>
          <w:rFonts w:ascii="Book Antiqua" w:hAnsi="Book Antiqua" w:cs="Arial"/>
          <w:lang w:val="en-US" w:eastAsia="zh-CN"/>
        </w:rPr>
      </w:pPr>
    </w:p>
    <w:p w:rsidR="008866D1" w:rsidRPr="00843CFD" w:rsidRDefault="00115C87" w:rsidP="000242B5">
      <w:pPr>
        <w:adjustRightInd w:val="0"/>
        <w:snapToGrid w:val="0"/>
        <w:spacing w:line="360" w:lineRule="auto"/>
        <w:jc w:val="both"/>
        <w:rPr>
          <w:rFonts w:ascii="Book Antiqua" w:hAnsi="Book Antiqua" w:cs="Arial"/>
          <w:lang w:val="en-US"/>
        </w:rPr>
      </w:pPr>
      <w:r w:rsidRPr="00843CFD">
        <w:rPr>
          <w:rFonts w:ascii="Book Antiqua" w:hAnsi="Book Antiqua" w:cs="Arial"/>
          <w:b/>
          <w:lang w:val="en-US"/>
        </w:rPr>
        <w:t>DISCUSSION</w:t>
      </w:r>
    </w:p>
    <w:p w:rsidR="000773DE" w:rsidRPr="00843CFD" w:rsidRDefault="000773DE"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 xml:space="preserve">In this study, cholestasis was observed in 7.15% of patients in the SIBDC. As expected, the patients with the most severe cholestasis were those with PSC and those treated with a drug known to induce cholestasis. </w:t>
      </w:r>
    </w:p>
    <w:p w:rsidR="000773DE" w:rsidRPr="00843CFD" w:rsidRDefault="000773DE"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 xml:space="preserve">We were surprised to find a low prevalence of PSC in our cohort (1.1%) compared with the values previously reported in the literature that range from 3.6% for CD to 5% for </w:t>
      </w:r>
      <w:proofErr w:type="gramStart"/>
      <w:r w:rsidRPr="00843CFD">
        <w:rPr>
          <w:rFonts w:ascii="Book Antiqua" w:hAnsi="Book Antiqua" w:cs="Arial"/>
          <w:lang w:val="en-US"/>
        </w:rPr>
        <w:t>UC</w:t>
      </w:r>
      <w:r w:rsidR="00441204" w:rsidRPr="00843CFD">
        <w:rPr>
          <w:rFonts w:ascii="Book Antiqua" w:hAnsi="Book Antiqua" w:cs="Arial"/>
          <w:vertAlign w:val="superscript"/>
          <w:lang w:val="en-US"/>
        </w:rPr>
        <w:t>[</w:t>
      </w:r>
      <w:proofErr w:type="gramEnd"/>
      <w:r w:rsidR="00441204" w:rsidRPr="00843CFD">
        <w:rPr>
          <w:rFonts w:ascii="Book Antiqua" w:hAnsi="Book Antiqua" w:cs="Arial"/>
          <w:vertAlign w:val="superscript"/>
          <w:lang w:val="en-US"/>
        </w:rPr>
        <w:t>3]</w:t>
      </w:r>
      <w:r w:rsidRPr="00843CFD">
        <w:rPr>
          <w:rFonts w:ascii="Book Antiqua" w:hAnsi="Book Antiqua" w:cs="Arial"/>
          <w:lang w:val="en-US"/>
        </w:rPr>
        <w:t>. This might influence the prevalence of cholestasis in our cohort as PSC is one of the most important causes of cholestasis in IBD. One explanation could be that there are more patients with CD than with UC in our SIBDC cohort. We assumed that each case of PSC included in the central registry had been fully verified; however, we cannot exclude the possibility that some cases of PSC may have been missed.</w:t>
      </w:r>
    </w:p>
    <w:p w:rsidR="002E621B" w:rsidRPr="00843CFD" w:rsidRDefault="000773DE"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To highlight factors more rarely associated with cholestasis,</w:t>
      </w:r>
      <w:r w:rsidRPr="00843CFD" w:rsidDel="009143A1">
        <w:rPr>
          <w:rFonts w:ascii="Book Antiqua" w:hAnsi="Book Antiqua" w:cs="Arial"/>
          <w:lang w:val="en-US"/>
        </w:rPr>
        <w:t xml:space="preserve"> </w:t>
      </w:r>
      <w:r w:rsidRPr="00843CFD">
        <w:rPr>
          <w:rFonts w:ascii="Book Antiqua" w:hAnsi="Book Antiqua" w:cs="Arial"/>
          <w:lang w:val="en-US"/>
        </w:rPr>
        <w:t>we chose to compare patients with and without cholestasis after having excluded those with the most common causes. Patients with the highest TBA levels (for example those with PSC or treatment with tacrolimus) were thereby removed from the analysis, making it less powerful. This decision was made to allow a more detailed analysis of the causes of moderate cholestasis, which would otherwise have remained unexplained.</w:t>
      </w:r>
    </w:p>
    <w:p w:rsidR="000B2F9D" w:rsidRPr="00843CFD" w:rsidRDefault="00021558"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 xml:space="preserve">Although some of the causes of cholestasis were expected in certain patients, notably those with higher alkaline phosphatase activity, lower albumin level and increased vitamin D supplementation because of disturbed lipid absorption, some of the other causes identified were more surprising. In particular, we found that patients with cholestasis were more likely to have been exposed to thiopurines than those in the control group. This class of drug frequently causes liver adverse events, including transient elevation of transaminases, or more rarely, nodular regenerative hyperplasia </w:t>
      </w:r>
      <w:proofErr w:type="gramStart"/>
      <w:r w:rsidRPr="00843CFD">
        <w:rPr>
          <w:rFonts w:ascii="Book Antiqua" w:hAnsi="Book Antiqua" w:cs="Arial"/>
          <w:lang w:val="en-US"/>
        </w:rPr>
        <w:t>changes</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13]</w:t>
      </w:r>
      <w:r w:rsidRPr="00843CFD">
        <w:rPr>
          <w:rFonts w:ascii="Book Antiqua" w:hAnsi="Book Antiqua" w:cs="Arial"/>
          <w:lang w:val="en-US"/>
        </w:rPr>
        <w:t xml:space="preserve">. </w:t>
      </w:r>
      <w:proofErr w:type="spellStart"/>
      <w:r w:rsidRPr="00843CFD">
        <w:rPr>
          <w:rFonts w:ascii="Book Antiqua" w:hAnsi="Book Antiqua" w:cs="Arial"/>
          <w:lang w:val="en-US"/>
        </w:rPr>
        <w:t>Thiopurine</w:t>
      </w:r>
      <w:proofErr w:type="spellEnd"/>
      <w:r w:rsidRPr="00843CFD">
        <w:rPr>
          <w:rFonts w:ascii="Book Antiqua" w:hAnsi="Book Antiqua" w:cs="Arial"/>
          <w:lang w:val="en-US"/>
        </w:rPr>
        <w:t xml:space="preserve">-induced cholestasis has seldom been </w:t>
      </w:r>
      <w:proofErr w:type="gramStart"/>
      <w:r w:rsidRPr="00843CFD">
        <w:rPr>
          <w:rFonts w:ascii="Book Antiqua" w:hAnsi="Book Antiqua" w:cs="Arial"/>
          <w:lang w:val="en-US"/>
        </w:rPr>
        <w:t>described</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14]</w:t>
      </w:r>
      <w:r w:rsidRPr="00843CFD">
        <w:rPr>
          <w:rFonts w:ascii="Book Antiqua" w:hAnsi="Book Antiqua" w:cs="Arial"/>
          <w:lang w:val="en-US"/>
        </w:rPr>
        <w:t>.</w:t>
      </w:r>
    </w:p>
    <w:p w:rsidR="00021558" w:rsidRPr="00843CFD" w:rsidRDefault="00021558"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Another interesting point was that active smoking was protective against the development of cholestasis. Because smoking is a well-known risk factor for disease activity in CD, we would anticipate on the contrary that any increased inflammatory activity would lead to more pronounced cholestasis in smokers.</w:t>
      </w:r>
    </w:p>
    <w:p w:rsidR="004D44B9" w:rsidRPr="00843CFD" w:rsidRDefault="00021558"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 xml:space="preserve">We found that nonsmokers had different bile acid patterns from smokers, with higher taurolithocholate levels, a secondary conjugated bile acid, indicating that this bile acid is better reabsorbed and then conjugated by the liver and suggesting that nonsmokers’ intestines are probably more functional. Since stopping smoking has been shown to have an impact on gut </w:t>
      </w:r>
      <w:proofErr w:type="gramStart"/>
      <w:r w:rsidRPr="00843CFD">
        <w:rPr>
          <w:rFonts w:ascii="Book Antiqua" w:hAnsi="Book Antiqua" w:cs="Arial"/>
          <w:lang w:val="en-US"/>
        </w:rPr>
        <w:t>microbiota</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15]</w:t>
      </w:r>
      <w:r w:rsidRPr="00843CFD">
        <w:rPr>
          <w:rFonts w:ascii="Book Antiqua" w:hAnsi="Book Antiqua" w:cs="Arial"/>
          <w:lang w:val="en-US"/>
        </w:rPr>
        <w:t>, we speculate that smoking may affect the way in which the microbiota transform bile acids in the intestine.</w:t>
      </w:r>
    </w:p>
    <w:p w:rsidR="00B449BC" w:rsidRPr="00843CFD" w:rsidRDefault="00021558"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Calcium supplementation was associated in multivariate analysis with the presence of cholestasis</w:t>
      </w:r>
      <w:r w:rsidRPr="00843CFD">
        <w:rPr>
          <w:rFonts w:ascii="Book Antiqua" w:hAnsi="Book Antiqua"/>
          <w:lang w:val="en-US"/>
        </w:rPr>
        <w:t>, although this association was</w:t>
      </w:r>
      <w:r w:rsidRPr="00843CFD">
        <w:rPr>
          <w:rFonts w:ascii="Book Antiqua" w:hAnsi="Book Antiqua" w:cs="Arial"/>
          <w:lang w:val="en-US"/>
        </w:rPr>
        <w:t xml:space="preserve"> only just statistically significant. It is true that calcium supplementation may be a surrogate marker for inflammatory flares of the disease because it is often prescribed in conjunction with prednisone. It is noteworthy that calcium supplementation has also recently been shown to modify the composition of stool and the content of bile </w:t>
      </w:r>
      <w:proofErr w:type="gramStart"/>
      <w:r w:rsidRPr="00843CFD">
        <w:rPr>
          <w:rFonts w:ascii="Book Antiqua" w:hAnsi="Book Antiqua" w:cs="Arial"/>
          <w:lang w:val="en-US"/>
        </w:rPr>
        <w:t>acids</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16]</w:t>
      </w:r>
      <w:r w:rsidRPr="00843CFD">
        <w:rPr>
          <w:rFonts w:ascii="Book Antiqua" w:hAnsi="Book Antiqua" w:cs="Arial"/>
          <w:lang w:val="en-US"/>
        </w:rPr>
        <w:t>.</w:t>
      </w:r>
    </w:p>
    <w:p w:rsidR="00CE70BB" w:rsidRPr="00843CFD" w:rsidRDefault="00021558"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GB"/>
        </w:rPr>
        <w:t xml:space="preserve">Looking at the bile acid subtypes that characterized cholestasis in these patients, we found that </w:t>
      </w:r>
      <w:r w:rsidRPr="00843CFD">
        <w:rPr>
          <w:rFonts w:ascii="Book Antiqua" w:hAnsi="Book Antiqua" w:cs="Arial"/>
          <w:lang w:val="en-US"/>
        </w:rPr>
        <w:t xml:space="preserve">patients with cholestasis had higher levels of all the conjugated bile acids. </w:t>
      </w:r>
      <w:r w:rsidRPr="00843CFD">
        <w:rPr>
          <w:rFonts w:ascii="Book Antiqua" w:hAnsi="Book Antiqua" w:cs="Arial"/>
          <w:lang w:val="en-GB"/>
        </w:rPr>
        <w:t>Looking in detail at each subtype, we found that patients with and without cholestasis differed mainly in terms of their levels of g</w:t>
      </w:r>
      <w:r w:rsidRPr="00843CFD">
        <w:rPr>
          <w:rFonts w:ascii="Book Antiqua" w:hAnsi="Book Antiqua" w:cs="Arial"/>
          <w:lang w:val="en-US"/>
        </w:rPr>
        <w:t>lycochenodeoxycholate</w:t>
      </w:r>
      <w:r w:rsidRPr="00843CFD">
        <w:rPr>
          <w:rFonts w:ascii="Book Antiqua" w:hAnsi="Book Antiqua" w:cs="Arial"/>
          <w:lang w:val="en-GB"/>
        </w:rPr>
        <w:t>,</w:t>
      </w:r>
      <w:r w:rsidRPr="00843CFD">
        <w:rPr>
          <w:rFonts w:ascii="Book Antiqua" w:hAnsi="Book Antiqua" w:cs="Arial"/>
          <w:lang w:val="en-US"/>
        </w:rPr>
        <w:t xml:space="preserve"> glycodeoxycholate and tauroursodeoxycholate, which are conjugated bile acids, respectively primary, secondary and tertiary. This suggests that the liver plays a role in pathogenesis. Similarly, </w:t>
      </w:r>
      <w:proofErr w:type="spellStart"/>
      <w:r w:rsidRPr="00843CFD">
        <w:rPr>
          <w:rFonts w:ascii="Book Antiqua" w:hAnsi="Book Antiqua" w:cs="Arial"/>
          <w:lang w:val="en-US"/>
        </w:rPr>
        <w:t>Gnewuch</w:t>
      </w:r>
      <w:proofErr w:type="spellEnd"/>
      <w:r w:rsidRPr="00843CFD">
        <w:rPr>
          <w:rFonts w:ascii="Book Antiqua" w:hAnsi="Book Antiqua" w:cs="Arial"/>
          <w:lang w:val="en-US"/>
        </w:rPr>
        <w:t xml:space="preserve"> </w:t>
      </w:r>
      <w:r w:rsidRPr="00843CFD">
        <w:rPr>
          <w:rFonts w:ascii="Book Antiqua" w:hAnsi="Book Antiqua" w:cs="Arial"/>
          <w:i/>
          <w:lang w:val="en-US"/>
        </w:rPr>
        <w:t xml:space="preserve">et </w:t>
      </w:r>
      <w:proofErr w:type="gramStart"/>
      <w:r w:rsidRPr="00843CFD">
        <w:rPr>
          <w:rFonts w:ascii="Book Antiqua" w:hAnsi="Book Antiqua" w:cs="Arial"/>
          <w:i/>
          <w:lang w:val="en-US"/>
        </w:rPr>
        <w:t>al</w:t>
      </w:r>
      <w:r w:rsidR="00A424C0" w:rsidRPr="00843CFD">
        <w:rPr>
          <w:rFonts w:ascii="Book Antiqua" w:hAnsi="Book Antiqua" w:cs="Arial"/>
          <w:vertAlign w:val="superscript"/>
          <w:lang w:val="en-US"/>
        </w:rPr>
        <w:t>[</w:t>
      </w:r>
      <w:proofErr w:type="gramEnd"/>
      <w:r w:rsidR="00A424C0" w:rsidRPr="00843CFD">
        <w:rPr>
          <w:rFonts w:ascii="Book Antiqua" w:hAnsi="Book Antiqua" w:cs="Arial"/>
          <w:vertAlign w:val="superscript"/>
          <w:lang w:val="en-US"/>
        </w:rPr>
        <w:t>17]</w:t>
      </w:r>
      <w:r w:rsidRPr="00843CFD">
        <w:rPr>
          <w:rFonts w:ascii="Book Antiqua" w:hAnsi="Book Antiqua" w:cs="Arial"/>
          <w:lang w:val="en-US"/>
        </w:rPr>
        <w:t xml:space="preserve"> showed that UC patients with hepatobiliary manifestations had increased primary and secondary conjugated bile acid levels. </w:t>
      </w:r>
      <w:proofErr w:type="spellStart"/>
      <w:r w:rsidRPr="00843CFD">
        <w:rPr>
          <w:rFonts w:ascii="Book Antiqua" w:hAnsi="Book Antiqua" w:cs="Arial"/>
          <w:lang w:val="en-US"/>
        </w:rPr>
        <w:t>Denk</w:t>
      </w:r>
      <w:proofErr w:type="spellEnd"/>
      <w:r w:rsidRPr="00843CFD">
        <w:rPr>
          <w:rFonts w:ascii="Book Antiqua" w:hAnsi="Book Antiqua" w:cs="Arial"/>
          <w:i/>
          <w:lang w:val="en-US"/>
        </w:rPr>
        <w:t xml:space="preserve"> et </w:t>
      </w:r>
      <w:proofErr w:type="gramStart"/>
      <w:r w:rsidRPr="00843CFD">
        <w:rPr>
          <w:rFonts w:ascii="Book Antiqua" w:hAnsi="Book Antiqua" w:cs="Arial"/>
          <w:i/>
          <w:lang w:val="en-US"/>
        </w:rPr>
        <w:t>al</w:t>
      </w:r>
      <w:r w:rsidR="00A424C0" w:rsidRPr="00843CFD">
        <w:rPr>
          <w:rFonts w:ascii="Book Antiqua" w:hAnsi="Book Antiqua" w:cs="Arial"/>
          <w:vertAlign w:val="superscript"/>
          <w:lang w:val="en-US"/>
        </w:rPr>
        <w:t>[</w:t>
      </w:r>
      <w:proofErr w:type="gramEnd"/>
      <w:r w:rsidR="00A424C0" w:rsidRPr="00843CFD">
        <w:rPr>
          <w:rFonts w:ascii="Book Antiqua" w:hAnsi="Book Antiqua" w:cs="Arial"/>
          <w:vertAlign w:val="superscript"/>
          <w:lang w:val="en-US"/>
        </w:rPr>
        <w:t>18]</w:t>
      </w:r>
      <w:r w:rsidRPr="00843CFD">
        <w:rPr>
          <w:rFonts w:ascii="Book Antiqua" w:hAnsi="Book Antiqua" w:cs="Arial"/>
          <w:lang w:val="en-US"/>
        </w:rPr>
        <w:t xml:space="preserve">. </w:t>
      </w:r>
      <w:proofErr w:type="gramStart"/>
      <w:r w:rsidRPr="00843CFD">
        <w:rPr>
          <w:rFonts w:ascii="Book Antiqua" w:hAnsi="Book Antiqua" w:cs="Arial"/>
          <w:lang w:val="en-US"/>
        </w:rPr>
        <w:t>showed</w:t>
      </w:r>
      <w:proofErr w:type="gramEnd"/>
      <w:r w:rsidRPr="00843CFD">
        <w:rPr>
          <w:rFonts w:ascii="Book Antiqua" w:hAnsi="Book Antiqua" w:cs="Arial"/>
          <w:lang w:val="en-US"/>
        </w:rPr>
        <w:t xml:space="preserve"> in a rat model of cholestasis that the best anti-cholestatic effect was obtained with conjugated ursodeoxycholate, making hepatic conjugation an essential pathway against cholestasis.</w:t>
      </w:r>
    </w:p>
    <w:p w:rsidR="002814DF" w:rsidRPr="00843CFD" w:rsidRDefault="002814DF" w:rsidP="000242B5">
      <w:pPr>
        <w:adjustRightInd w:val="0"/>
        <w:snapToGrid w:val="0"/>
        <w:spacing w:line="360" w:lineRule="auto"/>
        <w:ind w:firstLineChars="100" w:firstLine="240"/>
        <w:jc w:val="both"/>
        <w:rPr>
          <w:rFonts w:ascii="Book Antiqua" w:hAnsi="Book Antiqua" w:cs="Times-Roman"/>
          <w:lang w:val="en-US" w:eastAsia="fr-CH"/>
        </w:rPr>
      </w:pPr>
      <w:r w:rsidRPr="00843CFD">
        <w:rPr>
          <w:rFonts w:ascii="Book Antiqua" w:hAnsi="Book Antiqua" w:cs="Arial"/>
          <w:lang w:val="en-US"/>
        </w:rPr>
        <w:t xml:space="preserve">The bile acid subtype profiles of patients with ileal disease were very different from those of patients with colonic disease, with all the primary, secondary and tertiary bile acids being found in higher concentrations in the former. This data strongly supports the role of an altered microbiota and absorption in ileal disease. Bile acids are deconjugated and transformed into secondary bile acids, but are less well absorbed in this form. Conversely, we found that primary and secondary conjugated bile acids were significantly reduced in patients with ileal involvement, most probably because of gut malabsorption, a condition already reported in patients with </w:t>
      </w:r>
      <w:proofErr w:type="spellStart"/>
      <w:r w:rsidRPr="00843CFD">
        <w:rPr>
          <w:rFonts w:ascii="Book Antiqua" w:hAnsi="Book Antiqua" w:cs="Arial"/>
          <w:lang w:val="en-US"/>
        </w:rPr>
        <w:t>ileal</w:t>
      </w:r>
      <w:proofErr w:type="spellEnd"/>
      <w:r w:rsidRPr="00843CFD">
        <w:rPr>
          <w:rFonts w:ascii="Book Antiqua" w:hAnsi="Book Antiqua" w:cs="Arial"/>
          <w:lang w:val="en-US"/>
        </w:rPr>
        <w:t xml:space="preserve"> resection by </w:t>
      </w:r>
      <w:proofErr w:type="spellStart"/>
      <w:r w:rsidRPr="00843CFD">
        <w:rPr>
          <w:rFonts w:ascii="Book Antiqua" w:hAnsi="Book Antiqua" w:cs="Arial"/>
          <w:lang w:val="en-US"/>
        </w:rPr>
        <w:t>Gnewuch</w:t>
      </w:r>
      <w:proofErr w:type="spellEnd"/>
      <w:r w:rsidRPr="00843CFD">
        <w:rPr>
          <w:rFonts w:ascii="Book Antiqua" w:hAnsi="Book Antiqua" w:cs="Arial"/>
          <w:lang w:val="en-US"/>
        </w:rPr>
        <w:t xml:space="preserve"> </w:t>
      </w:r>
      <w:r w:rsidRPr="00843CFD">
        <w:rPr>
          <w:rFonts w:ascii="Book Antiqua" w:hAnsi="Book Antiqua" w:cs="Arial"/>
          <w:i/>
          <w:lang w:val="en-US"/>
        </w:rPr>
        <w:t xml:space="preserve">et </w:t>
      </w:r>
      <w:proofErr w:type="gramStart"/>
      <w:r w:rsidRPr="00843CFD">
        <w:rPr>
          <w:rFonts w:ascii="Book Antiqua" w:hAnsi="Book Antiqua" w:cs="Arial"/>
          <w:i/>
          <w:lang w:val="en-US"/>
        </w:rPr>
        <w:t>al</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17]</w:t>
      </w:r>
      <w:r w:rsidRPr="00843CFD">
        <w:rPr>
          <w:rFonts w:ascii="Book Antiqua" w:hAnsi="Book Antiqua" w:cs="Arial"/>
          <w:lang w:val="en-US"/>
        </w:rPr>
        <w:t xml:space="preserve"> Similarly, we identified an increased glycine to taurine conjugation ratio in patients with ileal involvement, which has also been reported previously in patients with ileal diseases</w:t>
      </w:r>
      <w:r w:rsidRPr="00843CFD">
        <w:rPr>
          <w:rFonts w:ascii="Book Antiqua" w:hAnsi="Book Antiqua" w:cs="Arial"/>
          <w:vertAlign w:val="superscript"/>
          <w:lang w:val="en-US"/>
        </w:rPr>
        <w:t>[19]</w:t>
      </w:r>
      <w:r w:rsidRPr="00843CFD">
        <w:rPr>
          <w:rFonts w:ascii="Book Antiqua" w:hAnsi="Book Antiqua" w:cs="Times-Roman"/>
          <w:lang w:val="en-US" w:eastAsia="fr-CH"/>
        </w:rPr>
        <w:t>.</w:t>
      </w:r>
    </w:p>
    <w:p w:rsidR="0058024A" w:rsidRPr="00843CFD" w:rsidRDefault="002814DF"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Times-Roman"/>
          <w:lang w:val="en-US" w:eastAsia="fr-CH"/>
        </w:rPr>
        <w:t xml:space="preserve">Patients with high inflammation activity had lower levels </w:t>
      </w:r>
      <w:r w:rsidRPr="00843CFD">
        <w:rPr>
          <w:rFonts w:ascii="Book Antiqua" w:hAnsi="Book Antiqua" w:cs="Arial"/>
          <w:lang w:val="en-US"/>
        </w:rPr>
        <w:t xml:space="preserve">of glycochenodeoxycholate, a primary conjugated bile acid, </w:t>
      </w:r>
      <w:r w:rsidRPr="00843CFD">
        <w:rPr>
          <w:rFonts w:ascii="Book Antiqua" w:hAnsi="Book Antiqua" w:cs="Times-Roman"/>
          <w:lang w:val="en-US" w:eastAsia="fr-CH"/>
        </w:rPr>
        <w:t xml:space="preserve">than those with a low or no inflammation activity did, </w:t>
      </w:r>
      <w:r w:rsidRPr="00843CFD">
        <w:rPr>
          <w:rFonts w:ascii="Book Antiqua" w:hAnsi="Book Antiqua" w:cs="Arial"/>
          <w:lang w:val="en-US"/>
        </w:rPr>
        <w:t xml:space="preserve">most probably because of disturbed intestinal absorption due to inflammation. Both primary and secondary bile acids have to be reabsorbed in order to be conjugated once more in the liver. This data is consistent with previous findings that demonstrated the presence of bile acid </w:t>
      </w:r>
      <w:proofErr w:type="spellStart"/>
      <w:r w:rsidRPr="00843CFD">
        <w:rPr>
          <w:rFonts w:ascii="Book Antiqua" w:hAnsi="Book Antiqua" w:cs="Arial"/>
          <w:lang w:val="en-US"/>
        </w:rPr>
        <w:t>dysmetabolism</w:t>
      </w:r>
      <w:proofErr w:type="spellEnd"/>
      <w:r w:rsidRPr="00843CFD">
        <w:rPr>
          <w:rFonts w:ascii="Book Antiqua" w:hAnsi="Book Antiqua" w:cs="Arial"/>
          <w:lang w:val="en-US"/>
        </w:rPr>
        <w:t xml:space="preserve"> in the stools of IBD patients and lower levels of secondary bile acids in their </w:t>
      </w:r>
      <w:proofErr w:type="gramStart"/>
      <w:r w:rsidRPr="00843CFD">
        <w:rPr>
          <w:rFonts w:ascii="Book Antiqua" w:hAnsi="Book Antiqua" w:cs="Arial"/>
          <w:lang w:val="en-US"/>
        </w:rPr>
        <w:t>sera</w:t>
      </w:r>
      <w:r w:rsidRPr="00843CFD">
        <w:rPr>
          <w:rFonts w:ascii="Book Antiqua" w:hAnsi="Book Antiqua" w:cs="Arial"/>
          <w:vertAlign w:val="superscript"/>
          <w:lang w:val="en-US"/>
        </w:rPr>
        <w:t>[</w:t>
      </w:r>
      <w:proofErr w:type="gramEnd"/>
      <w:r w:rsidRPr="00843CFD">
        <w:rPr>
          <w:rFonts w:ascii="Book Antiqua" w:hAnsi="Book Antiqua" w:cs="Arial"/>
          <w:vertAlign w:val="superscript"/>
          <w:lang w:val="en-US"/>
        </w:rPr>
        <w:t>20]</w:t>
      </w:r>
      <w:r w:rsidRPr="00843CFD">
        <w:rPr>
          <w:rFonts w:ascii="Book Antiqua" w:hAnsi="Book Antiqua" w:cs="Arial"/>
          <w:lang w:val="en-US"/>
        </w:rPr>
        <w:t>.</w:t>
      </w:r>
    </w:p>
    <w:p w:rsidR="002814DF" w:rsidRPr="00843CFD" w:rsidRDefault="002814DF" w:rsidP="000242B5">
      <w:pPr>
        <w:adjustRightInd w:val="0"/>
        <w:snapToGrid w:val="0"/>
        <w:spacing w:line="360" w:lineRule="auto"/>
        <w:ind w:firstLineChars="100" w:firstLine="240"/>
        <w:jc w:val="both"/>
        <w:rPr>
          <w:rFonts w:ascii="Book Antiqua" w:hAnsi="Book Antiqua" w:cs="Arial"/>
          <w:lang w:val="en-US" w:eastAsia="zh-CN"/>
        </w:rPr>
      </w:pPr>
      <w:r w:rsidRPr="00843CFD">
        <w:rPr>
          <w:rFonts w:ascii="Book Antiqua" w:hAnsi="Book Antiqua" w:cs="Arial"/>
          <w:lang w:val="en-US"/>
        </w:rPr>
        <w:t>The main strengths of our study are the number of patients included and the richness of the data in the SIBDC, which is the largest IBD cohort in Switzerland. The main weakness of our findings is the absence of any correlation with gut microbiota, which seems to play a significant role in bile acid metabolism in these patients.</w:t>
      </w:r>
    </w:p>
    <w:p w:rsidR="002814DF" w:rsidRPr="00843CFD" w:rsidRDefault="002814DF" w:rsidP="000242B5">
      <w:pPr>
        <w:adjustRightInd w:val="0"/>
        <w:snapToGrid w:val="0"/>
        <w:spacing w:line="360" w:lineRule="auto"/>
        <w:ind w:firstLineChars="100" w:firstLine="240"/>
        <w:jc w:val="both"/>
        <w:rPr>
          <w:rFonts w:ascii="Book Antiqua" w:hAnsi="Book Antiqua" w:cs="Arial"/>
          <w:lang w:val="en-US"/>
        </w:rPr>
      </w:pPr>
      <w:r w:rsidRPr="00843CFD">
        <w:rPr>
          <w:rFonts w:ascii="Book Antiqua" w:hAnsi="Book Antiqua" w:cs="Arial"/>
          <w:lang w:val="en-US"/>
        </w:rPr>
        <w:t>In conclusion, our study reports the prevalence of cholestasis in IBD patients for the first time, with 7% of the cohort being affected. Current smoking activity seems to be a protective factor against cholestasis. However, this may only reflect the effect of smoking on the intestinal inflammatory disease. Regarding bile acid subtype patterns, conjugated bile acids were more elevated in patients with cholestasis, suggesting an intrahepatic process. Interestingly, ileal disease was more often associated with elevated primary, secondary and tertiary bile acids, suggesting bacterial involvement, whereas a colonic disease was characterized by higher levels of conjugated bile acids.</w:t>
      </w:r>
    </w:p>
    <w:p w:rsidR="000242B5" w:rsidRPr="00843CFD" w:rsidRDefault="000242B5" w:rsidP="000242B5">
      <w:pPr>
        <w:adjustRightInd w:val="0"/>
        <w:snapToGrid w:val="0"/>
        <w:spacing w:line="360" w:lineRule="auto"/>
        <w:jc w:val="both"/>
        <w:rPr>
          <w:rFonts w:ascii="Book Antiqua" w:hAnsi="Book Antiqua" w:cs="Arial"/>
          <w:lang w:val="en-US" w:eastAsia="zh-CN"/>
        </w:rPr>
      </w:pPr>
    </w:p>
    <w:p w:rsidR="000735A0" w:rsidRPr="00843CFD" w:rsidRDefault="00115C87" w:rsidP="000242B5">
      <w:pPr>
        <w:adjustRightInd w:val="0"/>
        <w:snapToGrid w:val="0"/>
        <w:spacing w:line="360" w:lineRule="auto"/>
        <w:jc w:val="both"/>
        <w:rPr>
          <w:rFonts w:ascii="Book Antiqua" w:hAnsi="Book Antiqua" w:cs="Arial"/>
          <w:lang w:val="en-US"/>
        </w:rPr>
      </w:pPr>
      <w:r w:rsidRPr="00843CFD">
        <w:rPr>
          <w:rFonts w:ascii="Book Antiqua" w:hAnsi="Book Antiqua" w:cs="Arial"/>
          <w:b/>
          <w:lang w:val="en-US"/>
        </w:rPr>
        <w:t>ARTICLE HIGHLIGHTS</w:t>
      </w:r>
    </w:p>
    <w:p w:rsidR="004224B7" w:rsidRPr="00843CFD" w:rsidRDefault="004224B7" w:rsidP="000242B5">
      <w:pPr>
        <w:adjustRightInd w:val="0"/>
        <w:snapToGrid w:val="0"/>
        <w:spacing w:line="360" w:lineRule="auto"/>
        <w:jc w:val="both"/>
        <w:rPr>
          <w:rFonts w:ascii="Book Antiqua" w:hAnsi="Book Antiqua"/>
          <w:b/>
          <w:i/>
          <w:color w:val="000000"/>
          <w:lang w:val="en-US"/>
        </w:rPr>
      </w:pPr>
      <w:bookmarkStart w:id="40" w:name="OLE_LINK8"/>
      <w:bookmarkStart w:id="41" w:name="OLE_LINK22"/>
      <w:bookmarkStart w:id="42" w:name="OLE_LINK1087"/>
      <w:bookmarkStart w:id="43" w:name="OLE_LINK1088"/>
      <w:bookmarkStart w:id="44" w:name="OLE_LINK1089"/>
      <w:bookmarkStart w:id="45" w:name="OLE_LINK1090"/>
      <w:bookmarkStart w:id="46" w:name="OLE_LINK1234"/>
      <w:bookmarkStart w:id="47" w:name="OLE_LINK1235"/>
      <w:bookmarkStart w:id="48" w:name="OLE_LINK1236"/>
      <w:bookmarkStart w:id="49" w:name="OLE_LINK1237"/>
      <w:bookmarkStart w:id="50" w:name="OLE_LINK1238"/>
      <w:bookmarkStart w:id="51" w:name="OLE_LINK1239"/>
      <w:bookmarkStart w:id="52" w:name="OLE_LINK1240"/>
      <w:bookmarkStart w:id="53" w:name="OLE_LINK1241"/>
      <w:r w:rsidRPr="00843CFD">
        <w:rPr>
          <w:rFonts w:ascii="Book Antiqua" w:hAnsi="Book Antiqua"/>
          <w:b/>
          <w:i/>
          <w:color w:val="000000"/>
          <w:lang w:val="en-US"/>
        </w:rPr>
        <w:t>Research background</w:t>
      </w:r>
    </w:p>
    <w:p w:rsidR="004224B7" w:rsidRPr="00843CFD" w:rsidRDefault="004224B7" w:rsidP="000242B5">
      <w:pPr>
        <w:adjustRightInd w:val="0"/>
        <w:snapToGrid w:val="0"/>
        <w:spacing w:line="360" w:lineRule="auto"/>
        <w:jc w:val="both"/>
        <w:rPr>
          <w:rFonts w:ascii="Book Antiqua" w:hAnsi="Book Antiqua"/>
          <w:color w:val="000000"/>
          <w:lang w:val="en-US"/>
        </w:rPr>
      </w:pPr>
      <w:r w:rsidRPr="00843CFD">
        <w:rPr>
          <w:rFonts w:ascii="Book Antiqua" w:hAnsi="Book Antiqua"/>
          <w:color w:val="000000"/>
          <w:lang w:val="en-US"/>
        </w:rPr>
        <w:t>Inflammatory bowel diseases (IBDs) are often associated with cholestasis, which can be caused by inflammation, drugs, or extra-intestinal manifestations. There is a lack of data in the literature on the prevalence and characteristics of cholestasis.</w:t>
      </w:r>
    </w:p>
    <w:p w:rsidR="004224B7" w:rsidRPr="00843CFD" w:rsidRDefault="004224B7" w:rsidP="000242B5">
      <w:pPr>
        <w:adjustRightInd w:val="0"/>
        <w:snapToGrid w:val="0"/>
        <w:spacing w:line="360" w:lineRule="auto"/>
        <w:jc w:val="both"/>
        <w:rPr>
          <w:rFonts w:ascii="Book Antiqua" w:hAnsi="Book Antiqua"/>
          <w:color w:val="000000"/>
          <w:lang w:val="en-US"/>
        </w:rPr>
      </w:pPr>
    </w:p>
    <w:p w:rsidR="004224B7" w:rsidRPr="00843CFD" w:rsidRDefault="004224B7" w:rsidP="000242B5">
      <w:pPr>
        <w:adjustRightInd w:val="0"/>
        <w:snapToGrid w:val="0"/>
        <w:spacing w:line="360" w:lineRule="auto"/>
        <w:jc w:val="both"/>
        <w:rPr>
          <w:rFonts w:ascii="Book Antiqua" w:hAnsi="Book Antiqua"/>
          <w:b/>
          <w:i/>
          <w:color w:val="000000"/>
          <w:lang w:val="en-US"/>
        </w:rPr>
      </w:pPr>
      <w:r w:rsidRPr="00843CFD">
        <w:rPr>
          <w:rFonts w:ascii="Book Antiqua" w:hAnsi="Book Antiqua"/>
          <w:b/>
          <w:i/>
          <w:color w:val="000000"/>
          <w:lang w:val="en-US"/>
        </w:rPr>
        <w:t>Research motivation</w:t>
      </w:r>
    </w:p>
    <w:p w:rsidR="004224B7" w:rsidRPr="00843CFD" w:rsidRDefault="004224B7" w:rsidP="000242B5">
      <w:pPr>
        <w:adjustRightInd w:val="0"/>
        <w:snapToGrid w:val="0"/>
        <w:spacing w:line="360" w:lineRule="auto"/>
        <w:jc w:val="both"/>
        <w:rPr>
          <w:rFonts w:ascii="Book Antiqua" w:hAnsi="Book Antiqua"/>
          <w:b/>
          <w:color w:val="000000"/>
          <w:lang w:val="en-US"/>
        </w:rPr>
      </w:pPr>
      <w:r w:rsidRPr="00843CFD">
        <w:rPr>
          <w:rFonts w:ascii="Book Antiqua" w:hAnsi="Book Antiqua"/>
          <w:color w:val="000000"/>
          <w:lang w:val="en-US"/>
        </w:rPr>
        <w:t>Measuring cholestasis and its prevalence and describing its characteristics and the main associated factors should improve our understanding of its causes and help to prevent or avoid the development of cholestasis in IBD.</w:t>
      </w:r>
      <w:r w:rsidRPr="00843CFD" w:rsidDel="005A76B8">
        <w:rPr>
          <w:rFonts w:ascii="Book Antiqua" w:hAnsi="Book Antiqua"/>
          <w:color w:val="000000"/>
          <w:lang w:val="en-US"/>
        </w:rPr>
        <w:t xml:space="preserve"> </w:t>
      </w:r>
    </w:p>
    <w:p w:rsidR="004224B7" w:rsidRPr="00843CFD" w:rsidRDefault="004224B7" w:rsidP="000242B5">
      <w:pPr>
        <w:adjustRightInd w:val="0"/>
        <w:snapToGrid w:val="0"/>
        <w:spacing w:line="360" w:lineRule="auto"/>
        <w:jc w:val="both"/>
        <w:rPr>
          <w:rFonts w:ascii="Book Antiqua" w:hAnsi="Book Antiqua"/>
          <w:b/>
          <w:i/>
          <w:color w:val="000000"/>
          <w:lang w:val="en-US"/>
        </w:rPr>
      </w:pPr>
    </w:p>
    <w:p w:rsidR="004224B7" w:rsidRPr="00843CFD" w:rsidRDefault="004224B7" w:rsidP="000242B5">
      <w:pPr>
        <w:adjustRightInd w:val="0"/>
        <w:snapToGrid w:val="0"/>
        <w:spacing w:line="360" w:lineRule="auto"/>
        <w:jc w:val="both"/>
        <w:rPr>
          <w:rFonts w:ascii="Book Antiqua" w:hAnsi="Book Antiqua"/>
          <w:b/>
          <w:i/>
          <w:color w:val="000000"/>
          <w:lang w:val="en-US"/>
        </w:rPr>
      </w:pPr>
      <w:r w:rsidRPr="00843CFD">
        <w:rPr>
          <w:rFonts w:ascii="Book Antiqua" w:hAnsi="Book Antiqua"/>
          <w:b/>
          <w:i/>
          <w:color w:val="000000"/>
          <w:lang w:val="en-US"/>
        </w:rPr>
        <w:t xml:space="preserve">Research objectives </w:t>
      </w:r>
    </w:p>
    <w:p w:rsidR="004224B7" w:rsidRPr="00843CFD" w:rsidRDefault="004224B7" w:rsidP="000242B5">
      <w:pPr>
        <w:adjustRightInd w:val="0"/>
        <w:snapToGrid w:val="0"/>
        <w:spacing w:line="360" w:lineRule="auto"/>
        <w:jc w:val="both"/>
        <w:rPr>
          <w:rFonts w:ascii="Book Antiqua" w:hAnsi="Book Antiqua" w:cs="Arial"/>
          <w:lang w:val="en-GB"/>
        </w:rPr>
      </w:pPr>
      <w:r w:rsidRPr="00843CFD">
        <w:rPr>
          <w:rFonts w:ascii="Book Antiqua" w:hAnsi="Book Antiqua" w:cs="Arial"/>
          <w:lang w:val="en-GB"/>
        </w:rPr>
        <w:t>The main objective of this study was to establish the prevalence of clinical and biological cholestasis. The secondary objective was then to clarify the causes and characteristics of cholestasis by studying the corresponding bile acid subtypes.</w:t>
      </w:r>
    </w:p>
    <w:p w:rsidR="004224B7" w:rsidRPr="00843CFD" w:rsidRDefault="004224B7" w:rsidP="000242B5">
      <w:pPr>
        <w:adjustRightInd w:val="0"/>
        <w:snapToGrid w:val="0"/>
        <w:spacing w:line="360" w:lineRule="auto"/>
        <w:jc w:val="both"/>
        <w:rPr>
          <w:rFonts w:ascii="Book Antiqua" w:hAnsi="Book Antiqua"/>
          <w:b/>
          <w:color w:val="000000"/>
          <w:lang w:val="en-US"/>
        </w:rPr>
      </w:pPr>
    </w:p>
    <w:p w:rsidR="004224B7" w:rsidRPr="00843CFD" w:rsidRDefault="004224B7" w:rsidP="000242B5">
      <w:pPr>
        <w:adjustRightInd w:val="0"/>
        <w:snapToGrid w:val="0"/>
        <w:spacing w:line="360" w:lineRule="auto"/>
        <w:jc w:val="both"/>
        <w:rPr>
          <w:rFonts w:ascii="Book Antiqua" w:hAnsi="Book Antiqua"/>
          <w:b/>
          <w:i/>
          <w:color w:val="000000"/>
          <w:lang w:val="en-US"/>
        </w:rPr>
      </w:pPr>
      <w:r w:rsidRPr="00843CFD">
        <w:rPr>
          <w:rFonts w:ascii="Book Antiqua" w:hAnsi="Book Antiqua"/>
          <w:b/>
          <w:i/>
          <w:color w:val="000000"/>
          <w:lang w:val="en-US"/>
        </w:rPr>
        <w:t>Research methods</w:t>
      </w:r>
    </w:p>
    <w:p w:rsidR="004224B7" w:rsidRPr="00843CFD" w:rsidRDefault="004224B7" w:rsidP="000242B5">
      <w:pPr>
        <w:adjustRightInd w:val="0"/>
        <w:snapToGrid w:val="0"/>
        <w:spacing w:line="360" w:lineRule="auto"/>
        <w:jc w:val="both"/>
        <w:rPr>
          <w:rFonts w:ascii="Book Antiqua" w:hAnsi="Book Antiqua"/>
          <w:color w:val="000000"/>
          <w:lang w:val="en-US"/>
        </w:rPr>
      </w:pPr>
      <w:r w:rsidRPr="00843CFD">
        <w:rPr>
          <w:rFonts w:ascii="Book Antiqua" w:hAnsi="Book Antiqua"/>
          <w:color w:val="000000"/>
          <w:lang w:val="en-US"/>
        </w:rPr>
        <w:t xml:space="preserve">A total of </w:t>
      </w:r>
      <w:r w:rsidRPr="00843CFD">
        <w:rPr>
          <w:rFonts w:ascii="Book Antiqua" w:hAnsi="Book Antiqua" w:cs="Arial"/>
          <w:lang w:val="en-US"/>
        </w:rPr>
        <w:t xml:space="preserve">1342 </w:t>
      </w:r>
      <w:r w:rsidRPr="00843CFD">
        <w:rPr>
          <w:rFonts w:ascii="Book Antiqua" w:hAnsi="Book Antiqua"/>
          <w:color w:val="000000"/>
          <w:lang w:val="en-US"/>
        </w:rPr>
        <w:t xml:space="preserve">patients from the Swiss Inflammatory Bowel Disease Cohort were included and cholestasis was measured </w:t>
      </w:r>
      <w:r w:rsidRPr="002737BB">
        <w:rPr>
          <w:rFonts w:ascii="Book Antiqua" w:hAnsi="Book Antiqua"/>
          <w:i/>
          <w:color w:val="000000"/>
          <w:lang w:val="en-US"/>
        </w:rPr>
        <w:t>via</w:t>
      </w:r>
      <w:r w:rsidRPr="00843CFD">
        <w:rPr>
          <w:rFonts w:ascii="Book Antiqua" w:hAnsi="Book Antiqua"/>
          <w:color w:val="000000"/>
          <w:lang w:val="en-US"/>
        </w:rPr>
        <w:t xml:space="preserve"> their total bile acid levels. Patients with the main well-known causes of cholestasis (such as primary sclerosing cholangitis for example) were then excluded to study less obvious causes. The concentrations of different bile acid subtypes were measured in two groups of patients, either with or without cholestasis. The bile acid profiles of patients in the two groups were compared for different clinical</w:t>
      </w:r>
      <w:r w:rsidR="00866F9B" w:rsidRPr="00843CFD">
        <w:rPr>
          <w:rFonts w:ascii="Book Antiqua" w:hAnsi="Book Antiqua"/>
          <w:color w:val="000000"/>
          <w:lang w:val="en-US"/>
        </w:rPr>
        <w:t xml:space="preserve"> situations, notably </w:t>
      </w:r>
      <w:proofErr w:type="spellStart"/>
      <w:r w:rsidR="00866F9B" w:rsidRPr="00843CFD">
        <w:rPr>
          <w:rFonts w:ascii="Book Antiqua" w:hAnsi="Book Antiqua"/>
          <w:color w:val="000000"/>
          <w:lang w:val="en-US"/>
        </w:rPr>
        <w:t>ileal</w:t>
      </w:r>
      <w:proofErr w:type="spellEnd"/>
      <w:r w:rsidR="00866F9B" w:rsidRPr="00843CFD">
        <w:rPr>
          <w:rFonts w:ascii="Book Antiqua" w:hAnsi="Book Antiqua"/>
          <w:color w:val="000000"/>
          <w:lang w:val="en-US"/>
        </w:rPr>
        <w:t xml:space="preserve"> </w:t>
      </w:r>
      <w:r w:rsidR="00866F9B" w:rsidRPr="00843CFD">
        <w:rPr>
          <w:rFonts w:ascii="Book Antiqua" w:hAnsi="Book Antiqua"/>
          <w:i/>
          <w:color w:val="000000"/>
          <w:lang w:val="en-US"/>
        </w:rPr>
        <w:t>v</w:t>
      </w:r>
      <w:r w:rsidRPr="00843CFD">
        <w:rPr>
          <w:rFonts w:ascii="Book Antiqua" w:hAnsi="Book Antiqua"/>
          <w:i/>
          <w:color w:val="000000"/>
          <w:lang w:val="en-US"/>
        </w:rPr>
        <w:t xml:space="preserve">s </w:t>
      </w:r>
      <w:r w:rsidRPr="00843CFD">
        <w:rPr>
          <w:rFonts w:ascii="Book Antiqua" w:hAnsi="Book Antiqua"/>
          <w:color w:val="000000"/>
          <w:lang w:val="en-US"/>
        </w:rPr>
        <w:t>colon</w:t>
      </w:r>
      <w:r w:rsidR="00866F9B" w:rsidRPr="00843CFD">
        <w:rPr>
          <w:rFonts w:ascii="Book Antiqua" w:hAnsi="Book Antiqua"/>
          <w:color w:val="000000"/>
          <w:lang w:val="en-US"/>
        </w:rPr>
        <w:t xml:space="preserve">ic disease and for </w:t>
      </w:r>
      <w:proofErr w:type="gramStart"/>
      <w:r w:rsidR="00866F9B" w:rsidRPr="00843CFD">
        <w:rPr>
          <w:rFonts w:ascii="Book Antiqua" w:hAnsi="Book Antiqua"/>
          <w:color w:val="000000"/>
          <w:lang w:val="en-US"/>
        </w:rPr>
        <w:t>smokers</w:t>
      </w:r>
      <w:proofErr w:type="gramEnd"/>
      <w:r w:rsidR="00866F9B" w:rsidRPr="00843CFD">
        <w:rPr>
          <w:rFonts w:ascii="Book Antiqua" w:hAnsi="Book Antiqua"/>
          <w:color w:val="000000"/>
          <w:lang w:val="en-US"/>
        </w:rPr>
        <w:t xml:space="preserve"> </w:t>
      </w:r>
      <w:r w:rsidR="00866F9B" w:rsidRPr="00843CFD">
        <w:rPr>
          <w:rFonts w:ascii="Book Antiqua" w:hAnsi="Book Antiqua"/>
          <w:i/>
          <w:color w:val="000000"/>
          <w:lang w:val="en-US"/>
        </w:rPr>
        <w:t>v</w:t>
      </w:r>
      <w:r w:rsidRPr="00843CFD">
        <w:rPr>
          <w:rFonts w:ascii="Book Antiqua" w:hAnsi="Book Antiqua"/>
          <w:i/>
          <w:color w:val="000000"/>
          <w:lang w:val="en-US"/>
        </w:rPr>
        <w:t xml:space="preserve">s </w:t>
      </w:r>
      <w:r w:rsidRPr="00843CFD">
        <w:rPr>
          <w:rFonts w:ascii="Book Antiqua" w:hAnsi="Book Antiqua"/>
          <w:color w:val="000000"/>
          <w:lang w:val="en-US"/>
        </w:rPr>
        <w:t>nonsmokers.</w:t>
      </w:r>
    </w:p>
    <w:p w:rsidR="004224B7" w:rsidRPr="00843CFD" w:rsidRDefault="004224B7" w:rsidP="000242B5">
      <w:pPr>
        <w:adjustRightInd w:val="0"/>
        <w:snapToGrid w:val="0"/>
        <w:spacing w:line="360" w:lineRule="auto"/>
        <w:jc w:val="both"/>
        <w:rPr>
          <w:rFonts w:ascii="Book Antiqua" w:hAnsi="Book Antiqua"/>
          <w:b/>
          <w:color w:val="000000"/>
          <w:lang w:val="en-US"/>
        </w:rPr>
      </w:pPr>
    </w:p>
    <w:p w:rsidR="004224B7" w:rsidRPr="00843CFD" w:rsidRDefault="004224B7" w:rsidP="000242B5">
      <w:pPr>
        <w:adjustRightInd w:val="0"/>
        <w:snapToGrid w:val="0"/>
        <w:spacing w:line="360" w:lineRule="auto"/>
        <w:jc w:val="both"/>
        <w:rPr>
          <w:rFonts w:ascii="Book Antiqua" w:hAnsi="Book Antiqua"/>
          <w:b/>
          <w:i/>
          <w:color w:val="000000"/>
          <w:lang w:val="en-US"/>
        </w:rPr>
      </w:pPr>
      <w:r w:rsidRPr="00843CFD">
        <w:rPr>
          <w:rFonts w:ascii="Book Antiqua" w:hAnsi="Book Antiqua"/>
          <w:b/>
          <w:i/>
          <w:color w:val="000000"/>
          <w:lang w:val="en-US"/>
        </w:rPr>
        <w:t>Research results</w:t>
      </w:r>
    </w:p>
    <w:p w:rsidR="004224B7" w:rsidRPr="00843CFD" w:rsidRDefault="004224B7" w:rsidP="000242B5">
      <w:pPr>
        <w:adjustRightInd w:val="0"/>
        <w:snapToGrid w:val="0"/>
        <w:spacing w:line="360" w:lineRule="auto"/>
        <w:jc w:val="both"/>
        <w:rPr>
          <w:rFonts w:ascii="Book Antiqua" w:hAnsi="Book Antiqua"/>
          <w:lang w:val="en-US"/>
        </w:rPr>
      </w:pPr>
      <w:r w:rsidRPr="00843CFD">
        <w:rPr>
          <w:rFonts w:ascii="Book Antiqua" w:hAnsi="Book Antiqua"/>
          <w:color w:val="000000"/>
          <w:lang w:val="en-US"/>
        </w:rPr>
        <w:t>The prevalence of cholestasis was found to be high, at 7.15%. Multivariate analysis showed that calcium supplementation was significantly associated with cholestasis whereas current smoking significantly reduced the risk of cholestasis. Regarding bile acid subtypes, patients in the cholestasis group had higher levels of all conjugated bile acids than those in the control group did. Comparing patients with ileal disease with those with colonic disease, the former had higher levels of unconjugated bile acids while the latter had higher levels of conjugated bile acids. These results highlight the probable role played by gut bacteria and the liver in the different types of cholestasis. What exactly these roles are should now be studied in more detail.</w:t>
      </w:r>
    </w:p>
    <w:p w:rsidR="004224B7" w:rsidRPr="00843CFD" w:rsidRDefault="004224B7" w:rsidP="000242B5">
      <w:pPr>
        <w:adjustRightInd w:val="0"/>
        <w:snapToGrid w:val="0"/>
        <w:spacing w:line="360" w:lineRule="auto"/>
        <w:jc w:val="both"/>
        <w:rPr>
          <w:rFonts w:ascii="Book Antiqua" w:hAnsi="Book Antiqua" w:cs="Segoe UI"/>
          <w:shd w:val="clear" w:color="auto" w:fill="FFFFFF"/>
          <w:lang w:val="en-US"/>
        </w:rPr>
      </w:pPr>
    </w:p>
    <w:p w:rsidR="004224B7" w:rsidRPr="00843CFD" w:rsidRDefault="004224B7" w:rsidP="000242B5">
      <w:pPr>
        <w:adjustRightInd w:val="0"/>
        <w:snapToGrid w:val="0"/>
        <w:spacing w:line="360" w:lineRule="auto"/>
        <w:jc w:val="both"/>
        <w:rPr>
          <w:rFonts w:ascii="Book Antiqua" w:hAnsi="Book Antiqua" w:cs="Segoe UI"/>
          <w:b/>
          <w:i/>
          <w:color w:val="333333"/>
          <w:shd w:val="clear" w:color="auto" w:fill="FFFFFF"/>
          <w:lang w:val="en-US"/>
        </w:rPr>
      </w:pPr>
      <w:r w:rsidRPr="00843CFD">
        <w:rPr>
          <w:rFonts w:ascii="Book Antiqua" w:hAnsi="Book Antiqua"/>
          <w:b/>
          <w:i/>
          <w:color w:val="000000"/>
          <w:lang w:val="en-US"/>
        </w:rPr>
        <w:t>Research conclusions</w:t>
      </w:r>
    </w:p>
    <w:p w:rsidR="004224B7" w:rsidRPr="00843CFD" w:rsidRDefault="004224B7" w:rsidP="000242B5">
      <w:pPr>
        <w:adjustRightInd w:val="0"/>
        <w:snapToGrid w:val="0"/>
        <w:spacing w:line="360" w:lineRule="auto"/>
        <w:jc w:val="both"/>
        <w:rPr>
          <w:rFonts w:ascii="Book Antiqua" w:hAnsi="Book Antiqua" w:cs="微软雅黑"/>
          <w:color w:val="000000"/>
          <w:shd w:val="clear" w:color="auto" w:fill="FFFFFF"/>
          <w:lang w:val="en-US"/>
        </w:rPr>
      </w:pPr>
      <w:r w:rsidRPr="00843CFD">
        <w:rPr>
          <w:rFonts w:ascii="Book Antiqua" w:hAnsi="Book Antiqua"/>
          <w:color w:val="000000"/>
          <w:lang w:val="en-US"/>
        </w:rPr>
        <w:t>This study found that the prevalence of cholestasis is high in patients with IBD. Different subtypes of bile acid were associated with cholestasis, colonic disease, and ileal disease, indicating probable interactions between the gut microbiota, the liver and the different types of IBD. As expected, ileal or colonic involvement, smoking status and inflammation activity all modified the type of cholestasis presented by patients.</w:t>
      </w:r>
      <w:r w:rsidRPr="00843CFD">
        <w:rPr>
          <w:rFonts w:ascii="Book Antiqua" w:hAnsi="Book Antiqua" w:cs="微软雅黑"/>
          <w:color w:val="000000"/>
          <w:shd w:val="clear" w:color="auto" w:fill="FFFFFF"/>
          <w:lang w:val="en-US"/>
        </w:rPr>
        <w:t xml:space="preserve"> A prospective analysis of cholestasis and its characteristics should be performed to improve our </w:t>
      </w:r>
      <w:r w:rsidR="00866F9B" w:rsidRPr="00843CFD">
        <w:rPr>
          <w:rFonts w:ascii="Book Antiqua" w:hAnsi="Book Antiqua" w:cs="微软雅黑"/>
          <w:color w:val="000000"/>
          <w:shd w:val="clear" w:color="auto" w:fill="FFFFFF"/>
          <w:lang w:val="en-US"/>
        </w:rPr>
        <w:t>understanding of this condition</w:t>
      </w:r>
      <w:r w:rsidRPr="00843CFD">
        <w:rPr>
          <w:rFonts w:ascii="Book Antiqua" w:hAnsi="Book Antiqua" w:cs="微软雅黑"/>
          <w:color w:val="000000"/>
          <w:shd w:val="clear" w:color="auto" w:fill="FFFFFF"/>
          <w:lang w:val="en-US"/>
        </w:rPr>
        <w:t xml:space="preserve"> and develop prevention strategies.</w:t>
      </w:r>
    </w:p>
    <w:p w:rsidR="004224B7" w:rsidRPr="00843CFD" w:rsidRDefault="004224B7" w:rsidP="000242B5">
      <w:pPr>
        <w:adjustRightInd w:val="0"/>
        <w:snapToGrid w:val="0"/>
        <w:spacing w:line="360" w:lineRule="auto"/>
        <w:jc w:val="both"/>
        <w:rPr>
          <w:rFonts w:ascii="Book Antiqua" w:hAnsi="Book Antiqua" w:cs="Segoe UI"/>
          <w:color w:val="333333"/>
          <w:shd w:val="clear" w:color="auto" w:fill="FFFFFF"/>
          <w:lang w:val="en-US"/>
        </w:rPr>
      </w:pPr>
    </w:p>
    <w:p w:rsidR="004224B7" w:rsidRPr="00843CFD" w:rsidRDefault="004224B7" w:rsidP="000242B5">
      <w:pPr>
        <w:adjustRightInd w:val="0"/>
        <w:snapToGrid w:val="0"/>
        <w:spacing w:line="360" w:lineRule="auto"/>
        <w:jc w:val="both"/>
        <w:rPr>
          <w:rFonts w:ascii="Book Antiqua" w:hAnsi="Book Antiqua" w:cs="Segoe UI"/>
          <w:b/>
          <w:i/>
          <w:color w:val="000000"/>
          <w:shd w:val="clear" w:color="auto" w:fill="FFFFFF"/>
          <w:lang w:val="en-US"/>
        </w:rPr>
      </w:pPr>
      <w:r w:rsidRPr="00843CFD">
        <w:rPr>
          <w:rFonts w:ascii="Book Antiqua" w:hAnsi="Book Antiqua" w:cs="Segoe UI"/>
          <w:b/>
          <w:i/>
          <w:color w:val="000000"/>
          <w:shd w:val="clear" w:color="auto" w:fill="FFFFFF"/>
          <w:lang w:val="en-US"/>
        </w:rPr>
        <w:t>Research perspectives</w:t>
      </w:r>
    </w:p>
    <w:p w:rsidR="004224B7" w:rsidRPr="00843CFD" w:rsidRDefault="004224B7" w:rsidP="000242B5">
      <w:pPr>
        <w:adjustRightInd w:val="0"/>
        <w:snapToGrid w:val="0"/>
        <w:spacing w:line="360" w:lineRule="auto"/>
        <w:jc w:val="both"/>
        <w:rPr>
          <w:rFonts w:ascii="Book Antiqua" w:hAnsi="Book Antiqua" w:cs="Segoe UI"/>
          <w:color w:val="333333"/>
          <w:shd w:val="clear" w:color="auto" w:fill="FFFFFF"/>
          <w:lang w:val="en-US"/>
        </w:rPr>
      </w:pPr>
      <w:r w:rsidRPr="00843CFD">
        <w:rPr>
          <w:rFonts w:ascii="Book Antiqua" w:hAnsi="Book Antiqua" w:cs="Segoe UI"/>
          <w:color w:val="000000"/>
          <w:shd w:val="clear" w:color="auto" w:fill="FFFFFF"/>
          <w:lang w:val="en-US"/>
        </w:rPr>
        <w:t xml:space="preserve">Cholestasis is frequent in IBD. The characteristics of cholestasis vary with the type of IBD and inflammatory activity. Cholestasis should now be studied prospectively to better understand how the gut microbiota and the liver are involved. </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C82FD9" w:rsidRPr="000826F2" w:rsidRDefault="00C82FD9" w:rsidP="000242B5">
      <w:pPr>
        <w:adjustRightInd w:val="0"/>
        <w:snapToGrid w:val="0"/>
        <w:spacing w:line="360" w:lineRule="auto"/>
        <w:jc w:val="both"/>
        <w:rPr>
          <w:rFonts w:ascii="Book Antiqua" w:hAnsi="Book Antiqua"/>
          <w:b/>
          <w:color w:val="000000"/>
          <w:lang w:eastAsia="zh-CN"/>
        </w:rPr>
      </w:pPr>
      <w:r w:rsidRPr="00843CFD">
        <w:rPr>
          <w:rFonts w:ascii="Book Antiqua" w:hAnsi="Book Antiqua"/>
          <w:b/>
          <w:lang w:val="en-US"/>
        </w:rPr>
        <w:br w:type="page"/>
      </w:r>
      <w:r w:rsidR="000826F2" w:rsidRPr="009F19CA">
        <w:rPr>
          <w:rFonts w:ascii="Book Antiqua" w:hAnsi="Book Antiqua"/>
          <w:b/>
          <w:color w:val="000000"/>
        </w:rPr>
        <w:t>ACKOWLEDGEMENT</w:t>
      </w:r>
      <w:r w:rsidR="000826F2" w:rsidRPr="009F19CA">
        <w:rPr>
          <w:rFonts w:ascii="Book Antiqua" w:hAnsi="Book Antiqua"/>
          <w:b/>
          <w:color w:val="000000"/>
          <w:lang w:eastAsia="zh-CN"/>
        </w:rPr>
        <w:t>S</w:t>
      </w:r>
    </w:p>
    <w:p w:rsidR="00C82FD9" w:rsidRPr="00843CFD" w:rsidRDefault="00C82FD9" w:rsidP="000242B5">
      <w:pPr>
        <w:adjustRightInd w:val="0"/>
        <w:snapToGrid w:val="0"/>
        <w:spacing w:line="360" w:lineRule="auto"/>
        <w:jc w:val="both"/>
        <w:rPr>
          <w:rFonts w:ascii="Book Antiqua" w:hAnsi="Book Antiqua"/>
          <w:lang w:val="en-US"/>
        </w:rPr>
      </w:pPr>
      <w:r w:rsidRPr="00843CFD">
        <w:rPr>
          <w:rFonts w:ascii="Book Antiqua" w:hAnsi="Book Antiqua" w:cs="Arial"/>
          <w:lang w:val="en-US"/>
        </w:rPr>
        <w:t>Swiss IBD Cohort Study Group</w:t>
      </w:r>
      <w:r w:rsidR="000826F2">
        <w:rPr>
          <w:rFonts w:ascii="Book Antiqua" w:hAnsi="Book Antiqua" w:cs="Arial" w:hint="eastAsia"/>
          <w:lang w:val="en-US" w:eastAsia="zh-CN"/>
        </w:rPr>
        <w:t xml:space="preserve">: </w:t>
      </w:r>
      <w:r w:rsidRPr="00843CFD">
        <w:rPr>
          <w:rFonts w:ascii="Book Antiqua" w:hAnsi="Book Antiqua"/>
          <w:lang w:val="en-US"/>
        </w:rPr>
        <w:t xml:space="preserve">Claudia </w:t>
      </w:r>
      <w:proofErr w:type="spellStart"/>
      <w:r w:rsidRPr="00843CFD">
        <w:rPr>
          <w:rFonts w:ascii="Book Antiqua" w:hAnsi="Book Antiqua"/>
          <w:lang w:val="en-US"/>
        </w:rPr>
        <w:t>Anderegg</w:t>
      </w:r>
      <w:proofErr w:type="spellEnd"/>
      <w:r w:rsidRPr="00843CFD">
        <w:rPr>
          <w:rFonts w:ascii="Book Antiqua" w:hAnsi="Book Antiqua"/>
          <w:lang w:val="en-US"/>
        </w:rPr>
        <w:t xml:space="preserve">; Peter </w:t>
      </w:r>
      <w:proofErr w:type="spellStart"/>
      <w:r w:rsidRPr="00843CFD">
        <w:rPr>
          <w:rFonts w:ascii="Book Antiqua" w:hAnsi="Book Antiqua"/>
          <w:lang w:val="en-US"/>
        </w:rPr>
        <w:t>Bauerfeind</w:t>
      </w:r>
      <w:proofErr w:type="spellEnd"/>
      <w:r w:rsidRPr="00843CFD">
        <w:rPr>
          <w:rFonts w:ascii="Book Antiqua" w:hAnsi="Book Antiqua"/>
          <w:lang w:val="en-US"/>
        </w:rPr>
        <w:t xml:space="preserve">; Christoph </w:t>
      </w:r>
      <w:proofErr w:type="spellStart"/>
      <w:r w:rsidRPr="00843CFD">
        <w:rPr>
          <w:rFonts w:ascii="Book Antiqua" w:hAnsi="Book Antiqua"/>
          <w:lang w:val="en-US"/>
        </w:rPr>
        <w:t>Beglinger</w:t>
      </w:r>
      <w:proofErr w:type="spellEnd"/>
      <w:r w:rsidRPr="00843CFD">
        <w:rPr>
          <w:rFonts w:ascii="Book Antiqua" w:hAnsi="Book Antiqua"/>
          <w:lang w:val="en-US"/>
        </w:rPr>
        <w:t xml:space="preserve">; Stefan </w:t>
      </w:r>
      <w:proofErr w:type="spellStart"/>
      <w:r w:rsidRPr="00843CFD">
        <w:rPr>
          <w:rFonts w:ascii="Book Antiqua" w:hAnsi="Book Antiqua"/>
          <w:lang w:val="en-US"/>
        </w:rPr>
        <w:t>Begré</w:t>
      </w:r>
      <w:proofErr w:type="spellEnd"/>
      <w:r w:rsidRPr="00843CFD">
        <w:rPr>
          <w:rFonts w:ascii="Book Antiqua" w:hAnsi="Book Antiqua"/>
          <w:lang w:val="en-US"/>
        </w:rPr>
        <w:t>; Dominique</w:t>
      </w:r>
      <w:r w:rsidR="00866F9B" w:rsidRPr="00843CFD">
        <w:rPr>
          <w:rFonts w:ascii="Book Antiqua" w:hAnsi="Book Antiqua"/>
          <w:lang w:val="en-US"/>
        </w:rPr>
        <w:t xml:space="preserve"> </w:t>
      </w:r>
      <w:r w:rsidRPr="00843CFD">
        <w:rPr>
          <w:rFonts w:ascii="Book Antiqua" w:hAnsi="Book Antiqua"/>
          <w:lang w:val="en-US"/>
        </w:rPr>
        <w:t xml:space="preserve">Belli; José M. </w:t>
      </w:r>
      <w:proofErr w:type="spellStart"/>
      <w:r w:rsidRPr="00843CFD">
        <w:rPr>
          <w:rFonts w:ascii="Book Antiqua" w:hAnsi="Book Antiqua"/>
          <w:lang w:val="en-US"/>
        </w:rPr>
        <w:t>Bengoa</w:t>
      </w:r>
      <w:proofErr w:type="spellEnd"/>
      <w:r w:rsidRPr="00843CFD">
        <w:rPr>
          <w:rFonts w:ascii="Book Antiqua" w:hAnsi="Book Antiqua"/>
          <w:lang w:val="en-US"/>
        </w:rPr>
        <w:t xml:space="preserve">; Luc </w:t>
      </w:r>
      <w:proofErr w:type="spellStart"/>
      <w:r w:rsidRPr="00843CFD">
        <w:rPr>
          <w:rFonts w:ascii="Book Antiqua" w:hAnsi="Book Antiqua"/>
          <w:lang w:val="en-US"/>
        </w:rPr>
        <w:t>Biedermann</w:t>
      </w:r>
      <w:proofErr w:type="spellEnd"/>
      <w:r w:rsidRPr="00843CFD">
        <w:rPr>
          <w:rFonts w:ascii="Book Antiqua" w:hAnsi="Book Antiqua"/>
          <w:lang w:val="en-US"/>
        </w:rPr>
        <w:t xml:space="preserve">; Beat </w:t>
      </w:r>
      <w:proofErr w:type="spellStart"/>
      <w:r w:rsidRPr="00843CFD">
        <w:rPr>
          <w:rFonts w:ascii="Book Antiqua" w:hAnsi="Book Antiqua"/>
          <w:lang w:val="en-US"/>
        </w:rPr>
        <w:t>Bigler</w:t>
      </w:r>
      <w:proofErr w:type="spellEnd"/>
      <w:r w:rsidRPr="00843CFD">
        <w:rPr>
          <w:rFonts w:ascii="Book Antiqua" w:hAnsi="Book Antiqua"/>
          <w:lang w:val="en-US"/>
        </w:rPr>
        <w:t xml:space="preserve">; </w:t>
      </w:r>
      <w:proofErr w:type="spellStart"/>
      <w:r w:rsidRPr="00843CFD">
        <w:rPr>
          <w:rFonts w:ascii="Book Antiqua" w:hAnsi="Book Antiqua"/>
          <w:lang w:val="en-US"/>
        </w:rPr>
        <w:t>Janek</w:t>
      </w:r>
      <w:proofErr w:type="spellEnd"/>
      <w:r w:rsidRPr="00843CFD">
        <w:rPr>
          <w:rFonts w:ascii="Book Antiqua" w:hAnsi="Book Antiqua"/>
          <w:lang w:val="en-US"/>
        </w:rPr>
        <w:t xml:space="preserve"> </w:t>
      </w:r>
      <w:proofErr w:type="spellStart"/>
      <w:r w:rsidRPr="00843CFD">
        <w:rPr>
          <w:rFonts w:ascii="Book Antiqua" w:hAnsi="Book Antiqua"/>
          <w:lang w:val="en-US"/>
        </w:rPr>
        <w:t>Binek</w:t>
      </w:r>
      <w:proofErr w:type="spellEnd"/>
      <w:r w:rsidRPr="00843CFD">
        <w:rPr>
          <w:rFonts w:ascii="Book Antiqua" w:hAnsi="Book Antiqua"/>
          <w:lang w:val="en-US"/>
        </w:rPr>
        <w:t xml:space="preserve">; </w:t>
      </w:r>
      <w:proofErr w:type="spellStart"/>
      <w:r w:rsidRPr="00843CFD">
        <w:rPr>
          <w:rFonts w:ascii="Book Antiqua" w:hAnsi="Book Antiqua"/>
          <w:lang w:val="en-US"/>
        </w:rPr>
        <w:t>Mirjam</w:t>
      </w:r>
      <w:proofErr w:type="spellEnd"/>
      <w:r w:rsidRPr="00843CFD">
        <w:rPr>
          <w:rFonts w:ascii="Book Antiqua" w:hAnsi="Book Antiqua"/>
          <w:lang w:val="en-US"/>
        </w:rPr>
        <w:t xml:space="preserve"> </w:t>
      </w:r>
      <w:proofErr w:type="spellStart"/>
      <w:r w:rsidRPr="00843CFD">
        <w:rPr>
          <w:rFonts w:ascii="Book Antiqua" w:hAnsi="Book Antiqua"/>
          <w:lang w:val="en-US"/>
        </w:rPr>
        <w:t>Blattmann</w:t>
      </w:r>
      <w:proofErr w:type="spellEnd"/>
      <w:r w:rsidRPr="00843CFD">
        <w:rPr>
          <w:rFonts w:ascii="Book Antiqua" w:hAnsi="Book Antiqua"/>
          <w:lang w:val="en-US"/>
        </w:rPr>
        <w:t xml:space="preserve">; Stephan Boehm; Jan </w:t>
      </w:r>
      <w:proofErr w:type="spellStart"/>
      <w:r w:rsidRPr="00843CFD">
        <w:rPr>
          <w:rFonts w:ascii="Book Antiqua" w:hAnsi="Book Antiqua"/>
          <w:lang w:val="en-US"/>
        </w:rPr>
        <w:t>Borovicka</w:t>
      </w:r>
      <w:proofErr w:type="spellEnd"/>
      <w:r w:rsidRPr="00843CFD">
        <w:rPr>
          <w:rFonts w:ascii="Book Antiqua" w:hAnsi="Book Antiqua"/>
          <w:lang w:val="en-US"/>
        </w:rPr>
        <w:t xml:space="preserve">; Christian P. </w:t>
      </w:r>
      <w:proofErr w:type="spellStart"/>
      <w:r w:rsidRPr="00843CFD">
        <w:rPr>
          <w:rFonts w:ascii="Book Antiqua" w:hAnsi="Book Antiqua"/>
          <w:lang w:val="en-US"/>
        </w:rPr>
        <w:t>Braegger</w:t>
      </w:r>
      <w:proofErr w:type="spellEnd"/>
      <w:r w:rsidRPr="00843CFD">
        <w:rPr>
          <w:rFonts w:ascii="Book Antiqua" w:hAnsi="Book Antiqua"/>
          <w:lang w:val="en-US"/>
        </w:rPr>
        <w:t xml:space="preserve">; Nora Brunner; Patrick </w:t>
      </w:r>
      <w:proofErr w:type="spellStart"/>
      <w:r w:rsidRPr="00843CFD">
        <w:rPr>
          <w:rFonts w:ascii="Book Antiqua" w:hAnsi="Book Antiqua"/>
          <w:lang w:val="en-US"/>
        </w:rPr>
        <w:t>Bühr</w:t>
      </w:r>
      <w:proofErr w:type="spellEnd"/>
      <w:r w:rsidRPr="00843CFD">
        <w:rPr>
          <w:rFonts w:ascii="Book Antiqua" w:hAnsi="Book Antiqua"/>
          <w:lang w:val="en-US"/>
        </w:rPr>
        <w:t xml:space="preserve">; Bernard </w:t>
      </w:r>
      <w:proofErr w:type="spellStart"/>
      <w:r w:rsidRPr="00843CFD">
        <w:rPr>
          <w:rFonts w:ascii="Book Antiqua" w:hAnsi="Book Antiqua"/>
          <w:lang w:val="en-US"/>
        </w:rPr>
        <w:t>Burnand</w:t>
      </w:r>
      <w:proofErr w:type="spellEnd"/>
      <w:r w:rsidRPr="00843CFD">
        <w:rPr>
          <w:rFonts w:ascii="Book Antiqua" w:hAnsi="Book Antiqua"/>
          <w:lang w:val="en-US"/>
        </w:rPr>
        <w:t xml:space="preserve">; Emanuel </w:t>
      </w:r>
      <w:proofErr w:type="spellStart"/>
      <w:r w:rsidRPr="00843CFD">
        <w:rPr>
          <w:rFonts w:ascii="Book Antiqua" w:hAnsi="Book Antiqua"/>
          <w:lang w:val="en-US"/>
        </w:rPr>
        <w:t>Burri</w:t>
      </w:r>
      <w:proofErr w:type="spellEnd"/>
      <w:r w:rsidRPr="00843CFD">
        <w:rPr>
          <w:rFonts w:ascii="Book Antiqua" w:hAnsi="Book Antiqua"/>
          <w:lang w:val="en-US"/>
        </w:rPr>
        <w:t xml:space="preserve">; Sophie </w:t>
      </w:r>
      <w:proofErr w:type="spellStart"/>
      <w:r w:rsidRPr="00843CFD">
        <w:rPr>
          <w:rFonts w:ascii="Book Antiqua" w:hAnsi="Book Antiqua"/>
          <w:lang w:val="en-US"/>
        </w:rPr>
        <w:t>Buyse</w:t>
      </w:r>
      <w:proofErr w:type="spellEnd"/>
      <w:r w:rsidRPr="00843CFD">
        <w:rPr>
          <w:rFonts w:ascii="Book Antiqua" w:hAnsi="Book Antiqua"/>
          <w:lang w:val="en-US"/>
        </w:rPr>
        <w:t xml:space="preserve">; Matthias Cremer; Dominique H. </w:t>
      </w:r>
      <w:proofErr w:type="spellStart"/>
      <w:r w:rsidRPr="00843CFD">
        <w:rPr>
          <w:rFonts w:ascii="Book Antiqua" w:hAnsi="Book Antiqua"/>
          <w:lang w:val="en-US"/>
        </w:rPr>
        <w:t>Criblez</w:t>
      </w:r>
      <w:proofErr w:type="spellEnd"/>
      <w:r w:rsidRPr="00843CFD">
        <w:rPr>
          <w:rFonts w:ascii="Book Antiqua" w:hAnsi="Book Antiqua"/>
          <w:lang w:val="en-US"/>
        </w:rPr>
        <w:t xml:space="preserve">; Philippe de Saussure; Lukas </w:t>
      </w:r>
      <w:proofErr w:type="spellStart"/>
      <w:r w:rsidRPr="00843CFD">
        <w:rPr>
          <w:rFonts w:ascii="Book Antiqua" w:hAnsi="Book Antiqua"/>
          <w:lang w:val="en-US"/>
        </w:rPr>
        <w:t>Degen</w:t>
      </w:r>
      <w:proofErr w:type="spellEnd"/>
      <w:r w:rsidRPr="00843CFD">
        <w:rPr>
          <w:rFonts w:ascii="Book Antiqua" w:hAnsi="Book Antiqua"/>
          <w:lang w:val="en-US"/>
        </w:rPr>
        <w:t xml:space="preserve">; </w:t>
      </w:r>
      <w:proofErr w:type="spellStart"/>
      <w:r w:rsidRPr="00843CFD">
        <w:rPr>
          <w:rFonts w:ascii="Book Antiqua" w:hAnsi="Book Antiqua"/>
          <w:lang w:val="en-US"/>
        </w:rPr>
        <w:t>Joakim</w:t>
      </w:r>
      <w:proofErr w:type="spellEnd"/>
      <w:r w:rsidRPr="00843CFD">
        <w:rPr>
          <w:rFonts w:ascii="Book Antiqua" w:hAnsi="Book Antiqua"/>
          <w:lang w:val="en-US"/>
        </w:rPr>
        <w:t xml:space="preserve"> </w:t>
      </w:r>
      <w:proofErr w:type="spellStart"/>
      <w:r w:rsidRPr="00843CFD">
        <w:rPr>
          <w:rFonts w:ascii="Book Antiqua" w:hAnsi="Book Antiqua"/>
          <w:lang w:val="en-US"/>
        </w:rPr>
        <w:t>Delarive</w:t>
      </w:r>
      <w:proofErr w:type="spellEnd"/>
      <w:r w:rsidRPr="00843CFD">
        <w:rPr>
          <w:rFonts w:ascii="Book Antiqua" w:hAnsi="Book Antiqua"/>
          <w:lang w:val="en-US"/>
        </w:rPr>
        <w:t xml:space="preserve">; Christopher </w:t>
      </w:r>
      <w:proofErr w:type="spellStart"/>
      <w:r w:rsidRPr="00843CFD">
        <w:rPr>
          <w:rFonts w:ascii="Book Antiqua" w:hAnsi="Book Antiqua"/>
          <w:lang w:val="en-US"/>
        </w:rPr>
        <w:t>Doerig</w:t>
      </w:r>
      <w:proofErr w:type="spellEnd"/>
      <w:r w:rsidRPr="00843CFD">
        <w:rPr>
          <w:rFonts w:ascii="Book Antiqua" w:hAnsi="Book Antiqua"/>
          <w:lang w:val="en-US"/>
        </w:rPr>
        <w:t xml:space="preserve">; Barbara Dora; </w:t>
      </w:r>
      <w:proofErr w:type="spellStart"/>
      <w:r w:rsidRPr="00843CFD">
        <w:rPr>
          <w:rFonts w:ascii="Book Antiqua" w:hAnsi="Book Antiqua"/>
          <w:lang w:val="en-US"/>
        </w:rPr>
        <w:t>Gian</w:t>
      </w:r>
      <w:proofErr w:type="spellEnd"/>
      <w:r w:rsidRPr="00843CFD">
        <w:rPr>
          <w:rFonts w:ascii="Book Antiqua" w:hAnsi="Book Antiqua"/>
          <w:lang w:val="en-US"/>
        </w:rPr>
        <w:t xml:space="preserve"> </w:t>
      </w:r>
      <w:proofErr w:type="spellStart"/>
      <w:r w:rsidRPr="00843CFD">
        <w:rPr>
          <w:rFonts w:ascii="Book Antiqua" w:hAnsi="Book Antiqua"/>
          <w:lang w:val="en-US"/>
        </w:rPr>
        <w:t>Dorta</w:t>
      </w:r>
      <w:proofErr w:type="spellEnd"/>
      <w:r w:rsidRPr="00843CFD">
        <w:rPr>
          <w:rFonts w:ascii="Book Antiqua" w:hAnsi="Book Antiqua"/>
          <w:lang w:val="en-US"/>
        </w:rPr>
        <w:t>; Mara</w:t>
      </w:r>
      <w:r w:rsidR="00866F9B" w:rsidRPr="00843CFD">
        <w:rPr>
          <w:rFonts w:ascii="Book Antiqua" w:hAnsi="Book Antiqua"/>
          <w:lang w:val="en-US"/>
        </w:rPr>
        <w:t xml:space="preserve"> </w:t>
      </w:r>
      <w:r w:rsidRPr="00843CFD">
        <w:rPr>
          <w:rFonts w:ascii="Book Antiqua" w:hAnsi="Book Antiqua"/>
          <w:lang w:val="en-US"/>
        </w:rPr>
        <w:t>Egger; Tobias Ehmann; Ali El-</w:t>
      </w:r>
      <w:proofErr w:type="spellStart"/>
      <w:r w:rsidRPr="00843CFD">
        <w:rPr>
          <w:rFonts w:ascii="Book Antiqua" w:hAnsi="Book Antiqua"/>
          <w:lang w:val="en-US"/>
        </w:rPr>
        <w:t>Wafa</w:t>
      </w:r>
      <w:proofErr w:type="spellEnd"/>
      <w:r w:rsidRPr="00843CFD">
        <w:rPr>
          <w:rFonts w:ascii="Book Antiqua" w:hAnsi="Book Antiqua"/>
          <w:lang w:val="en-US"/>
        </w:rPr>
        <w:t>; Matthias Engelmann; Jessica</w:t>
      </w:r>
      <w:r w:rsidR="00866F9B" w:rsidRPr="00843CFD">
        <w:rPr>
          <w:rFonts w:ascii="Book Antiqua" w:hAnsi="Book Antiqua"/>
          <w:lang w:val="en-US"/>
        </w:rPr>
        <w:t xml:space="preserve"> </w:t>
      </w:r>
      <w:proofErr w:type="spellStart"/>
      <w:r w:rsidRPr="00843CFD">
        <w:rPr>
          <w:rFonts w:ascii="Book Antiqua" w:hAnsi="Book Antiqua"/>
          <w:lang w:val="en-US"/>
        </w:rPr>
        <w:t>Ezri</w:t>
      </w:r>
      <w:proofErr w:type="spellEnd"/>
      <w:r w:rsidRPr="00843CFD">
        <w:rPr>
          <w:rFonts w:ascii="Book Antiqua" w:hAnsi="Book Antiqua"/>
          <w:lang w:val="en-US"/>
        </w:rPr>
        <w:t xml:space="preserve">; Christian </w:t>
      </w:r>
      <w:proofErr w:type="spellStart"/>
      <w:r w:rsidRPr="00843CFD">
        <w:rPr>
          <w:rFonts w:ascii="Book Antiqua" w:hAnsi="Book Antiqua"/>
          <w:lang w:val="en-US"/>
        </w:rPr>
        <w:t>Felley</w:t>
      </w:r>
      <w:proofErr w:type="spellEnd"/>
      <w:r w:rsidRPr="00843CFD">
        <w:rPr>
          <w:rFonts w:ascii="Book Antiqua" w:hAnsi="Book Antiqua"/>
          <w:lang w:val="en-US"/>
        </w:rPr>
        <w:t xml:space="preserve">; Markus </w:t>
      </w:r>
      <w:proofErr w:type="spellStart"/>
      <w:r w:rsidRPr="00843CFD">
        <w:rPr>
          <w:rFonts w:ascii="Book Antiqua" w:hAnsi="Book Antiqua"/>
          <w:lang w:val="en-US"/>
        </w:rPr>
        <w:t>Fliegner</w:t>
      </w:r>
      <w:proofErr w:type="spellEnd"/>
      <w:r w:rsidRPr="00843CFD">
        <w:rPr>
          <w:rFonts w:ascii="Book Antiqua" w:hAnsi="Book Antiqua"/>
          <w:lang w:val="en-US"/>
        </w:rPr>
        <w:t>; Nicolas Fournier; Montserrat</w:t>
      </w:r>
      <w:r w:rsidR="00866F9B" w:rsidRPr="00843CFD">
        <w:rPr>
          <w:rFonts w:ascii="Book Antiqua" w:hAnsi="Book Antiqua"/>
          <w:lang w:val="en-US"/>
        </w:rPr>
        <w:t xml:space="preserve"> </w:t>
      </w:r>
      <w:proofErr w:type="spellStart"/>
      <w:r w:rsidRPr="00843CFD">
        <w:rPr>
          <w:rFonts w:ascii="Book Antiqua" w:hAnsi="Book Antiqua"/>
          <w:lang w:val="en-US"/>
        </w:rPr>
        <w:t>Fraga</w:t>
      </w:r>
      <w:proofErr w:type="spellEnd"/>
      <w:r w:rsidRPr="00843CFD">
        <w:rPr>
          <w:rFonts w:ascii="Book Antiqua" w:hAnsi="Book Antiqua"/>
          <w:lang w:val="en-US"/>
        </w:rPr>
        <w:t xml:space="preserve"> ; Pascal Frei; Remus Frei; Michael Fried; Florian Froehlich; Christian Funk; Raoul </w:t>
      </w:r>
      <w:proofErr w:type="spellStart"/>
      <w:r w:rsidRPr="00843CFD">
        <w:rPr>
          <w:rFonts w:ascii="Book Antiqua" w:hAnsi="Book Antiqua"/>
          <w:lang w:val="en-US"/>
        </w:rPr>
        <w:t>Ivano</w:t>
      </w:r>
      <w:proofErr w:type="spellEnd"/>
      <w:r w:rsidRPr="00843CFD">
        <w:rPr>
          <w:rFonts w:ascii="Book Antiqua" w:hAnsi="Book Antiqua"/>
          <w:lang w:val="en-US"/>
        </w:rPr>
        <w:t xml:space="preserve"> </w:t>
      </w:r>
      <w:proofErr w:type="spellStart"/>
      <w:r w:rsidRPr="00843CFD">
        <w:rPr>
          <w:rFonts w:ascii="Book Antiqua" w:hAnsi="Book Antiqua"/>
          <w:lang w:val="en-US"/>
        </w:rPr>
        <w:t>Furlano</w:t>
      </w:r>
      <w:proofErr w:type="spellEnd"/>
      <w:r w:rsidRPr="00843CFD">
        <w:rPr>
          <w:rFonts w:ascii="Book Antiqua" w:hAnsi="Book Antiqua"/>
          <w:lang w:val="en-US"/>
        </w:rPr>
        <w:t xml:space="preserve">; Suzanne </w:t>
      </w:r>
      <w:proofErr w:type="spellStart"/>
      <w:r w:rsidRPr="00843CFD">
        <w:rPr>
          <w:rFonts w:ascii="Book Antiqua" w:hAnsi="Book Antiqua"/>
          <w:lang w:val="en-US"/>
        </w:rPr>
        <w:t>Gallot-Lavallée</w:t>
      </w:r>
      <w:proofErr w:type="spellEnd"/>
      <w:r w:rsidRPr="00843CFD">
        <w:rPr>
          <w:rFonts w:ascii="Book Antiqua" w:hAnsi="Book Antiqua"/>
          <w:lang w:val="en-US"/>
        </w:rPr>
        <w:t xml:space="preserve">; Martin Geyer; Marc </w:t>
      </w:r>
      <w:proofErr w:type="spellStart"/>
      <w:r w:rsidRPr="00843CFD">
        <w:rPr>
          <w:rFonts w:ascii="Book Antiqua" w:hAnsi="Book Antiqua"/>
          <w:lang w:val="en-US"/>
        </w:rPr>
        <w:t>Girardin</w:t>
      </w:r>
      <w:proofErr w:type="spellEnd"/>
      <w:r w:rsidRPr="00843CFD">
        <w:rPr>
          <w:rFonts w:ascii="Book Antiqua" w:hAnsi="Book Antiqua"/>
          <w:lang w:val="en-US"/>
        </w:rPr>
        <w:t xml:space="preserve">; Delphine </w:t>
      </w:r>
      <w:proofErr w:type="spellStart"/>
      <w:r w:rsidRPr="00843CFD">
        <w:rPr>
          <w:rFonts w:ascii="Book Antiqua" w:hAnsi="Book Antiqua"/>
          <w:lang w:val="en-US"/>
        </w:rPr>
        <w:t>Golay</w:t>
      </w:r>
      <w:proofErr w:type="spellEnd"/>
      <w:r w:rsidRPr="00843CFD">
        <w:rPr>
          <w:rFonts w:ascii="Book Antiqua" w:hAnsi="Book Antiqua"/>
          <w:lang w:val="en-US"/>
        </w:rPr>
        <w:t xml:space="preserve">; Tanja </w:t>
      </w:r>
      <w:proofErr w:type="spellStart"/>
      <w:r w:rsidRPr="00843CFD">
        <w:rPr>
          <w:rFonts w:ascii="Book Antiqua" w:hAnsi="Book Antiqua"/>
          <w:lang w:val="en-US"/>
        </w:rPr>
        <w:t>Grandinetti</w:t>
      </w:r>
      <w:proofErr w:type="spellEnd"/>
      <w:r w:rsidRPr="00843CFD">
        <w:rPr>
          <w:rFonts w:ascii="Book Antiqua" w:hAnsi="Book Antiqua"/>
          <w:lang w:val="en-US"/>
        </w:rPr>
        <w:t>; Beat</w:t>
      </w:r>
      <w:r w:rsidR="00866F9B" w:rsidRPr="00843CFD">
        <w:rPr>
          <w:rFonts w:ascii="Book Antiqua" w:hAnsi="Book Antiqua"/>
          <w:lang w:val="en-US"/>
        </w:rPr>
        <w:t xml:space="preserve"> </w:t>
      </w:r>
      <w:proofErr w:type="spellStart"/>
      <w:r w:rsidRPr="00843CFD">
        <w:rPr>
          <w:rFonts w:ascii="Book Antiqua" w:hAnsi="Book Antiqua"/>
          <w:lang w:val="en-US"/>
        </w:rPr>
        <w:t>Gysi</w:t>
      </w:r>
      <w:proofErr w:type="spellEnd"/>
      <w:r w:rsidRPr="00843CFD">
        <w:rPr>
          <w:rFonts w:ascii="Book Antiqua" w:hAnsi="Book Antiqua"/>
          <w:lang w:val="en-US"/>
        </w:rPr>
        <w:t xml:space="preserve">; Horst Haack; Johannes </w:t>
      </w:r>
      <w:proofErr w:type="spellStart"/>
      <w:r w:rsidRPr="00843CFD">
        <w:rPr>
          <w:rFonts w:ascii="Book Antiqua" w:hAnsi="Book Antiqua"/>
          <w:lang w:val="en-US"/>
        </w:rPr>
        <w:t>Haarer</w:t>
      </w:r>
      <w:proofErr w:type="spellEnd"/>
      <w:r w:rsidRPr="00843CFD">
        <w:rPr>
          <w:rFonts w:ascii="Book Antiqua" w:hAnsi="Book Antiqua"/>
          <w:lang w:val="en-US"/>
        </w:rPr>
        <w:t xml:space="preserve">; Beat </w:t>
      </w:r>
      <w:proofErr w:type="spellStart"/>
      <w:r w:rsidRPr="00843CFD">
        <w:rPr>
          <w:rFonts w:ascii="Book Antiqua" w:hAnsi="Book Antiqua"/>
          <w:lang w:val="en-US"/>
        </w:rPr>
        <w:t>Helbling</w:t>
      </w:r>
      <w:proofErr w:type="spellEnd"/>
      <w:r w:rsidRPr="00843CFD">
        <w:rPr>
          <w:rFonts w:ascii="Book Antiqua" w:hAnsi="Book Antiqua"/>
          <w:lang w:val="en-US"/>
        </w:rPr>
        <w:t xml:space="preserve">; Peter </w:t>
      </w:r>
      <w:proofErr w:type="spellStart"/>
      <w:r w:rsidRPr="00843CFD">
        <w:rPr>
          <w:rFonts w:ascii="Book Antiqua" w:hAnsi="Book Antiqua"/>
          <w:lang w:val="en-US"/>
        </w:rPr>
        <w:t>Hengstler</w:t>
      </w:r>
      <w:proofErr w:type="spellEnd"/>
      <w:r w:rsidRPr="00843CFD">
        <w:rPr>
          <w:rFonts w:ascii="Book Antiqua" w:hAnsi="Book Antiqua"/>
          <w:lang w:val="en-US"/>
        </w:rPr>
        <w:t xml:space="preserve">; Denise Herzog; </w:t>
      </w:r>
      <w:proofErr w:type="spellStart"/>
      <w:r w:rsidRPr="00843CFD">
        <w:rPr>
          <w:rFonts w:ascii="Book Antiqua" w:hAnsi="Book Antiqua"/>
          <w:lang w:val="en-US"/>
        </w:rPr>
        <w:t>Cyrill</w:t>
      </w:r>
      <w:proofErr w:type="spellEnd"/>
      <w:r w:rsidRPr="00843CFD">
        <w:rPr>
          <w:rFonts w:ascii="Book Antiqua" w:hAnsi="Book Antiqua"/>
          <w:lang w:val="en-US"/>
        </w:rPr>
        <w:t xml:space="preserve"> Hess; </w:t>
      </w:r>
      <w:proofErr w:type="spellStart"/>
      <w:r w:rsidRPr="00843CFD">
        <w:rPr>
          <w:rFonts w:ascii="Book Antiqua" w:hAnsi="Book Antiqua"/>
          <w:lang w:val="en-US"/>
        </w:rPr>
        <w:t>Klaas</w:t>
      </w:r>
      <w:proofErr w:type="spellEnd"/>
      <w:r w:rsidRPr="00843CFD">
        <w:rPr>
          <w:rFonts w:ascii="Book Antiqua" w:hAnsi="Book Antiqua"/>
          <w:lang w:val="en-US"/>
        </w:rPr>
        <w:t xml:space="preserve"> </w:t>
      </w:r>
      <w:proofErr w:type="spellStart"/>
      <w:r w:rsidRPr="00843CFD">
        <w:rPr>
          <w:rFonts w:ascii="Book Antiqua" w:hAnsi="Book Antiqua"/>
          <w:lang w:val="en-US"/>
        </w:rPr>
        <w:t>Heyland</w:t>
      </w:r>
      <w:proofErr w:type="spellEnd"/>
      <w:r w:rsidRPr="00843CFD">
        <w:rPr>
          <w:rFonts w:ascii="Book Antiqua" w:hAnsi="Book Antiqua"/>
          <w:lang w:val="en-US"/>
        </w:rPr>
        <w:t xml:space="preserve">; Thomas </w:t>
      </w:r>
      <w:proofErr w:type="spellStart"/>
      <w:r w:rsidRPr="00843CFD">
        <w:rPr>
          <w:rFonts w:ascii="Book Antiqua" w:hAnsi="Book Antiqua"/>
          <w:lang w:val="en-US"/>
        </w:rPr>
        <w:t>Hinterleitner</w:t>
      </w:r>
      <w:proofErr w:type="spellEnd"/>
      <w:r w:rsidRPr="00843CFD">
        <w:rPr>
          <w:rFonts w:ascii="Book Antiqua" w:hAnsi="Book Antiqua"/>
          <w:lang w:val="en-US"/>
        </w:rPr>
        <w:t xml:space="preserve">; Philippe </w:t>
      </w:r>
      <w:proofErr w:type="spellStart"/>
      <w:r w:rsidRPr="00843CFD">
        <w:rPr>
          <w:rFonts w:ascii="Book Antiqua" w:hAnsi="Book Antiqua"/>
          <w:lang w:val="en-US"/>
        </w:rPr>
        <w:t>Hiroz</w:t>
      </w:r>
      <w:proofErr w:type="spellEnd"/>
      <w:r w:rsidRPr="00843CFD">
        <w:rPr>
          <w:rFonts w:ascii="Book Antiqua" w:hAnsi="Book Antiqua"/>
          <w:lang w:val="en-US"/>
        </w:rPr>
        <w:t xml:space="preserve">; Claudia </w:t>
      </w:r>
      <w:proofErr w:type="spellStart"/>
      <w:r w:rsidRPr="00843CFD">
        <w:rPr>
          <w:rFonts w:ascii="Book Antiqua" w:hAnsi="Book Antiqua"/>
          <w:lang w:val="en-US"/>
        </w:rPr>
        <w:t>Hirschi</w:t>
      </w:r>
      <w:proofErr w:type="spellEnd"/>
      <w:r w:rsidRPr="00843CFD">
        <w:rPr>
          <w:rFonts w:ascii="Book Antiqua" w:hAnsi="Book Antiqua"/>
          <w:lang w:val="en-US"/>
        </w:rPr>
        <w:t xml:space="preserve">; Petr </w:t>
      </w:r>
      <w:proofErr w:type="spellStart"/>
      <w:r w:rsidRPr="00843CFD">
        <w:rPr>
          <w:rFonts w:ascii="Book Antiqua" w:hAnsi="Book Antiqua"/>
          <w:lang w:val="en-US"/>
        </w:rPr>
        <w:t>Hruz</w:t>
      </w:r>
      <w:proofErr w:type="spellEnd"/>
      <w:r w:rsidRPr="00843CFD">
        <w:rPr>
          <w:rFonts w:ascii="Book Antiqua" w:hAnsi="Book Antiqua"/>
          <w:lang w:val="en-US"/>
        </w:rPr>
        <w:t xml:space="preserve">; Rika Iwata; Res </w:t>
      </w:r>
      <w:proofErr w:type="spellStart"/>
      <w:r w:rsidRPr="00843CFD">
        <w:rPr>
          <w:rFonts w:ascii="Book Antiqua" w:hAnsi="Book Antiqua"/>
          <w:lang w:val="en-US"/>
        </w:rPr>
        <w:t>Jost</w:t>
      </w:r>
      <w:proofErr w:type="spellEnd"/>
      <w:r w:rsidRPr="00843CFD">
        <w:rPr>
          <w:rFonts w:ascii="Book Antiqua" w:hAnsi="Book Antiqua"/>
          <w:lang w:val="en-US"/>
        </w:rPr>
        <w:t xml:space="preserve">; Pascal </w:t>
      </w:r>
      <w:proofErr w:type="spellStart"/>
      <w:r w:rsidRPr="00843CFD">
        <w:rPr>
          <w:rFonts w:ascii="Book Antiqua" w:hAnsi="Book Antiqua"/>
          <w:lang w:val="en-US"/>
        </w:rPr>
        <w:t>Juillerat</w:t>
      </w:r>
      <w:proofErr w:type="spellEnd"/>
      <w:r w:rsidRPr="00843CFD">
        <w:rPr>
          <w:rFonts w:ascii="Book Antiqua" w:hAnsi="Book Antiqua"/>
          <w:lang w:val="en-US"/>
        </w:rPr>
        <w:t xml:space="preserve">; Vera Kessler </w:t>
      </w:r>
      <w:proofErr w:type="spellStart"/>
      <w:r w:rsidRPr="00843CFD">
        <w:rPr>
          <w:rFonts w:ascii="Book Antiqua" w:hAnsi="Book Antiqua"/>
          <w:lang w:val="en-US"/>
        </w:rPr>
        <w:t>Brondolo</w:t>
      </w:r>
      <w:proofErr w:type="spellEnd"/>
      <w:r w:rsidRPr="00843CFD">
        <w:rPr>
          <w:rFonts w:ascii="Book Antiqua" w:hAnsi="Book Antiqua"/>
          <w:lang w:val="en-US"/>
        </w:rPr>
        <w:t xml:space="preserve">; Christina </w:t>
      </w:r>
      <w:proofErr w:type="spellStart"/>
      <w:r w:rsidRPr="00843CFD">
        <w:rPr>
          <w:rFonts w:ascii="Book Antiqua" w:hAnsi="Book Antiqua"/>
          <w:lang w:val="en-US"/>
        </w:rPr>
        <w:t>Knellwolf</w:t>
      </w:r>
      <w:proofErr w:type="spellEnd"/>
      <w:r w:rsidRPr="00843CFD">
        <w:rPr>
          <w:rFonts w:ascii="Book Antiqua" w:hAnsi="Book Antiqua"/>
          <w:lang w:val="en-US"/>
        </w:rPr>
        <w:t>; Christoph Knoblauch; Henrik</w:t>
      </w:r>
      <w:r w:rsidR="00866F9B" w:rsidRPr="00843CFD">
        <w:rPr>
          <w:rFonts w:ascii="Book Antiqua" w:hAnsi="Book Antiqua"/>
          <w:lang w:val="en-US"/>
        </w:rPr>
        <w:t xml:space="preserve"> </w:t>
      </w:r>
      <w:proofErr w:type="spellStart"/>
      <w:r w:rsidRPr="00843CFD">
        <w:rPr>
          <w:rFonts w:ascii="Book Antiqua" w:hAnsi="Book Antiqua"/>
          <w:lang w:val="en-US"/>
        </w:rPr>
        <w:t>Köhler</w:t>
      </w:r>
      <w:proofErr w:type="spellEnd"/>
      <w:r w:rsidRPr="00843CFD">
        <w:rPr>
          <w:rFonts w:ascii="Book Antiqua" w:hAnsi="Book Antiqua"/>
          <w:lang w:val="en-US"/>
        </w:rPr>
        <w:t xml:space="preserve">; </w:t>
      </w:r>
      <w:proofErr w:type="spellStart"/>
      <w:r w:rsidRPr="00843CFD">
        <w:rPr>
          <w:rFonts w:ascii="Book Antiqua" w:hAnsi="Book Antiqua"/>
          <w:lang w:val="en-US"/>
        </w:rPr>
        <w:t>Rebekka</w:t>
      </w:r>
      <w:proofErr w:type="spellEnd"/>
      <w:r w:rsidRPr="00843CFD">
        <w:rPr>
          <w:rFonts w:ascii="Book Antiqua" w:hAnsi="Book Antiqua"/>
          <w:lang w:val="en-US"/>
        </w:rPr>
        <w:t xml:space="preserve"> </w:t>
      </w:r>
      <w:proofErr w:type="spellStart"/>
      <w:r w:rsidRPr="00843CFD">
        <w:rPr>
          <w:rFonts w:ascii="Book Antiqua" w:hAnsi="Book Antiqua"/>
          <w:lang w:val="en-US"/>
        </w:rPr>
        <w:t>Koller</w:t>
      </w:r>
      <w:proofErr w:type="spellEnd"/>
      <w:r w:rsidRPr="00843CFD">
        <w:rPr>
          <w:rFonts w:ascii="Book Antiqua" w:hAnsi="Book Antiqua"/>
          <w:lang w:val="en-US"/>
        </w:rPr>
        <w:t>; Claudia</w:t>
      </w:r>
      <w:r w:rsidR="00866F9B" w:rsidRPr="00843CFD">
        <w:rPr>
          <w:rFonts w:ascii="Book Antiqua" w:hAnsi="Book Antiqua"/>
          <w:lang w:val="en-US"/>
        </w:rPr>
        <w:t xml:space="preserve"> </w:t>
      </w:r>
      <w:r w:rsidRPr="00843CFD">
        <w:rPr>
          <w:rFonts w:ascii="Book Antiqua" w:hAnsi="Book Antiqua"/>
          <w:lang w:val="en-US"/>
        </w:rPr>
        <w:t>Krieger-</w:t>
      </w:r>
      <w:proofErr w:type="spellStart"/>
      <w:r w:rsidRPr="00843CFD">
        <w:rPr>
          <w:rFonts w:ascii="Book Antiqua" w:hAnsi="Book Antiqua"/>
          <w:lang w:val="en-US"/>
        </w:rPr>
        <w:t>Grübel</w:t>
      </w:r>
      <w:proofErr w:type="spellEnd"/>
      <w:r w:rsidRPr="00843CFD">
        <w:rPr>
          <w:rFonts w:ascii="Book Antiqua" w:hAnsi="Book Antiqua"/>
          <w:lang w:val="en-US"/>
        </w:rPr>
        <w:t xml:space="preserve">; </w:t>
      </w:r>
      <w:proofErr w:type="spellStart"/>
      <w:r w:rsidRPr="00843CFD">
        <w:rPr>
          <w:rFonts w:ascii="Book Antiqua" w:hAnsi="Book Antiqua"/>
          <w:lang w:val="en-US"/>
        </w:rPr>
        <w:t>Gerd</w:t>
      </w:r>
      <w:proofErr w:type="spellEnd"/>
      <w:r w:rsidRPr="00843CFD">
        <w:rPr>
          <w:rFonts w:ascii="Book Antiqua" w:hAnsi="Book Antiqua"/>
          <w:lang w:val="en-US"/>
        </w:rPr>
        <w:t xml:space="preserve"> </w:t>
      </w:r>
      <w:proofErr w:type="spellStart"/>
      <w:r w:rsidRPr="00843CFD">
        <w:rPr>
          <w:rFonts w:ascii="Book Antiqua" w:hAnsi="Book Antiqua"/>
          <w:lang w:val="en-US"/>
        </w:rPr>
        <w:t>Kullak-Ublick</w:t>
      </w:r>
      <w:proofErr w:type="spellEnd"/>
      <w:r w:rsidRPr="00843CFD">
        <w:rPr>
          <w:rFonts w:ascii="Book Antiqua" w:hAnsi="Book Antiqua"/>
          <w:lang w:val="en-US"/>
        </w:rPr>
        <w:t xml:space="preserve">; </w:t>
      </w:r>
      <w:proofErr w:type="spellStart"/>
      <w:r w:rsidRPr="00843CFD">
        <w:rPr>
          <w:rFonts w:ascii="Book Antiqua" w:hAnsi="Book Antiqua"/>
          <w:lang w:val="en-US"/>
        </w:rPr>
        <w:t>Patrizia</w:t>
      </w:r>
      <w:proofErr w:type="spellEnd"/>
      <w:r w:rsidRPr="00843CFD">
        <w:rPr>
          <w:rFonts w:ascii="Book Antiqua" w:hAnsi="Book Antiqua"/>
          <w:lang w:val="en-US"/>
        </w:rPr>
        <w:t xml:space="preserve"> </w:t>
      </w:r>
      <w:proofErr w:type="spellStart"/>
      <w:r w:rsidRPr="00843CFD">
        <w:rPr>
          <w:rFonts w:ascii="Book Antiqua" w:hAnsi="Book Antiqua"/>
          <w:lang w:val="en-US"/>
        </w:rPr>
        <w:t>Künzler</w:t>
      </w:r>
      <w:proofErr w:type="spellEnd"/>
      <w:r w:rsidRPr="00843CFD">
        <w:rPr>
          <w:rFonts w:ascii="Book Antiqua" w:hAnsi="Book Antiqua"/>
          <w:lang w:val="en-US"/>
        </w:rPr>
        <w:t>; Markus</w:t>
      </w:r>
      <w:r w:rsidR="00866F9B" w:rsidRPr="00843CFD">
        <w:rPr>
          <w:rFonts w:ascii="Book Antiqua" w:hAnsi="Book Antiqua"/>
          <w:lang w:val="en-US"/>
        </w:rPr>
        <w:t xml:space="preserve"> </w:t>
      </w:r>
      <w:proofErr w:type="spellStart"/>
      <w:r w:rsidRPr="00843CFD">
        <w:rPr>
          <w:rFonts w:ascii="Book Antiqua" w:hAnsi="Book Antiqua"/>
          <w:lang w:val="en-US"/>
        </w:rPr>
        <w:t>Landolt</w:t>
      </w:r>
      <w:proofErr w:type="spellEnd"/>
      <w:r w:rsidRPr="00843CFD">
        <w:rPr>
          <w:rFonts w:ascii="Book Antiqua" w:hAnsi="Book Antiqua"/>
          <w:lang w:val="en-US"/>
        </w:rPr>
        <w:t xml:space="preserve">; </w:t>
      </w:r>
      <w:proofErr w:type="spellStart"/>
      <w:r w:rsidRPr="00843CFD">
        <w:rPr>
          <w:rFonts w:ascii="Book Antiqua" w:hAnsi="Book Antiqua"/>
          <w:lang w:val="en-US"/>
        </w:rPr>
        <w:t>Rupprecht</w:t>
      </w:r>
      <w:proofErr w:type="spellEnd"/>
      <w:r w:rsidRPr="00843CFD">
        <w:rPr>
          <w:rFonts w:ascii="Book Antiqua" w:hAnsi="Book Antiqua"/>
          <w:lang w:val="en-US"/>
        </w:rPr>
        <w:t xml:space="preserve"> Lange; Frank Serge Lehmann; Andrew Macpherson; Philippe </w:t>
      </w:r>
      <w:proofErr w:type="spellStart"/>
      <w:r w:rsidRPr="00843CFD">
        <w:rPr>
          <w:rFonts w:ascii="Book Antiqua" w:hAnsi="Book Antiqua"/>
          <w:lang w:val="en-US"/>
        </w:rPr>
        <w:t>Maerten</w:t>
      </w:r>
      <w:proofErr w:type="spellEnd"/>
      <w:r w:rsidRPr="00843CFD">
        <w:rPr>
          <w:rFonts w:ascii="Book Antiqua" w:hAnsi="Book Antiqua"/>
          <w:lang w:val="en-US"/>
        </w:rPr>
        <w:t xml:space="preserve">; Michel H. </w:t>
      </w:r>
      <w:proofErr w:type="spellStart"/>
      <w:r w:rsidRPr="00843CFD">
        <w:rPr>
          <w:rFonts w:ascii="Book Antiqua" w:hAnsi="Book Antiqua"/>
          <w:lang w:val="en-US"/>
        </w:rPr>
        <w:t>Maillard</w:t>
      </w:r>
      <w:proofErr w:type="spellEnd"/>
      <w:r w:rsidRPr="00843CFD">
        <w:rPr>
          <w:rFonts w:ascii="Book Antiqua" w:hAnsi="Book Antiqua"/>
          <w:lang w:val="en-US"/>
        </w:rPr>
        <w:t>; Christine</w:t>
      </w:r>
      <w:r w:rsidR="00866F9B" w:rsidRPr="00843CFD">
        <w:rPr>
          <w:rFonts w:ascii="Book Antiqua" w:hAnsi="Book Antiqua"/>
          <w:lang w:val="en-US"/>
        </w:rPr>
        <w:t xml:space="preserve"> </w:t>
      </w:r>
      <w:proofErr w:type="spellStart"/>
      <w:r w:rsidRPr="00843CFD">
        <w:rPr>
          <w:rFonts w:ascii="Book Antiqua" w:hAnsi="Book Antiqua"/>
          <w:lang w:val="en-US"/>
        </w:rPr>
        <w:t>Manser</w:t>
      </w:r>
      <w:proofErr w:type="spellEnd"/>
      <w:r w:rsidRPr="00843CFD">
        <w:rPr>
          <w:rFonts w:ascii="Book Antiqua" w:hAnsi="Book Antiqua"/>
          <w:lang w:val="en-US"/>
        </w:rPr>
        <w:t xml:space="preserve">; Michael </w:t>
      </w:r>
      <w:proofErr w:type="spellStart"/>
      <w:r w:rsidRPr="00843CFD">
        <w:rPr>
          <w:rFonts w:ascii="Book Antiqua" w:hAnsi="Book Antiqua"/>
          <w:lang w:val="en-US"/>
        </w:rPr>
        <w:t>Manz</w:t>
      </w:r>
      <w:proofErr w:type="spellEnd"/>
      <w:r w:rsidRPr="00843CFD">
        <w:rPr>
          <w:rFonts w:ascii="Book Antiqua" w:hAnsi="Book Antiqua"/>
          <w:lang w:val="en-US"/>
        </w:rPr>
        <w:t xml:space="preserve">; </w:t>
      </w:r>
      <w:proofErr w:type="spellStart"/>
      <w:r w:rsidRPr="00843CFD">
        <w:rPr>
          <w:rFonts w:ascii="Book Antiqua" w:hAnsi="Book Antiqua"/>
          <w:lang w:val="en-US"/>
        </w:rPr>
        <w:t>Urs</w:t>
      </w:r>
      <w:proofErr w:type="spellEnd"/>
      <w:r w:rsidRPr="00843CFD">
        <w:rPr>
          <w:rFonts w:ascii="Book Antiqua" w:hAnsi="Book Antiqua"/>
          <w:lang w:val="en-US"/>
        </w:rPr>
        <w:t xml:space="preserve"> </w:t>
      </w:r>
      <w:proofErr w:type="spellStart"/>
      <w:r w:rsidRPr="00843CFD">
        <w:rPr>
          <w:rFonts w:ascii="Book Antiqua" w:hAnsi="Book Antiqua"/>
          <w:lang w:val="en-US"/>
        </w:rPr>
        <w:t>Marbet</w:t>
      </w:r>
      <w:proofErr w:type="spellEnd"/>
      <w:r w:rsidRPr="00843CFD">
        <w:rPr>
          <w:rFonts w:ascii="Book Antiqua" w:hAnsi="Book Antiqua"/>
          <w:lang w:val="en-US"/>
        </w:rPr>
        <w:t xml:space="preserve">; George Marx; Christoph Matter; </w:t>
      </w:r>
      <w:proofErr w:type="spellStart"/>
      <w:r w:rsidRPr="00843CFD">
        <w:rPr>
          <w:rFonts w:ascii="Book Antiqua" w:hAnsi="Book Antiqua"/>
          <w:lang w:val="en-US"/>
        </w:rPr>
        <w:t>Valérie</w:t>
      </w:r>
      <w:proofErr w:type="spellEnd"/>
      <w:r w:rsidRPr="00843CFD">
        <w:rPr>
          <w:rFonts w:ascii="Book Antiqua" w:hAnsi="Book Antiqua"/>
          <w:lang w:val="en-US"/>
        </w:rPr>
        <w:t xml:space="preserve"> </w:t>
      </w:r>
      <w:proofErr w:type="spellStart"/>
      <w:r w:rsidRPr="00843CFD">
        <w:rPr>
          <w:rFonts w:ascii="Book Antiqua" w:hAnsi="Book Antiqua"/>
          <w:lang w:val="en-US"/>
        </w:rPr>
        <w:t>McLin</w:t>
      </w:r>
      <w:proofErr w:type="spellEnd"/>
      <w:r w:rsidRPr="00843CFD">
        <w:rPr>
          <w:rFonts w:ascii="Book Antiqua" w:hAnsi="Book Antiqua"/>
          <w:lang w:val="en-US"/>
        </w:rPr>
        <w:t xml:space="preserve">; </w:t>
      </w:r>
      <w:proofErr w:type="spellStart"/>
      <w:r w:rsidRPr="00843CFD">
        <w:rPr>
          <w:rFonts w:ascii="Book Antiqua" w:hAnsi="Book Antiqua"/>
          <w:lang w:val="en-US"/>
        </w:rPr>
        <w:t>Rémy</w:t>
      </w:r>
      <w:proofErr w:type="spellEnd"/>
      <w:r w:rsidRPr="00843CFD">
        <w:rPr>
          <w:rFonts w:ascii="Book Antiqua" w:hAnsi="Book Antiqua"/>
          <w:lang w:val="en-US"/>
        </w:rPr>
        <w:t xml:space="preserve"> Meier; Martina </w:t>
      </w:r>
      <w:proofErr w:type="spellStart"/>
      <w:r w:rsidRPr="00843CFD">
        <w:rPr>
          <w:rFonts w:ascii="Book Antiqua" w:hAnsi="Book Antiqua"/>
          <w:lang w:val="en-US"/>
        </w:rPr>
        <w:t>Mendanova</w:t>
      </w:r>
      <w:proofErr w:type="spellEnd"/>
      <w:r w:rsidRPr="00843CFD">
        <w:rPr>
          <w:rFonts w:ascii="Book Antiqua" w:hAnsi="Book Antiqua"/>
          <w:lang w:val="en-US"/>
        </w:rPr>
        <w:t xml:space="preserve">; Christa </w:t>
      </w:r>
      <w:proofErr w:type="spellStart"/>
      <w:r w:rsidRPr="00843CFD">
        <w:rPr>
          <w:rFonts w:ascii="Book Antiqua" w:hAnsi="Book Antiqua"/>
          <w:lang w:val="en-US"/>
        </w:rPr>
        <w:t>Meyenberger</w:t>
      </w:r>
      <w:proofErr w:type="spellEnd"/>
      <w:r w:rsidRPr="00843CFD">
        <w:rPr>
          <w:rFonts w:ascii="Book Antiqua" w:hAnsi="Book Antiqua"/>
          <w:lang w:val="en-US"/>
        </w:rPr>
        <w:t xml:space="preserve">; Pierre </w:t>
      </w:r>
      <w:proofErr w:type="spellStart"/>
      <w:r w:rsidRPr="00843CFD">
        <w:rPr>
          <w:rFonts w:ascii="Book Antiqua" w:hAnsi="Book Antiqua"/>
          <w:lang w:val="en-US"/>
        </w:rPr>
        <w:t>Michetti</w:t>
      </w:r>
      <w:proofErr w:type="spellEnd"/>
      <w:r w:rsidRPr="00843CFD">
        <w:rPr>
          <w:rFonts w:ascii="Book Antiqua" w:hAnsi="Book Antiqua"/>
          <w:lang w:val="en-US"/>
        </w:rPr>
        <w:t xml:space="preserve">; Benjamin </w:t>
      </w:r>
      <w:proofErr w:type="spellStart"/>
      <w:r w:rsidRPr="00843CFD">
        <w:rPr>
          <w:rFonts w:ascii="Book Antiqua" w:hAnsi="Book Antiqua"/>
          <w:lang w:val="en-US"/>
        </w:rPr>
        <w:t>Misselwitz</w:t>
      </w:r>
      <w:proofErr w:type="spellEnd"/>
      <w:r w:rsidRPr="00843CFD">
        <w:rPr>
          <w:rFonts w:ascii="Book Antiqua" w:hAnsi="Book Antiqua"/>
          <w:lang w:val="en-US"/>
        </w:rPr>
        <w:t xml:space="preserve">; Darius </w:t>
      </w:r>
      <w:proofErr w:type="spellStart"/>
      <w:r w:rsidRPr="00843CFD">
        <w:rPr>
          <w:rFonts w:ascii="Book Antiqua" w:hAnsi="Book Antiqua"/>
          <w:lang w:val="en-US"/>
        </w:rPr>
        <w:t>Moradpour</w:t>
      </w:r>
      <w:proofErr w:type="spellEnd"/>
      <w:r w:rsidRPr="00843CFD">
        <w:rPr>
          <w:rFonts w:ascii="Book Antiqua" w:hAnsi="Book Antiqua"/>
          <w:lang w:val="en-US"/>
        </w:rPr>
        <w:t>; Bernhard</w:t>
      </w:r>
      <w:r w:rsidR="00866F9B" w:rsidRPr="00843CFD">
        <w:rPr>
          <w:rFonts w:ascii="Book Antiqua" w:hAnsi="Book Antiqua"/>
          <w:lang w:val="en-US"/>
        </w:rPr>
        <w:t xml:space="preserve"> </w:t>
      </w:r>
      <w:r w:rsidRPr="00843CFD">
        <w:rPr>
          <w:rFonts w:ascii="Book Antiqua" w:hAnsi="Book Antiqua"/>
          <w:lang w:val="en-US"/>
        </w:rPr>
        <w:t xml:space="preserve">Morell; Patrick </w:t>
      </w:r>
      <w:proofErr w:type="spellStart"/>
      <w:r w:rsidRPr="00843CFD">
        <w:rPr>
          <w:rFonts w:ascii="Book Antiqua" w:hAnsi="Book Antiqua"/>
          <w:lang w:val="en-US"/>
        </w:rPr>
        <w:t>Mosler</w:t>
      </w:r>
      <w:proofErr w:type="spellEnd"/>
      <w:r w:rsidRPr="00843CFD">
        <w:rPr>
          <w:rFonts w:ascii="Book Antiqua" w:hAnsi="Book Antiqua"/>
          <w:lang w:val="en-US"/>
        </w:rPr>
        <w:t xml:space="preserve">; Christian </w:t>
      </w:r>
      <w:proofErr w:type="spellStart"/>
      <w:r w:rsidRPr="00843CFD">
        <w:rPr>
          <w:rFonts w:ascii="Book Antiqua" w:hAnsi="Book Antiqua"/>
          <w:lang w:val="en-US"/>
        </w:rPr>
        <w:t>Mottet</w:t>
      </w:r>
      <w:proofErr w:type="spellEnd"/>
      <w:r w:rsidRPr="00843CFD">
        <w:rPr>
          <w:rFonts w:ascii="Book Antiqua" w:hAnsi="Book Antiqua"/>
          <w:lang w:val="en-US"/>
        </w:rPr>
        <w:t xml:space="preserve">; Christoph Müller; Pascal Müller; Beat </w:t>
      </w:r>
      <w:proofErr w:type="spellStart"/>
      <w:r w:rsidRPr="00843CFD">
        <w:rPr>
          <w:rFonts w:ascii="Book Antiqua" w:hAnsi="Book Antiqua"/>
          <w:lang w:val="en-US"/>
        </w:rPr>
        <w:t>Müllhaupt</w:t>
      </w:r>
      <w:proofErr w:type="spellEnd"/>
      <w:r w:rsidRPr="00843CFD">
        <w:rPr>
          <w:rFonts w:ascii="Book Antiqua" w:hAnsi="Book Antiqua"/>
          <w:lang w:val="en-US"/>
        </w:rPr>
        <w:t xml:space="preserve">; Claudia </w:t>
      </w:r>
      <w:proofErr w:type="spellStart"/>
      <w:r w:rsidRPr="00843CFD">
        <w:rPr>
          <w:rFonts w:ascii="Book Antiqua" w:hAnsi="Book Antiqua"/>
          <w:lang w:val="en-US"/>
        </w:rPr>
        <w:t>Münger-Beyeler</w:t>
      </w:r>
      <w:proofErr w:type="spellEnd"/>
      <w:r w:rsidRPr="00843CFD">
        <w:rPr>
          <w:rFonts w:ascii="Book Antiqua" w:hAnsi="Book Antiqua"/>
          <w:lang w:val="en-US"/>
        </w:rPr>
        <w:t xml:space="preserve">; </w:t>
      </w:r>
      <w:proofErr w:type="spellStart"/>
      <w:r w:rsidRPr="00843CFD">
        <w:rPr>
          <w:rFonts w:ascii="Book Antiqua" w:hAnsi="Book Antiqua"/>
          <w:lang w:val="en-US"/>
        </w:rPr>
        <w:t>Leilla</w:t>
      </w:r>
      <w:proofErr w:type="spellEnd"/>
      <w:r w:rsidRPr="00843CFD">
        <w:rPr>
          <w:rFonts w:ascii="Book Antiqua" w:hAnsi="Book Antiqua"/>
          <w:lang w:val="en-US"/>
        </w:rPr>
        <w:t xml:space="preserve"> </w:t>
      </w:r>
      <w:proofErr w:type="spellStart"/>
      <w:r w:rsidRPr="00843CFD">
        <w:rPr>
          <w:rFonts w:ascii="Book Antiqua" w:hAnsi="Book Antiqua"/>
          <w:lang w:val="en-US"/>
        </w:rPr>
        <w:t>Musso</w:t>
      </w:r>
      <w:proofErr w:type="spellEnd"/>
      <w:r w:rsidRPr="00843CFD">
        <w:rPr>
          <w:rFonts w:ascii="Book Antiqua" w:hAnsi="Book Antiqua"/>
          <w:lang w:val="en-US"/>
        </w:rPr>
        <w:t xml:space="preserve">; Andreas Nagy; Michaela </w:t>
      </w:r>
      <w:proofErr w:type="spellStart"/>
      <w:r w:rsidRPr="00843CFD">
        <w:rPr>
          <w:rFonts w:ascii="Book Antiqua" w:hAnsi="Book Antiqua"/>
          <w:lang w:val="en-US"/>
        </w:rPr>
        <w:t>Neagu</w:t>
      </w:r>
      <w:proofErr w:type="spellEnd"/>
      <w:r w:rsidRPr="00843CFD">
        <w:rPr>
          <w:rFonts w:ascii="Book Antiqua" w:hAnsi="Book Antiqua"/>
          <w:lang w:val="en-US"/>
        </w:rPr>
        <w:t xml:space="preserve">; Cristina </w:t>
      </w:r>
      <w:proofErr w:type="spellStart"/>
      <w:r w:rsidRPr="00843CFD">
        <w:rPr>
          <w:rFonts w:ascii="Book Antiqua" w:hAnsi="Book Antiqua"/>
          <w:lang w:val="en-US"/>
        </w:rPr>
        <w:t>Nichita</w:t>
      </w:r>
      <w:proofErr w:type="spellEnd"/>
      <w:r w:rsidRPr="00843CFD">
        <w:rPr>
          <w:rFonts w:ascii="Book Antiqua" w:hAnsi="Book Antiqua"/>
          <w:lang w:val="en-US"/>
        </w:rPr>
        <w:t xml:space="preserve">; Jan </w:t>
      </w:r>
      <w:proofErr w:type="spellStart"/>
      <w:r w:rsidRPr="00843CFD">
        <w:rPr>
          <w:rFonts w:ascii="Book Antiqua" w:hAnsi="Book Antiqua"/>
          <w:lang w:val="en-US"/>
        </w:rPr>
        <w:t>Niess</w:t>
      </w:r>
      <w:proofErr w:type="spellEnd"/>
      <w:r w:rsidRPr="00843CFD">
        <w:rPr>
          <w:rFonts w:ascii="Book Antiqua" w:hAnsi="Book Antiqua"/>
          <w:lang w:val="en-US"/>
        </w:rPr>
        <w:t xml:space="preserve">; Natacha Noël; Andreas </w:t>
      </w:r>
      <w:proofErr w:type="spellStart"/>
      <w:r w:rsidRPr="00843CFD">
        <w:rPr>
          <w:rFonts w:ascii="Book Antiqua" w:hAnsi="Book Antiqua"/>
          <w:lang w:val="en-US"/>
        </w:rPr>
        <w:t>Nydegger</w:t>
      </w:r>
      <w:proofErr w:type="spellEnd"/>
      <w:r w:rsidRPr="00843CFD">
        <w:rPr>
          <w:rFonts w:ascii="Book Antiqua" w:hAnsi="Book Antiqua"/>
          <w:lang w:val="en-US"/>
        </w:rPr>
        <w:t xml:space="preserve">; Nicole </w:t>
      </w:r>
      <w:proofErr w:type="spellStart"/>
      <w:r w:rsidRPr="00843CFD">
        <w:rPr>
          <w:rFonts w:ascii="Book Antiqua" w:hAnsi="Book Antiqua"/>
          <w:lang w:val="en-US"/>
        </w:rPr>
        <w:t>Obialo</w:t>
      </w:r>
      <w:proofErr w:type="spellEnd"/>
      <w:r w:rsidRPr="00843CFD">
        <w:rPr>
          <w:rFonts w:ascii="Book Antiqua" w:hAnsi="Book Antiqua"/>
          <w:lang w:val="en-US"/>
        </w:rPr>
        <w:t xml:space="preserve">; Carl </w:t>
      </w:r>
      <w:proofErr w:type="spellStart"/>
      <w:r w:rsidRPr="00843CFD">
        <w:rPr>
          <w:rFonts w:ascii="Book Antiqua" w:hAnsi="Book Antiqua"/>
          <w:lang w:val="en-US"/>
        </w:rPr>
        <w:t>Oneta</w:t>
      </w:r>
      <w:proofErr w:type="spellEnd"/>
      <w:r w:rsidRPr="00843CFD">
        <w:rPr>
          <w:rFonts w:ascii="Book Antiqua" w:hAnsi="Book Antiqua"/>
          <w:lang w:val="en-US"/>
        </w:rPr>
        <w:t xml:space="preserve">; Cassandra </w:t>
      </w:r>
      <w:proofErr w:type="spellStart"/>
      <w:r w:rsidRPr="00843CFD">
        <w:rPr>
          <w:rFonts w:ascii="Book Antiqua" w:hAnsi="Book Antiqua"/>
          <w:lang w:val="en-US"/>
        </w:rPr>
        <w:t>Oropesa</w:t>
      </w:r>
      <w:proofErr w:type="spellEnd"/>
      <w:r w:rsidRPr="00843CFD">
        <w:rPr>
          <w:rFonts w:ascii="Book Antiqua" w:hAnsi="Book Antiqua"/>
          <w:lang w:val="en-US"/>
        </w:rPr>
        <w:t xml:space="preserve">; </w:t>
      </w:r>
      <w:proofErr w:type="spellStart"/>
      <w:r w:rsidRPr="00843CFD">
        <w:rPr>
          <w:rFonts w:ascii="Book Antiqua" w:hAnsi="Book Antiqua"/>
          <w:lang w:val="en-US"/>
        </w:rPr>
        <w:t>Ueli</w:t>
      </w:r>
      <w:proofErr w:type="spellEnd"/>
      <w:r w:rsidRPr="00843CFD">
        <w:rPr>
          <w:rFonts w:ascii="Book Antiqua" w:hAnsi="Book Antiqua"/>
          <w:lang w:val="en-US"/>
        </w:rPr>
        <w:t xml:space="preserve"> Peter; Daniel </w:t>
      </w:r>
      <w:proofErr w:type="spellStart"/>
      <w:r w:rsidRPr="00843CFD">
        <w:rPr>
          <w:rFonts w:ascii="Book Antiqua" w:hAnsi="Book Antiqua"/>
          <w:lang w:val="en-US"/>
        </w:rPr>
        <w:t>Peternac</w:t>
      </w:r>
      <w:proofErr w:type="spellEnd"/>
      <w:r w:rsidRPr="00843CFD">
        <w:rPr>
          <w:rFonts w:ascii="Book Antiqua" w:hAnsi="Book Antiqua"/>
          <w:lang w:val="en-US"/>
        </w:rPr>
        <w:t xml:space="preserve">; Laetitia Marie Petit; Franziska </w:t>
      </w:r>
      <w:proofErr w:type="spellStart"/>
      <w:r w:rsidRPr="00843CFD">
        <w:rPr>
          <w:rFonts w:ascii="Book Antiqua" w:hAnsi="Book Antiqua"/>
          <w:lang w:val="en-US"/>
        </w:rPr>
        <w:t>Piccoli-Gfeller</w:t>
      </w:r>
      <w:proofErr w:type="spellEnd"/>
      <w:r w:rsidRPr="00843CFD">
        <w:rPr>
          <w:rFonts w:ascii="Book Antiqua" w:hAnsi="Book Antiqua"/>
          <w:lang w:val="en-US"/>
        </w:rPr>
        <w:t xml:space="preserve">; Julia Beatrice </w:t>
      </w:r>
      <w:proofErr w:type="spellStart"/>
      <w:r w:rsidRPr="00843CFD">
        <w:rPr>
          <w:rFonts w:ascii="Book Antiqua" w:hAnsi="Book Antiqua"/>
          <w:lang w:val="en-US"/>
        </w:rPr>
        <w:t>Pilz</w:t>
      </w:r>
      <w:proofErr w:type="spellEnd"/>
      <w:r w:rsidRPr="00843CFD">
        <w:rPr>
          <w:rFonts w:ascii="Book Antiqua" w:hAnsi="Book Antiqua"/>
          <w:lang w:val="en-US"/>
        </w:rPr>
        <w:t xml:space="preserve">; </w:t>
      </w:r>
      <w:proofErr w:type="spellStart"/>
      <w:r w:rsidRPr="00843CFD">
        <w:rPr>
          <w:rFonts w:ascii="Book Antiqua" w:hAnsi="Book Antiqua"/>
          <w:lang w:val="en-US"/>
        </w:rPr>
        <w:t>Valérie</w:t>
      </w:r>
      <w:proofErr w:type="spellEnd"/>
      <w:r w:rsidRPr="00843CFD">
        <w:rPr>
          <w:rFonts w:ascii="Book Antiqua" w:hAnsi="Book Antiqua"/>
          <w:lang w:val="en-US"/>
        </w:rPr>
        <w:t xml:space="preserve"> </w:t>
      </w:r>
      <w:proofErr w:type="spellStart"/>
      <w:r w:rsidRPr="00843CFD">
        <w:rPr>
          <w:rFonts w:ascii="Book Antiqua" w:hAnsi="Book Antiqua"/>
          <w:lang w:val="en-US"/>
        </w:rPr>
        <w:t>Pittet</w:t>
      </w:r>
      <w:proofErr w:type="spellEnd"/>
      <w:r w:rsidRPr="00843CFD">
        <w:rPr>
          <w:rFonts w:ascii="Book Antiqua" w:hAnsi="Book Antiqua"/>
          <w:lang w:val="en-US"/>
        </w:rPr>
        <w:t xml:space="preserve">; Nadia </w:t>
      </w:r>
      <w:proofErr w:type="spellStart"/>
      <w:r w:rsidRPr="00843CFD">
        <w:rPr>
          <w:rFonts w:ascii="Book Antiqua" w:hAnsi="Book Antiqua"/>
          <w:lang w:val="en-US"/>
        </w:rPr>
        <w:t>Raschle</w:t>
      </w:r>
      <w:proofErr w:type="spellEnd"/>
      <w:r w:rsidRPr="00843CFD">
        <w:rPr>
          <w:rFonts w:ascii="Book Antiqua" w:hAnsi="Book Antiqua"/>
          <w:lang w:val="en-US"/>
        </w:rPr>
        <w:t xml:space="preserve">; Ronald </w:t>
      </w:r>
      <w:proofErr w:type="spellStart"/>
      <w:r w:rsidRPr="00843CFD">
        <w:rPr>
          <w:rFonts w:ascii="Book Antiqua" w:hAnsi="Book Antiqua"/>
          <w:lang w:val="en-US"/>
        </w:rPr>
        <w:t>Rentsch</w:t>
      </w:r>
      <w:proofErr w:type="spellEnd"/>
      <w:r w:rsidRPr="00843CFD">
        <w:rPr>
          <w:rFonts w:ascii="Book Antiqua" w:hAnsi="Book Antiqua"/>
          <w:lang w:val="en-US"/>
        </w:rPr>
        <w:t xml:space="preserve">; Sophie </w:t>
      </w:r>
      <w:proofErr w:type="spellStart"/>
      <w:r w:rsidRPr="00843CFD">
        <w:rPr>
          <w:rFonts w:ascii="Book Antiqua" w:hAnsi="Book Antiqua"/>
          <w:lang w:val="en-US"/>
        </w:rPr>
        <w:t>Restellini</w:t>
      </w:r>
      <w:proofErr w:type="spellEnd"/>
      <w:r w:rsidRPr="00843CFD">
        <w:rPr>
          <w:rFonts w:ascii="Book Antiqua" w:hAnsi="Book Antiqua"/>
          <w:lang w:val="en-US"/>
        </w:rPr>
        <w:t xml:space="preserve">; Jean-Pierre </w:t>
      </w:r>
      <w:proofErr w:type="spellStart"/>
      <w:r w:rsidRPr="00843CFD">
        <w:rPr>
          <w:rFonts w:ascii="Book Antiqua" w:hAnsi="Book Antiqua"/>
          <w:lang w:val="en-US"/>
        </w:rPr>
        <w:t>Richterich</w:t>
      </w:r>
      <w:proofErr w:type="spellEnd"/>
      <w:r w:rsidRPr="00843CFD">
        <w:rPr>
          <w:rFonts w:ascii="Book Antiqua" w:hAnsi="Book Antiqua"/>
          <w:lang w:val="en-US"/>
        </w:rPr>
        <w:t xml:space="preserve">; Sylvia </w:t>
      </w:r>
      <w:proofErr w:type="spellStart"/>
      <w:r w:rsidRPr="00843CFD">
        <w:rPr>
          <w:rFonts w:ascii="Book Antiqua" w:hAnsi="Book Antiqua"/>
          <w:lang w:val="en-US"/>
        </w:rPr>
        <w:t>Rihs</w:t>
      </w:r>
      <w:proofErr w:type="spellEnd"/>
      <w:r w:rsidRPr="00843CFD">
        <w:rPr>
          <w:rFonts w:ascii="Book Antiqua" w:hAnsi="Book Antiqua"/>
          <w:lang w:val="en-US"/>
        </w:rPr>
        <w:t xml:space="preserve">; Marc Alain Ritz; Jocelyn </w:t>
      </w:r>
      <w:proofErr w:type="spellStart"/>
      <w:r w:rsidRPr="00843CFD">
        <w:rPr>
          <w:rFonts w:ascii="Book Antiqua" w:hAnsi="Book Antiqua"/>
          <w:lang w:val="en-US"/>
        </w:rPr>
        <w:t>Roduit</w:t>
      </w:r>
      <w:proofErr w:type="spellEnd"/>
      <w:r w:rsidRPr="00843CFD">
        <w:rPr>
          <w:rFonts w:ascii="Book Antiqua" w:hAnsi="Book Antiqua"/>
          <w:lang w:val="en-US"/>
        </w:rPr>
        <w:t xml:space="preserve">; Daniela </w:t>
      </w:r>
      <w:proofErr w:type="spellStart"/>
      <w:r w:rsidRPr="00843CFD">
        <w:rPr>
          <w:rFonts w:ascii="Book Antiqua" w:hAnsi="Book Antiqua"/>
          <w:lang w:val="en-US"/>
        </w:rPr>
        <w:t>Rogler</w:t>
      </w:r>
      <w:proofErr w:type="spellEnd"/>
      <w:r w:rsidRPr="00843CFD">
        <w:rPr>
          <w:rFonts w:ascii="Book Antiqua" w:hAnsi="Book Antiqua"/>
          <w:lang w:val="en-US"/>
        </w:rPr>
        <w:t xml:space="preserve">; Gerhard </w:t>
      </w:r>
      <w:proofErr w:type="spellStart"/>
      <w:r w:rsidRPr="00843CFD">
        <w:rPr>
          <w:rFonts w:ascii="Book Antiqua" w:hAnsi="Book Antiqua"/>
          <w:lang w:val="en-US"/>
        </w:rPr>
        <w:t>Rogler</w:t>
      </w:r>
      <w:proofErr w:type="spellEnd"/>
      <w:r w:rsidRPr="00843CFD">
        <w:rPr>
          <w:rFonts w:ascii="Book Antiqua" w:hAnsi="Book Antiqua"/>
          <w:lang w:val="en-US"/>
        </w:rPr>
        <w:t>; Jean-</w:t>
      </w:r>
      <w:proofErr w:type="spellStart"/>
      <w:r w:rsidRPr="00843CFD">
        <w:rPr>
          <w:rFonts w:ascii="Book Antiqua" w:hAnsi="Book Antiqua"/>
          <w:lang w:val="en-US"/>
        </w:rPr>
        <w:t>Benoît</w:t>
      </w:r>
      <w:proofErr w:type="spellEnd"/>
      <w:r w:rsidRPr="00843CFD">
        <w:rPr>
          <w:rFonts w:ascii="Book Antiqua" w:hAnsi="Book Antiqua"/>
          <w:lang w:val="en-US"/>
        </w:rPr>
        <w:t xml:space="preserve"> </w:t>
      </w:r>
      <w:proofErr w:type="spellStart"/>
      <w:r w:rsidRPr="00843CFD">
        <w:rPr>
          <w:rFonts w:ascii="Book Antiqua" w:hAnsi="Book Antiqua"/>
          <w:lang w:val="en-US"/>
        </w:rPr>
        <w:t>Rossel</w:t>
      </w:r>
      <w:proofErr w:type="spellEnd"/>
      <w:r w:rsidRPr="00843CFD">
        <w:rPr>
          <w:rFonts w:ascii="Book Antiqua" w:hAnsi="Book Antiqua"/>
          <w:lang w:val="en-US"/>
        </w:rPr>
        <w:t xml:space="preserve">; Markus </w:t>
      </w:r>
      <w:proofErr w:type="spellStart"/>
      <w:r w:rsidRPr="00843CFD">
        <w:rPr>
          <w:rFonts w:ascii="Book Antiqua" w:hAnsi="Book Antiqua"/>
          <w:lang w:val="en-US"/>
        </w:rPr>
        <w:t>Sagmeister</w:t>
      </w:r>
      <w:proofErr w:type="spellEnd"/>
      <w:r w:rsidRPr="00843CFD">
        <w:rPr>
          <w:rFonts w:ascii="Book Antiqua" w:hAnsi="Book Antiqua"/>
          <w:lang w:val="en-US"/>
        </w:rPr>
        <w:t xml:space="preserve">; Gaby Saner; Bernhard </w:t>
      </w:r>
      <w:proofErr w:type="spellStart"/>
      <w:r w:rsidRPr="00843CFD">
        <w:rPr>
          <w:rFonts w:ascii="Book Antiqua" w:hAnsi="Book Antiqua"/>
          <w:lang w:val="en-US"/>
        </w:rPr>
        <w:t>Sauter</w:t>
      </w:r>
      <w:proofErr w:type="spellEnd"/>
      <w:r w:rsidRPr="00843CFD">
        <w:rPr>
          <w:rFonts w:ascii="Book Antiqua" w:hAnsi="Book Antiqua"/>
          <w:lang w:val="en-US"/>
        </w:rPr>
        <w:t xml:space="preserve">; Mikael </w:t>
      </w:r>
      <w:proofErr w:type="spellStart"/>
      <w:r w:rsidRPr="00843CFD">
        <w:rPr>
          <w:rFonts w:ascii="Book Antiqua" w:hAnsi="Book Antiqua"/>
          <w:lang w:val="en-US"/>
        </w:rPr>
        <w:t>Sawatzki</w:t>
      </w:r>
      <w:proofErr w:type="spellEnd"/>
      <w:r w:rsidRPr="00843CFD">
        <w:rPr>
          <w:rFonts w:ascii="Book Antiqua" w:hAnsi="Book Antiqua"/>
          <w:lang w:val="en-US"/>
        </w:rPr>
        <w:t xml:space="preserve">; Michela </w:t>
      </w:r>
      <w:proofErr w:type="spellStart"/>
      <w:r w:rsidRPr="00843CFD">
        <w:rPr>
          <w:rFonts w:ascii="Book Antiqua" w:hAnsi="Book Antiqua"/>
          <w:lang w:val="en-US"/>
        </w:rPr>
        <w:t>Schäppi</w:t>
      </w:r>
      <w:proofErr w:type="spellEnd"/>
      <w:r w:rsidRPr="00843CFD">
        <w:rPr>
          <w:rFonts w:ascii="Book Antiqua" w:hAnsi="Book Antiqua"/>
          <w:lang w:val="en-US"/>
        </w:rPr>
        <w:t>; Michael</w:t>
      </w:r>
      <w:r w:rsidR="00866F9B" w:rsidRPr="00843CFD">
        <w:rPr>
          <w:rFonts w:ascii="Book Antiqua" w:hAnsi="Book Antiqua"/>
          <w:lang w:val="en-US"/>
        </w:rPr>
        <w:t xml:space="preserve"> </w:t>
      </w:r>
      <w:proofErr w:type="spellStart"/>
      <w:r w:rsidRPr="00843CFD">
        <w:rPr>
          <w:rFonts w:ascii="Book Antiqua" w:hAnsi="Book Antiqua"/>
          <w:lang w:val="en-US"/>
        </w:rPr>
        <w:t>Scharl</w:t>
      </w:r>
      <w:proofErr w:type="spellEnd"/>
      <w:r w:rsidRPr="00843CFD">
        <w:rPr>
          <w:rFonts w:ascii="Book Antiqua" w:hAnsi="Book Antiqua"/>
          <w:lang w:val="en-US"/>
        </w:rPr>
        <w:t xml:space="preserve">; Martin Schelling; Susanne </w:t>
      </w:r>
      <w:proofErr w:type="spellStart"/>
      <w:r w:rsidRPr="00843CFD">
        <w:rPr>
          <w:rFonts w:ascii="Book Antiqua" w:hAnsi="Book Antiqua"/>
          <w:lang w:val="en-US"/>
        </w:rPr>
        <w:t>Schibli</w:t>
      </w:r>
      <w:proofErr w:type="spellEnd"/>
      <w:r w:rsidRPr="00843CFD">
        <w:rPr>
          <w:rFonts w:ascii="Book Antiqua" w:hAnsi="Book Antiqua"/>
          <w:lang w:val="en-US"/>
        </w:rPr>
        <w:t xml:space="preserve">; Hugo </w:t>
      </w:r>
      <w:proofErr w:type="spellStart"/>
      <w:r w:rsidRPr="00843CFD">
        <w:rPr>
          <w:rFonts w:ascii="Book Antiqua" w:hAnsi="Book Antiqua"/>
          <w:lang w:val="en-US"/>
        </w:rPr>
        <w:t>Schlauri</w:t>
      </w:r>
      <w:proofErr w:type="spellEnd"/>
      <w:r w:rsidRPr="00843CFD">
        <w:rPr>
          <w:rFonts w:ascii="Book Antiqua" w:hAnsi="Book Antiqua"/>
          <w:lang w:val="en-US"/>
        </w:rPr>
        <w:t xml:space="preserve">; Sybille </w:t>
      </w:r>
      <w:proofErr w:type="spellStart"/>
      <w:r w:rsidRPr="00843CFD">
        <w:rPr>
          <w:rFonts w:ascii="Book Antiqua" w:hAnsi="Book Antiqua"/>
          <w:lang w:val="en-US"/>
        </w:rPr>
        <w:t>Schmid</w:t>
      </w:r>
      <w:proofErr w:type="spellEnd"/>
      <w:r w:rsidRPr="00843CFD">
        <w:rPr>
          <w:rFonts w:ascii="Book Antiqua" w:hAnsi="Book Antiqua"/>
          <w:lang w:val="en-US"/>
        </w:rPr>
        <w:t xml:space="preserve"> </w:t>
      </w:r>
      <w:proofErr w:type="spellStart"/>
      <w:r w:rsidRPr="00843CFD">
        <w:rPr>
          <w:rFonts w:ascii="Book Antiqua" w:hAnsi="Book Antiqua"/>
          <w:lang w:val="en-US"/>
        </w:rPr>
        <w:t>Uebelhart</w:t>
      </w:r>
      <w:proofErr w:type="spellEnd"/>
      <w:r w:rsidRPr="00843CFD">
        <w:rPr>
          <w:rFonts w:ascii="Book Antiqua" w:hAnsi="Book Antiqua"/>
          <w:lang w:val="en-US"/>
        </w:rPr>
        <w:t xml:space="preserve">; Jean-François </w:t>
      </w:r>
      <w:proofErr w:type="spellStart"/>
      <w:r w:rsidRPr="00843CFD">
        <w:rPr>
          <w:rFonts w:ascii="Book Antiqua" w:hAnsi="Book Antiqua"/>
          <w:lang w:val="en-US"/>
        </w:rPr>
        <w:t>Schnegg</w:t>
      </w:r>
      <w:proofErr w:type="spellEnd"/>
      <w:r w:rsidRPr="00843CFD">
        <w:rPr>
          <w:rFonts w:ascii="Book Antiqua" w:hAnsi="Book Antiqua"/>
          <w:lang w:val="en-US"/>
        </w:rPr>
        <w:t xml:space="preserve">; Alain </w:t>
      </w:r>
      <w:proofErr w:type="spellStart"/>
      <w:r w:rsidRPr="00843CFD">
        <w:rPr>
          <w:rFonts w:ascii="Book Antiqua" w:hAnsi="Book Antiqua"/>
          <w:lang w:val="en-US"/>
        </w:rPr>
        <w:t>Schoepfer</w:t>
      </w:r>
      <w:proofErr w:type="spellEnd"/>
      <w:r w:rsidRPr="00843CFD">
        <w:rPr>
          <w:rFonts w:ascii="Book Antiqua" w:hAnsi="Book Antiqua"/>
          <w:lang w:val="en-US"/>
        </w:rPr>
        <w:t xml:space="preserve">; Frank </w:t>
      </w:r>
      <w:proofErr w:type="spellStart"/>
      <w:r w:rsidRPr="00843CFD">
        <w:rPr>
          <w:rFonts w:ascii="Book Antiqua" w:hAnsi="Book Antiqua"/>
          <w:lang w:val="en-US"/>
        </w:rPr>
        <w:t>Seibold</w:t>
      </w:r>
      <w:proofErr w:type="spellEnd"/>
      <w:r w:rsidRPr="00843CFD">
        <w:rPr>
          <w:rFonts w:ascii="Book Antiqua" w:hAnsi="Book Antiqua"/>
          <w:lang w:val="en-US"/>
        </w:rPr>
        <w:t xml:space="preserve">; Mariam </w:t>
      </w:r>
      <w:proofErr w:type="spellStart"/>
      <w:r w:rsidRPr="00843CFD">
        <w:rPr>
          <w:rFonts w:ascii="Book Antiqua" w:hAnsi="Book Antiqua"/>
          <w:lang w:val="en-US"/>
        </w:rPr>
        <w:t>Seirafi</w:t>
      </w:r>
      <w:proofErr w:type="spellEnd"/>
      <w:r w:rsidRPr="00843CFD">
        <w:rPr>
          <w:rFonts w:ascii="Book Antiqua" w:hAnsi="Book Antiqua"/>
          <w:lang w:val="en-US"/>
        </w:rPr>
        <w:t xml:space="preserve">; </w:t>
      </w:r>
      <w:proofErr w:type="spellStart"/>
      <w:r w:rsidRPr="00843CFD">
        <w:rPr>
          <w:rFonts w:ascii="Book Antiqua" w:hAnsi="Book Antiqua"/>
          <w:lang w:val="en-US"/>
        </w:rPr>
        <w:t>Gian</w:t>
      </w:r>
      <w:proofErr w:type="spellEnd"/>
      <w:r w:rsidRPr="00843CFD">
        <w:rPr>
          <w:rFonts w:ascii="Book Antiqua" w:hAnsi="Book Antiqua"/>
          <w:lang w:val="en-US"/>
        </w:rPr>
        <w:t xml:space="preserve">-Marco </w:t>
      </w:r>
      <w:proofErr w:type="spellStart"/>
      <w:r w:rsidRPr="00843CFD">
        <w:rPr>
          <w:rFonts w:ascii="Book Antiqua" w:hAnsi="Book Antiqua"/>
          <w:lang w:val="en-US"/>
        </w:rPr>
        <w:t>Semadeni</w:t>
      </w:r>
      <w:proofErr w:type="spellEnd"/>
      <w:r w:rsidRPr="00843CFD">
        <w:rPr>
          <w:rFonts w:ascii="Book Antiqua" w:hAnsi="Book Antiqua"/>
          <w:lang w:val="en-US"/>
        </w:rPr>
        <w:t xml:space="preserve">; David </w:t>
      </w:r>
      <w:proofErr w:type="spellStart"/>
      <w:r w:rsidRPr="00843CFD">
        <w:rPr>
          <w:rFonts w:ascii="Book Antiqua" w:hAnsi="Book Antiqua"/>
          <w:lang w:val="en-US"/>
        </w:rPr>
        <w:t>Semela</w:t>
      </w:r>
      <w:proofErr w:type="spellEnd"/>
      <w:r w:rsidRPr="00843CFD">
        <w:rPr>
          <w:rFonts w:ascii="Book Antiqua" w:hAnsi="Book Antiqua"/>
          <w:lang w:val="en-US"/>
        </w:rPr>
        <w:t xml:space="preserve">; Arne </w:t>
      </w:r>
      <w:proofErr w:type="spellStart"/>
      <w:r w:rsidRPr="00843CFD">
        <w:rPr>
          <w:rFonts w:ascii="Book Antiqua" w:hAnsi="Book Antiqua"/>
          <w:lang w:val="en-US"/>
        </w:rPr>
        <w:t>Senning</w:t>
      </w:r>
      <w:proofErr w:type="spellEnd"/>
      <w:r w:rsidRPr="00843CFD">
        <w:rPr>
          <w:rFonts w:ascii="Book Antiqua" w:hAnsi="Book Antiqua"/>
          <w:lang w:val="en-US"/>
        </w:rPr>
        <w:t xml:space="preserve">; Marc </w:t>
      </w:r>
      <w:proofErr w:type="spellStart"/>
      <w:r w:rsidRPr="00843CFD">
        <w:rPr>
          <w:rFonts w:ascii="Book Antiqua" w:hAnsi="Book Antiqua"/>
          <w:lang w:val="en-US"/>
        </w:rPr>
        <w:t>Sidler</w:t>
      </w:r>
      <w:proofErr w:type="spellEnd"/>
      <w:r w:rsidRPr="00843CFD">
        <w:rPr>
          <w:rFonts w:ascii="Book Antiqua" w:hAnsi="Book Antiqua"/>
          <w:lang w:val="en-US"/>
        </w:rPr>
        <w:t xml:space="preserve">; Christiane </w:t>
      </w:r>
      <w:proofErr w:type="spellStart"/>
      <w:r w:rsidRPr="00843CFD">
        <w:rPr>
          <w:rFonts w:ascii="Book Antiqua" w:hAnsi="Book Antiqua"/>
          <w:lang w:val="en-US"/>
        </w:rPr>
        <w:t>Sokollik</w:t>
      </w:r>
      <w:proofErr w:type="spellEnd"/>
      <w:r w:rsidRPr="00843CFD">
        <w:rPr>
          <w:rFonts w:ascii="Book Antiqua" w:hAnsi="Book Antiqua"/>
          <w:lang w:val="en-US"/>
        </w:rPr>
        <w:t xml:space="preserve">; Johannes </w:t>
      </w:r>
      <w:proofErr w:type="spellStart"/>
      <w:r w:rsidRPr="00843CFD">
        <w:rPr>
          <w:rFonts w:ascii="Book Antiqua" w:hAnsi="Book Antiqua"/>
          <w:lang w:val="en-US"/>
        </w:rPr>
        <w:t>Spalinger</w:t>
      </w:r>
      <w:proofErr w:type="spellEnd"/>
      <w:r w:rsidRPr="00843CFD">
        <w:rPr>
          <w:rFonts w:ascii="Book Antiqua" w:hAnsi="Book Antiqua"/>
          <w:lang w:val="en-US"/>
        </w:rPr>
        <w:t xml:space="preserve">; Holger </w:t>
      </w:r>
      <w:proofErr w:type="spellStart"/>
      <w:r w:rsidRPr="00843CFD">
        <w:rPr>
          <w:rFonts w:ascii="Book Antiqua" w:hAnsi="Book Antiqua"/>
          <w:lang w:val="en-US"/>
        </w:rPr>
        <w:t>Spangenberger</w:t>
      </w:r>
      <w:proofErr w:type="spellEnd"/>
      <w:r w:rsidRPr="00843CFD">
        <w:rPr>
          <w:rFonts w:ascii="Book Antiqua" w:hAnsi="Book Antiqua"/>
          <w:lang w:val="en-US"/>
        </w:rPr>
        <w:t xml:space="preserve">; Philippe </w:t>
      </w:r>
      <w:proofErr w:type="spellStart"/>
      <w:r w:rsidRPr="00843CFD">
        <w:rPr>
          <w:rFonts w:ascii="Book Antiqua" w:hAnsi="Book Antiqua"/>
          <w:lang w:val="en-US"/>
        </w:rPr>
        <w:t>Stadler</w:t>
      </w:r>
      <w:proofErr w:type="spellEnd"/>
      <w:r w:rsidRPr="00843CFD">
        <w:rPr>
          <w:rFonts w:ascii="Book Antiqua" w:hAnsi="Book Antiqua"/>
          <w:lang w:val="en-US"/>
        </w:rPr>
        <w:t xml:space="preserve">; Michael </w:t>
      </w:r>
      <w:proofErr w:type="spellStart"/>
      <w:r w:rsidRPr="00843CFD">
        <w:rPr>
          <w:rFonts w:ascii="Book Antiqua" w:hAnsi="Book Antiqua"/>
          <w:lang w:val="en-US"/>
        </w:rPr>
        <w:t>Steuerwald</w:t>
      </w:r>
      <w:proofErr w:type="spellEnd"/>
      <w:r w:rsidRPr="00843CFD">
        <w:rPr>
          <w:rFonts w:ascii="Book Antiqua" w:hAnsi="Book Antiqua"/>
          <w:lang w:val="en-US"/>
        </w:rPr>
        <w:t xml:space="preserve">; Alex </w:t>
      </w:r>
      <w:proofErr w:type="spellStart"/>
      <w:r w:rsidRPr="00843CFD">
        <w:rPr>
          <w:rFonts w:ascii="Book Antiqua" w:hAnsi="Book Antiqua"/>
          <w:lang w:val="en-US"/>
        </w:rPr>
        <w:t>Straumann</w:t>
      </w:r>
      <w:proofErr w:type="spellEnd"/>
      <w:r w:rsidRPr="00843CFD">
        <w:rPr>
          <w:rFonts w:ascii="Book Antiqua" w:hAnsi="Book Antiqua"/>
          <w:lang w:val="en-US"/>
        </w:rPr>
        <w:t xml:space="preserve">; </w:t>
      </w:r>
      <w:proofErr w:type="spellStart"/>
      <w:r w:rsidRPr="00843CFD">
        <w:rPr>
          <w:rFonts w:ascii="Book Antiqua" w:hAnsi="Book Antiqua"/>
          <w:lang w:val="en-US"/>
        </w:rPr>
        <w:t>Bigna</w:t>
      </w:r>
      <w:proofErr w:type="spellEnd"/>
      <w:r w:rsidRPr="00843CFD">
        <w:rPr>
          <w:rFonts w:ascii="Book Antiqua" w:hAnsi="Book Antiqua"/>
          <w:lang w:val="en-US"/>
        </w:rPr>
        <w:t xml:space="preserve"> </w:t>
      </w:r>
      <w:proofErr w:type="spellStart"/>
      <w:r w:rsidRPr="00843CFD">
        <w:rPr>
          <w:rFonts w:ascii="Book Antiqua" w:hAnsi="Book Antiqua"/>
          <w:lang w:val="en-US"/>
        </w:rPr>
        <w:t>Straumann</w:t>
      </w:r>
      <w:proofErr w:type="spellEnd"/>
      <w:r w:rsidRPr="00843CFD">
        <w:rPr>
          <w:rFonts w:ascii="Book Antiqua" w:hAnsi="Book Antiqua"/>
          <w:lang w:val="en-US"/>
        </w:rPr>
        <w:t xml:space="preserve">-Funk; Michael </w:t>
      </w:r>
      <w:proofErr w:type="spellStart"/>
      <w:r w:rsidRPr="00843CFD">
        <w:rPr>
          <w:rFonts w:ascii="Book Antiqua" w:hAnsi="Book Antiqua"/>
          <w:lang w:val="en-US"/>
        </w:rPr>
        <w:t>Sulz</w:t>
      </w:r>
      <w:proofErr w:type="spellEnd"/>
      <w:r w:rsidRPr="00843CFD">
        <w:rPr>
          <w:rFonts w:ascii="Book Antiqua" w:hAnsi="Book Antiqua"/>
          <w:lang w:val="en-US"/>
        </w:rPr>
        <w:t xml:space="preserve">; </w:t>
      </w:r>
      <w:proofErr w:type="spellStart"/>
      <w:r w:rsidRPr="00843CFD">
        <w:rPr>
          <w:rFonts w:ascii="Book Antiqua" w:hAnsi="Book Antiqua"/>
          <w:lang w:val="en-US"/>
        </w:rPr>
        <w:t>Joël</w:t>
      </w:r>
      <w:proofErr w:type="spellEnd"/>
      <w:r w:rsidRPr="00843CFD">
        <w:rPr>
          <w:rFonts w:ascii="Book Antiqua" w:hAnsi="Book Antiqua"/>
          <w:lang w:val="en-US"/>
        </w:rPr>
        <w:t xml:space="preserve"> </w:t>
      </w:r>
      <w:proofErr w:type="spellStart"/>
      <w:r w:rsidRPr="00843CFD">
        <w:rPr>
          <w:rFonts w:ascii="Book Antiqua" w:hAnsi="Book Antiqua"/>
          <w:lang w:val="en-US"/>
        </w:rPr>
        <w:t>Thorens</w:t>
      </w:r>
      <w:proofErr w:type="spellEnd"/>
      <w:r w:rsidRPr="00843CFD">
        <w:rPr>
          <w:rFonts w:ascii="Book Antiqua" w:hAnsi="Book Antiqua"/>
          <w:lang w:val="en-US"/>
        </w:rPr>
        <w:t xml:space="preserve">; Sarah Tiedemann; </w:t>
      </w:r>
      <w:proofErr w:type="spellStart"/>
      <w:r w:rsidRPr="00843CFD">
        <w:rPr>
          <w:rFonts w:ascii="Book Antiqua" w:hAnsi="Book Antiqua"/>
          <w:lang w:val="en-US"/>
        </w:rPr>
        <w:t>Radu</w:t>
      </w:r>
      <w:proofErr w:type="spellEnd"/>
      <w:r w:rsidRPr="00843CFD">
        <w:rPr>
          <w:rFonts w:ascii="Book Antiqua" w:hAnsi="Book Antiqua"/>
          <w:lang w:val="en-US"/>
        </w:rPr>
        <w:t xml:space="preserve"> </w:t>
      </w:r>
      <w:proofErr w:type="spellStart"/>
      <w:r w:rsidRPr="00843CFD">
        <w:rPr>
          <w:rFonts w:ascii="Book Antiqua" w:hAnsi="Book Antiqua"/>
          <w:lang w:val="en-US"/>
        </w:rPr>
        <w:t>Tutuian</w:t>
      </w:r>
      <w:proofErr w:type="spellEnd"/>
      <w:r w:rsidRPr="00843CFD">
        <w:rPr>
          <w:rFonts w:ascii="Book Antiqua" w:hAnsi="Book Antiqua"/>
          <w:lang w:val="en-US"/>
        </w:rPr>
        <w:t xml:space="preserve">; Stephan </w:t>
      </w:r>
      <w:proofErr w:type="spellStart"/>
      <w:r w:rsidRPr="00843CFD">
        <w:rPr>
          <w:rFonts w:ascii="Book Antiqua" w:hAnsi="Book Antiqua"/>
          <w:lang w:val="en-US"/>
        </w:rPr>
        <w:t>Vavricka</w:t>
      </w:r>
      <w:proofErr w:type="spellEnd"/>
      <w:r w:rsidRPr="00843CFD">
        <w:rPr>
          <w:rFonts w:ascii="Book Antiqua" w:hAnsi="Book Antiqua"/>
          <w:lang w:val="en-US"/>
        </w:rPr>
        <w:t xml:space="preserve">; Francesco </w:t>
      </w:r>
      <w:proofErr w:type="spellStart"/>
      <w:r w:rsidRPr="00843CFD">
        <w:rPr>
          <w:rFonts w:ascii="Book Antiqua" w:hAnsi="Book Antiqua"/>
          <w:lang w:val="en-US"/>
        </w:rPr>
        <w:t>Viani</w:t>
      </w:r>
      <w:proofErr w:type="spellEnd"/>
      <w:r w:rsidRPr="00843CFD">
        <w:rPr>
          <w:rFonts w:ascii="Book Antiqua" w:hAnsi="Book Antiqua"/>
          <w:lang w:val="en-US"/>
        </w:rPr>
        <w:t xml:space="preserve">; </w:t>
      </w:r>
      <w:proofErr w:type="spellStart"/>
      <w:r w:rsidRPr="00843CFD">
        <w:rPr>
          <w:rFonts w:ascii="Book Antiqua" w:hAnsi="Book Antiqua"/>
          <w:lang w:val="en-US"/>
        </w:rPr>
        <w:t>Jürg</w:t>
      </w:r>
      <w:proofErr w:type="spellEnd"/>
      <w:r w:rsidRPr="00843CFD">
        <w:rPr>
          <w:rFonts w:ascii="Book Antiqua" w:hAnsi="Book Antiqua"/>
          <w:lang w:val="en-US"/>
        </w:rPr>
        <w:t xml:space="preserve"> </w:t>
      </w:r>
      <w:proofErr w:type="spellStart"/>
      <w:r w:rsidRPr="00843CFD">
        <w:rPr>
          <w:rFonts w:ascii="Book Antiqua" w:hAnsi="Book Antiqua"/>
          <w:lang w:val="en-US"/>
        </w:rPr>
        <w:t>Vögtlin</w:t>
      </w:r>
      <w:proofErr w:type="spellEnd"/>
      <w:r w:rsidRPr="00843CFD">
        <w:rPr>
          <w:rFonts w:ascii="Book Antiqua" w:hAnsi="Book Antiqua"/>
          <w:lang w:val="en-US"/>
        </w:rPr>
        <w:t xml:space="preserve">; Roland Von </w:t>
      </w:r>
      <w:proofErr w:type="spellStart"/>
      <w:r w:rsidRPr="00843CFD">
        <w:rPr>
          <w:rFonts w:ascii="Book Antiqua" w:hAnsi="Book Antiqua"/>
          <w:lang w:val="en-US"/>
        </w:rPr>
        <w:t>Känel</w:t>
      </w:r>
      <w:proofErr w:type="spellEnd"/>
      <w:r w:rsidRPr="00843CFD">
        <w:rPr>
          <w:rFonts w:ascii="Book Antiqua" w:hAnsi="Book Antiqua"/>
          <w:lang w:val="en-US"/>
        </w:rPr>
        <w:t xml:space="preserve">; Alain </w:t>
      </w:r>
      <w:proofErr w:type="spellStart"/>
      <w:r w:rsidRPr="00843CFD">
        <w:rPr>
          <w:rFonts w:ascii="Book Antiqua" w:hAnsi="Book Antiqua"/>
          <w:lang w:val="en-US"/>
        </w:rPr>
        <w:t>Vonlaufen</w:t>
      </w:r>
      <w:proofErr w:type="spellEnd"/>
      <w:r w:rsidRPr="00843CFD">
        <w:rPr>
          <w:rFonts w:ascii="Book Antiqua" w:hAnsi="Book Antiqua"/>
          <w:lang w:val="en-US"/>
        </w:rPr>
        <w:t xml:space="preserve">; Dominique </w:t>
      </w:r>
      <w:proofErr w:type="spellStart"/>
      <w:r w:rsidRPr="00843CFD">
        <w:rPr>
          <w:rFonts w:ascii="Book Antiqua" w:hAnsi="Book Antiqua"/>
          <w:lang w:val="en-US"/>
        </w:rPr>
        <w:t>Vouillamoz</w:t>
      </w:r>
      <w:proofErr w:type="spellEnd"/>
      <w:r w:rsidRPr="00843CFD">
        <w:rPr>
          <w:rFonts w:ascii="Book Antiqua" w:hAnsi="Book Antiqua"/>
          <w:lang w:val="en-US"/>
        </w:rPr>
        <w:t xml:space="preserve">; Rachel </w:t>
      </w:r>
      <w:proofErr w:type="spellStart"/>
      <w:r w:rsidRPr="00843CFD">
        <w:rPr>
          <w:rFonts w:ascii="Book Antiqua" w:hAnsi="Book Antiqua"/>
          <w:lang w:val="en-US"/>
        </w:rPr>
        <w:t>Vulliamy</w:t>
      </w:r>
      <w:proofErr w:type="spellEnd"/>
      <w:r w:rsidRPr="00843CFD">
        <w:rPr>
          <w:rFonts w:ascii="Book Antiqua" w:hAnsi="Book Antiqua"/>
          <w:lang w:val="en-US"/>
        </w:rPr>
        <w:t xml:space="preserve">; </w:t>
      </w:r>
      <w:proofErr w:type="spellStart"/>
      <w:r w:rsidRPr="00843CFD">
        <w:rPr>
          <w:rFonts w:ascii="Book Antiqua" w:hAnsi="Book Antiqua"/>
          <w:lang w:val="en-US"/>
        </w:rPr>
        <w:t>Jürg</w:t>
      </w:r>
      <w:proofErr w:type="spellEnd"/>
      <w:r w:rsidRPr="00843CFD">
        <w:rPr>
          <w:rFonts w:ascii="Book Antiqua" w:hAnsi="Book Antiqua"/>
          <w:lang w:val="en-US"/>
        </w:rPr>
        <w:t xml:space="preserve"> </w:t>
      </w:r>
      <w:proofErr w:type="spellStart"/>
      <w:r w:rsidRPr="00843CFD">
        <w:rPr>
          <w:rFonts w:ascii="Book Antiqua" w:hAnsi="Book Antiqua"/>
          <w:lang w:val="en-US"/>
        </w:rPr>
        <w:t>Wermuth</w:t>
      </w:r>
      <w:proofErr w:type="spellEnd"/>
      <w:r w:rsidRPr="00843CFD">
        <w:rPr>
          <w:rFonts w:ascii="Book Antiqua" w:hAnsi="Book Antiqua"/>
          <w:lang w:val="en-US"/>
        </w:rPr>
        <w:t xml:space="preserve">; Helene Werner; Paul Wiesel; Reiner Wiest; Tina Wylie; Jonas </w:t>
      </w:r>
      <w:proofErr w:type="spellStart"/>
      <w:r w:rsidRPr="00843CFD">
        <w:rPr>
          <w:rFonts w:ascii="Book Antiqua" w:hAnsi="Book Antiqua"/>
          <w:lang w:val="en-US"/>
        </w:rPr>
        <w:t>Zeitz</w:t>
      </w:r>
      <w:proofErr w:type="spellEnd"/>
      <w:r w:rsidRPr="00843CFD">
        <w:rPr>
          <w:rFonts w:ascii="Book Antiqua" w:hAnsi="Book Antiqua"/>
          <w:lang w:val="en-US"/>
        </w:rPr>
        <w:t xml:space="preserve">; </w:t>
      </w:r>
      <w:proofErr w:type="spellStart"/>
      <w:r w:rsidRPr="00843CFD">
        <w:rPr>
          <w:rFonts w:ascii="Book Antiqua" w:hAnsi="Book Antiqua"/>
          <w:lang w:val="en-US"/>
        </w:rPr>
        <w:t>Dorothee</w:t>
      </w:r>
      <w:proofErr w:type="spellEnd"/>
      <w:r w:rsidRPr="00843CFD">
        <w:rPr>
          <w:rFonts w:ascii="Book Antiqua" w:hAnsi="Book Antiqua"/>
          <w:lang w:val="en-US"/>
        </w:rPr>
        <w:t xml:space="preserve"> Zimmermann.</w:t>
      </w:r>
    </w:p>
    <w:p w:rsidR="00C82FD9" w:rsidRPr="00843CFD" w:rsidRDefault="00C82FD9"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br w:type="page"/>
      </w:r>
    </w:p>
    <w:p w:rsidR="00F736A8" w:rsidRPr="000826F2" w:rsidRDefault="00115C87" w:rsidP="000826F2">
      <w:pPr>
        <w:pStyle w:val="Heading"/>
      </w:pPr>
      <w:r w:rsidRPr="000826F2">
        <w:t>REFERENCES</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 </w:t>
      </w:r>
      <w:r w:rsidRPr="00843CFD">
        <w:rPr>
          <w:rFonts w:ascii="Book Antiqua" w:hAnsi="Book Antiqua"/>
          <w:b/>
        </w:rPr>
        <w:t>Lakatos PL</w:t>
      </w:r>
      <w:r w:rsidRPr="00843CFD">
        <w:rPr>
          <w:rFonts w:ascii="Book Antiqua" w:hAnsi="Book Antiqua"/>
        </w:rPr>
        <w:t xml:space="preserve">, Lakatos L, Kiss LS, Peyrin-Biroulet L, Schoepfer A, Vavricka S. Treatment of extraintestinal manifestations in inflammatory bowel disease. </w:t>
      </w:r>
      <w:r w:rsidRPr="00843CFD">
        <w:rPr>
          <w:rFonts w:ascii="Book Antiqua" w:hAnsi="Book Antiqua"/>
          <w:i/>
        </w:rPr>
        <w:t>Digestion</w:t>
      </w:r>
      <w:r w:rsidRPr="00843CFD">
        <w:rPr>
          <w:rFonts w:ascii="Book Antiqua" w:hAnsi="Book Antiqua"/>
        </w:rPr>
        <w:t xml:space="preserve"> 2012; </w:t>
      </w:r>
      <w:r w:rsidRPr="00843CFD">
        <w:rPr>
          <w:rFonts w:ascii="Book Antiqua" w:hAnsi="Book Antiqua"/>
          <w:b/>
        </w:rPr>
        <w:t xml:space="preserve">86 </w:t>
      </w:r>
      <w:r w:rsidRPr="00843CFD">
        <w:rPr>
          <w:rFonts w:ascii="Book Antiqua" w:hAnsi="Book Antiqua"/>
        </w:rPr>
        <w:t xml:space="preserve">Suppl 1: 28-35 [PMID: 23051724 </w:t>
      </w:r>
      <w:bookmarkStart w:id="54" w:name="OLE_LINK1533"/>
      <w:bookmarkStart w:id="55" w:name="OLE_LINK1534"/>
      <w:r w:rsidRPr="00843CFD">
        <w:rPr>
          <w:rFonts w:ascii="Book Antiqua" w:hAnsi="Book Antiqua"/>
        </w:rPr>
        <w:t xml:space="preserve">DOI: </w:t>
      </w:r>
      <w:bookmarkEnd w:id="54"/>
      <w:bookmarkEnd w:id="55"/>
      <w:r w:rsidRPr="00843CFD">
        <w:rPr>
          <w:rFonts w:ascii="Book Antiqua" w:hAnsi="Book Antiqua"/>
        </w:rPr>
        <w:t>10.1159/000341950]</w:t>
      </w:r>
      <w:bookmarkStart w:id="56" w:name="OLE_LINK1531"/>
      <w:bookmarkStart w:id="57" w:name="OLE_LINK1532"/>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2 </w:t>
      </w:r>
      <w:r w:rsidRPr="00843CFD">
        <w:rPr>
          <w:rFonts w:ascii="Book Antiqua" w:hAnsi="Book Antiqua"/>
          <w:b/>
        </w:rPr>
        <w:t>Trauner M</w:t>
      </w:r>
      <w:r w:rsidRPr="00843CFD">
        <w:rPr>
          <w:rFonts w:ascii="Book Antiqua" w:hAnsi="Book Antiqua"/>
        </w:rPr>
        <w:t xml:space="preserve">, Fickert P, Stauber RE. Inflammation-induced cholestasis. </w:t>
      </w:r>
      <w:r w:rsidRPr="00843CFD">
        <w:rPr>
          <w:rFonts w:ascii="Book Antiqua" w:hAnsi="Book Antiqua"/>
          <w:i/>
        </w:rPr>
        <w:t>J Gastroenterol Hepatol</w:t>
      </w:r>
      <w:r w:rsidRPr="00843CFD">
        <w:rPr>
          <w:rFonts w:ascii="Book Antiqua" w:hAnsi="Book Antiqua"/>
        </w:rPr>
        <w:t xml:space="preserve"> 1999; </w:t>
      </w:r>
      <w:r w:rsidRPr="00843CFD">
        <w:rPr>
          <w:rFonts w:ascii="Book Antiqua" w:hAnsi="Book Antiqua"/>
          <w:b/>
        </w:rPr>
        <w:t>14</w:t>
      </w:r>
      <w:r w:rsidRPr="00843CFD">
        <w:rPr>
          <w:rFonts w:ascii="Book Antiqua" w:hAnsi="Book Antiqua"/>
        </w:rPr>
        <w:t>: 946-959 [PMID: 10530489</w:t>
      </w:r>
      <w:r w:rsidR="001761CA" w:rsidRPr="00843CFD">
        <w:rPr>
          <w:rFonts w:ascii="Book Antiqua" w:hAnsi="Book Antiqua"/>
          <w:lang w:eastAsia="zh-CN"/>
        </w:rPr>
        <w:t xml:space="preserve"> </w:t>
      </w:r>
      <w:r w:rsidR="001761CA" w:rsidRPr="00843CFD">
        <w:rPr>
          <w:rFonts w:ascii="Book Antiqua" w:hAnsi="Book Antiqua"/>
        </w:rPr>
        <w:t xml:space="preserve">DOI: </w:t>
      </w:r>
      <w:r w:rsidR="001761CA" w:rsidRPr="00843CFD">
        <w:rPr>
          <w:rFonts w:ascii="Book Antiqua" w:hAnsi="Book Antiqua"/>
          <w:lang w:eastAsia="zh-CN"/>
        </w:rPr>
        <w:t>10.1046/j.1440-1746.1999.01982.x</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3 </w:t>
      </w:r>
      <w:r w:rsidRPr="00843CFD">
        <w:rPr>
          <w:rFonts w:ascii="Book Antiqua" w:hAnsi="Book Antiqua"/>
          <w:b/>
        </w:rPr>
        <w:t>Saich R</w:t>
      </w:r>
      <w:r w:rsidRPr="00843CFD">
        <w:rPr>
          <w:rFonts w:ascii="Book Antiqua" w:hAnsi="Book Antiqua"/>
        </w:rPr>
        <w:t xml:space="preserve">, Chapman R. Primary sclerosing cholangitis, autoimmune hepatitis and overlap syndromes in inflammatory bowel disease. </w:t>
      </w:r>
      <w:r w:rsidRPr="00843CFD">
        <w:rPr>
          <w:rFonts w:ascii="Book Antiqua" w:hAnsi="Book Antiqua"/>
          <w:i/>
        </w:rPr>
        <w:t>World J Gastroenterol</w:t>
      </w:r>
      <w:r w:rsidRPr="00843CFD">
        <w:rPr>
          <w:rFonts w:ascii="Book Antiqua" w:hAnsi="Book Antiqua"/>
        </w:rPr>
        <w:t xml:space="preserve"> 2008; </w:t>
      </w:r>
      <w:r w:rsidRPr="00843CFD">
        <w:rPr>
          <w:rFonts w:ascii="Book Antiqua" w:hAnsi="Book Antiqua"/>
          <w:b/>
        </w:rPr>
        <w:t>14</w:t>
      </w:r>
      <w:r w:rsidRPr="00843CFD">
        <w:rPr>
          <w:rFonts w:ascii="Book Antiqua" w:hAnsi="Book Antiqua"/>
        </w:rPr>
        <w:t>: 331-337 [PMID: 18200656</w:t>
      </w:r>
      <w:r w:rsidR="001761CA" w:rsidRPr="00843CFD">
        <w:rPr>
          <w:rFonts w:ascii="Book Antiqua" w:hAnsi="Book Antiqua"/>
          <w:lang w:eastAsia="zh-CN"/>
        </w:rPr>
        <w:t xml:space="preserve"> DOI: 10.3748/wjg.14.331</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4 </w:t>
      </w:r>
      <w:r w:rsidRPr="00843CFD">
        <w:rPr>
          <w:rFonts w:ascii="Book Antiqua" w:hAnsi="Book Antiqua"/>
          <w:b/>
        </w:rPr>
        <w:t>Brentnall TA</w:t>
      </w:r>
      <w:r w:rsidRPr="00843CFD">
        <w:rPr>
          <w:rFonts w:ascii="Book Antiqua" w:hAnsi="Book Antiqua"/>
        </w:rPr>
        <w:t xml:space="preserve">, Haggitt RC, Rabinovitch PS, Kimmey MB, Bronner MP, Levine DS, Kowdley KV, Stevens AC, Crispin DA, Emond M, Rubin CE. Risk and natural history of colonic neoplasia in patients with primary sclerosing cholangitis and ulcerative colitis. </w:t>
      </w:r>
      <w:r w:rsidRPr="00843CFD">
        <w:rPr>
          <w:rFonts w:ascii="Book Antiqua" w:hAnsi="Book Antiqua"/>
          <w:i/>
        </w:rPr>
        <w:t>Gastroenterology</w:t>
      </w:r>
      <w:r w:rsidRPr="00843CFD">
        <w:rPr>
          <w:rFonts w:ascii="Book Antiqua" w:hAnsi="Book Antiqua"/>
        </w:rPr>
        <w:t xml:space="preserve"> 1996; </w:t>
      </w:r>
      <w:r w:rsidRPr="00843CFD">
        <w:rPr>
          <w:rFonts w:ascii="Book Antiqua" w:hAnsi="Book Antiqua"/>
          <w:b/>
        </w:rPr>
        <w:t>110</w:t>
      </w:r>
      <w:r w:rsidRPr="00843CFD">
        <w:rPr>
          <w:rFonts w:ascii="Book Antiqua" w:hAnsi="Book Antiqua"/>
        </w:rPr>
        <w:t>: 331-338 [PMID: 8566577</w:t>
      </w:r>
      <w:r w:rsidR="001761CA" w:rsidRPr="00843CFD">
        <w:rPr>
          <w:rFonts w:ascii="Book Antiqua" w:hAnsi="Book Antiqua"/>
          <w:lang w:eastAsia="zh-CN"/>
        </w:rPr>
        <w:t xml:space="preserve"> DOI: 10.1053/gast.1996.v110.pm8566577</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5 </w:t>
      </w:r>
      <w:r w:rsidRPr="00843CFD">
        <w:rPr>
          <w:rFonts w:ascii="Book Antiqua" w:hAnsi="Book Antiqua"/>
          <w:b/>
        </w:rPr>
        <w:t>Pardi DS</w:t>
      </w:r>
      <w:r w:rsidRPr="00843CFD">
        <w:rPr>
          <w:rFonts w:ascii="Book Antiqua" w:hAnsi="Book Antiqua"/>
        </w:rPr>
        <w:t xml:space="preserve">, Loftus EV Jr, Kremers WK, Keach J, Lindor KD. Ursodeoxycholic acid as a chemopreventive agent in patients with ulcerative colitis and primary sclerosing cholangitis. </w:t>
      </w:r>
      <w:r w:rsidRPr="00843CFD">
        <w:rPr>
          <w:rFonts w:ascii="Book Antiqua" w:hAnsi="Book Antiqua"/>
          <w:i/>
        </w:rPr>
        <w:t>Gastroenterology</w:t>
      </w:r>
      <w:r w:rsidRPr="00843CFD">
        <w:rPr>
          <w:rFonts w:ascii="Book Antiqua" w:hAnsi="Book Antiqua"/>
        </w:rPr>
        <w:t xml:space="preserve"> 2003; </w:t>
      </w:r>
      <w:r w:rsidRPr="00843CFD">
        <w:rPr>
          <w:rFonts w:ascii="Book Antiqua" w:hAnsi="Book Antiqua"/>
          <w:b/>
        </w:rPr>
        <w:t>124</w:t>
      </w:r>
      <w:r w:rsidRPr="00843CFD">
        <w:rPr>
          <w:rFonts w:ascii="Book Antiqua" w:hAnsi="Book Antiqua"/>
        </w:rPr>
        <w:t>: 889-893 [PMID: 12671884 DOI: 10.1053/gast.2003.50156]</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6 </w:t>
      </w:r>
      <w:r w:rsidRPr="00843CFD">
        <w:rPr>
          <w:rFonts w:ascii="Book Antiqua" w:hAnsi="Book Antiqua"/>
          <w:b/>
        </w:rPr>
        <w:t>De Gottardi A</w:t>
      </w:r>
      <w:r w:rsidRPr="00843CFD">
        <w:rPr>
          <w:rFonts w:ascii="Book Antiqua" w:hAnsi="Book Antiqua"/>
        </w:rPr>
        <w:t xml:space="preserve">, Dumonceau JM, Bruttin F, Vonlaufen A, Morard I, Spahr L, Rubbia-Brandt L, Frossard JL, Dinjens WN, Rabinovitch PS, Hadengue A. Expression of the bile acid receptor FXR in Barrett's esophagus and enhancement of apoptosis by guggulsterone in vitro. </w:t>
      </w:r>
      <w:r w:rsidRPr="00843CFD">
        <w:rPr>
          <w:rFonts w:ascii="Book Antiqua" w:hAnsi="Book Antiqua"/>
          <w:i/>
        </w:rPr>
        <w:t>Mol Cancer</w:t>
      </w:r>
      <w:r w:rsidRPr="00843CFD">
        <w:rPr>
          <w:rFonts w:ascii="Book Antiqua" w:hAnsi="Book Antiqua"/>
        </w:rPr>
        <w:t xml:space="preserve"> 2006; </w:t>
      </w:r>
      <w:r w:rsidRPr="00843CFD">
        <w:rPr>
          <w:rFonts w:ascii="Book Antiqua" w:hAnsi="Book Antiqua"/>
          <w:b/>
        </w:rPr>
        <w:t>5</w:t>
      </w:r>
      <w:r w:rsidRPr="00843CFD">
        <w:rPr>
          <w:rFonts w:ascii="Book Antiqua" w:hAnsi="Book Antiqua"/>
        </w:rPr>
        <w:t>: 48 [PMID: 17054793 DOI: 10.1186/1476-4598-5-48]</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7 </w:t>
      </w:r>
      <w:r w:rsidRPr="00843CFD">
        <w:rPr>
          <w:rFonts w:ascii="Book Antiqua" w:hAnsi="Book Antiqua"/>
          <w:b/>
        </w:rPr>
        <w:t>Keitel V</w:t>
      </w:r>
      <w:r w:rsidRPr="00843CFD">
        <w:rPr>
          <w:rFonts w:ascii="Book Antiqua" w:hAnsi="Book Antiqua"/>
        </w:rPr>
        <w:t xml:space="preserve">, Kubitz R, Häussinger D. Endocrine and paracrine role of bile acids. </w:t>
      </w:r>
      <w:r w:rsidRPr="00843CFD">
        <w:rPr>
          <w:rFonts w:ascii="Book Antiqua" w:hAnsi="Book Antiqua"/>
          <w:i/>
        </w:rPr>
        <w:t>World J Gastroenterol</w:t>
      </w:r>
      <w:r w:rsidRPr="00843CFD">
        <w:rPr>
          <w:rFonts w:ascii="Book Antiqua" w:hAnsi="Book Antiqua"/>
        </w:rPr>
        <w:t xml:space="preserve"> 2008; </w:t>
      </w:r>
      <w:r w:rsidRPr="00843CFD">
        <w:rPr>
          <w:rFonts w:ascii="Book Antiqua" w:hAnsi="Book Antiqua"/>
          <w:b/>
        </w:rPr>
        <w:t>14</w:t>
      </w:r>
      <w:r w:rsidRPr="00843CFD">
        <w:rPr>
          <w:rFonts w:ascii="Book Antiqua" w:hAnsi="Book Antiqua"/>
        </w:rPr>
        <w:t>: 5620-5629 [PMID: 18837077</w:t>
      </w:r>
      <w:r w:rsidR="001761CA" w:rsidRPr="00843CFD">
        <w:rPr>
          <w:rFonts w:ascii="Book Antiqua" w:hAnsi="Book Antiqua"/>
          <w:lang w:eastAsia="zh-CN"/>
        </w:rPr>
        <w:t xml:space="preserve"> DOI: 10.3748/wjg.14.5620</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8 </w:t>
      </w:r>
      <w:r w:rsidRPr="00843CFD">
        <w:rPr>
          <w:rFonts w:ascii="Book Antiqua" w:hAnsi="Book Antiqua"/>
          <w:b/>
        </w:rPr>
        <w:t>Kurdi P</w:t>
      </w:r>
      <w:r w:rsidRPr="00843CFD">
        <w:rPr>
          <w:rFonts w:ascii="Book Antiqua" w:hAnsi="Book Antiqua"/>
        </w:rPr>
        <w:t xml:space="preserve">, van Veen HW, Tanaka H, Mierau I, Konings WN, Tannock GW, Tomita F, Yokota A. Cholic acid is accumulated spontaneously, driven by membrane deltapH, in many lactobacilli. </w:t>
      </w:r>
      <w:r w:rsidRPr="00843CFD">
        <w:rPr>
          <w:rFonts w:ascii="Book Antiqua" w:hAnsi="Book Antiqua"/>
          <w:i/>
        </w:rPr>
        <w:t>J Bacteriol</w:t>
      </w:r>
      <w:r w:rsidRPr="00843CFD">
        <w:rPr>
          <w:rFonts w:ascii="Book Antiqua" w:hAnsi="Book Antiqua"/>
        </w:rPr>
        <w:t xml:space="preserve"> 2000; </w:t>
      </w:r>
      <w:r w:rsidRPr="00843CFD">
        <w:rPr>
          <w:rFonts w:ascii="Book Antiqua" w:hAnsi="Book Antiqua"/>
          <w:b/>
        </w:rPr>
        <w:t>182</w:t>
      </w:r>
      <w:r w:rsidRPr="00843CFD">
        <w:rPr>
          <w:rFonts w:ascii="Book Antiqua" w:hAnsi="Book Antiqua"/>
        </w:rPr>
        <w:t>: 6525-6528 [PMID: 11053402</w:t>
      </w:r>
      <w:r w:rsidR="001761CA" w:rsidRPr="00843CFD">
        <w:rPr>
          <w:rFonts w:ascii="Book Antiqua" w:hAnsi="Book Antiqua"/>
          <w:lang w:eastAsia="zh-CN"/>
        </w:rPr>
        <w:t xml:space="preserve"> DOI: 10.1128/JB.182.22.6525-6528.2000</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9 </w:t>
      </w:r>
      <w:r w:rsidRPr="00843CFD">
        <w:rPr>
          <w:rFonts w:ascii="Book Antiqua" w:hAnsi="Book Antiqua"/>
          <w:b/>
        </w:rPr>
        <w:t>Silverberg MS</w:t>
      </w:r>
      <w:r w:rsidRPr="00843CFD">
        <w:rPr>
          <w:rFonts w:ascii="Book Antiqua" w:hAnsi="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843CFD">
        <w:rPr>
          <w:rFonts w:ascii="Book Antiqua" w:hAnsi="Book Antiqua"/>
          <w:i/>
        </w:rPr>
        <w:t>Can J Gastroenterol</w:t>
      </w:r>
      <w:r w:rsidRPr="00843CFD">
        <w:rPr>
          <w:rFonts w:ascii="Book Antiqua" w:hAnsi="Book Antiqua"/>
        </w:rPr>
        <w:t xml:space="preserve"> 2005; </w:t>
      </w:r>
      <w:r w:rsidRPr="00843CFD">
        <w:rPr>
          <w:rFonts w:ascii="Book Antiqua" w:hAnsi="Book Antiqua"/>
          <w:b/>
        </w:rPr>
        <w:t xml:space="preserve">19 </w:t>
      </w:r>
      <w:r w:rsidRPr="00843CFD">
        <w:rPr>
          <w:rFonts w:ascii="Book Antiqua" w:hAnsi="Book Antiqua"/>
        </w:rPr>
        <w:t>Suppl A: 5A-36A [PMID: 16151544]</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10 </w:t>
      </w:r>
      <w:r w:rsidRPr="00843CFD">
        <w:rPr>
          <w:rFonts w:ascii="Book Antiqua" w:hAnsi="Book Antiqua"/>
          <w:b/>
        </w:rPr>
        <w:t>Skrede S</w:t>
      </w:r>
      <w:r w:rsidRPr="00843CFD">
        <w:rPr>
          <w:rFonts w:ascii="Book Antiqua" w:hAnsi="Book Antiqua"/>
        </w:rPr>
        <w:t xml:space="preserve">, Solberg HE, Blomhoff JP, Gjone E. Bile acids measured in serum during fasting as a test for liver disease. </w:t>
      </w:r>
      <w:r w:rsidRPr="00843CFD">
        <w:rPr>
          <w:rFonts w:ascii="Book Antiqua" w:hAnsi="Book Antiqua"/>
          <w:i/>
        </w:rPr>
        <w:t>Clin Chem</w:t>
      </w:r>
      <w:r w:rsidRPr="00843CFD">
        <w:rPr>
          <w:rFonts w:ascii="Book Antiqua" w:hAnsi="Book Antiqua"/>
        </w:rPr>
        <w:t xml:space="preserve"> 1978; </w:t>
      </w:r>
      <w:r w:rsidRPr="00843CFD">
        <w:rPr>
          <w:rFonts w:ascii="Book Antiqua" w:hAnsi="Book Antiqua"/>
          <w:b/>
        </w:rPr>
        <w:t>24</w:t>
      </w:r>
      <w:r w:rsidRPr="00843CFD">
        <w:rPr>
          <w:rFonts w:ascii="Book Antiqua" w:hAnsi="Book Antiqua"/>
        </w:rPr>
        <w:t>: 1095-1099 [PMID: 657487]</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11 </w:t>
      </w:r>
      <w:r w:rsidRPr="00843CFD">
        <w:rPr>
          <w:rFonts w:ascii="Book Antiqua" w:hAnsi="Book Antiqua"/>
          <w:b/>
        </w:rPr>
        <w:t>Mashige F</w:t>
      </w:r>
      <w:r w:rsidRPr="00843CFD">
        <w:rPr>
          <w:rFonts w:ascii="Book Antiqua" w:hAnsi="Book Antiqua"/>
        </w:rPr>
        <w:t xml:space="preserve">, Tanaka N, Maki A, Kamei S, Yamanaka M. Direct spectrophotometry of total bile acids in serum. </w:t>
      </w:r>
      <w:r w:rsidRPr="00843CFD">
        <w:rPr>
          <w:rFonts w:ascii="Book Antiqua" w:hAnsi="Book Antiqua"/>
          <w:i/>
        </w:rPr>
        <w:t>Clin Chem</w:t>
      </w:r>
      <w:r w:rsidRPr="00843CFD">
        <w:rPr>
          <w:rFonts w:ascii="Book Antiqua" w:hAnsi="Book Antiqua"/>
        </w:rPr>
        <w:t xml:space="preserve"> 1981; </w:t>
      </w:r>
      <w:r w:rsidRPr="00843CFD">
        <w:rPr>
          <w:rFonts w:ascii="Book Antiqua" w:hAnsi="Book Antiqua"/>
          <w:b/>
        </w:rPr>
        <w:t>27</w:t>
      </w:r>
      <w:r w:rsidRPr="00843CFD">
        <w:rPr>
          <w:rFonts w:ascii="Book Antiqua" w:hAnsi="Book Antiqua"/>
        </w:rPr>
        <w:t>: 1352-1356 [PMID: 6895053]</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12 </w:t>
      </w:r>
      <w:r w:rsidRPr="00843CFD">
        <w:rPr>
          <w:rFonts w:ascii="Book Antiqua" w:hAnsi="Book Antiqua"/>
          <w:b/>
        </w:rPr>
        <w:t>Janzen N</w:t>
      </w:r>
      <w:r w:rsidRPr="00843CFD">
        <w:rPr>
          <w:rFonts w:ascii="Book Antiqua" w:hAnsi="Book Antiqua"/>
        </w:rPr>
        <w:t xml:space="preserve">, Sander S, Terhardt M, Das AM, Sass JO, Kraetzner R, Rosewich H, Peter M, Sander J. Rapid quantification of conjugated and unconjugated bile acids and C27 precursors in dried blood spots and small volumes of serum. </w:t>
      </w:r>
      <w:r w:rsidRPr="00843CFD">
        <w:rPr>
          <w:rFonts w:ascii="Book Antiqua" w:hAnsi="Book Antiqua"/>
          <w:i/>
        </w:rPr>
        <w:t>J Lipid Res</w:t>
      </w:r>
      <w:r w:rsidRPr="00843CFD">
        <w:rPr>
          <w:rFonts w:ascii="Book Antiqua" w:hAnsi="Book Antiqua"/>
        </w:rPr>
        <w:t xml:space="preserve"> 2010; </w:t>
      </w:r>
      <w:r w:rsidRPr="00843CFD">
        <w:rPr>
          <w:rFonts w:ascii="Book Antiqua" w:hAnsi="Book Antiqua"/>
          <w:b/>
        </w:rPr>
        <w:t>51</w:t>
      </w:r>
      <w:r w:rsidRPr="00843CFD">
        <w:rPr>
          <w:rFonts w:ascii="Book Antiqua" w:hAnsi="Book Antiqua"/>
        </w:rPr>
        <w:t>: 1591-1598 [PMID: 20093478 DOI: 10.1194/jlr.D003814]</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13 </w:t>
      </w:r>
      <w:r w:rsidRPr="00843CFD">
        <w:rPr>
          <w:rFonts w:ascii="Book Antiqua" w:hAnsi="Book Antiqua"/>
          <w:b/>
        </w:rPr>
        <w:t>Musumba CO</w:t>
      </w:r>
      <w:r w:rsidRPr="00843CFD">
        <w:rPr>
          <w:rFonts w:ascii="Book Antiqua" w:hAnsi="Book Antiqua"/>
        </w:rPr>
        <w:t xml:space="preserve">. Review article: the association between nodular regenerative hyperplasia, inflammatory bowel disease and thiopurine therapy. </w:t>
      </w:r>
      <w:r w:rsidRPr="00843CFD">
        <w:rPr>
          <w:rFonts w:ascii="Book Antiqua" w:hAnsi="Book Antiqua"/>
          <w:i/>
        </w:rPr>
        <w:t>Aliment Pharmacol Ther</w:t>
      </w:r>
      <w:r w:rsidRPr="00843CFD">
        <w:rPr>
          <w:rFonts w:ascii="Book Antiqua" w:hAnsi="Book Antiqua"/>
        </w:rPr>
        <w:t xml:space="preserve"> 2013; </w:t>
      </w:r>
      <w:r w:rsidRPr="00843CFD">
        <w:rPr>
          <w:rFonts w:ascii="Book Antiqua" w:hAnsi="Book Antiqua"/>
          <w:b/>
        </w:rPr>
        <w:t>38</w:t>
      </w:r>
      <w:r w:rsidRPr="00843CFD">
        <w:rPr>
          <w:rFonts w:ascii="Book Antiqua" w:hAnsi="Book Antiqua"/>
        </w:rPr>
        <w:t>: 1025-1037 [PMID: 24099468 DOI: 10.1111/apt.12490]</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14 </w:t>
      </w:r>
      <w:r w:rsidRPr="00843CFD">
        <w:rPr>
          <w:rFonts w:ascii="Book Antiqua" w:hAnsi="Book Antiqua"/>
          <w:b/>
        </w:rPr>
        <w:t>Ben Salem C</w:t>
      </w:r>
      <w:r w:rsidRPr="00843CFD">
        <w:rPr>
          <w:rFonts w:ascii="Book Antiqua" w:hAnsi="Book Antiqua"/>
        </w:rPr>
        <w:t xml:space="preserve">, Ben Salah L, Belajouza C, Bouraoui K. Azathioprine-induced severe cholestatic hepatitis in patient carrying TPMT*3C polymorphism. </w:t>
      </w:r>
      <w:r w:rsidRPr="00843CFD">
        <w:rPr>
          <w:rFonts w:ascii="Book Antiqua" w:hAnsi="Book Antiqua"/>
          <w:i/>
        </w:rPr>
        <w:t>Pharm World Sci</w:t>
      </w:r>
      <w:r w:rsidRPr="00843CFD">
        <w:rPr>
          <w:rFonts w:ascii="Book Antiqua" w:hAnsi="Book Antiqua"/>
        </w:rPr>
        <w:t xml:space="preserve"> 2010; </w:t>
      </w:r>
      <w:r w:rsidRPr="00843CFD">
        <w:rPr>
          <w:rFonts w:ascii="Book Antiqua" w:hAnsi="Book Antiqua"/>
          <w:b/>
        </w:rPr>
        <w:t>32</w:t>
      </w:r>
      <w:r w:rsidRPr="00843CFD">
        <w:rPr>
          <w:rFonts w:ascii="Book Antiqua" w:hAnsi="Book Antiqua"/>
        </w:rPr>
        <w:t>: 701-703 [PMID: 20972624 DOI: 10.1007/s11096-010-9443-4]</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15 </w:t>
      </w:r>
      <w:r w:rsidRPr="00843CFD">
        <w:rPr>
          <w:rFonts w:ascii="Book Antiqua" w:hAnsi="Book Antiqua"/>
          <w:b/>
        </w:rPr>
        <w:t>Biedermann L</w:t>
      </w:r>
      <w:r w:rsidRPr="00843CFD">
        <w:rPr>
          <w:rFonts w:ascii="Book Antiqua" w:hAnsi="Book Antiqua"/>
        </w:rPr>
        <w:t xml:space="preserve">, Brülisauer K, Zeitz J, Frei P, Scharl M, Vavricka SR, Fried M, Loessner MJ, Rogler G, Schuppler M. Smoking cessation alters intestinal microbiota: insights from quantitative investigations on human fecal samples using FISH. </w:t>
      </w:r>
      <w:r w:rsidRPr="00843CFD">
        <w:rPr>
          <w:rFonts w:ascii="Book Antiqua" w:hAnsi="Book Antiqua"/>
          <w:i/>
        </w:rPr>
        <w:t>Inflamm Bowel Dis</w:t>
      </w:r>
      <w:r w:rsidRPr="00843CFD">
        <w:rPr>
          <w:rFonts w:ascii="Book Antiqua" w:hAnsi="Book Antiqua"/>
        </w:rPr>
        <w:t xml:space="preserve"> 2014; </w:t>
      </w:r>
      <w:r w:rsidRPr="00843CFD">
        <w:rPr>
          <w:rFonts w:ascii="Book Antiqua" w:hAnsi="Book Antiqua"/>
          <w:b/>
        </w:rPr>
        <w:t>20</w:t>
      </w:r>
      <w:r w:rsidRPr="00843CFD">
        <w:rPr>
          <w:rFonts w:ascii="Book Antiqua" w:hAnsi="Book Antiqua"/>
        </w:rPr>
        <w:t>: 1496-1501 [PMID: 25072500 DOI: 10.1097/MIB.0000000000000129]</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16 </w:t>
      </w:r>
      <w:r w:rsidRPr="00843CFD">
        <w:rPr>
          <w:rFonts w:ascii="Book Antiqua" w:hAnsi="Book Antiqua"/>
          <w:b/>
        </w:rPr>
        <w:t>Lupton JR</w:t>
      </w:r>
      <w:r w:rsidRPr="00843CFD">
        <w:rPr>
          <w:rFonts w:ascii="Book Antiqua" w:hAnsi="Book Antiqua"/>
        </w:rPr>
        <w:t xml:space="preserve">, Steinbach G, Chang WC, O'Brien BC, Wiese S, Stoltzfus CL, Glober GA, Wargovich MJ, McPherson RS, Winn RJ. Calcium supplementation modifies the relative amounts of bile acids in bile and affects key aspects of human colon physiology. </w:t>
      </w:r>
      <w:r w:rsidRPr="00843CFD">
        <w:rPr>
          <w:rFonts w:ascii="Book Antiqua" w:hAnsi="Book Antiqua"/>
          <w:i/>
        </w:rPr>
        <w:t>J Nutr</w:t>
      </w:r>
      <w:r w:rsidRPr="00843CFD">
        <w:rPr>
          <w:rFonts w:ascii="Book Antiqua" w:hAnsi="Book Antiqua"/>
        </w:rPr>
        <w:t xml:space="preserve"> 1996; </w:t>
      </w:r>
      <w:r w:rsidRPr="00843CFD">
        <w:rPr>
          <w:rFonts w:ascii="Book Antiqua" w:hAnsi="Book Antiqua"/>
          <w:b/>
        </w:rPr>
        <w:t>126</w:t>
      </w:r>
      <w:r w:rsidRPr="00843CFD">
        <w:rPr>
          <w:rFonts w:ascii="Book Antiqua" w:hAnsi="Book Antiqua"/>
        </w:rPr>
        <w:t>: 1421-1428 [PMID: 8618139]</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17 </w:t>
      </w:r>
      <w:r w:rsidRPr="00843CFD">
        <w:rPr>
          <w:rFonts w:ascii="Book Antiqua" w:hAnsi="Book Antiqua"/>
          <w:b/>
        </w:rPr>
        <w:t>Gnewuch C</w:t>
      </w:r>
      <w:r w:rsidRPr="00843CFD">
        <w:rPr>
          <w:rFonts w:ascii="Book Antiqua" w:hAnsi="Book Antiqua"/>
        </w:rPr>
        <w:t xml:space="preserve">, Liebisch G, Langmann T, Dieplinger B, Mueller T, Haltmayer M, Dieplinger H, Zahn A, Stremmel W, Rogler G, Schmitz G. Serum bile acid profiling reflects enterohepatic detoxification state and intestinal barrier function in inflammatory bowel disease. </w:t>
      </w:r>
      <w:r w:rsidRPr="00843CFD">
        <w:rPr>
          <w:rFonts w:ascii="Book Antiqua" w:hAnsi="Book Antiqua"/>
          <w:i/>
        </w:rPr>
        <w:t>World J Gastroenterol</w:t>
      </w:r>
      <w:r w:rsidRPr="00843CFD">
        <w:rPr>
          <w:rFonts w:ascii="Book Antiqua" w:hAnsi="Book Antiqua"/>
        </w:rPr>
        <w:t xml:space="preserve"> 2009; </w:t>
      </w:r>
      <w:r w:rsidRPr="00843CFD">
        <w:rPr>
          <w:rFonts w:ascii="Book Antiqua" w:hAnsi="Book Antiqua"/>
          <w:b/>
        </w:rPr>
        <w:t>15</w:t>
      </w:r>
      <w:r w:rsidRPr="00843CFD">
        <w:rPr>
          <w:rFonts w:ascii="Book Antiqua" w:hAnsi="Book Antiqua"/>
        </w:rPr>
        <w:t>: 3134-3141 [PMID: 19575493</w:t>
      </w:r>
      <w:r w:rsidR="001761CA" w:rsidRPr="00843CFD">
        <w:rPr>
          <w:rFonts w:ascii="Book Antiqua" w:hAnsi="Book Antiqua"/>
          <w:lang w:eastAsia="zh-CN"/>
        </w:rPr>
        <w:t xml:space="preserve"> DOI: 10.3748/wjg.15.3134</w:t>
      </w:r>
      <w:r w:rsidRPr="00843CFD">
        <w:rPr>
          <w:rFonts w:ascii="Book Antiqua" w:hAnsi="Book Antiqua"/>
        </w:rPr>
        <w:t>]</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18 </w:t>
      </w:r>
      <w:r w:rsidRPr="00843CFD">
        <w:rPr>
          <w:rFonts w:ascii="Book Antiqua" w:hAnsi="Book Antiqua"/>
          <w:b/>
        </w:rPr>
        <w:t>Denk GU</w:t>
      </w:r>
      <w:r w:rsidRPr="00843CFD">
        <w:rPr>
          <w:rFonts w:ascii="Book Antiqua" w:hAnsi="Book Antiqua"/>
        </w:rPr>
        <w:t xml:space="preserve">, Maitz S, Wimmer R, Rust C, Invernizzi P, Ferdinandusse S, Kulik W, Fuchsbichler A, Fickert P, Trauner M, Hofmann AF, Beuers U. Conjugation is essential for the anticholestatic effect of NorUrsodeoxycholic acid in taurolithocholic acid-induced cholestasis in rat liver. </w:t>
      </w:r>
      <w:r w:rsidRPr="00843CFD">
        <w:rPr>
          <w:rFonts w:ascii="Book Antiqua" w:hAnsi="Book Antiqua"/>
          <w:i/>
        </w:rPr>
        <w:t>Hepatology</w:t>
      </w:r>
      <w:r w:rsidRPr="00843CFD">
        <w:rPr>
          <w:rFonts w:ascii="Book Antiqua" w:hAnsi="Book Antiqua"/>
        </w:rPr>
        <w:t xml:space="preserve"> 2010; </w:t>
      </w:r>
      <w:r w:rsidRPr="00843CFD">
        <w:rPr>
          <w:rFonts w:ascii="Book Antiqua" w:hAnsi="Book Antiqua"/>
          <w:b/>
        </w:rPr>
        <w:t>52</w:t>
      </w:r>
      <w:r w:rsidRPr="00843CFD">
        <w:rPr>
          <w:rFonts w:ascii="Book Antiqua" w:hAnsi="Book Antiqua"/>
        </w:rPr>
        <w:t>: 1758-1768 [PMID: 21038414 DOI: 10.1002/hep.23911]</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hAnsi="Book Antiqua"/>
        </w:rPr>
        <w:t xml:space="preserve">19 </w:t>
      </w:r>
      <w:r w:rsidRPr="00843CFD">
        <w:rPr>
          <w:rFonts w:ascii="Book Antiqua" w:hAnsi="Book Antiqua"/>
          <w:b/>
        </w:rPr>
        <w:t>Garbutt JT</w:t>
      </w:r>
      <w:r w:rsidRPr="00843CFD">
        <w:rPr>
          <w:rFonts w:ascii="Book Antiqua" w:hAnsi="Book Antiqua"/>
        </w:rPr>
        <w:t xml:space="preserve">, Heaton KW, Lack L, Tyor MP. Increased ratio of glycine- to taurine-conjugated bile salts in patients with ileal disorders. </w:t>
      </w:r>
      <w:r w:rsidRPr="00843CFD">
        <w:rPr>
          <w:rFonts w:ascii="Book Antiqua" w:hAnsi="Book Antiqua"/>
          <w:i/>
        </w:rPr>
        <w:t>Gastroenterology</w:t>
      </w:r>
      <w:r w:rsidRPr="00843CFD">
        <w:rPr>
          <w:rFonts w:ascii="Book Antiqua" w:hAnsi="Book Antiqua"/>
        </w:rPr>
        <w:t xml:space="preserve"> 1969; </w:t>
      </w:r>
      <w:r w:rsidRPr="00843CFD">
        <w:rPr>
          <w:rFonts w:ascii="Book Antiqua" w:hAnsi="Book Antiqua"/>
          <w:b/>
        </w:rPr>
        <w:t>56</w:t>
      </w:r>
      <w:r w:rsidRPr="00843CFD">
        <w:rPr>
          <w:rFonts w:ascii="Book Antiqua" w:hAnsi="Book Antiqua"/>
        </w:rPr>
        <w:t>: 711-720 [PMID: 4186005]</w:t>
      </w:r>
    </w:p>
    <w:p w:rsidR="00115C87" w:rsidRPr="00843CFD" w:rsidRDefault="00115C87" w:rsidP="000242B5">
      <w:pPr>
        <w:adjustRightInd w:val="0"/>
        <w:snapToGrid w:val="0"/>
        <w:spacing w:line="360" w:lineRule="auto"/>
        <w:jc w:val="both"/>
        <w:rPr>
          <w:rFonts w:ascii="Book Antiqua" w:hAnsi="Book Antiqua"/>
          <w:lang w:eastAsia="zh-CN"/>
        </w:rPr>
      </w:pPr>
      <w:r w:rsidRPr="00843CFD">
        <w:rPr>
          <w:rFonts w:ascii="Book Antiqua" w:hAnsi="Book Antiqua"/>
        </w:rPr>
        <w:t xml:space="preserve">20 </w:t>
      </w:r>
      <w:r w:rsidRPr="00843CFD">
        <w:rPr>
          <w:rFonts w:ascii="Book Antiqua" w:hAnsi="Book Antiqua"/>
          <w:b/>
        </w:rPr>
        <w:t>Duboc H</w:t>
      </w:r>
      <w:r w:rsidRPr="00843CFD">
        <w:rPr>
          <w:rFonts w:ascii="Book Antiqua" w:hAnsi="Book Antiqua"/>
        </w:rPr>
        <w:t xml:space="preserve">, Rajca S, Rainteau D, Benarous D, Maubert MA, Quervain E, Thomas G, Barbu V, Humbert L, Despras G, Bridonneau C, Dumetz F, Grill JP, Masliah J, Beaugerie L, Cosnes J, Chazouillères O, Poupon R, Wolf C, Mallet JM, Langella P, Trugnan G, Sokol H, Seksik P. Connecting dysbiosis, bile-acid dysmetabolism and gut inflammation in inflammatory bowel diseases. </w:t>
      </w:r>
      <w:r w:rsidRPr="00843CFD">
        <w:rPr>
          <w:rFonts w:ascii="Book Antiqua" w:hAnsi="Book Antiqua"/>
          <w:i/>
        </w:rPr>
        <w:t>Gut</w:t>
      </w:r>
      <w:r w:rsidRPr="00843CFD">
        <w:rPr>
          <w:rFonts w:ascii="Book Antiqua" w:hAnsi="Book Antiqua"/>
        </w:rPr>
        <w:t xml:space="preserve"> 2013; </w:t>
      </w:r>
      <w:r w:rsidRPr="00843CFD">
        <w:rPr>
          <w:rFonts w:ascii="Book Antiqua" w:hAnsi="Book Antiqua"/>
          <w:b/>
        </w:rPr>
        <w:t>62</w:t>
      </w:r>
      <w:r w:rsidRPr="00843CFD">
        <w:rPr>
          <w:rFonts w:ascii="Book Antiqua" w:hAnsi="Book Antiqua"/>
        </w:rPr>
        <w:t>: 531-539 [PMID: 22993202 DOI: 10.1136/gutjnl-2012-302578]</w:t>
      </w:r>
    </w:p>
    <w:bookmarkEnd w:id="56"/>
    <w:bookmarkEnd w:id="57"/>
    <w:p w:rsidR="00115C87" w:rsidRPr="00843CFD" w:rsidRDefault="00115C87" w:rsidP="000242B5">
      <w:pPr>
        <w:adjustRightInd w:val="0"/>
        <w:snapToGrid w:val="0"/>
        <w:spacing w:line="360" w:lineRule="auto"/>
        <w:jc w:val="both"/>
        <w:rPr>
          <w:rFonts w:ascii="Book Antiqua" w:hAnsi="Book Antiqua"/>
          <w:lang w:eastAsia="zh-CN"/>
        </w:rPr>
      </w:pPr>
    </w:p>
    <w:p w:rsidR="00115C87" w:rsidRPr="00843CFD" w:rsidRDefault="00115C87" w:rsidP="008E1461">
      <w:pPr>
        <w:wordWrap w:val="0"/>
        <w:adjustRightInd w:val="0"/>
        <w:snapToGrid w:val="0"/>
        <w:spacing w:line="360" w:lineRule="auto"/>
        <w:ind w:left="390" w:hangingChars="150" w:hanging="390"/>
        <w:jc w:val="right"/>
        <w:rPr>
          <w:rFonts w:ascii="Book Antiqua" w:hAnsi="Book Antiqua"/>
          <w:color w:val="000000"/>
          <w:lang w:eastAsia="zh-CN"/>
        </w:rPr>
      </w:pPr>
      <w:r w:rsidRPr="00843CFD">
        <w:rPr>
          <w:rFonts w:ascii="Book Antiqua" w:hAnsi="Book Antiqua"/>
          <w:b/>
          <w:bCs/>
          <w:color w:val="000000"/>
        </w:rPr>
        <w:t>P-Reviewer:</w:t>
      </w:r>
      <w:r w:rsidRPr="00843CFD">
        <w:rPr>
          <w:rFonts w:ascii="Book Antiqua" w:hAnsi="Book Antiqua"/>
          <w:bCs/>
          <w:color w:val="000000"/>
        </w:rPr>
        <w:t xml:space="preserve"> Abdel-Salam</w:t>
      </w:r>
      <w:r w:rsidRPr="00843CFD">
        <w:rPr>
          <w:rFonts w:ascii="Book Antiqua" w:hAnsi="Book Antiqua"/>
          <w:bCs/>
          <w:color w:val="000000"/>
          <w:lang w:eastAsia="zh-CN"/>
        </w:rPr>
        <w:t xml:space="preserve"> OM, </w:t>
      </w:r>
      <w:r w:rsidR="00791629" w:rsidRPr="00843CFD">
        <w:rPr>
          <w:rFonts w:ascii="Book Antiqua" w:hAnsi="Book Antiqua"/>
          <w:bCs/>
          <w:color w:val="000000"/>
          <w:lang w:eastAsia="zh-CN"/>
        </w:rPr>
        <w:t>Suzuki H</w:t>
      </w:r>
      <w:r w:rsidR="00791629">
        <w:rPr>
          <w:rFonts w:ascii="Book Antiqua" w:hAnsi="Book Antiqua" w:hint="eastAsia"/>
          <w:bCs/>
          <w:color w:val="000000"/>
          <w:lang w:eastAsia="zh-CN"/>
        </w:rPr>
        <w:t>,</w:t>
      </w:r>
      <w:r w:rsidR="00791629" w:rsidRPr="00843CFD">
        <w:rPr>
          <w:rFonts w:ascii="Book Antiqua" w:hAnsi="Book Antiqua"/>
          <w:bCs/>
          <w:color w:val="000000"/>
          <w:lang w:eastAsia="zh-CN"/>
        </w:rPr>
        <w:t xml:space="preserve"> </w:t>
      </w:r>
      <w:r w:rsidRPr="00843CFD">
        <w:rPr>
          <w:rFonts w:ascii="Book Antiqua" w:hAnsi="Book Antiqua"/>
          <w:bCs/>
          <w:color w:val="000000"/>
          <w:lang w:eastAsia="zh-CN"/>
        </w:rPr>
        <w:t xml:space="preserve">Zhang XQ </w:t>
      </w:r>
      <w:r w:rsidRPr="00843CFD">
        <w:rPr>
          <w:rFonts w:ascii="Book Antiqua" w:hAnsi="Book Antiqua"/>
          <w:b/>
          <w:bCs/>
          <w:color w:val="000000"/>
        </w:rPr>
        <w:t>S-Editor:</w:t>
      </w:r>
      <w:r w:rsidRPr="00843CFD">
        <w:rPr>
          <w:rFonts w:ascii="Book Antiqua" w:hAnsi="Book Antiqua"/>
          <w:b/>
          <w:bCs/>
          <w:color w:val="000000"/>
          <w:lang w:eastAsia="zh-CN"/>
        </w:rPr>
        <w:t xml:space="preserve"> </w:t>
      </w:r>
      <w:r w:rsidRPr="00843CFD">
        <w:rPr>
          <w:rFonts w:ascii="Book Antiqua" w:hAnsi="Book Antiqua"/>
          <w:bCs/>
          <w:color w:val="000000"/>
          <w:lang w:eastAsia="zh-CN"/>
        </w:rPr>
        <w:t>Cui LJ</w:t>
      </w:r>
    </w:p>
    <w:p w:rsidR="00115C87" w:rsidRPr="00843CFD" w:rsidRDefault="00115C87" w:rsidP="008E1461">
      <w:pPr>
        <w:adjustRightInd w:val="0"/>
        <w:snapToGrid w:val="0"/>
        <w:spacing w:line="360" w:lineRule="auto"/>
        <w:ind w:left="390" w:hangingChars="150" w:hanging="390"/>
        <w:jc w:val="right"/>
        <w:rPr>
          <w:rFonts w:ascii="Book Antiqua" w:hAnsi="Book Antiqua"/>
          <w:b/>
          <w:bCs/>
          <w:color w:val="000000"/>
        </w:rPr>
      </w:pPr>
      <w:r w:rsidRPr="00843CFD">
        <w:rPr>
          <w:rFonts w:ascii="Book Antiqua" w:hAnsi="Book Antiqua"/>
          <w:b/>
          <w:bCs/>
          <w:color w:val="000000"/>
        </w:rPr>
        <w:t>L-Editor:</w:t>
      </w:r>
      <w:r w:rsidRPr="00843CFD">
        <w:rPr>
          <w:rFonts w:ascii="Book Antiqua" w:hAnsi="Book Antiqua"/>
          <w:color w:val="000000"/>
        </w:rPr>
        <w:t xml:space="preserve"> </w:t>
      </w:r>
      <w:r w:rsidRPr="00843CFD">
        <w:rPr>
          <w:rFonts w:ascii="Book Antiqua" w:hAnsi="Book Antiqua"/>
          <w:b/>
          <w:bCs/>
          <w:color w:val="000000"/>
        </w:rPr>
        <w:t>E-Editor:</w:t>
      </w:r>
    </w:p>
    <w:p w:rsidR="00115C87" w:rsidRPr="00843CFD" w:rsidRDefault="00115C87" w:rsidP="000242B5">
      <w:pPr>
        <w:adjustRightInd w:val="0"/>
        <w:snapToGrid w:val="0"/>
        <w:spacing w:line="360" w:lineRule="auto"/>
        <w:ind w:left="360" w:hangingChars="150" w:hanging="360"/>
        <w:jc w:val="both"/>
        <w:rPr>
          <w:rFonts w:ascii="Book Antiqua" w:hAnsi="Book Antiqua"/>
          <w:color w:val="000000"/>
        </w:rPr>
      </w:pPr>
    </w:p>
    <w:p w:rsidR="00115C87" w:rsidRPr="00843CFD" w:rsidRDefault="00115C87" w:rsidP="000242B5">
      <w:pPr>
        <w:adjustRightInd w:val="0"/>
        <w:snapToGrid w:val="0"/>
        <w:spacing w:line="360" w:lineRule="auto"/>
        <w:jc w:val="both"/>
        <w:rPr>
          <w:rFonts w:ascii="Book Antiqua" w:eastAsia="MS Mincho" w:hAnsi="Book Antiqua"/>
        </w:rPr>
      </w:pPr>
      <w:r w:rsidRPr="00843CFD">
        <w:rPr>
          <w:rFonts w:ascii="Book Antiqua" w:eastAsia="MS Mincho" w:hAnsi="Book Antiqua"/>
          <w:b/>
        </w:rPr>
        <w:t>Specialty type:</w:t>
      </w:r>
      <w:r w:rsidRPr="00843CFD">
        <w:rPr>
          <w:rFonts w:ascii="Book Antiqua" w:eastAsia="MS Mincho" w:hAnsi="Book Antiqua"/>
        </w:rPr>
        <w:t xml:space="preserve"> </w:t>
      </w:r>
      <w:r w:rsidR="00791629" w:rsidRPr="00791629">
        <w:rPr>
          <w:rFonts w:ascii="Book Antiqua" w:eastAsia="MS Mincho" w:hAnsi="Book Antiqua"/>
        </w:rPr>
        <w:t xml:space="preserve">Medicine, </w:t>
      </w:r>
      <w:r w:rsidR="000826F2" w:rsidRPr="00791629">
        <w:rPr>
          <w:rFonts w:ascii="Book Antiqua" w:eastAsia="MS Mincho" w:hAnsi="Book Antiqua"/>
        </w:rPr>
        <w:t>research and ex</w:t>
      </w:r>
      <w:r w:rsidR="00791629" w:rsidRPr="00791629">
        <w:rPr>
          <w:rFonts w:ascii="Book Antiqua" w:eastAsia="MS Mincho" w:hAnsi="Book Antiqua"/>
        </w:rPr>
        <w:t>perimental</w:t>
      </w:r>
    </w:p>
    <w:p w:rsidR="00115C87" w:rsidRPr="00843CFD" w:rsidRDefault="00115C87" w:rsidP="000242B5">
      <w:pPr>
        <w:adjustRightInd w:val="0"/>
        <w:snapToGrid w:val="0"/>
        <w:spacing w:line="360" w:lineRule="auto"/>
        <w:jc w:val="both"/>
        <w:rPr>
          <w:rFonts w:ascii="Book Antiqua" w:hAnsi="Book Antiqua"/>
          <w:lang w:eastAsia="zh-CN"/>
        </w:rPr>
      </w:pPr>
      <w:r w:rsidRPr="00843CFD">
        <w:rPr>
          <w:rFonts w:ascii="Book Antiqua" w:eastAsia="MS Mincho" w:hAnsi="Book Antiqua"/>
          <w:b/>
        </w:rPr>
        <w:t>Country of origin:</w:t>
      </w:r>
      <w:r w:rsidRPr="00843CFD">
        <w:rPr>
          <w:rFonts w:ascii="Book Antiqua" w:hAnsi="Book Antiqua"/>
          <w:b/>
          <w:lang w:eastAsia="zh-CN"/>
        </w:rPr>
        <w:t xml:space="preserve"> </w:t>
      </w:r>
      <w:r w:rsidRPr="00843CFD">
        <w:rPr>
          <w:rFonts w:ascii="Book Antiqua" w:hAnsi="Book Antiqua"/>
          <w:lang w:eastAsia="zh-CN"/>
        </w:rPr>
        <w:t>Switzerland</w:t>
      </w:r>
    </w:p>
    <w:p w:rsidR="00115C87" w:rsidRPr="00843CFD" w:rsidRDefault="00115C87" w:rsidP="000242B5">
      <w:pPr>
        <w:adjustRightInd w:val="0"/>
        <w:snapToGrid w:val="0"/>
        <w:spacing w:line="360" w:lineRule="auto"/>
        <w:jc w:val="both"/>
        <w:rPr>
          <w:rFonts w:ascii="Book Antiqua" w:eastAsia="MS Mincho" w:hAnsi="Book Antiqua"/>
          <w:b/>
        </w:rPr>
      </w:pPr>
      <w:r w:rsidRPr="00843CFD">
        <w:rPr>
          <w:rFonts w:ascii="Book Antiqua" w:eastAsia="MS Mincho" w:hAnsi="Book Antiqua"/>
          <w:b/>
        </w:rPr>
        <w:t>Peer-review report classification</w:t>
      </w:r>
    </w:p>
    <w:p w:rsidR="00115C87" w:rsidRPr="00843CFD" w:rsidRDefault="00115C87" w:rsidP="000242B5">
      <w:pPr>
        <w:adjustRightInd w:val="0"/>
        <w:snapToGrid w:val="0"/>
        <w:spacing w:line="360" w:lineRule="auto"/>
        <w:jc w:val="both"/>
        <w:rPr>
          <w:rFonts w:ascii="Book Antiqua" w:eastAsia="MS Mincho" w:hAnsi="Book Antiqua"/>
        </w:rPr>
      </w:pPr>
      <w:r w:rsidRPr="00843CFD">
        <w:rPr>
          <w:rFonts w:ascii="Book Antiqua" w:eastAsia="MS Mincho" w:hAnsi="Book Antiqua"/>
        </w:rPr>
        <w:t>Grade A (Excellent): 0</w:t>
      </w:r>
    </w:p>
    <w:p w:rsidR="00115C87" w:rsidRPr="00843CFD" w:rsidRDefault="00115C87" w:rsidP="000242B5">
      <w:pPr>
        <w:adjustRightInd w:val="0"/>
        <w:snapToGrid w:val="0"/>
        <w:spacing w:line="360" w:lineRule="auto"/>
        <w:jc w:val="both"/>
        <w:rPr>
          <w:rFonts w:ascii="Book Antiqua" w:hAnsi="Book Antiqua"/>
          <w:lang w:eastAsia="zh-CN"/>
        </w:rPr>
      </w:pPr>
      <w:r w:rsidRPr="00843CFD">
        <w:rPr>
          <w:rFonts w:ascii="Book Antiqua" w:eastAsia="MS Mincho" w:hAnsi="Book Antiqua"/>
        </w:rPr>
        <w:t>Grade B (Very good):</w:t>
      </w:r>
      <w:r w:rsidRPr="00843CFD">
        <w:rPr>
          <w:rFonts w:ascii="Book Antiqua" w:hAnsi="Book Antiqua"/>
        </w:rPr>
        <w:t xml:space="preserve"> </w:t>
      </w:r>
      <w:r w:rsidRPr="00843CFD">
        <w:rPr>
          <w:rFonts w:ascii="Book Antiqua" w:hAnsi="Book Antiqua"/>
          <w:lang w:eastAsia="zh-CN"/>
        </w:rPr>
        <w:t>B</w:t>
      </w:r>
    </w:p>
    <w:p w:rsidR="00115C87" w:rsidRPr="00843CFD" w:rsidRDefault="00115C87" w:rsidP="000242B5">
      <w:pPr>
        <w:adjustRightInd w:val="0"/>
        <w:snapToGrid w:val="0"/>
        <w:spacing w:line="360" w:lineRule="auto"/>
        <w:jc w:val="both"/>
        <w:rPr>
          <w:rFonts w:ascii="Book Antiqua" w:eastAsia="MS Mincho" w:hAnsi="Book Antiqua"/>
          <w:lang w:eastAsia="zh-CN"/>
        </w:rPr>
      </w:pPr>
      <w:r w:rsidRPr="00843CFD">
        <w:rPr>
          <w:rFonts w:ascii="Book Antiqua" w:eastAsia="MS Mincho" w:hAnsi="Book Antiqua"/>
        </w:rPr>
        <w:t xml:space="preserve">Grade C (Good): </w:t>
      </w:r>
      <w:r w:rsidRPr="00843CFD">
        <w:rPr>
          <w:rFonts w:ascii="Book Antiqua" w:eastAsia="宋体" w:hAnsi="Book Antiqua"/>
          <w:lang w:eastAsia="zh-CN"/>
        </w:rPr>
        <w:t>C</w:t>
      </w:r>
    </w:p>
    <w:p w:rsidR="00115C87" w:rsidRPr="00843CFD" w:rsidRDefault="00115C87" w:rsidP="000242B5">
      <w:pPr>
        <w:adjustRightInd w:val="0"/>
        <w:snapToGrid w:val="0"/>
        <w:spacing w:line="360" w:lineRule="auto"/>
        <w:jc w:val="both"/>
        <w:rPr>
          <w:rFonts w:ascii="Book Antiqua" w:hAnsi="Book Antiqua"/>
          <w:lang w:eastAsia="zh-CN"/>
        </w:rPr>
      </w:pPr>
      <w:r w:rsidRPr="00843CFD">
        <w:rPr>
          <w:rFonts w:ascii="Book Antiqua" w:eastAsia="MS Mincho" w:hAnsi="Book Antiqua"/>
        </w:rPr>
        <w:t xml:space="preserve">Grade D (Fair): </w:t>
      </w:r>
      <w:r w:rsidRPr="00843CFD">
        <w:rPr>
          <w:rFonts w:ascii="Book Antiqua" w:hAnsi="Book Antiqua"/>
          <w:lang w:eastAsia="zh-CN"/>
        </w:rPr>
        <w:t>D</w:t>
      </w:r>
    </w:p>
    <w:p w:rsidR="00115C87" w:rsidRPr="00843CFD" w:rsidRDefault="00115C87" w:rsidP="000242B5">
      <w:pPr>
        <w:adjustRightInd w:val="0"/>
        <w:snapToGrid w:val="0"/>
        <w:spacing w:line="360" w:lineRule="auto"/>
        <w:jc w:val="both"/>
        <w:rPr>
          <w:rFonts w:ascii="Book Antiqua" w:hAnsi="Book Antiqua"/>
        </w:rPr>
      </w:pPr>
      <w:r w:rsidRPr="00843CFD">
        <w:rPr>
          <w:rFonts w:ascii="Book Antiqua" w:eastAsia="MS Mincho" w:hAnsi="Book Antiqua"/>
        </w:rPr>
        <w:t>Grade E (Poor): 0</w:t>
      </w:r>
    </w:p>
    <w:p w:rsidR="008758AC" w:rsidRPr="00843CFD" w:rsidRDefault="00115C87" w:rsidP="000242B5">
      <w:pPr>
        <w:jc w:val="both"/>
        <w:rPr>
          <w:rFonts w:ascii="Book Antiqua" w:hAnsi="Book Antiqua" w:cs="Arial"/>
          <w:lang w:eastAsia="zh-CN"/>
        </w:rPr>
      </w:pPr>
      <w:r w:rsidRPr="00843CFD">
        <w:rPr>
          <w:rFonts w:ascii="Book Antiqua" w:hAnsi="Book Antiqua" w:cs="Arial"/>
        </w:rPr>
        <w:br w:type="page"/>
      </w:r>
    </w:p>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noProof/>
          <w:lang w:val="en-US" w:eastAsia="en-US"/>
        </w:rPr>
        <w:drawing>
          <wp:inline distT="0" distB="0" distL="0" distR="0" wp14:anchorId="5958CD05" wp14:editId="3EBE26BD">
            <wp:extent cx="5615796" cy="4208494"/>
            <wp:effectExtent l="0" t="0" r="4445" b="1905"/>
            <wp:docPr id="1" name="Image 1" descr="F:\Gastro-Entérologie\Genève\Etudes\Etude cholestase\Article\AmJGastro\Figure 1 Am J Gastro jour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stro-Entérologie\Genève\Etudes\Etude cholestase\Article\AmJGastro\Figure 1 Am J Gastro jour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450" cy="4208235"/>
                    </a:xfrm>
                    <a:prstGeom prst="rect">
                      <a:avLst/>
                    </a:prstGeom>
                    <a:noFill/>
                    <a:ln>
                      <a:noFill/>
                    </a:ln>
                  </pic:spPr>
                </pic:pic>
              </a:graphicData>
            </a:graphic>
          </wp:inline>
        </w:drawing>
      </w:r>
    </w:p>
    <w:p w:rsidR="00E65A41" w:rsidRPr="00843CFD" w:rsidRDefault="008758AC"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t>Figure 1</w:t>
      </w:r>
      <w:r w:rsidR="00AC59FA" w:rsidRPr="00843CFD">
        <w:rPr>
          <w:rFonts w:ascii="Book Antiqua" w:hAnsi="Book Antiqua" w:cs="Arial"/>
          <w:b/>
          <w:lang w:val="en-US" w:eastAsia="zh-CN"/>
        </w:rPr>
        <w:t xml:space="preserve"> </w:t>
      </w:r>
      <w:r w:rsidRPr="00843CFD">
        <w:rPr>
          <w:rFonts w:ascii="Book Antiqua" w:hAnsi="Book Antiqua" w:cs="Arial"/>
          <w:b/>
          <w:lang w:val="en-US"/>
        </w:rPr>
        <w:t>Graphic representation of conjugated (%) or not conjugated primary, secondary</w:t>
      </w:r>
      <w:r w:rsidR="000242B5" w:rsidRPr="00843CFD">
        <w:rPr>
          <w:rFonts w:ascii="Book Antiqua" w:hAnsi="Book Antiqua" w:cs="Arial"/>
          <w:b/>
          <w:lang w:val="en-US" w:eastAsia="zh-CN"/>
        </w:rPr>
        <w:t xml:space="preserve"> </w:t>
      </w:r>
      <w:r w:rsidRPr="00843CFD">
        <w:rPr>
          <w:rFonts w:ascii="Book Antiqua" w:hAnsi="Book Antiqua" w:cs="Arial"/>
          <w:b/>
          <w:lang w:val="en-US"/>
        </w:rPr>
        <w:t>and tertiary</w:t>
      </w:r>
      <w:r w:rsidR="000242B5" w:rsidRPr="00843CFD">
        <w:rPr>
          <w:rFonts w:ascii="Book Antiqua" w:hAnsi="Book Antiqua" w:cs="Arial"/>
          <w:b/>
          <w:lang w:val="en-US" w:eastAsia="zh-CN"/>
        </w:rPr>
        <w:t xml:space="preserve"> </w:t>
      </w:r>
      <w:r w:rsidRPr="00843CFD">
        <w:rPr>
          <w:rFonts w:ascii="Book Antiqua" w:hAnsi="Book Antiqua" w:cs="Arial"/>
          <w:b/>
          <w:lang w:val="en-US"/>
        </w:rPr>
        <w:t>bile acids</w:t>
      </w:r>
      <w:r w:rsidR="000242B5" w:rsidRPr="00843CFD">
        <w:rPr>
          <w:rFonts w:ascii="Book Antiqua" w:hAnsi="Book Antiqua" w:cs="Arial"/>
          <w:b/>
          <w:lang w:val="en-US" w:eastAsia="zh-CN"/>
        </w:rPr>
        <w:t>.</w:t>
      </w:r>
    </w:p>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p w:rsidR="008758AC"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noProof/>
          <w:lang w:val="en-US" w:eastAsia="en-US"/>
        </w:rPr>
        <w:drawing>
          <wp:inline distT="0" distB="0" distL="0" distR="0" wp14:anchorId="1FE0E60C" wp14:editId="11E6157B">
            <wp:extent cx="5408762" cy="7217274"/>
            <wp:effectExtent l="0" t="0" r="1905" b="3175"/>
            <wp:docPr id="2" name="Image 2" descr="F:\Gastro-Entérologie\Genève\Etudes\Etude cholestase\Article\AmJGastro\Figure 2 Am J Gastro jour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astro-Entérologie\Genève\Etudes\Etude cholestase\Article\AmJGastro\Figure 2 Am J Gastro jour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592" cy="7219715"/>
                    </a:xfrm>
                    <a:prstGeom prst="rect">
                      <a:avLst/>
                    </a:prstGeom>
                    <a:noFill/>
                    <a:ln>
                      <a:noFill/>
                    </a:ln>
                  </pic:spPr>
                </pic:pic>
              </a:graphicData>
            </a:graphic>
          </wp:inline>
        </w:drawing>
      </w:r>
    </w:p>
    <w:p w:rsidR="008758AC" w:rsidRPr="00843CFD" w:rsidRDefault="008758AC"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t>Figure 2</w:t>
      </w:r>
      <w:r w:rsidR="00AC59FA" w:rsidRPr="00843CFD">
        <w:rPr>
          <w:rFonts w:ascii="Book Antiqua" w:hAnsi="Book Antiqua" w:cs="Arial"/>
          <w:b/>
          <w:lang w:val="en-US" w:eastAsia="zh-CN"/>
        </w:rPr>
        <w:t xml:space="preserve"> </w:t>
      </w:r>
      <w:r w:rsidRPr="00843CFD">
        <w:rPr>
          <w:rFonts w:ascii="Book Antiqua" w:hAnsi="Book Antiqua" w:cs="Arial"/>
          <w:b/>
          <w:lang w:val="en-US"/>
        </w:rPr>
        <w:t xml:space="preserve">Representation of bile acid subtypes in 3 different situations: </w:t>
      </w:r>
      <w:proofErr w:type="spellStart"/>
      <w:r w:rsidRPr="00843CFD">
        <w:rPr>
          <w:rFonts w:ascii="Book Antiqua" w:hAnsi="Book Antiqua" w:cs="Arial"/>
          <w:b/>
          <w:lang w:val="en-US"/>
        </w:rPr>
        <w:t>Ileal</w:t>
      </w:r>
      <w:proofErr w:type="spellEnd"/>
      <w:r w:rsidRPr="00843CFD">
        <w:rPr>
          <w:rFonts w:ascii="Book Antiqua" w:hAnsi="Book Antiqua" w:cs="Arial"/>
          <w:b/>
          <w:lang w:val="en-US"/>
        </w:rPr>
        <w:t xml:space="preserve"> </w:t>
      </w:r>
      <w:r w:rsidRPr="00843CFD">
        <w:rPr>
          <w:rFonts w:ascii="Book Antiqua" w:hAnsi="Book Antiqua" w:cs="Arial"/>
          <w:b/>
          <w:i/>
          <w:lang w:val="en-US"/>
        </w:rPr>
        <w:t xml:space="preserve">vs </w:t>
      </w:r>
      <w:r w:rsidRPr="00843CFD">
        <w:rPr>
          <w:rFonts w:ascii="Book Antiqua" w:hAnsi="Book Antiqua" w:cs="Arial"/>
          <w:b/>
          <w:lang w:val="en-US"/>
        </w:rPr>
        <w:t>colonic disease; inflammatory</w:t>
      </w:r>
      <w:r w:rsidR="00FE1973" w:rsidRPr="00843CFD">
        <w:rPr>
          <w:rFonts w:ascii="Book Antiqua" w:hAnsi="Book Antiqua" w:cs="Arial"/>
          <w:b/>
          <w:i/>
          <w:lang w:val="en-US"/>
        </w:rPr>
        <w:t xml:space="preserve"> vs</w:t>
      </w:r>
      <w:r w:rsidR="000242B5" w:rsidRPr="00843CFD">
        <w:rPr>
          <w:rFonts w:ascii="Book Antiqua" w:hAnsi="Book Antiqua" w:cs="Arial"/>
          <w:b/>
          <w:i/>
          <w:lang w:val="en-US" w:eastAsia="zh-CN"/>
        </w:rPr>
        <w:t xml:space="preserve"> </w:t>
      </w:r>
      <w:r w:rsidRPr="00843CFD">
        <w:rPr>
          <w:rFonts w:ascii="Book Antiqua" w:hAnsi="Book Antiqua" w:cs="Arial"/>
          <w:b/>
          <w:lang w:val="en-US"/>
        </w:rPr>
        <w:t>non-inflammatory disease and smokers and non-smokers.</w:t>
      </w:r>
      <w:r w:rsidR="00AC59FA" w:rsidRPr="00843CFD">
        <w:rPr>
          <w:rFonts w:ascii="Book Antiqua" w:hAnsi="Book Antiqua" w:cs="Arial"/>
          <w:b/>
          <w:lang w:val="en-US" w:eastAsia="zh-CN"/>
        </w:rPr>
        <w:t xml:space="preserve"> </w:t>
      </w:r>
      <w:r w:rsidRPr="00843CFD">
        <w:rPr>
          <w:rFonts w:ascii="Book Antiqua" w:hAnsi="Book Antiqua" w:cs="Arial"/>
          <w:lang w:val="en-US"/>
        </w:rPr>
        <w:t>TBA</w:t>
      </w:r>
      <w:r w:rsidR="00AC59FA" w:rsidRPr="00843CFD">
        <w:rPr>
          <w:rFonts w:ascii="Book Antiqua" w:hAnsi="Book Antiqua" w:cs="Arial"/>
          <w:lang w:val="en-US" w:eastAsia="zh-CN"/>
        </w:rPr>
        <w:t xml:space="preserve">: </w:t>
      </w:r>
      <w:r w:rsidR="00AC59FA" w:rsidRPr="00843CFD">
        <w:rPr>
          <w:rFonts w:ascii="Book Antiqua" w:hAnsi="Book Antiqua" w:cs="Arial"/>
          <w:lang w:val="en-US"/>
        </w:rPr>
        <w:t>T</w:t>
      </w:r>
      <w:r w:rsidRPr="00843CFD">
        <w:rPr>
          <w:rFonts w:ascii="Book Antiqua" w:hAnsi="Book Antiqua" w:cs="Arial"/>
          <w:lang w:val="en-US"/>
        </w:rPr>
        <w:t xml:space="preserve">otal bile acids; </w:t>
      </w:r>
      <w:bookmarkStart w:id="58" w:name="OLE_LINK1535"/>
      <w:bookmarkStart w:id="59" w:name="OLE_LINK1536"/>
      <w:r w:rsidRPr="00843CFD">
        <w:rPr>
          <w:rFonts w:ascii="Book Antiqua" w:hAnsi="Book Antiqua" w:cs="Arial"/>
          <w:lang w:val="en-US"/>
        </w:rPr>
        <w:t>CA</w:t>
      </w:r>
      <w:r w:rsidR="00AC59FA" w:rsidRPr="00843CFD">
        <w:rPr>
          <w:rFonts w:ascii="Book Antiqua" w:hAnsi="Book Antiqua" w:cs="Arial"/>
          <w:lang w:val="en-US" w:eastAsia="zh-CN"/>
        </w:rPr>
        <w:t xml:space="preserve">: </w:t>
      </w:r>
      <w:r w:rsidR="00AC59FA" w:rsidRPr="00843CFD">
        <w:rPr>
          <w:rFonts w:ascii="Book Antiqua" w:hAnsi="Book Antiqua" w:cs="Arial"/>
          <w:lang w:val="en-US"/>
        </w:rPr>
        <w:t>C</w:t>
      </w:r>
      <w:r w:rsidRPr="00843CFD">
        <w:rPr>
          <w:rFonts w:ascii="Book Antiqua" w:hAnsi="Book Antiqua" w:cs="Arial"/>
          <w:lang w:val="en-US"/>
        </w:rPr>
        <w:t>holic acid; CDC</w:t>
      </w:r>
      <w:r w:rsidR="00AC59FA" w:rsidRPr="00843CFD">
        <w:rPr>
          <w:rFonts w:ascii="Book Antiqua" w:hAnsi="Book Antiqua" w:cs="Arial"/>
          <w:lang w:val="en-US" w:eastAsia="zh-CN"/>
        </w:rPr>
        <w:t xml:space="preserve">: </w:t>
      </w:r>
      <w:proofErr w:type="spellStart"/>
      <w:r w:rsidR="00AC59FA" w:rsidRPr="00843CFD">
        <w:rPr>
          <w:rFonts w:ascii="Book Antiqua" w:hAnsi="Book Antiqua" w:cs="Arial"/>
          <w:lang w:val="en-US"/>
        </w:rPr>
        <w:t>C</w:t>
      </w:r>
      <w:r w:rsidRPr="00843CFD">
        <w:rPr>
          <w:rFonts w:ascii="Book Antiqua" w:hAnsi="Book Antiqua" w:cs="Arial"/>
          <w:lang w:val="en-US"/>
        </w:rPr>
        <w:t>henodeoxycholate</w:t>
      </w:r>
      <w:proofErr w:type="spellEnd"/>
      <w:r w:rsidRPr="00843CFD">
        <w:rPr>
          <w:rFonts w:ascii="Book Antiqua" w:hAnsi="Book Antiqua" w:cs="Arial"/>
          <w:lang w:val="en-US"/>
        </w:rPr>
        <w:t>; DC</w:t>
      </w:r>
      <w:r w:rsidR="00AC59FA" w:rsidRPr="00843CFD">
        <w:rPr>
          <w:rFonts w:ascii="Book Antiqua" w:hAnsi="Book Antiqua" w:cs="Arial"/>
          <w:lang w:val="en-US" w:eastAsia="zh-CN"/>
        </w:rPr>
        <w:t xml:space="preserve">: </w:t>
      </w:r>
      <w:proofErr w:type="spellStart"/>
      <w:r w:rsidR="00AC59FA" w:rsidRPr="00843CFD">
        <w:rPr>
          <w:rFonts w:ascii="Book Antiqua" w:hAnsi="Book Antiqua" w:cs="Arial"/>
          <w:lang w:val="en-US"/>
        </w:rPr>
        <w:t>D</w:t>
      </w:r>
      <w:r w:rsidRPr="00843CFD">
        <w:rPr>
          <w:rFonts w:ascii="Book Antiqua" w:hAnsi="Book Antiqua" w:cs="Arial"/>
          <w:lang w:val="en-US"/>
        </w:rPr>
        <w:t>eoxycholate</w:t>
      </w:r>
      <w:proofErr w:type="spellEnd"/>
      <w:r w:rsidRPr="00843CFD">
        <w:rPr>
          <w:rFonts w:ascii="Book Antiqua" w:hAnsi="Book Antiqua" w:cs="Arial"/>
          <w:lang w:val="en-US"/>
        </w:rPr>
        <w:t>; LCA</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L</w:t>
      </w:r>
      <w:r w:rsidRPr="00843CFD">
        <w:rPr>
          <w:rFonts w:ascii="Book Antiqua" w:hAnsi="Book Antiqua" w:cs="Arial"/>
          <w:lang w:val="en-US"/>
        </w:rPr>
        <w:t>ithocholic</w:t>
      </w:r>
      <w:proofErr w:type="spellEnd"/>
      <w:r w:rsidRPr="00843CFD">
        <w:rPr>
          <w:rFonts w:ascii="Book Antiqua" w:hAnsi="Book Antiqua" w:cs="Arial"/>
          <w:lang w:val="en-US"/>
        </w:rPr>
        <w:t xml:space="preserve"> acid; UDC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U</w:t>
      </w:r>
      <w:r w:rsidRPr="00843CFD">
        <w:rPr>
          <w:rFonts w:ascii="Book Antiqua" w:hAnsi="Book Antiqua" w:cs="Arial"/>
          <w:lang w:val="en-US"/>
        </w:rPr>
        <w:t>rsodeoxycholate</w:t>
      </w:r>
      <w:proofErr w:type="spellEnd"/>
      <w:r w:rsidRPr="00843CFD">
        <w:rPr>
          <w:rFonts w:ascii="Book Antiqua" w:hAnsi="Book Antiqua" w:cs="Arial"/>
          <w:lang w:val="en-US"/>
        </w:rPr>
        <w:t>; TC</w:t>
      </w:r>
      <w:r w:rsidR="00AC59FA" w:rsidRPr="00843CFD">
        <w:rPr>
          <w:rFonts w:ascii="Book Antiqua" w:hAnsi="Book Antiqua" w:cs="Arial"/>
          <w:lang w:val="en-US" w:eastAsia="zh-CN"/>
        </w:rPr>
        <w:t>:</w:t>
      </w:r>
      <w:r w:rsidRPr="00843CFD">
        <w:rPr>
          <w:rFonts w:ascii="Book Antiqua" w:hAnsi="Book Antiqua" w:cs="Arial"/>
          <w:lang w:val="en-US"/>
        </w:rPr>
        <w:t xml:space="preserve"> </w:t>
      </w:r>
      <w:r w:rsidR="00AC59FA" w:rsidRPr="00843CFD">
        <w:rPr>
          <w:rFonts w:ascii="Book Antiqua" w:hAnsi="Book Antiqua" w:cs="Arial"/>
          <w:lang w:val="en-US"/>
        </w:rPr>
        <w:t>T</w:t>
      </w:r>
      <w:r w:rsidRPr="00843CFD">
        <w:rPr>
          <w:rFonts w:ascii="Book Antiqua" w:hAnsi="Book Antiqua" w:cs="Arial"/>
          <w:lang w:val="en-US"/>
        </w:rPr>
        <w:t>aurocholate; GCA</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G</w:t>
      </w:r>
      <w:r w:rsidRPr="00843CFD">
        <w:rPr>
          <w:rFonts w:ascii="Book Antiqua" w:hAnsi="Book Antiqua" w:cs="Arial"/>
          <w:lang w:val="en-US"/>
        </w:rPr>
        <w:t>ylcocholate</w:t>
      </w:r>
      <w:proofErr w:type="spellEnd"/>
      <w:r w:rsidRPr="00843CFD">
        <w:rPr>
          <w:rFonts w:ascii="Book Antiqua" w:hAnsi="Book Antiqua" w:cs="Arial"/>
          <w:lang w:val="en-US"/>
        </w:rPr>
        <w:t xml:space="preserve"> acid; TCDC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T</w:t>
      </w:r>
      <w:r w:rsidRPr="00843CFD">
        <w:rPr>
          <w:rFonts w:ascii="Book Antiqua" w:hAnsi="Book Antiqua" w:cs="Arial"/>
          <w:lang w:val="en-US"/>
        </w:rPr>
        <w:t>aurochenodeoxycholate</w:t>
      </w:r>
      <w:proofErr w:type="spellEnd"/>
      <w:r w:rsidRPr="00843CFD">
        <w:rPr>
          <w:rFonts w:ascii="Book Antiqua" w:hAnsi="Book Antiqua" w:cs="Arial"/>
          <w:lang w:val="en-US"/>
        </w:rPr>
        <w:t>; GCDC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G</w:t>
      </w:r>
      <w:r w:rsidRPr="00843CFD">
        <w:rPr>
          <w:rFonts w:ascii="Book Antiqua" w:hAnsi="Book Antiqua" w:cs="Arial"/>
          <w:lang w:val="en-US"/>
        </w:rPr>
        <w:t>lycochenodeoxycholate</w:t>
      </w:r>
      <w:proofErr w:type="spellEnd"/>
      <w:r w:rsidRPr="00843CFD">
        <w:rPr>
          <w:rFonts w:ascii="Book Antiqua" w:hAnsi="Book Antiqua" w:cs="Arial"/>
          <w:lang w:val="en-US"/>
        </w:rPr>
        <w:t>; TDC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T</w:t>
      </w:r>
      <w:r w:rsidRPr="00843CFD">
        <w:rPr>
          <w:rFonts w:ascii="Book Antiqua" w:hAnsi="Book Antiqua" w:cs="Arial"/>
          <w:lang w:val="en-US"/>
        </w:rPr>
        <w:t>aurodeoxycholate</w:t>
      </w:r>
      <w:proofErr w:type="spellEnd"/>
      <w:r w:rsidRPr="00843CFD">
        <w:rPr>
          <w:rFonts w:ascii="Book Antiqua" w:hAnsi="Book Antiqua" w:cs="Arial"/>
          <w:lang w:val="en-US"/>
        </w:rPr>
        <w:t>; GDC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G</w:t>
      </w:r>
      <w:r w:rsidRPr="00843CFD">
        <w:rPr>
          <w:rFonts w:ascii="Book Antiqua" w:hAnsi="Book Antiqua" w:cs="Arial"/>
          <w:lang w:val="en-US"/>
        </w:rPr>
        <w:t>lycodeoxycholate</w:t>
      </w:r>
      <w:proofErr w:type="spellEnd"/>
      <w:r w:rsidRPr="00843CFD">
        <w:rPr>
          <w:rFonts w:ascii="Book Antiqua" w:hAnsi="Book Antiqua" w:cs="Arial"/>
          <w:lang w:val="en-US"/>
        </w:rPr>
        <w:t>; TLC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T</w:t>
      </w:r>
      <w:r w:rsidRPr="00843CFD">
        <w:rPr>
          <w:rFonts w:ascii="Book Antiqua" w:hAnsi="Book Antiqua" w:cs="Arial"/>
          <w:lang w:val="en-US"/>
        </w:rPr>
        <w:t>aurolithocholate</w:t>
      </w:r>
      <w:proofErr w:type="spellEnd"/>
      <w:r w:rsidRPr="00843CFD">
        <w:rPr>
          <w:rFonts w:ascii="Book Antiqua" w:hAnsi="Book Antiqua" w:cs="Arial"/>
          <w:lang w:val="en-US"/>
        </w:rPr>
        <w:t>; GLC</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G</w:t>
      </w:r>
      <w:r w:rsidRPr="00843CFD">
        <w:rPr>
          <w:rFonts w:ascii="Book Antiqua" w:hAnsi="Book Antiqua" w:cs="Arial"/>
          <w:lang w:val="en-US"/>
        </w:rPr>
        <w:t>lycolithocholate</w:t>
      </w:r>
      <w:proofErr w:type="spellEnd"/>
      <w:r w:rsidRPr="00843CFD">
        <w:rPr>
          <w:rFonts w:ascii="Book Antiqua" w:hAnsi="Book Antiqua" w:cs="Arial"/>
          <w:lang w:val="en-US"/>
        </w:rPr>
        <w:t>; TUDC</w:t>
      </w:r>
      <w:r w:rsidR="00791629">
        <w:rPr>
          <w:rFonts w:ascii="Book Antiqua" w:hAnsi="Book Antiqua" w:cs="Arial" w:hint="eastAsia"/>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T</w:t>
      </w:r>
      <w:r w:rsidRPr="00843CFD">
        <w:rPr>
          <w:rFonts w:ascii="Book Antiqua" w:hAnsi="Book Antiqua" w:cs="Arial"/>
          <w:lang w:val="en-US"/>
        </w:rPr>
        <w:t>auroursodeoxycholate</w:t>
      </w:r>
      <w:proofErr w:type="spellEnd"/>
      <w:r w:rsidRPr="00843CFD">
        <w:rPr>
          <w:rFonts w:ascii="Book Antiqua" w:hAnsi="Book Antiqua" w:cs="Arial"/>
          <w:lang w:val="en-US"/>
        </w:rPr>
        <w:t>; GUDC</w:t>
      </w:r>
      <w:r w:rsidR="00791629">
        <w:rPr>
          <w:rFonts w:ascii="Book Antiqua" w:hAnsi="Book Antiqua" w:cs="Arial" w:hint="eastAsia"/>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G</w:t>
      </w:r>
      <w:r w:rsidRPr="00843CFD">
        <w:rPr>
          <w:rFonts w:ascii="Book Antiqua" w:hAnsi="Book Antiqua" w:cs="Arial"/>
          <w:lang w:val="en-US"/>
        </w:rPr>
        <w:t>lycoursodeoxycholate</w:t>
      </w:r>
      <w:proofErr w:type="spellEnd"/>
      <w:r w:rsidRPr="00843CFD">
        <w:rPr>
          <w:rFonts w:ascii="Book Antiqua" w:hAnsi="Book Antiqua" w:cs="Arial"/>
          <w:lang w:val="en-US"/>
        </w:rPr>
        <w:t xml:space="preserve">; </w:t>
      </w:r>
      <w:bookmarkStart w:id="60" w:name="OLE_LINK1527"/>
      <w:bookmarkStart w:id="61" w:name="OLE_LINK1528"/>
      <w:r w:rsidRPr="00843CFD">
        <w:rPr>
          <w:rFonts w:ascii="Book Antiqua" w:hAnsi="Book Antiqua" w:cs="Arial"/>
          <w:lang w:val="en-US"/>
        </w:rPr>
        <w:t>DHCA</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D</w:t>
      </w:r>
      <w:r w:rsidRPr="00843CFD">
        <w:rPr>
          <w:rFonts w:ascii="Book Antiqua" w:hAnsi="Book Antiqua" w:cs="Arial"/>
          <w:lang w:val="en-US"/>
        </w:rPr>
        <w:t>ihydroxycholestanoic</w:t>
      </w:r>
      <w:proofErr w:type="spellEnd"/>
      <w:r w:rsidRPr="00843CFD">
        <w:rPr>
          <w:rFonts w:ascii="Book Antiqua" w:hAnsi="Book Antiqua" w:cs="Arial"/>
          <w:lang w:val="en-US"/>
        </w:rPr>
        <w:t xml:space="preserve"> acid; THCA</w:t>
      </w:r>
      <w:r w:rsidR="00AC59FA" w:rsidRPr="00843CFD">
        <w:rPr>
          <w:rFonts w:ascii="Book Antiqua" w:hAnsi="Book Antiqua" w:cs="Arial"/>
          <w:lang w:val="en-US" w:eastAsia="zh-CN"/>
        </w:rPr>
        <w:t>:</w:t>
      </w:r>
      <w:r w:rsidRPr="00843CFD">
        <w:rPr>
          <w:rFonts w:ascii="Book Antiqua" w:hAnsi="Book Antiqua" w:cs="Arial"/>
          <w:lang w:val="en-US"/>
        </w:rPr>
        <w:t xml:space="preserve"> </w:t>
      </w:r>
      <w:proofErr w:type="spellStart"/>
      <w:r w:rsidR="00AC59FA" w:rsidRPr="00843CFD">
        <w:rPr>
          <w:rFonts w:ascii="Book Antiqua" w:hAnsi="Book Antiqua" w:cs="Arial"/>
          <w:lang w:val="en-US"/>
        </w:rPr>
        <w:t>T</w:t>
      </w:r>
      <w:r w:rsidRPr="00843CFD">
        <w:rPr>
          <w:rFonts w:ascii="Book Antiqua" w:hAnsi="Book Antiqua" w:cs="Arial"/>
          <w:lang w:val="en-US"/>
        </w:rPr>
        <w:t>rihydroxycholestanoic</w:t>
      </w:r>
      <w:proofErr w:type="spellEnd"/>
      <w:r w:rsidRPr="00843CFD">
        <w:rPr>
          <w:rFonts w:ascii="Book Antiqua" w:hAnsi="Book Antiqua" w:cs="Arial"/>
          <w:lang w:val="en-US"/>
        </w:rPr>
        <w:t xml:space="preserve"> acid; </w:t>
      </w:r>
      <w:bookmarkEnd w:id="60"/>
      <w:bookmarkEnd w:id="61"/>
      <w:r w:rsidRPr="00843CFD">
        <w:rPr>
          <w:rFonts w:ascii="Book Antiqua" w:hAnsi="Book Antiqua" w:cs="Arial"/>
          <w:lang w:val="en-US"/>
        </w:rPr>
        <w:t>CA+CDC/DC+LCA</w:t>
      </w:r>
      <w:r w:rsidR="00AC59FA" w:rsidRPr="00843CFD">
        <w:rPr>
          <w:rFonts w:ascii="Book Antiqua" w:hAnsi="Book Antiqua" w:cs="Arial"/>
          <w:lang w:val="en-US" w:eastAsia="zh-CN"/>
        </w:rPr>
        <w:t>:</w:t>
      </w:r>
      <w:r w:rsidRPr="00843CFD">
        <w:rPr>
          <w:rFonts w:ascii="Book Antiqua" w:hAnsi="Book Antiqua" w:cs="Arial"/>
          <w:lang w:val="en-US"/>
        </w:rPr>
        <w:t xml:space="preserve"> </w:t>
      </w:r>
      <w:r w:rsidR="00AC59FA" w:rsidRPr="00843CFD">
        <w:rPr>
          <w:rFonts w:ascii="Book Antiqua" w:hAnsi="Book Antiqua" w:cs="Arial"/>
          <w:lang w:val="en-US"/>
        </w:rPr>
        <w:t>P</w:t>
      </w:r>
      <w:r w:rsidRPr="00843CFD">
        <w:rPr>
          <w:rFonts w:ascii="Book Antiqua" w:hAnsi="Book Antiqua" w:cs="Arial"/>
          <w:lang w:val="en-US"/>
        </w:rPr>
        <w:t>rimary bile acids on secondary bile acids ratio; CA+CDC/TBA</w:t>
      </w:r>
      <w:r w:rsidR="00AC59FA" w:rsidRPr="00843CFD">
        <w:rPr>
          <w:rFonts w:ascii="Book Antiqua" w:hAnsi="Book Antiqua" w:cs="Arial"/>
          <w:lang w:val="en-US" w:eastAsia="zh-CN"/>
        </w:rPr>
        <w:t>:</w:t>
      </w:r>
      <w:r w:rsidRPr="00843CFD">
        <w:rPr>
          <w:rFonts w:ascii="Book Antiqua" w:hAnsi="Book Antiqua" w:cs="Arial"/>
          <w:lang w:val="en-US"/>
        </w:rPr>
        <w:t xml:space="preserve"> </w:t>
      </w:r>
      <w:r w:rsidR="00AC59FA" w:rsidRPr="00843CFD">
        <w:rPr>
          <w:rFonts w:ascii="Book Antiqua" w:hAnsi="Book Antiqua" w:cs="Arial"/>
          <w:lang w:val="en-US"/>
        </w:rPr>
        <w:t>P</w:t>
      </w:r>
      <w:r w:rsidRPr="00843CFD">
        <w:rPr>
          <w:rFonts w:ascii="Book Antiqua" w:hAnsi="Book Antiqua" w:cs="Arial"/>
          <w:lang w:val="en-US"/>
        </w:rPr>
        <w:t>rimary bile acids on TBA ratio; GCA+GCDC/TC+TCDC</w:t>
      </w:r>
      <w:r w:rsidR="00AC59FA" w:rsidRPr="00843CFD">
        <w:rPr>
          <w:rFonts w:ascii="Book Antiqua" w:hAnsi="Book Antiqua" w:cs="Arial"/>
          <w:lang w:val="en-US" w:eastAsia="zh-CN"/>
        </w:rPr>
        <w:t>:</w:t>
      </w:r>
      <w:r w:rsidRPr="00843CFD">
        <w:rPr>
          <w:rFonts w:ascii="Book Antiqua" w:hAnsi="Book Antiqua" w:cs="Arial"/>
          <w:lang w:val="en-US"/>
        </w:rPr>
        <w:t xml:space="preserve"> </w:t>
      </w:r>
      <w:r w:rsidR="00AC59FA" w:rsidRPr="00843CFD">
        <w:rPr>
          <w:rFonts w:ascii="Book Antiqua" w:hAnsi="Book Antiqua" w:cs="Arial"/>
          <w:lang w:val="en-US"/>
        </w:rPr>
        <w:t>C</w:t>
      </w:r>
      <w:r w:rsidRPr="00843CFD">
        <w:rPr>
          <w:rFonts w:ascii="Book Antiqua" w:hAnsi="Book Antiqua" w:cs="Arial"/>
          <w:lang w:val="en-US"/>
        </w:rPr>
        <w:t>onjugated primary bile acids with glycine on taurine ratio; GDC+GLC/TDC+TLC</w:t>
      </w:r>
      <w:r w:rsidR="00AC59FA" w:rsidRPr="00843CFD">
        <w:rPr>
          <w:rFonts w:ascii="Book Antiqua" w:hAnsi="Book Antiqua" w:cs="Arial"/>
          <w:lang w:val="en-US" w:eastAsia="zh-CN"/>
        </w:rPr>
        <w:t>:</w:t>
      </w:r>
      <w:r w:rsidRPr="00843CFD">
        <w:rPr>
          <w:rFonts w:ascii="Book Antiqua" w:hAnsi="Book Antiqua" w:cs="Arial"/>
          <w:lang w:val="en-US"/>
        </w:rPr>
        <w:t xml:space="preserve"> </w:t>
      </w:r>
      <w:r w:rsidR="00AC59FA" w:rsidRPr="00843CFD">
        <w:rPr>
          <w:rFonts w:ascii="Book Antiqua" w:hAnsi="Book Antiqua" w:cs="Arial"/>
          <w:lang w:val="en-US"/>
        </w:rPr>
        <w:t>C</w:t>
      </w:r>
      <w:r w:rsidRPr="00843CFD">
        <w:rPr>
          <w:rFonts w:ascii="Book Antiqua" w:hAnsi="Book Antiqua" w:cs="Arial"/>
          <w:lang w:val="en-US"/>
        </w:rPr>
        <w:t>onjugated secondary bile acids with glycine on taurine ratio</w:t>
      </w:r>
      <w:bookmarkEnd w:id="58"/>
      <w:bookmarkEnd w:id="59"/>
      <w:r w:rsidRPr="00843CFD">
        <w:rPr>
          <w:rFonts w:ascii="Book Antiqua" w:hAnsi="Book Antiqua" w:cs="Arial"/>
          <w:lang w:val="en-US"/>
        </w:rPr>
        <w:t>.</w:t>
      </w:r>
      <w:r w:rsidR="00AC59FA" w:rsidRPr="00843CFD">
        <w:rPr>
          <w:rFonts w:ascii="Book Antiqua" w:hAnsi="Book Antiqua" w:cs="Arial"/>
          <w:b/>
          <w:lang w:val="en-US" w:eastAsia="zh-CN"/>
        </w:rPr>
        <w:t xml:space="preserve"> </w:t>
      </w:r>
      <w:proofErr w:type="spellStart"/>
      <w:proofErr w:type="gramStart"/>
      <w:r w:rsidR="000242B5" w:rsidRPr="00843CFD">
        <w:rPr>
          <w:rFonts w:ascii="Book Antiqua" w:hAnsi="Book Antiqua" w:cs="Arial"/>
          <w:vertAlign w:val="superscript"/>
          <w:lang w:val="en-US" w:eastAsia="zh-CN"/>
        </w:rPr>
        <w:t>a</w:t>
      </w:r>
      <w:r w:rsidR="00AC59FA" w:rsidRPr="00843CFD">
        <w:rPr>
          <w:rFonts w:ascii="Book Antiqua" w:hAnsi="Book Antiqua" w:cs="Arial"/>
          <w:i/>
          <w:lang w:val="en-US"/>
        </w:rPr>
        <w:t>P</w:t>
      </w:r>
      <w:proofErr w:type="spellEnd"/>
      <w:proofErr w:type="gramEnd"/>
      <w:r w:rsidR="00AC59FA" w:rsidRPr="00843CFD">
        <w:rPr>
          <w:rFonts w:ascii="Book Antiqua" w:hAnsi="Book Antiqua" w:cs="Arial"/>
          <w:lang w:val="en-US" w:eastAsia="zh-CN"/>
        </w:rPr>
        <w:t xml:space="preserve"> </w:t>
      </w:r>
      <w:r w:rsidRPr="00843CFD">
        <w:rPr>
          <w:rFonts w:ascii="Book Antiqua" w:hAnsi="Book Antiqua" w:cs="Arial"/>
          <w:lang w:val="en-US"/>
        </w:rPr>
        <w:t>&lt;</w:t>
      </w:r>
      <w:r w:rsidR="00AC59FA" w:rsidRPr="00843CFD">
        <w:rPr>
          <w:rFonts w:ascii="Book Antiqua" w:hAnsi="Book Antiqua" w:cs="Arial"/>
          <w:lang w:val="en-US" w:eastAsia="zh-CN"/>
        </w:rPr>
        <w:t xml:space="preserve"> </w:t>
      </w:r>
      <w:r w:rsidR="00AC59FA" w:rsidRPr="00843CFD">
        <w:rPr>
          <w:rFonts w:ascii="Book Antiqua" w:hAnsi="Book Antiqua" w:cs="Arial"/>
          <w:lang w:val="en-US"/>
        </w:rPr>
        <w:t xml:space="preserve">0.05; </w:t>
      </w:r>
      <w:proofErr w:type="spellStart"/>
      <w:r w:rsidR="000242B5" w:rsidRPr="00843CFD">
        <w:rPr>
          <w:rFonts w:ascii="Book Antiqua" w:hAnsi="Book Antiqua" w:cs="Arial"/>
          <w:vertAlign w:val="superscript"/>
          <w:lang w:val="en-US" w:eastAsia="zh-CN"/>
        </w:rPr>
        <w:t>b</w:t>
      </w:r>
      <w:r w:rsidR="00AC59FA" w:rsidRPr="00843CFD">
        <w:rPr>
          <w:rFonts w:ascii="Book Antiqua" w:hAnsi="Book Antiqua" w:cs="Arial"/>
          <w:i/>
          <w:lang w:val="en-US"/>
        </w:rPr>
        <w:t>P</w:t>
      </w:r>
      <w:proofErr w:type="spellEnd"/>
      <w:r w:rsidR="00AC59FA" w:rsidRPr="00843CFD">
        <w:rPr>
          <w:rFonts w:ascii="Book Antiqua" w:hAnsi="Book Antiqua" w:cs="Arial"/>
          <w:lang w:val="en-US" w:eastAsia="zh-CN"/>
        </w:rPr>
        <w:t xml:space="preserve"> </w:t>
      </w:r>
      <w:r w:rsidRPr="00843CFD">
        <w:rPr>
          <w:rFonts w:ascii="Book Antiqua" w:hAnsi="Book Antiqua" w:cs="Arial"/>
          <w:lang w:val="en-US"/>
        </w:rPr>
        <w:t>&lt;</w:t>
      </w:r>
      <w:r w:rsidR="00AC59FA" w:rsidRPr="00843CFD">
        <w:rPr>
          <w:rFonts w:ascii="Book Antiqua" w:hAnsi="Book Antiqua" w:cs="Arial"/>
          <w:lang w:val="en-US" w:eastAsia="zh-CN"/>
        </w:rPr>
        <w:t xml:space="preserve"> </w:t>
      </w:r>
      <w:r w:rsidR="00AC59FA" w:rsidRPr="00843CFD">
        <w:rPr>
          <w:rFonts w:ascii="Book Antiqua" w:hAnsi="Book Antiqua" w:cs="Arial"/>
          <w:lang w:val="en-US"/>
        </w:rPr>
        <w:t xml:space="preserve">0.01; </w:t>
      </w:r>
      <w:proofErr w:type="spellStart"/>
      <w:r w:rsidR="000242B5" w:rsidRPr="00843CFD">
        <w:rPr>
          <w:rFonts w:ascii="Book Antiqua" w:hAnsi="Book Antiqua" w:cs="Arial"/>
          <w:vertAlign w:val="superscript"/>
          <w:lang w:val="en-US" w:eastAsia="zh-CN"/>
        </w:rPr>
        <w:t>e</w:t>
      </w:r>
      <w:r w:rsidR="00AC59FA" w:rsidRPr="00843CFD">
        <w:rPr>
          <w:rFonts w:ascii="Book Antiqua" w:hAnsi="Book Antiqua" w:cs="Arial"/>
          <w:i/>
          <w:lang w:val="en-US"/>
        </w:rPr>
        <w:t>P</w:t>
      </w:r>
      <w:proofErr w:type="spellEnd"/>
      <w:r w:rsidR="00AC59FA" w:rsidRPr="00843CFD">
        <w:rPr>
          <w:rFonts w:ascii="Book Antiqua" w:hAnsi="Book Antiqua" w:cs="Arial"/>
          <w:lang w:val="en-US" w:eastAsia="zh-CN"/>
        </w:rPr>
        <w:t xml:space="preserve"> </w:t>
      </w:r>
      <w:r w:rsidRPr="00843CFD">
        <w:rPr>
          <w:rFonts w:ascii="Book Antiqua" w:hAnsi="Book Antiqua" w:cs="Arial"/>
          <w:lang w:val="en-US"/>
        </w:rPr>
        <w:t>&lt;</w:t>
      </w:r>
      <w:r w:rsidR="00AC59FA" w:rsidRPr="00843CFD">
        <w:rPr>
          <w:rFonts w:ascii="Book Antiqua" w:hAnsi="Book Antiqua" w:cs="Arial"/>
          <w:lang w:val="en-US" w:eastAsia="zh-CN"/>
        </w:rPr>
        <w:t xml:space="preserve"> </w:t>
      </w:r>
      <w:r w:rsidR="00AC59FA" w:rsidRPr="00843CFD">
        <w:rPr>
          <w:rFonts w:ascii="Book Antiqua" w:hAnsi="Book Antiqua" w:cs="Arial"/>
          <w:lang w:val="en-US"/>
        </w:rPr>
        <w:t xml:space="preserve">0.001; </w:t>
      </w:r>
      <w:proofErr w:type="spellStart"/>
      <w:r w:rsidR="000242B5" w:rsidRPr="00843CFD">
        <w:rPr>
          <w:rFonts w:ascii="Book Antiqua" w:hAnsi="Book Antiqua" w:cs="Arial"/>
          <w:vertAlign w:val="superscript"/>
          <w:lang w:val="en-US" w:eastAsia="zh-CN"/>
        </w:rPr>
        <w:t>f</w:t>
      </w:r>
      <w:r w:rsidR="00AC59FA" w:rsidRPr="00843CFD">
        <w:rPr>
          <w:rFonts w:ascii="Book Antiqua" w:hAnsi="Book Antiqua" w:cs="Arial"/>
          <w:i/>
          <w:lang w:val="en-US"/>
        </w:rPr>
        <w:t>P</w:t>
      </w:r>
      <w:proofErr w:type="spellEnd"/>
      <w:r w:rsidR="00AC59FA" w:rsidRPr="00843CFD">
        <w:rPr>
          <w:rFonts w:ascii="Book Antiqua" w:hAnsi="Book Antiqua" w:cs="Arial"/>
          <w:lang w:val="en-US" w:eastAsia="zh-CN"/>
        </w:rPr>
        <w:t xml:space="preserve"> </w:t>
      </w:r>
      <w:r w:rsidRPr="00843CFD">
        <w:rPr>
          <w:rFonts w:ascii="Book Antiqua" w:hAnsi="Book Antiqua" w:cs="Arial"/>
          <w:lang w:val="en-US"/>
        </w:rPr>
        <w:t>&lt;</w:t>
      </w:r>
      <w:r w:rsidR="00AC59FA" w:rsidRPr="00843CFD">
        <w:rPr>
          <w:rFonts w:ascii="Book Antiqua" w:hAnsi="Book Antiqua" w:cs="Arial"/>
          <w:lang w:val="en-US" w:eastAsia="zh-CN"/>
        </w:rPr>
        <w:t xml:space="preserve"> </w:t>
      </w:r>
      <w:r w:rsidR="00AC59FA" w:rsidRPr="00843CFD">
        <w:rPr>
          <w:rFonts w:ascii="Book Antiqua" w:hAnsi="Book Antiqua" w:cs="Arial"/>
          <w:lang w:val="en-US"/>
        </w:rPr>
        <w:t xml:space="preserve">0.0001; </w:t>
      </w:r>
      <w:proofErr w:type="spellStart"/>
      <w:r w:rsidR="000242B5" w:rsidRPr="00843CFD">
        <w:rPr>
          <w:rFonts w:ascii="Book Antiqua" w:hAnsi="Book Antiqua" w:cs="Arial"/>
          <w:vertAlign w:val="superscript"/>
          <w:lang w:val="en-US" w:eastAsia="zh-CN"/>
        </w:rPr>
        <w:t>g</w:t>
      </w:r>
      <w:r w:rsidR="00AC59FA" w:rsidRPr="00843CFD">
        <w:rPr>
          <w:rFonts w:ascii="Book Antiqua" w:hAnsi="Book Antiqua" w:cs="Arial"/>
          <w:i/>
          <w:lang w:val="en-US"/>
        </w:rPr>
        <w:t>P</w:t>
      </w:r>
      <w:proofErr w:type="spellEnd"/>
      <w:r w:rsidR="00AC59FA" w:rsidRPr="00843CFD">
        <w:rPr>
          <w:rFonts w:ascii="Book Antiqua" w:hAnsi="Book Antiqua" w:cs="Arial"/>
          <w:lang w:val="en-US" w:eastAsia="zh-CN"/>
        </w:rPr>
        <w:t xml:space="preserve"> </w:t>
      </w:r>
      <w:r w:rsidRPr="00843CFD">
        <w:rPr>
          <w:rFonts w:ascii="Book Antiqua" w:hAnsi="Book Antiqua" w:cs="Arial"/>
          <w:lang w:val="en-US"/>
        </w:rPr>
        <w:t>&lt;</w:t>
      </w:r>
      <w:r w:rsidR="00AC59FA" w:rsidRPr="00843CFD">
        <w:rPr>
          <w:rFonts w:ascii="Book Antiqua" w:hAnsi="Book Antiqua" w:cs="Arial"/>
          <w:lang w:val="en-US" w:eastAsia="zh-CN"/>
        </w:rPr>
        <w:t xml:space="preserve"> </w:t>
      </w:r>
      <w:r w:rsidRPr="00843CFD">
        <w:rPr>
          <w:rFonts w:ascii="Book Antiqua" w:hAnsi="Book Antiqua" w:cs="Arial"/>
          <w:lang w:val="en-US"/>
        </w:rPr>
        <w:t>0.00001</w:t>
      </w:r>
      <w:r w:rsidR="00843CFD" w:rsidRPr="00843CFD">
        <w:rPr>
          <w:rFonts w:ascii="Book Antiqua" w:hAnsi="Book Antiqua" w:cs="Arial" w:hint="eastAsia"/>
          <w:lang w:val="en-US" w:eastAsia="zh-CN"/>
        </w:rPr>
        <w:t>.</w:t>
      </w:r>
    </w:p>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p w:rsidR="00E65A41" w:rsidRPr="00843CFD" w:rsidRDefault="00E65A41"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t>Table 1</w:t>
      </w:r>
      <w:r w:rsidR="00AC59FA" w:rsidRPr="00843CFD">
        <w:rPr>
          <w:rFonts w:ascii="Book Antiqua" w:hAnsi="Book Antiqua" w:cs="Arial"/>
          <w:b/>
          <w:lang w:val="en-US" w:eastAsia="zh-CN"/>
        </w:rPr>
        <w:t xml:space="preserve"> </w:t>
      </w:r>
      <w:r w:rsidRPr="00843CFD">
        <w:rPr>
          <w:rFonts w:ascii="Book Antiqua" w:hAnsi="Book Antiqua" w:cs="Arial"/>
          <w:b/>
          <w:lang w:val="en-US"/>
        </w:rPr>
        <w:t xml:space="preserve">Clinical </w:t>
      </w:r>
      <w:r w:rsidR="00866F9B" w:rsidRPr="00843CFD">
        <w:rPr>
          <w:rFonts w:ascii="Book Antiqua" w:hAnsi="Book Antiqua" w:cs="Arial"/>
          <w:b/>
          <w:lang w:val="en-US"/>
        </w:rPr>
        <w:t>characteristics of patien</w:t>
      </w:r>
      <w:r w:rsidRPr="00843CFD">
        <w:rPr>
          <w:rFonts w:ascii="Book Antiqua" w:hAnsi="Book Antiqua" w:cs="Arial"/>
          <w:b/>
          <w:lang w:val="en-US"/>
        </w:rPr>
        <w:t>ts</w:t>
      </w:r>
      <w:r w:rsidR="00AC59FA" w:rsidRPr="00843CFD">
        <w:rPr>
          <w:rFonts w:ascii="Book Antiqua" w:hAnsi="Book Antiqua" w:cs="Arial"/>
          <w:b/>
          <w:vertAlign w:val="superscript"/>
          <w:lang w:val="en-US" w:eastAsia="zh-CN"/>
        </w:rPr>
        <w:t>1</w:t>
      </w:r>
    </w:p>
    <w:tbl>
      <w:tblPr>
        <w:tblStyle w:val="TableGrid"/>
        <w:tblW w:w="0" w:type="auto"/>
        <w:tblLook w:val="04A0" w:firstRow="1" w:lastRow="0" w:firstColumn="1" w:lastColumn="0" w:noHBand="0" w:noVBand="1"/>
      </w:tblPr>
      <w:tblGrid>
        <w:gridCol w:w="2386"/>
        <w:gridCol w:w="2386"/>
        <w:gridCol w:w="2387"/>
        <w:gridCol w:w="2387"/>
      </w:tblGrid>
      <w:tr w:rsidR="00E65A41" w:rsidRPr="00843CFD" w:rsidTr="001A594D">
        <w:tc>
          <w:tcPr>
            <w:tcW w:w="2386" w:type="dxa"/>
            <w:tcBorders>
              <w:left w:val="nil"/>
              <w:bottom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7160" w:type="dxa"/>
            <w:gridSpan w:val="3"/>
            <w:tcBorders>
              <w:left w:val="nil"/>
              <w:bottom w:val="single" w:sz="4" w:space="0" w:color="auto"/>
              <w:right w:val="nil"/>
            </w:tcBorders>
            <w:shd w:val="clear" w:color="auto" w:fill="auto"/>
          </w:tcPr>
          <w:p w:rsidR="00E65A41" w:rsidRPr="00843CFD" w:rsidRDefault="00843CFD" w:rsidP="000242B5">
            <w:pPr>
              <w:adjustRightInd w:val="0"/>
              <w:snapToGrid w:val="0"/>
              <w:spacing w:line="360" w:lineRule="auto"/>
              <w:jc w:val="both"/>
              <w:rPr>
                <w:rFonts w:ascii="Book Antiqua" w:hAnsi="Book Antiqua" w:cs="Arial"/>
                <w:b/>
                <w:lang w:val="en-US"/>
              </w:rPr>
            </w:pPr>
            <w:r>
              <w:rPr>
                <w:rFonts w:ascii="Book Antiqua" w:hAnsi="Book Antiqua" w:cs="Arial"/>
                <w:b/>
                <w:lang w:val="en-US"/>
              </w:rPr>
              <w:t>No</w:t>
            </w:r>
            <w:r>
              <w:rPr>
                <w:rFonts w:ascii="Book Antiqua" w:hAnsi="Book Antiqua" w:cs="Arial" w:hint="eastAsia"/>
                <w:b/>
                <w:lang w:val="en-US" w:eastAsia="zh-CN"/>
              </w:rPr>
              <w:t xml:space="preserve"> </w:t>
            </w:r>
            <w:r w:rsidR="00E65A41" w:rsidRPr="00843CFD">
              <w:rPr>
                <w:rFonts w:ascii="Book Antiqua" w:hAnsi="Book Antiqua" w:cs="Arial"/>
                <w:b/>
                <w:lang w:val="en-US"/>
              </w:rPr>
              <w:t>(%)</w:t>
            </w:r>
          </w:p>
        </w:tc>
      </w:tr>
      <w:tr w:rsidR="00E65A41" w:rsidRPr="00843CFD" w:rsidTr="001A594D">
        <w:tc>
          <w:tcPr>
            <w:tcW w:w="2386" w:type="dxa"/>
            <w:tcBorders>
              <w:top w:val="nil"/>
              <w:left w:val="nil"/>
              <w:bottom w:val="single" w:sz="4" w:space="0" w:color="auto"/>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6" w:type="dxa"/>
            <w:tcBorders>
              <w:top w:val="single" w:sz="4" w:space="0" w:color="auto"/>
              <w:left w:val="nil"/>
              <w:bottom w:val="single" w:sz="4" w:space="0" w:color="auto"/>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TBA</w:t>
            </w:r>
            <w:r w:rsidR="003A59F3" w:rsidRPr="00843CFD">
              <w:rPr>
                <w:rFonts w:ascii="Book Antiqua" w:hAnsi="Book Antiqua" w:cs="Arial"/>
                <w:b/>
                <w:lang w:val="en-US" w:eastAsia="zh-CN"/>
              </w:rPr>
              <w:t xml:space="preserve"> </w:t>
            </w:r>
            <w:r w:rsidRPr="00843CFD">
              <w:rPr>
                <w:rFonts w:ascii="Book Antiqua" w:hAnsi="Book Antiqua" w:cs="Arial"/>
                <w:b/>
                <w:lang w:val="en-US"/>
              </w:rPr>
              <w:t>&gt;</w:t>
            </w:r>
            <w:r w:rsidR="003A59F3" w:rsidRPr="00843CFD">
              <w:rPr>
                <w:rFonts w:ascii="Book Antiqua" w:hAnsi="Book Antiqua" w:cs="Arial"/>
                <w:b/>
                <w:lang w:val="en-US" w:eastAsia="zh-CN"/>
              </w:rPr>
              <w:t xml:space="preserve"> </w:t>
            </w:r>
            <w:r w:rsidRPr="00843CFD">
              <w:rPr>
                <w:rFonts w:ascii="Book Antiqua" w:hAnsi="Book Antiqua" w:cs="Arial"/>
                <w:b/>
                <w:lang w:val="en-US"/>
              </w:rPr>
              <w:t>8</w:t>
            </w:r>
          </w:p>
          <w:p w:rsidR="00E65A41" w:rsidRPr="00843CFD" w:rsidRDefault="00E65A41"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w:t>
            </w:r>
            <w:r w:rsidR="003A59F3" w:rsidRPr="00843CFD">
              <w:rPr>
                <w:rFonts w:ascii="Book Antiqua" w:hAnsi="Book Antiqua" w:cs="Arial"/>
                <w:b/>
                <w:i/>
                <w:lang w:val="en-US" w:eastAsia="zh-CN"/>
              </w:rPr>
              <w:t>n</w:t>
            </w:r>
            <w:r w:rsidR="003A59F3" w:rsidRPr="00843CFD">
              <w:rPr>
                <w:rFonts w:ascii="Book Antiqua" w:hAnsi="Book Antiqua" w:cs="Arial"/>
                <w:b/>
                <w:lang w:val="en-US" w:eastAsia="zh-CN"/>
              </w:rPr>
              <w:t xml:space="preserve"> </w:t>
            </w:r>
            <w:r w:rsidRPr="00843CFD">
              <w:rPr>
                <w:rFonts w:ascii="Book Antiqua" w:hAnsi="Book Antiqua" w:cs="Arial"/>
                <w:b/>
                <w:lang w:val="en-US"/>
              </w:rPr>
              <w:t>=</w:t>
            </w:r>
            <w:r w:rsidR="003A59F3" w:rsidRPr="00843CFD">
              <w:rPr>
                <w:rFonts w:ascii="Book Antiqua" w:hAnsi="Book Antiqua" w:cs="Arial"/>
                <w:b/>
                <w:lang w:val="en-US" w:eastAsia="zh-CN"/>
              </w:rPr>
              <w:t xml:space="preserve"> </w:t>
            </w:r>
            <w:r w:rsidRPr="00843CFD">
              <w:rPr>
                <w:rFonts w:ascii="Book Antiqua" w:hAnsi="Book Antiqua" w:cs="Arial"/>
                <w:b/>
                <w:lang w:val="en-US"/>
              </w:rPr>
              <w:t>96)</w:t>
            </w:r>
          </w:p>
        </w:tc>
        <w:tc>
          <w:tcPr>
            <w:tcW w:w="2387" w:type="dxa"/>
            <w:tcBorders>
              <w:top w:val="single" w:sz="4" w:space="0" w:color="auto"/>
              <w:left w:val="nil"/>
              <w:bottom w:val="single" w:sz="4" w:space="0" w:color="auto"/>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TBA</w:t>
            </w:r>
            <w:r w:rsidR="003A59F3" w:rsidRPr="00843CFD">
              <w:rPr>
                <w:rFonts w:ascii="Book Antiqua" w:hAnsi="Book Antiqua" w:cs="Arial"/>
                <w:b/>
                <w:lang w:val="en-US" w:eastAsia="zh-CN"/>
              </w:rPr>
              <w:t xml:space="preserve"> </w:t>
            </w:r>
            <w:r w:rsidRPr="00843CFD">
              <w:rPr>
                <w:rFonts w:ascii="Book Antiqua" w:hAnsi="Book Antiqua" w:cs="Arial"/>
                <w:b/>
                <w:lang w:val="en-US"/>
              </w:rPr>
              <w:t>&lt;</w:t>
            </w:r>
            <w:r w:rsidR="003A59F3" w:rsidRPr="00843CFD">
              <w:rPr>
                <w:rFonts w:ascii="Book Antiqua" w:hAnsi="Book Antiqua" w:cs="Arial"/>
                <w:b/>
                <w:lang w:val="en-US" w:eastAsia="zh-CN"/>
              </w:rPr>
              <w:t xml:space="preserve"> </w:t>
            </w:r>
            <w:r w:rsidRPr="00843CFD">
              <w:rPr>
                <w:rFonts w:ascii="Book Antiqua" w:hAnsi="Book Antiqua" w:cs="Arial"/>
                <w:b/>
                <w:lang w:val="en-US"/>
              </w:rPr>
              <w:t>8</w:t>
            </w:r>
          </w:p>
          <w:p w:rsidR="00E65A41" w:rsidRPr="00843CFD" w:rsidRDefault="00E65A41"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w:t>
            </w:r>
            <w:r w:rsidR="003A59F3" w:rsidRPr="00843CFD">
              <w:rPr>
                <w:rFonts w:ascii="Book Antiqua" w:hAnsi="Book Antiqua" w:cs="Arial"/>
                <w:b/>
                <w:i/>
                <w:lang w:val="en-US" w:eastAsia="zh-CN"/>
              </w:rPr>
              <w:t>n</w:t>
            </w:r>
            <w:r w:rsidR="003A59F3" w:rsidRPr="00843CFD">
              <w:rPr>
                <w:rFonts w:ascii="Book Antiqua" w:hAnsi="Book Antiqua" w:cs="Arial"/>
                <w:b/>
                <w:lang w:val="en-US"/>
              </w:rPr>
              <w:t xml:space="preserve"> </w:t>
            </w:r>
            <w:r w:rsidRPr="00843CFD">
              <w:rPr>
                <w:rFonts w:ascii="Book Antiqua" w:hAnsi="Book Antiqua" w:cs="Arial"/>
                <w:b/>
                <w:lang w:val="en-US"/>
              </w:rPr>
              <w:t>=1246)</w:t>
            </w:r>
          </w:p>
        </w:tc>
        <w:tc>
          <w:tcPr>
            <w:tcW w:w="2387" w:type="dxa"/>
            <w:tcBorders>
              <w:top w:val="single" w:sz="4" w:space="0" w:color="auto"/>
              <w:left w:val="nil"/>
              <w:bottom w:val="single" w:sz="4" w:space="0" w:color="auto"/>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P</w:t>
            </w:r>
          </w:p>
        </w:tc>
      </w:tr>
      <w:tr w:rsidR="00E65A41" w:rsidRPr="00843CFD" w:rsidTr="001A594D">
        <w:tc>
          <w:tcPr>
            <w:tcW w:w="2386" w:type="dxa"/>
            <w:tcBorders>
              <w:top w:val="single" w:sz="4" w:space="0" w:color="auto"/>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 xml:space="preserve">Age, mean (SD), </w:t>
            </w:r>
            <w:proofErr w:type="spellStart"/>
            <w:r w:rsidRPr="00843CFD">
              <w:rPr>
                <w:rFonts w:ascii="Book Antiqua" w:hAnsi="Book Antiqua" w:cs="Arial"/>
                <w:lang w:val="en-US"/>
              </w:rPr>
              <w:t>y</w:t>
            </w:r>
            <w:r w:rsidR="003A59F3" w:rsidRPr="00843CFD">
              <w:rPr>
                <w:rFonts w:ascii="Book Antiqua" w:hAnsi="Book Antiqua" w:cs="Arial"/>
                <w:lang w:val="en-US" w:eastAsia="zh-CN"/>
              </w:rPr>
              <w:t>r</w:t>
            </w:r>
            <w:proofErr w:type="spellEnd"/>
          </w:p>
        </w:tc>
        <w:tc>
          <w:tcPr>
            <w:tcW w:w="2386" w:type="dxa"/>
            <w:tcBorders>
              <w:top w:val="single" w:sz="4" w:space="0" w:color="auto"/>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44 (1.6)</w:t>
            </w:r>
          </w:p>
        </w:tc>
        <w:tc>
          <w:tcPr>
            <w:tcW w:w="2387" w:type="dxa"/>
            <w:tcBorders>
              <w:top w:val="single" w:sz="4" w:space="0" w:color="auto"/>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41.5 (0.4)</w:t>
            </w:r>
          </w:p>
        </w:tc>
        <w:tc>
          <w:tcPr>
            <w:tcW w:w="2387" w:type="dxa"/>
            <w:tcBorders>
              <w:top w:val="single" w:sz="4" w:space="0" w:color="auto"/>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0.118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Male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60 (63)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639 (51)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0.027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Female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35 (36)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603 (48)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lang w:val="en-US"/>
              </w:rPr>
            </w:pPr>
            <w:r w:rsidRPr="00843CFD">
              <w:rPr>
                <w:rFonts w:ascii="Book Antiqua" w:hAnsi="Book Antiqua" w:cs="Arial"/>
                <w:lang w:val="en-US"/>
              </w:rPr>
              <w:t>CD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47 (49)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716 (57)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0.267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lang w:val="en-US"/>
              </w:rPr>
            </w:pPr>
            <w:r w:rsidRPr="00843CFD">
              <w:rPr>
                <w:rFonts w:ascii="Book Antiqua" w:hAnsi="Book Antiqua" w:cs="Arial"/>
                <w:lang w:val="en-US"/>
              </w:rPr>
              <w:t>UC</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45 (47)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498 (40)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lang w:val="en-US"/>
              </w:rPr>
            </w:pPr>
            <w:r w:rsidRPr="00843CFD">
              <w:rPr>
                <w:rFonts w:ascii="Book Antiqua" w:hAnsi="Book Antiqua" w:cs="Arial"/>
                <w:lang w:val="en-US"/>
              </w:rPr>
              <w:t>IC</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26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945E3B" w:rsidRPr="00843CFD" w:rsidTr="001A594D">
        <w:tc>
          <w:tcPr>
            <w:tcW w:w="2386" w:type="dxa"/>
            <w:tcBorders>
              <w:left w:val="nil"/>
              <w:right w:val="nil"/>
            </w:tcBorders>
            <w:shd w:val="clear" w:color="auto" w:fill="auto"/>
          </w:tcPr>
          <w:p w:rsidR="00945E3B" w:rsidRPr="00843CFD" w:rsidRDefault="00945E3B" w:rsidP="000242B5">
            <w:pPr>
              <w:adjustRightInd w:val="0"/>
              <w:snapToGrid w:val="0"/>
              <w:spacing w:line="360" w:lineRule="auto"/>
              <w:jc w:val="both"/>
              <w:rPr>
                <w:rFonts w:ascii="Book Antiqua" w:hAnsi="Book Antiqua" w:cs="Arial"/>
                <w:highlight w:val="yellow"/>
                <w:lang w:val="en-US" w:eastAsia="zh-CN"/>
              </w:rPr>
            </w:pPr>
            <w:r w:rsidRPr="00843CFD">
              <w:rPr>
                <w:rFonts w:ascii="Book Antiqua" w:hAnsi="Book Antiqua" w:cs="Arial"/>
                <w:lang w:val="en-US"/>
              </w:rPr>
              <w:t xml:space="preserve">Disease duration, mean (SD), </w:t>
            </w:r>
            <w:proofErr w:type="spellStart"/>
            <w:r w:rsidRPr="00843CFD">
              <w:rPr>
                <w:rFonts w:ascii="Book Antiqua" w:hAnsi="Book Antiqua" w:cs="Arial"/>
                <w:lang w:val="en-US"/>
              </w:rPr>
              <w:t>y</w:t>
            </w:r>
            <w:r w:rsidR="003A59F3" w:rsidRPr="00843CFD">
              <w:rPr>
                <w:rFonts w:ascii="Book Antiqua" w:hAnsi="Book Antiqua" w:cs="Arial"/>
                <w:lang w:val="en-US" w:eastAsia="zh-CN"/>
              </w:rPr>
              <w:t>r</w:t>
            </w:r>
            <w:proofErr w:type="spellEnd"/>
          </w:p>
        </w:tc>
        <w:tc>
          <w:tcPr>
            <w:tcW w:w="2386" w:type="dxa"/>
            <w:tcBorders>
              <w:left w:val="nil"/>
              <w:right w:val="nil"/>
            </w:tcBorders>
            <w:shd w:val="clear" w:color="auto" w:fill="auto"/>
          </w:tcPr>
          <w:p w:rsidR="00945E3B" w:rsidRPr="00843CFD" w:rsidRDefault="00945E3B" w:rsidP="000242B5">
            <w:pPr>
              <w:adjustRightInd w:val="0"/>
              <w:snapToGrid w:val="0"/>
              <w:spacing w:line="360" w:lineRule="auto"/>
              <w:jc w:val="both"/>
              <w:rPr>
                <w:rFonts w:ascii="Book Antiqua" w:hAnsi="Book Antiqua" w:cs="Arial"/>
                <w:highlight w:val="yellow"/>
                <w:lang w:val="en-US"/>
              </w:rPr>
            </w:pPr>
            <w:r w:rsidRPr="00843CFD">
              <w:rPr>
                <w:rFonts w:ascii="Book Antiqua" w:hAnsi="Book Antiqua" w:cs="Arial"/>
                <w:lang w:val="en-US"/>
              </w:rPr>
              <w:t>11 (1.2)</w:t>
            </w:r>
          </w:p>
        </w:tc>
        <w:tc>
          <w:tcPr>
            <w:tcW w:w="2387" w:type="dxa"/>
            <w:tcBorders>
              <w:left w:val="nil"/>
              <w:right w:val="nil"/>
            </w:tcBorders>
            <w:shd w:val="clear" w:color="auto" w:fill="auto"/>
          </w:tcPr>
          <w:p w:rsidR="00945E3B" w:rsidRPr="00843CFD" w:rsidRDefault="00945E3B" w:rsidP="000242B5">
            <w:pPr>
              <w:adjustRightInd w:val="0"/>
              <w:snapToGrid w:val="0"/>
              <w:spacing w:line="360" w:lineRule="auto"/>
              <w:jc w:val="both"/>
              <w:rPr>
                <w:rFonts w:ascii="Book Antiqua" w:hAnsi="Book Antiqua" w:cs="Arial"/>
                <w:highlight w:val="yellow"/>
                <w:lang w:val="en-US"/>
              </w:rPr>
            </w:pPr>
            <w:r w:rsidRPr="00843CFD">
              <w:rPr>
                <w:rFonts w:ascii="Book Antiqua" w:hAnsi="Book Antiqua" w:cs="Arial"/>
                <w:lang w:val="en-US"/>
              </w:rPr>
              <w:t>9.8 (0.3)</w:t>
            </w:r>
          </w:p>
        </w:tc>
        <w:tc>
          <w:tcPr>
            <w:tcW w:w="2387" w:type="dxa"/>
            <w:tcBorders>
              <w:left w:val="nil"/>
              <w:right w:val="nil"/>
            </w:tcBorders>
            <w:shd w:val="clear" w:color="auto" w:fill="auto"/>
          </w:tcPr>
          <w:p w:rsidR="00945E3B" w:rsidRPr="00843CFD" w:rsidRDefault="00945E3B"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0.446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lang w:val="en-US"/>
              </w:rPr>
            </w:pPr>
            <w:r w:rsidRPr="00843CFD">
              <w:rPr>
                <w:rFonts w:ascii="Book Antiqua" w:hAnsi="Book Antiqua" w:cs="Arial"/>
                <w:lang w:val="en-US"/>
              </w:rPr>
              <w:t>CDAI, mean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92.8 (8.7)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82.1 (2.7)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0.316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lang w:val="en-US"/>
              </w:rPr>
            </w:pPr>
            <w:r w:rsidRPr="00843CFD">
              <w:rPr>
                <w:rFonts w:ascii="Book Antiqua" w:hAnsi="Book Antiqua" w:cs="Arial"/>
                <w:shd w:val="clear" w:color="auto" w:fill="FFFFFF"/>
                <w:lang w:val="en-US"/>
              </w:rPr>
              <w:t>MTWI</w:t>
            </w:r>
            <w:r w:rsidRPr="00843CFD">
              <w:rPr>
                <w:rFonts w:ascii="Book Antiqua" w:hAnsi="Book Antiqua" w:cs="Arial"/>
                <w:lang w:val="en-US"/>
              </w:rPr>
              <w:t>, mean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3.6 (0.6)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4.1 (0.2)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0.436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Smokers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16 (17)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339 (27)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0.023</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Non smokers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80 (83)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903 (72)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rPr>
            </w:pPr>
            <w:r w:rsidRPr="00843CFD">
              <w:rPr>
                <w:rFonts w:ascii="Book Antiqua" w:hAnsi="Book Antiqua" w:cs="Arial"/>
                <w:color w:val="000000"/>
              </w:rPr>
              <w:t>Extra intestinal manifestations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Arthritis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21 (22)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362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0.133</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Uveitis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4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68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0.588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 xml:space="preserve">Pyoderma </w:t>
            </w:r>
            <w:proofErr w:type="spellStart"/>
            <w:r w:rsidRPr="00843CFD">
              <w:rPr>
                <w:rFonts w:ascii="Book Antiqua" w:hAnsi="Book Antiqua" w:cs="Arial"/>
                <w:color w:val="000000"/>
                <w:lang w:val="en-US"/>
              </w:rPr>
              <w:t>gangrenosum</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12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0.938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 xml:space="preserve">Erythema </w:t>
            </w:r>
            <w:proofErr w:type="spellStart"/>
            <w:r w:rsidRPr="00843CFD">
              <w:rPr>
                <w:rFonts w:ascii="Book Antiqua" w:hAnsi="Book Antiqua" w:cs="Arial"/>
                <w:color w:val="000000"/>
                <w:lang w:val="en-US"/>
              </w:rPr>
              <w:t>nodosum</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4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42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0.679</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Oral soars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70 (6)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0.867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proofErr w:type="spellStart"/>
            <w:r w:rsidRPr="00843CFD">
              <w:rPr>
                <w:rFonts w:ascii="Book Antiqua" w:hAnsi="Book Antiqua" w:cs="Arial"/>
                <w:color w:val="000000"/>
                <w:lang w:val="en-US"/>
              </w:rPr>
              <w:t>Spondylarthritis</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52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0.617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Primary sclerosing cholangitis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10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0.00007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Colorectal cancer</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0.533</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bookmarkStart w:id="62" w:name="OLE_LINK1529"/>
            <w:bookmarkStart w:id="63" w:name="OLE_LINK1530"/>
            <w:r w:rsidRPr="00843CFD">
              <w:rPr>
                <w:rFonts w:ascii="Book Antiqua" w:hAnsi="Book Antiqua" w:cs="Arial"/>
                <w:color w:val="000000"/>
                <w:lang w:val="en-US"/>
              </w:rPr>
              <w:t>Colonic dysplasia</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0.364</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Lymphoma</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N</w:t>
            </w:r>
            <w:r w:rsidR="00843CFD" w:rsidRPr="00843CFD">
              <w:rPr>
                <w:rFonts w:ascii="Book Antiqua" w:hAnsi="Book Antiqua" w:cs="Arial"/>
              </w:rPr>
              <w:t>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Osteoporosis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17 (18)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184 (15)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0.436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Anemia</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11 (11)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229 (18)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0.088</w:t>
            </w:r>
          </w:p>
        </w:tc>
      </w:tr>
      <w:bookmarkEnd w:id="62"/>
      <w:bookmarkEnd w:id="63"/>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Thrombosis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20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0.011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Gallstone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0.145</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Urinary stones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38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0.591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Malabsorption</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38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0.247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Lab values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 xml:space="preserve">TBA, </w:t>
            </w:r>
            <w:r w:rsidR="00FE1973" w:rsidRPr="00843CFD">
              <w:rPr>
                <w:rFonts w:ascii="Book Antiqua" w:hAnsi="Book Antiqua" w:cs="Arial"/>
                <w:color w:val="000000"/>
                <w:lang w:val="en-US" w:eastAsia="fr-CH"/>
              </w:rPr>
              <w:t>μmol/L</w:t>
            </w:r>
            <w:r w:rsidRPr="00843CFD">
              <w:rPr>
                <w:rFonts w:ascii="Book Antiqua" w:hAnsi="Book Antiqua" w:cs="Arial"/>
                <w:color w:val="000000"/>
                <w:lang w:val="en-US"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21.9 (5.5)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3.1 (0.1)</w:t>
            </w:r>
          </w:p>
        </w:tc>
        <w:tc>
          <w:tcPr>
            <w:tcW w:w="2387" w:type="dxa"/>
            <w:tcBorders>
              <w:left w:val="nil"/>
              <w:right w:val="nil"/>
            </w:tcBorders>
            <w:shd w:val="clear" w:color="auto" w:fill="auto"/>
          </w:tcPr>
          <w:p w:rsidR="00E65A41" w:rsidRPr="00843CFD" w:rsidRDefault="00843CFD" w:rsidP="000242B5">
            <w:pPr>
              <w:adjustRightInd w:val="0"/>
              <w:snapToGrid w:val="0"/>
              <w:spacing w:line="360" w:lineRule="auto"/>
              <w:jc w:val="both"/>
              <w:rPr>
                <w:rFonts w:ascii="Book Antiqua" w:hAnsi="Book Antiqua" w:cs="Arial"/>
                <w:lang w:val="en-US"/>
              </w:rPr>
            </w:pPr>
            <w:r>
              <w:rPr>
                <w:rFonts w:ascii="Book Antiqua" w:hAnsi="Book Antiqua" w:cs="Arial"/>
                <w:lang w:val="en-US"/>
              </w:rPr>
              <w:t>1.361</w:t>
            </w:r>
            <w:r w:rsidR="00E65A41" w:rsidRPr="00843CFD">
              <w:rPr>
                <w:rFonts w:ascii="Book Antiqua" w:hAnsi="Book Antiqua" w:cs="Arial"/>
                <w:lang w:val="en-US"/>
              </w:rPr>
              <w:t>E-30</w:t>
            </w: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CRP, mg/</w:t>
            </w:r>
            <w:r w:rsidR="00843CFD" w:rsidRPr="00843CFD">
              <w:rPr>
                <w:rFonts w:ascii="Book Antiqua" w:hAnsi="Book Antiqua" w:cs="Arial"/>
                <w:color w:val="000000"/>
                <w:lang w:val="en-US" w:eastAsia="fr-CH"/>
              </w:rPr>
              <w:t>L</w:t>
            </w:r>
            <w:r w:rsidRPr="00843CFD">
              <w:rPr>
                <w:rFonts w:ascii="Book Antiqua" w:hAnsi="Book Antiqua" w:cs="Arial"/>
                <w:color w:val="000000"/>
                <w:lang w:val="en-US"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9.8 (1.6)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11.7 (0.7)</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0.460</w:t>
            </w: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en-US" w:eastAsia="fr-CH"/>
              </w:rPr>
            </w:pPr>
            <w:proofErr w:type="spellStart"/>
            <w:r w:rsidRPr="00843CFD">
              <w:rPr>
                <w:rFonts w:ascii="Book Antiqua" w:hAnsi="Book Antiqua" w:cs="Arial"/>
                <w:color w:val="000000"/>
                <w:lang w:val="en-US" w:eastAsia="fr-CH"/>
              </w:rPr>
              <w:t>Ferritine</w:t>
            </w:r>
            <w:proofErr w:type="spellEnd"/>
            <w:r w:rsidRPr="00843CFD">
              <w:rPr>
                <w:rFonts w:ascii="Book Antiqua" w:hAnsi="Book Antiqua" w:cs="Arial"/>
                <w:color w:val="000000"/>
                <w:lang w:val="en-US" w:eastAsia="fr-CH"/>
              </w:rPr>
              <w:t xml:space="preserve">, </w:t>
            </w:r>
            <w:proofErr w:type="spellStart"/>
            <w:r w:rsidRPr="00843CFD">
              <w:rPr>
                <w:rFonts w:ascii="Book Antiqua" w:hAnsi="Book Antiqua" w:cs="Arial"/>
                <w:color w:val="000000"/>
                <w:lang w:val="en-US" w:eastAsia="fr-CH"/>
              </w:rPr>
              <w:t>ug</w:t>
            </w:r>
            <w:proofErr w:type="spellEnd"/>
            <w:r w:rsidRPr="00843CFD">
              <w:rPr>
                <w:rFonts w:ascii="Book Antiqua" w:hAnsi="Book Antiqua" w:cs="Arial"/>
                <w:color w:val="000000"/>
                <w:lang w:val="en-US" w:eastAsia="fr-CH"/>
              </w:rPr>
              <w:t>/</w:t>
            </w:r>
            <w:r w:rsidR="00843CFD" w:rsidRPr="00843CFD">
              <w:rPr>
                <w:rFonts w:ascii="Book Antiqua" w:hAnsi="Book Antiqua" w:cs="Arial"/>
                <w:color w:val="000000"/>
                <w:lang w:val="en-US" w:eastAsia="fr-CH"/>
              </w:rPr>
              <w:t>L</w:t>
            </w:r>
            <w:r w:rsidRPr="00843CFD">
              <w:rPr>
                <w:rFonts w:ascii="Book Antiqua" w:hAnsi="Book Antiqua" w:cs="Arial"/>
                <w:color w:val="000000"/>
                <w:lang w:val="en-US"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158.5 (39.9)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239.2 (35.9)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0.516</w:t>
            </w: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 xml:space="preserve">B12 vitamin, </w:t>
            </w:r>
            <w:proofErr w:type="spellStart"/>
            <w:r w:rsidRPr="00843CFD">
              <w:rPr>
                <w:rFonts w:ascii="Book Antiqua" w:hAnsi="Book Antiqua" w:cs="Arial"/>
                <w:color w:val="000000"/>
                <w:lang w:val="en-US" w:eastAsia="fr-CH"/>
              </w:rPr>
              <w:t>pmol</w:t>
            </w:r>
            <w:proofErr w:type="spellEnd"/>
            <w:r w:rsidRPr="00843CFD">
              <w:rPr>
                <w:rFonts w:ascii="Book Antiqua" w:hAnsi="Book Antiqua" w:cs="Arial"/>
                <w:color w:val="000000"/>
                <w:lang w:val="en-US" w:eastAsia="fr-CH"/>
              </w:rPr>
              <w:t>/</w:t>
            </w:r>
            <w:r w:rsidR="00843CFD" w:rsidRPr="00843CFD">
              <w:rPr>
                <w:rFonts w:ascii="Book Antiqua" w:hAnsi="Book Antiqua" w:cs="Arial"/>
                <w:color w:val="000000"/>
                <w:lang w:val="en-US" w:eastAsia="fr-CH"/>
              </w:rPr>
              <w:t>L</w:t>
            </w:r>
            <w:r w:rsidRPr="00843CFD">
              <w:rPr>
                <w:rFonts w:ascii="Book Antiqua" w:hAnsi="Book Antiqua" w:cs="Arial"/>
                <w:color w:val="000000"/>
                <w:lang w:val="en-US"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604.1 (155.9)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446.8 (27.1)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0.130</w:t>
            </w: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de-CH" w:eastAsia="fr-CH"/>
              </w:rPr>
            </w:pPr>
            <w:r w:rsidRPr="00843CFD">
              <w:rPr>
                <w:rFonts w:ascii="Book Antiqua" w:hAnsi="Book Antiqua" w:cs="Arial"/>
                <w:color w:val="000000"/>
                <w:lang w:val="de-CH" w:eastAsia="fr-CH"/>
              </w:rPr>
              <w:t>Alkaline phosphatase, U/</w:t>
            </w:r>
            <w:r w:rsidR="00843CFD" w:rsidRPr="00843CFD">
              <w:rPr>
                <w:rFonts w:ascii="Book Antiqua" w:hAnsi="Book Antiqua" w:cs="Arial"/>
                <w:color w:val="000000"/>
                <w:lang w:val="de-CH" w:eastAsia="fr-CH"/>
              </w:rPr>
              <w:t>L</w:t>
            </w:r>
            <w:r w:rsidRPr="00843CFD">
              <w:rPr>
                <w:rFonts w:ascii="Book Antiqua" w:hAnsi="Book Antiqua" w:cs="Arial"/>
                <w:color w:val="000000"/>
                <w:lang w:val="de-CH"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108.1 (10.8)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69.7 (1.2)</w:t>
            </w:r>
          </w:p>
        </w:tc>
        <w:tc>
          <w:tcPr>
            <w:tcW w:w="2387" w:type="dxa"/>
            <w:tcBorders>
              <w:left w:val="nil"/>
              <w:right w:val="nil"/>
            </w:tcBorders>
            <w:shd w:val="clear" w:color="auto" w:fill="auto"/>
          </w:tcPr>
          <w:p w:rsidR="00E65A41" w:rsidRPr="00843CFD" w:rsidRDefault="00843CFD" w:rsidP="000242B5">
            <w:pPr>
              <w:adjustRightInd w:val="0"/>
              <w:snapToGrid w:val="0"/>
              <w:spacing w:line="360" w:lineRule="auto"/>
              <w:jc w:val="both"/>
              <w:rPr>
                <w:rFonts w:ascii="Book Antiqua" w:hAnsi="Book Antiqua" w:cs="Arial"/>
                <w:lang w:val="en-US"/>
              </w:rPr>
            </w:pPr>
            <w:r>
              <w:rPr>
                <w:rFonts w:ascii="Book Antiqua" w:hAnsi="Book Antiqua" w:cs="Arial"/>
                <w:lang w:val="en-US"/>
              </w:rPr>
              <w:t>1.0</w:t>
            </w:r>
            <w:r w:rsidR="00E65A41" w:rsidRPr="00843CFD">
              <w:rPr>
                <w:rFonts w:ascii="Book Antiqua" w:hAnsi="Book Antiqua" w:cs="Arial"/>
                <w:lang w:val="en-US"/>
              </w:rPr>
              <w:t>E-12</w:t>
            </w:r>
          </w:p>
        </w:tc>
      </w:tr>
      <w:tr w:rsidR="00E65A41" w:rsidRPr="00843CFD" w:rsidTr="001A594D">
        <w:tc>
          <w:tcPr>
            <w:tcW w:w="2386" w:type="dxa"/>
            <w:tcBorders>
              <w:left w:val="nil"/>
              <w:right w:val="nil"/>
            </w:tcBorders>
            <w:shd w:val="clear" w:color="auto" w:fill="auto"/>
          </w:tcPr>
          <w:p w:rsidR="00E65A41" w:rsidRPr="00843CFD" w:rsidRDefault="00E65A41"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Albumin, g/</w:t>
            </w:r>
            <w:r w:rsidR="00843CFD" w:rsidRPr="00843CFD">
              <w:rPr>
                <w:rFonts w:ascii="Book Antiqua" w:hAnsi="Book Antiqua" w:cs="Arial"/>
                <w:color w:val="000000"/>
                <w:lang w:val="en-US" w:eastAsia="fr-CH"/>
              </w:rPr>
              <w:t>L</w:t>
            </w:r>
            <w:r w:rsidRPr="00843CFD">
              <w:rPr>
                <w:rFonts w:ascii="Book Antiqua" w:hAnsi="Book Antiqua" w:cs="Arial"/>
                <w:color w:val="000000"/>
                <w:lang w:val="en-US" w:eastAsia="fr-CH"/>
              </w:rPr>
              <w:t xml:space="preserve"> (SD)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38.0 (0.8)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39.8 (0.2)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0.016</w:t>
            </w:r>
          </w:p>
        </w:tc>
      </w:tr>
      <w:tr w:rsidR="00E65A41" w:rsidRPr="00843CFD" w:rsidTr="001A594D">
        <w:tc>
          <w:tcPr>
            <w:tcW w:w="9546" w:type="dxa"/>
            <w:gridSpan w:val="4"/>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Medical therapies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Oral 5-ASA</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39 (41)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415 (33)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0.147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Topical 5-ASA</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 (9)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114 (9)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0.855</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Sulfasalazine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28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Metronidazole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31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0.723</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Ciprofloxacine</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28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0.281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Clarithromycine</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Cyclosporine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12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Tacrolimus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8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0.0093</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Azathioprine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38 (40)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407 (33)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0.177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6-Mercaptopurine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67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Remicade</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 (9)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183 (15)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0.174</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Humira</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51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0.172</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Cimzia</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19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Methotrexate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5 (5)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79 (6)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0.827</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Budesonide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 (9)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107 (9)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0.708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Systemic prednisone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20 (21)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170 (14)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0.051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Topical prednisone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28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0.716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Ursodesoxycholic acid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10 (10)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7 (1)</w:t>
            </w:r>
          </w:p>
        </w:tc>
        <w:tc>
          <w:tcPr>
            <w:tcW w:w="2387" w:type="dxa"/>
            <w:tcBorders>
              <w:left w:val="nil"/>
              <w:right w:val="nil"/>
            </w:tcBorders>
            <w:shd w:val="clear" w:color="auto" w:fill="auto"/>
          </w:tcPr>
          <w:p w:rsidR="00E65A41" w:rsidRPr="00843CFD" w:rsidRDefault="00843CFD" w:rsidP="000242B5">
            <w:pPr>
              <w:adjustRightInd w:val="0"/>
              <w:snapToGrid w:val="0"/>
              <w:spacing w:line="360" w:lineRule="auto"/>
              <w:jc w:val="both"/>
              <w:rPr>
                <w:rFonts w:ascii="Book Antiqua" w:hAnsi="Book Antiqua" w:cs="Arial"/>
                <w:lang w:val="en-US"/>
              </w:rPr>
            </w:pPr>
            <w:r>
              <w:rPr>
                <w:rFonts w:ascii="Book Antiqua" w:hAnsi="Book Antiqua" w:cs="Arial"/>
                <w:lang w:val="en-US"/>
              </w:rPr>
              <w:t>2.844</w:t>
            </w:r>
            <w:r w:rsidR="00E65A41" w:rsidRPr="00843CFD">
              <w:rPr>
                <w:rFonts w:ascii="Book Antiqua" w:hAnsi="Book Antiqua" w:cs="Arial"/>
                <w:lang w:val="en-US"/>
              </w:rPr>
              <w:t>E-8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Cholestiramine</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24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0.708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Supplements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Iron</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12 (13)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188 (15)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0.492</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B12</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13 (14)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191 (15)</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0.638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Folate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8 (8)</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125 (10)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0.591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Multivitamin</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 (2)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76 (6)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0.105</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Magnesium</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6 (6)</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54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0.381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Calcium</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37 (39)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356 (29)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0.038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D</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28 (29)</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270 (22)</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0.088</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9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0.016</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Potassium</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16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Lactase</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Pancreatic enzymes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6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Fishoil</w:t>
            </w:r>
            <w:proofErr w:type="spellEnd"/>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4 (4)</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37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0.511</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Enteric nutrition</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6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Ns</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proofErr w:type="spellStart"/>
            <w:r w:rsidRPr="00843CFD">
              <w:rPr>
                <w:rFonts w:ascii="Book Antiqua" w:hAnsi="Book Antiqua" w:cs="Arial"/>
                <w:lang w:val="en-US"/>
              </w:rPr>
              <w:t>Parenteric</w:t>
            </w:r>
            <w:proofErr w:type="spellEnd"/>
            <w:r w:rsidRPr="00843CFD">
              <w:rPr>
                <w:rFonts w:ascii="Book Antiqua" w:hAnsi="Book Antiqua" w:cs="Arial"/>
                <w:lang w:val="en-US"/>
              </w:rPr>
              <w:t xml:space="preserve"> nutrition</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 (0)</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0.165</w:t>
            </w:r>
          </w:p>
        </w:tc>
      </w:tr>
      <w:tr w:rsidR="00E65A41" w:rsidRPr="00843CFD" w:rsidTr="001A594D">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Probiotics</w:t>
            </w:r>
          </w:p>
        </w:tc>
        <w:tc>
          <w:tcPr>
            <w:tcW w:w="2386"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3 (3)</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16 (1)</w:t>
            </w:r>
          </w:p>
        </w:tc>
        <w:tc>
          <w:tcPr>
            <w:tcW w:w="2387" w:type="dxa"/>
            <w:tcBorders>
              <w:left w:val="nil"/>
              <w:right w:val="nil"/>
            </w:tcBorders>
            <w:shd w:val="clear" w:color="auto" w:fill="auto"/>
          </w:tcPr>
          <w:p w:rsidR="00E65A41" w:rsidRPr="00843CFD" w:rsidRDefault="00E65A41" w:rsidP="000242B5">
            <w:pPr>
              <w:adjustRightInd w:val="0"/>
              <w:snapToGrid w:val="0"/>
              <w:spacing w:line="360" w:lineRule="auto"/>
              <w:jc w:val="both"/>
              <w:rPr>
                <w:rFonts w:ascii="Book Antiqua" w:hAnsi="Book Antiqua" w:cs="Arial"/>
              </w:rPr>
            </w:pPr>
            <w:r w:rsidRPr="00843CFD">
              <w:rPr>
                <w:rFonts w:ascii="Book Antiqua" w:hAnsi="Book Antiqua" w:cs="Arial"/>
              </w:rPr>
              <w:t>0.141</w:t>
            </w:r>
          </w:p>
        </w:tc>
      </w:tr>
    </w:tbl>
    <w:p w:rsidR="00E65A41" w:rsidRPr="00843CFD" w:rsidRDefault="00E65A41" w:rsidP="000242B5">
      <w:pPr>
        <w:adjustRightInd w:val="0"/>
        <w:snapToGrid w:val="0"/>
        <w:spacing w:line="360" w:lineRule="auto"/>
        <w:jc w:val="both"/>
        <w:rPr>
          <w:rFonts w:ascii="Book Antiqua" w:hAnsi="Book Antiqua" w:cs="Arial"/>
          <w:lang w:val="en-US"/>
        </w:rPr>
      </w:pPr>
      <w:proofErr w:type="gramStart"/>
      <w:r w:rsidRPr="00843CFD">
        <w:rPr>
          <w:rFonts w:ascii="Book Antiqua" w:hAnsi="Book Antiqua" w:cs="Arial"/>
          <w:lang w:val="en-US"/>
        </w:rPr>
        <w:t>Clinical characteristics of patients with elevated or normal total bile acid level.</w:t>
      </w:r>
      <w:proofErr w:type="gramEnd"/>
      <w:r w:rsidR="000242B5" w:rsidRPr="00843CFD">
        <w:rPr>
          <w:rFonts w:ascii="Book Antiqua" w:hAnsi="Book Antiqua" w:cs="Arial"/>
          <w:lang w:val="en-US" w:eastAsia="zh-CN"/>
        </w:rPr>
        <w:t xml:space="preserve"> </w:t>
      </w:r>
      <w:r w:rsidR="00AC59FA" w:rsidRPr="00843CFD">
        <w:rPr>
          <w:rFonts w:ascii="Book Antiqua" w:hAnsi="Book Antiqua" w:cs="Arial"/>
          <w:vertAlign w:val="superscript"/>
          <w:lang w:val="en-US" w:eastAsia="zh-CN"/>
        </w:rPr>
        <w:t>1</w:t>
      </w:r>
      <w:r w:rsidRPr="00843CFD">
        <w:rPr>
          <w:rFonts w:ascii="Book Antiqua" w:hAnsi="Book Antiqua" w:cs="Arial"/>
          <w:lang w:val="en-US"/>
        </w:rPr>
        <w:t>results expressed in number with percentage in parenthesis otherwise stated.</w:t>
      </w:r>
      <w:r w:rsidR="000242B5" w:rsidRPr="00843CFD">
        <w:rPr>
          <w:rFonts w:ascii="Book Antiqua" w:hAnsi="Book Antiqua" w:cs="Arial"/>
          <w:lang w:val="en-US" w:eastAsia="zh-CN"/>
        </w:rPr>
        <w:t xml:space="preserve"> </w:t>
      </w:r>
      <w:r w:rsidRPr="00843CFD">
        <w:rPr>
          <w:rFonts w:ascii="Book Antiqua" w:hAnsi="Book Antiqua" w:cs="Arial"/>
          <w:lang w:val="en-US"/>
        </w:rPr>
        <w:t>SD</w:t>
      </w:r>
      <w:r w:rsidR="000242B5" w:rsidRPr="00843CFD">
        <w:rPr>
          <w:rFonts w:ascii="Book Antiqua" w:hAnsi="Book Antiqua" w:cs="Arial"/>
          <w:lang w:val="en-US" w:eastAsia="zh-CN"/>
        </w:rPr>
        <w:t xml:space="preserve">: </w:t>
      </w:r>
      <w:r w:rsidR="000242B5" w:rsidRPr="00843CFD">
        <w:rPr>
          <w:rFonts w:ascii="Book Antiqua" w:hAnsi="Book Antiqua" w:cs="Arial"/>
          <w:lang w:val="en-US"/>
        </w:rPr>
        <w:t>S</w:t>
      </w:r>
      <w:r w:rsidRPr="00843CFD">
        <w:rPr>
          <w:rFonts w:ascii="Book Antiqua" w:hAnsi="Book Antiqua" w:cs="Arial"/>
          <w:lang w:val="en-US"/>
        </w:rPr>
        <w:t>tandard deviation; CD</w:t>
      </w:r>
      <w:r w:rsidR="000242B5" w:rsidRPr="00843CFD">
        <w:rPr>
          <w:rFonts w:ascii="Book Antiqua" w:hAnsi="Book Antiqua" w:cs="Arial"/>
          <w:lang w:val="en-US" w:eastAsia="zh-CN"/>
        </w:rPr>
        <w:t xml:space="preserve">: </w:t>
      </w:r>
      <w:r w:rsidRPr="00843CFD">
        <w:rPr>
          <w:rFonts w:ascii="Book Antiqua" w:hAnsi="Book Antiqua" w:cs="Arial"/>
          <w:lang w:val="en-US"/>
        </w:rPr>
        <w:t>Crohn’s disease; UC</w:t>
      </w:r>
      <w:r w:rsidR="000242B5" w:rsidRPr="00843CFD">
        <w:rPr>
          <w:rFonts w:ascii="Book Antiqua" w:hAnsi="Book Antiqua" w:cs="Arial"/>
          <w:lang w:val="en-US" w:eastAsia="zh-CN"/>
        </w:rPr>
        <w:t xml:space="preserve">: </w:t>
      </w:r>
      <w:r w:rsidR="000242B5" w:rsidRPr="00843CFD">
        <w:rPr>
          <w:rFonts w:ascii="Book Antiqua" w:hAnsi="Book Antiqua" w:cs="Arial"/>
          <w:lang w:val="en-US"/>
        </w:rPr>
        <w:t>U</w:t>
      </w:r>
      <w:r w:rsidRPr="00843CFD">
        <w:rPr>
          <w:rFonts w:ascii="Book Antiqua" w:hAnsi="Book Antiqua" w:cs="Arial"/>
          <w:lang w:val="en-US"/>
        </w:rPr>
        <w:t>lcerative colitis; IC</w:t>
      </w:r>
      <w:r w:rsidR="000242B5" w:rsidRPr="00843CFD">
        <w:rPr>
          <w:rFonts w:ascii="Book Antiqua" w:hAnsi="Book Antiqua" w:cs="Arial"/>
          <w:lang w:val="en-US" w:eastAsia="zh-CN"/>
        </w:rPr>
        <w:t xml:space="preserve">: </w:t>
      </w:r>
      <w:r w:rsidR="000242B5" w:rsidRPr="00843CFD">
        <w:rPr>
          <w:rFonts w:ascii="Book Antiqua" w:hAnsi="Book Antiqua" w:cs="Arial"/>
          <w:lang w:val="en-US"/>
        </w:rPr>
        <w:t>I</w:t>
      </w:r>
      <w:r w:rsidRPr="00843CFD">
        <w:rPr>
          <w:rFonts w:ascii="Book Antiqua" w:hAnsi="Book Antiqua" w:cs="Arial"/>
          <w:lang w:val="en-US"/>
        </w:rPr>
        <w:t>ndeterminate colitis; CDA</w:t>
      </w:r>
      <w:r w:rsidR="000242B5" w:rsidRPr="00843CFD">
        <w:rPr>
          <w:rFonts w:ascii="Book Antiqua" w:hAnsi="Book Antiqua" w:cs="Arial"/>
          <w:lang w:val="en-US" w:eastAsia="zh-CN"/>
        </w:rPr>
        <w:t xml:space="preserve">: </w:t>
      </w:r>
      <w:r w:rsidRPr="00843CFD">
        <w:rPr>
          <w:rFonts w:ascii="Book Antiqua" w:hAnsi="Book Antiqua" w:cs="Arial"/>
          <w:lang w:val="en-US"/>
        </w:rPr>
        <w:t>Crohn’s disease activity index; MTWI</w:t>
      </w:r>
      <w:r w:rsidR="000242B5" w:rsidRPr="00843CFD">
        <w:rPr>
          <w:rFonts w:ascii="Book Antiqua" w:hAnsi="Book Antiqua" w:cs="Arial"/>
          <w:lang w:val="en-US" w:eastAsia="zh-CN"/>
        </w:rPr>
        <w:t xml:space="preserve">: </w:t>
      </w:r>
      <w:bookmarkStart w:id="64" w:name="OLE_LINK1517"/>
      <w:bookmarkStart w:id="65" w:name="OLE_LINK1518"/>
      <w:bookmarkStart w:id="66" w:name="OLE_LINK49"/>
      <w:bookmarkStart w:id="67" w:name="OLE_LINK50"/>
      <w:bookmarkStart w:id="68" w:name="OLE_LINK51"/>
      <w:bookmarkStart w:id="69" w:name="OLE_LINK52"/>
      <w:r w:rsidR="000242B5" w:rsidRPr="00843CFD">
        <w:rPr>
          <w:rFonts w:ascii="Book Antiqua" w:hAnsi="Book Antiqua" w:cs="Arial"/>
          <w:lang w:val="en-US"/>
        </w:rPr>
        <w:t>M</w:t>
      </w:r>
      <w:r w:rsidRPr="00843CFD">
        <w:rPr>
          <w:rFonts w:ascii="Book Antiqua" w:hAnsi="Book Antiqua" w:cs="Arial"/>
          <w:lang w:val="en-US"/>
        </w:rPr>
        <w:t xml:space="preserve">odified Truelove </w:t>
      </w:r>
      <w:r w:rsidR="00AC59FA" w:rsidRPr="00843CFD">
        <w:rPr>
          <w:rFonts w:ascii="Book Antiqua" w:hAnsi="Book Antiqua" w:cs="Arial"/>
          <w:lang w:val="en-US" w:eastAsia="zh-CN"/>
        </w:rPr>
        <w:t>and</w:t>
      </w:r>
      <w:r w:rsidRPr="00843CFD">
        <w:rPr>
          <w:rFonts w:ascii="Book Antiqua" w:hAnsi="Book Antiqua" w:cs="Arial"/>
          <w:lang w:val="en-US"/>
        </w:rPr>
        <w:t xml:space="preserve"> </w:t>
      </w:r>
      <w:proofErr w:type="spellStart"/>
      <w:r w:rsidRPr="00843CFD">
        <w:rPr>
          <w:rFonts w:ascii="Book Antiqua" w:hAnsi="Book Antiqua" w:cs="Arial"/>
          <w:lang w:val="en-US"/>
        </w:rPr>
        <w:t>Witts</w:t>
      </w:r>
      <w:proofErr w:type="spellEnd"/>
      <w:r w:rsidRPr="00843CFD">
        <w:rPr>
          <w:rFonts w:ascii="Book Antiqua" w:hAnsi="Book Antiqua" w:cs="Arial"/>
          <w:lang w:val="en-US"/>
        </w:rPr>
        <w:t xml:space="preserve"> index</w:t>
      </w:r>
      <w:bookmarkEnd w:id="64"/>
      <w:bookmarkEnd w:id="65"/>
      <w:bookmarkEnd w:id="66"/>
      <w:bookmarkEnd w:id="67"/>
      <w:bookmarkEnd w:id="68"/>
      <w:bookmarkEnd w:id="69"/>
      <w:r w:rsidRPr="00843CFD">
        <w:rPr>
          <w:rFonts w:ascii="Book Antiqua" w:hAnsi="Book Antiqua" w:cs="Arial"/>
          <w:lang w:val="en-US"/>
        </w:rPr>
        <w:t>; TBA</w:t>
      </w:r>
      <w:r w:rsidR="000242B5" w:rsidRPr="00843CFD">
        <w:rPr>
          <w:rFonts w:ascii="Book Antiqua" w:hAnsi="Book Antiqua" w:cs="Arial"/>
          <w:lang w:val="en-US" w:eastAsia="zh-CN"/>
        </w:rPr>
        <w:t xml:space="preserve">: </w:t>
      </w:r>
      <w:r w:rsidR="000242B5" w:rsidRPr="00843CFD">
        <w:rPr>
          <w:rFonts w:ascii="Book Antiqua" w:hAnsi="Book Antiqua" w:cs="Arial"/>
          <w:lang w:val="en-US"/>
        </w:rPr>
        <w:t>T</w:t>
      </w:r>
      <w:r w:rsidRPr="00843CFD">
        <w:rPr>
          <w:rFonts w:ascii="Book Antiqua" w:hAnsi="Book Antiqua" w:cs="Arial"/>
          <w:lang w:val="en-US"/>
        </w:rPr>
        <w:t>otal bile acid; CRP</w:t>
      </w:r>
      <w:r w:rsidR="000242B5" w:rsidRPr="00843CFD">
        <w:rPr>
          <w:rFonts w:ascii="Book Antiqua" w:hAnsi="Book Antiqua" w:cs="Arial"/>
          <w:lang w:val="en-US" w:eastAsia="zh-CN"/>
        </w:rPr>
        <w:t xml:space="preserve">: </w:t>
      </w:r>
      <w:r w:rsidR="000826F2">
        <w:rPr>
          <w:rFonts w:ascii="Book Antiqua" w:hAnsi="Book Antiqua" w:cs="Arial"/>
          <w:lang w:val="en-US"/>
        </w:rPr>
        <w:t>C</w:t>
      </w:r>
      <w:r w:rsidR="000826F2">
        <w:rPr>
          <w:rFonts w:ascii="Book Antiqua" w:hAnsi="Book Antiqua" w:cs="Arial" w:hint="eastAsia"/>
          <w:lang w:val="en-US" w:eastAsia="zh-CN"/>
        </w:rPr>
        <w:t>-</w:t>
      </w:r>
      <w:r w:rsidRPr="00843CFD">
        <w:rPr>
          <w:rFonts w:ascii="Book Antiqua" w:hAnsi="Book Antiqua" w:cs="Arial"/>
          <w:lang w:val="en-US"/>
        </w:rPr>
        <w:t>reactive protein</w:t>
      </w:r>
      <w:r w:rsidR="000242B5" w:rsidRPr="00843CFD">
        <w:rPr>
          <w:rFonts w:ascii="Book Antiqua" w:hAnsi="Book Antiqua" w:cs="Arial"/>
          <w:lang w:val="en-US" w:eastAsia="zh-CN"/>
        </w:rPr>
        <w:t>.</w:t>
      </w:r>
    </w:p>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p w:rsidR="001A594D" w:rsidRPr="00843CFD" w:rsidRDefault="001A594D" w:rsidP="000242B5">
      <w:pPr>
        <w:adjustRightInd w:val="0"/>
        <w:snapToGrid w:val="0"/>
        <w:spacing w:line="360" w:lineRule="auto"/>
        <w:jc w:val="both"/>
        <w:rPr>
          <w:rFonts w:ascii="Book Antiqua" w:hAnsi="Book Antiqua" w:cs="Arial"/>
          <w:b/>
          <w:lang w:val="en-US" w:eastAsia="zh-CN"/>
        </w:rPr>
      </w:pPr>
      <w:r w:rsidRPr="00843CFD">
        <w:rPr>
          <w:rFonts w:ascii="Book Antiqua" w:hAnsi="Book Antiqua" w:cs="Arial"/>
          <w:b/>
          <w:lang w:val="en-US"/>
        </w:rPr>
        <w:t>Table 2</w:t>
      </w:r>
      <w:r w:rsidR="003A59F3" w:rsidRPr="00843CFD">
        <w:rPr>
          <w:rFonts w:ascii="Book Antiqua" w:hAnsi="Book Antiqua" w:cs="Arial"/>
          <w:b/>
          <w:lang w:val="en-US" w:eastAsia="zh-CN"/>
        </w:rPr>
        <w:t xml:space="preserve"> </w:t>
      </w:r>
      <w:r w:rsidRPr="00843CFD">
        <w:rPr>
          <w:rFonts w:ascii="Book Antiqua" w:hAnsi="Book Antiqua" w:cs="Arial"/>
          <w:b/>
          <w:lang w:val="en-US"/>
        </w:rPr>
        <w:t>Univariate analysis</w:t>
      </w:r>
      <w:r w:rsidR="003A59F3" w:rsidRPr="00843CFD">
        <w:rPr>
          <w:rFonts w:ascii="Book Antiqua" w:hAnsi="Book Antiqua" w:cs="Arial"/>
          <w:b/>
          <w:vertAlign w:val="superscript"/>
          <w:lang w:val="en-US" w:eastAsia="zh-CN"/>
        </w:rPr>
        <w:t>1</w:t>
      </w:r>
    </w:p>
    <w:tbl>
      <w:tblPr>
        <w:tblStyle w:val="TableGrid"/>
        <w:tblW w:w="0" w:type="auto"/>
        <w:tblLook w:val="04A0" w:firstRow="1" w:lastRow="0" w:firstColumn="1" w:lastColumn="0" w:noHBand="0" w:noVBand="1"/>
      </w:tblPr>
      <w:tblGrid>
        <w:gridCol w:w="2386"/>
        <w:gridCol w:w="2386"/>
        <w:gridCol w:w="2387"/>
        <w:gridCol w:w="2387"/>
      </w:tblGrid>
      <w:tr w:rsidR="001A594D" w:rsidRPr="00843CFD" w:rsidTr="004E58A6">
        <w:tc>
          <w:tcPr>
            <w:tcW w:w="2386" w:type="dxa"/>
            <w:tcBorders>
              <w:left w:val="nil"/>
              <w:bottom w:val="nil"/>
              <w:right w:val="nil"/>
            </w:tcBorders>
          </w:tcPr>
          <w:p w:rsidR="001A594D" w:rsidRPr="00843CFD" w:rsidRDefault="001A594D" w:rsidP="000242B5">
            <w:pPr>
              <w:adjustRightInd w:val="0"/>
              <w:snapToGrid w:val="0"/>
              <w:spacing w:line="360" w:lineRule="auto"/>
              <w:jc w:val="both"/>
              <w:rPr>
                <w:rFonts w:ascii="Book Antiqua" w:hAnsi="Book Antiqua" w:cs="Arial"/>
                <w:b/>
                <w:lang w:val="en-US"/>
              </w:rPr>
            </w:pPr>
          </w:p>
        </w:tc>
        <w:tc>
          <w:tcPr>
            <w:tcW w:w="7160" w:type="dxa"/>
            <w:gridSpan w:val="3"/>
            <w:tcBorders>
              <w:left w:val="nil"/>
              <w:bottom w:val="single" w:sz="4" w:space="0" w:color="auto"/>
              <w:right w:val="nil"/>
            </w:tcBorders>
          </w:tcPr>
          <w:p w:rsidR="001A594D" w:rsidRPr="00843CFD" w:rsidRDefault="001A594D" w:rsidP="00843CFD">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No</w:t>
            </w:r>
            <w:r w:rsidR="00843CFD">
              <w:rPr>
                <w:rFonts w:ascii="Book Antiqua" w:hAnsi="Book Antiqua" w:cs="Arial" w:hint="eastAsia"/>
                <w:b/>
                <w:lang w:val="en-US" w:eastAsia="zh-CN"/>
              </w:rPr>
              <w:t xml:space="preserve"> </w:t>
            </w:r>
            <w:r w:rsidRPr="00843CFD">
              <w:rPr>
                <w:rFonts w:ascii="Book Antiqua" w:hAnsi="Book Antiqua" w:cs="Arial"/>
                <w:b/>
                <w:lang w:val="en-US"/>
              </w:rPr>
              <w:t>(%)</w:t>
            </w:r>
          </w:p>
        </w:tc>
      </w:tr>
      <w:tr w:rsidR="001A594D" w:rsidRPr="00843CFD" w:rsidTr="004E58A6">
        <w:tc>
          <w:tcPr>
            <w:tcW w:w="2386" w:type="dxa"/>
            <w:tcBorders>
              <w:top w:val="nil"/>
              <w:left w:val="nil"/>
              <w:bottom w:val="single" w:sz="4" w:space="0" w:color="auto"/>
              <w:right w:val="nil"/>
            </w:tcBorders>
          </w:tcPr>
          <w:p w:rsidR="001A594D" w:rsidRPr="00843CFD" w:rsidRDefault="001A594D" w:rsidP="000242B5">
            <w:pPr>
              <w:adjustRightInd w:val="0"/>
              <w:snapToGrid w:val="0"/>
              <w:spacing w:line="360" w:lineRule="auto"/>
              <w:jc w:val="both"/>
              <w:rPr>
                <w:rFonts w:ascii="Book Antiqua" w:hAnsi="Book Antiqua" w:cs="Arial"/>
                <w:b/>
                <w:lang w:val="en-US"/>
              </w:rPr>
            </w:pPr>
          </w:p>
        </w:tc>
        <w:tc>
          <w:tcPr>
            <w:tcW w:w="2386" w:type="dxa"/>
            <w:tcBorders>
              <w:top w:val="single" w:sz="4" w:space="0" w:color="auto"/>
              <w:left w:val="nil"/>
              <w:bottom w:val="single" w:sz="4" w:space="0" w:color="auto"/>
              <w:right w:val="nil"/>
            </w:tcBorders>
          </w:tcPr>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TBA</w:t>
            </w:r>
            <w:r w:rsidR="003A59F3" w:rsidRPr="00843CFD">
              <w:rPr>
                <w:rFonts w:ascii="Book Antiqua" w:hAnsi="Book Antiqua" w:cs="Arial"/>
                <w:b/>
                <w:lang w:val="en-US" w:eastAsia="zh-CN"/>
              </w:rPr>
              <w:t xml:space="preserve"> </w:t>
            </w:r>
            <w:r w:rsidRPr="00843CFD">
              <w:rPr>
                <w:rFonts w:ascii="Book Antiqua" w:hAnsi="Book Antiqua" w:cs="Arial"/>
                <w:b/>
                <w:lang w:val="en-US"/>
              </w:rPr>
              <w:t>&gt;</w:t>
            </w:r>
            <w:r w:rsidR="003A59F3" w:rsidRPr="00843CFD">
              <w:rPr>
                <w:rFonts w:ascii="Book Antiqua" w:hAnsi="Book Antiqua" w:cs="Arial"/>
                <w:b/>
                <w:lang w:val="en-US" w:eastAsia="zh-CN"/>
              </w:rPr>
              <w:t xml:space="preserve"> </w:t>
            </w:r>
            <w:r w:rsidRPr="00843CFD">
              <w:rPr>
                <w:rFonts w:ascii="Book Antiqua" w:hAnsi="Book Antiqua" w:cs="Arial"/>
                <w:b/>
                <w:lang w:val="en-US"/>
              </w:rPr>
              <w:t>8</w:t>
            </w:r>
          </w:p>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w:t>
            </w:r>
            <w:r w:rsidR="003A59F3" w:rsidRPr="00843CFD">
              <w:rPr>
                <w:rFonts w:ascii="Book Antiqua" w:hAnsi="Book Antiqua" w:cs="Arial"/>
                <w:b/>
                <w:i/>
                <w:lang w:val="en-US" w:eastAsia="zh-CN"/>
              </w:rPr>
              <w:t>n</w:t>
            </w:r>
            <w:r w:rsidR="003A59F3" w:rsidRPr="00843CFD">
              <w:rPr>
                <w:rFonts w:ascii="Book Antiqua" w:hAnsi="Book Antiqua" w:cs="Arial"/>
                <w:b/>
                <w:lang w:val="en-US" w:eastAsia="zh-CN"/>
              </w:rPr>
              <w:t xml:space="preserve"> </w:t>
            </w:r>
            <w:r w:rsidRPr="00843CFD">
              <w:rPr>
                <w:rFonts w:ascii="Book Antiqua" w:hAnsi="Book Antiqua" w:cs="Arial"/>
                <w:b/>
                <w:lang w:val="en-US"/>
              </w:rPr>
              <w:t>=</w:t>
            </w:r>
            <w:r w:rsidR="003A59F3" w:rsidRPr="00843CFD">
              <w:rPr>
                <w:rFonts w:ascii="Book Antiqua" w:hAnsi="Book Antiqua" w:cs="Arial"/>
                <w:b/>
                <w:lang w:val="en-US" w:eastAsia="zh-CN"/>
              </w:rPr>
              <w:t xml:space="preserve"> </w:t>
            </w:r>
            <w:r w:rsidRPr="00843CFD">
              <w:rPr>
                <w:rFonts w:ascii="Book Antiqua" w:hAnsi="Book Antiqua" w:cs="Arial"/>
                <w:b/>
                <w:lang w:val="en-US"/>
              </w:rPr>
              <w:t>80)</w:t>
            </w:r>
          </w:p>
        </w:tc>
        <w:tc>
          <w:tcPr>
            <w:tcW w:w="2387" w:type="dxa"/>
            <w:tcBorders>
              <w:top w:val="single" w:sz="4" w:space="0" w:color="auto"/>
              <w:left w:val="nil"/>
              <w:bottom w:val="single" w:sz="4" w:space="0" w:color="auto"/>
              <w:right w:val="nil"/>
            </w:tcBorders>
          </w:tcPr>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TBA</w:t>
            </w:r>
            <w:r w:rsidR="003A59F3" w:rsidRPr="00843CFD">
              <w:rPr>
                <w:rFonts w:ascii="Book Antiqua" w:hAnsi="Book Antiqua" w:cs="Arial"/>
                <w:b/>
                <w:lang w:val="en-US" w:eastAsia="zh-CN"/>
              </w:rPr>
              <w:t xml:space="preserve"> </w:t>
            </w:r>
            <w:r w:rsidRPr="00843CFD">
              <w:rPr>
                <w:rFonts w:ascii="Book Antiqua" w:hAnsi="Book Antiqua" w:cs="Arial"/>
                <w:b/>
                <w:lang w:val="en-US"/>
              </w:rPr>
              <w:t>&lt;</w:t>
            </w:r>
            <w:r w:rsidR="003A59F3" w:rsidRPr="00843CFD">
              <w:rPr>
                <w:rFonts w:ascii="Book Antiqua" w:hAnsi="Book Antiqua" w:cs="Arial"/>
                <w:b/>
                <w:lang w:val="en-US" w:eastAsia="zh-CN"/>
              </w:rPr>
              <w:t xml:space="preserve"> </w:t>
            </w:r>
            <w:r w:rsidRPr="00843CFD">
              <w:rPr>
                <w:rFonts w:ascii="Book Antiqua" w:hAnsi="Book Antiqua" w:cs="Arial"/>
                <w:b/>
                <w:lang w:val="en-US"/>
              </w:rPr>
              <w:t>8</w:t>
            </w:r>
          </w:p>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w:t>
            </w:r>
            <w:r w:rsidR="003A59F3" w:rsidRPr="00843CFD">
              <w:rPr>
                <w:rFonts w:ascii="Book Antiqua" w:hAnsi="Book Antiqua" w:cs="Arial"/>
                <w:b/>
                <w:i/>
                <w:lang w:val="en-US" w:eastAsia="zh-CN"/>
              </w:rPr>
              <w:t>n</w:t>
            </w:r>
            <w:r w:rsidR="003A59F3" w:rsidRPr="00843CFD">
              <w:rPr>
                <w:rFonts w:ascii="Book Antiqua" w:hAnsi="Book Antiqua" w:cs="Arial"/>
                <w:b/>
                <w:lang w:val="en-US"/>
              </w:rPr>
              <w:t xml:space="preserve"> </w:t>
            </w:r>
            <w:r w:rsidRPr="00843CFD">
              <w:rPr>
                <w:rFonts w:ascii="Book Antiqua" w:hAnsi="Book Antiqua" w:cs="Arial"/>
                <w:b/>
                <w:lang w:val="en-US"/>
              </w:rPr>
              <w:t>=</w:t>
            </w:r>
            <w:r w:rsidR="003A59F3" w:rsidRPr="00843CFD">
              <w:rPr>
                <w:rFonts w:ascii="Book Antiqua" w:hAnsi="Book Antiqua" w:cs="Arial"/>
                <w:b/>
                <w:lang w:val="en-US" w:eastAsia="zh-CN"/>
              </w:rPr>
              <w:t xml:space="preserve"> </w:t>
            </w:r>
            <w:r w:rsidRPr="00843CFD">
              <w:rPr>
                <w:rFonts w:ascii="Book Antiqua" w:hAnsi="Book Antiqua" w:cs="Arial"/>
                <w:b/>
                <w:lang w:val="en-US"/>
              </w:rPr>
              <w:t>1190)</w:t>
            </w:r>
          </w:p>
        </w:tc>
        <w:tc>
          <w:tcPr>
            <w:tcW w:w="2387" w:type="dxa"/>
            <w:tcBorders>
              <w:top w:val="single" w:sz="4" w:space="0" w:color="auto"/>
              <w:left w:val="nil"/>
              <w:bottom w:val="single" w:sz="4" w:space="0" w:color="auto"/>
              <w:right w:val="nil"/>
            </w:tcBorders>
          </w:tcPr>
          <w:p w:rsidR="001A594D" w:rsidRPr="00843CFD" w:rsidRDefault="001A594D" w:rsidP="000242B5">
            <w:pPr>
              <w:adjustRightInd w:val="0"/>
              <w:snapToGrid w:val="0"/>
              <w:spacing w:line="360" w:lineRule="auto"/>
              <w:jc w:val="both"/>
              <w:rPr>
                <w:rFonts w:ascii="Book Antiqua" w:hAnsi="Book Antiqua" w:cs="Arial"/>
                <w:b/>
                <w:i/>
                <w:lang w:val="en-US"/>
              </w:rPr>
            </w:pPr>
            <w:r w:rsidRPr="00843CFD">
              <w:rPr>
                <w:rFonts w:ascii="Book Antiqua" w:hAnsi="Book Antiqua" w:cs="Arial"/>
                <w:b/>
                <w:i/>
                <w:lang w:val="en-US"/>
              </w:rPr>
              <w:t>P</w:t>
            </w:r>
          </w:p>
        </w:tc>
      </w:tr>
      <w:tr w:rsidR="001A594D" w:rsidRPr="00843CFD" w:rsidTr="004E58A6">
        <w:tc>
          <w:tcPr>
            <w:tcW w:w="2386" w:type="dxa"/>
            <w:tcBorders>
              <w:top w:val="single" w:sz="4" w:space="0" w:color="auto"/>
              <w:left w:val="nil"/>
              <w:right w:val="nil"/>
            </w:tcBorders>
          </w:tcPr>
          <w:p w:rsidR="001A594D" w:rsidRPr="00843CFD" w:rsidRDefault="001A594D"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 xml:space="preserve">TBA, </w:t>
            </w:r>
            <w:r w:rsidR="00FE1973" w:rsidRPr="00843CFD">
              <w:rPr>
                <w:rFonts w:ascii="Book Antiqua" w:hAnsi="Book Antiqua" w:cs="Arial"/>
                <w:color w:val="000000"/>
                <w:lang w:val="en-US" w:eastAsia="fr-CH"/>
              </w:rPr>
              <w:t>μmol/L</w:t>
            </w:r>
            <w:r w:rsidRPr="00843CFD">
              <w:rPr>
                <w:rFonts w:ascii="Book Antiqua" w:hAnsi="Book Antiqua" w:cs="Arial"/>
                <w:color w:val="000000"/>
                <w:lang w:val="en-US" w:eastAsia="fr-CH"/>
              </w:rPr>
              <w:t xml:space="preserve"> (SD)</w:t>
            </w:r>
          </w:p>
        </w:tc>
        <w:tc>
          <w:tcPr>
            <w:tcW w:w="2386" w:type="dxa"/>
            <w:tcBorders>
              <w:top w:val="single" w:sz="4" w:space="0" w:color="auto"/>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14.66 (1.24)</w:t>
            </w:r>
          </w:p>
        </w:tc>
        <w:tc>
          <w:tcPr>
            <w:tcW w:w="2387" w:type="dxa"/>
            <w:tcBorders>
              <w:top w:val="single" w:sz="4" w:space="0" w:color="auto"/>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3.07 (0.06)</w:t>
            </w:r>
          </w:p>
        </w:tc>
        <w:tc>
          <w:tcPr>
            <w:tcW w:w="2387" w:type="dxa"/>
            <w:tcBorders>
              <w:top w:val="single" w:sz="4" w:space="0" w:color="auto"/>
              <w:left w:val="nil"/>
              <w:right w:val="nil"/>
            </w:tcBorders>
          </w:tcPr>
          <w:p w:rsidR="001A594D" w:rsidRPr="00843CFD" w:rsidRDefault="00843CFD" w:rsidP="000242B5">
            <w:pPr>
              <w:adjustRightInd w:val="0"/>
              <w:snapToGrid w:val="0"/>
              <w:spacing w:line="360" w:lineRule="auto"/>
              <w:jc w:val="both"/>
              <w:rPr>
                <w:rFonts w:ascii="Book Antiqua" w:hAnsi="Book Antiqua" w:cs="Arial"/>
                <w:lang w:val="en-US"/>
              </w:rPr>
            </w:pPr>
            <w:r>
              <w:rPr>
                <w:rFonts w:ascii="Book Antiqua" w:hAnsi="Book Antiqua" w:cs="Arial"/>
                <w:lang w:val="en-US"/>
              </w:rPr>
              <w:t>6.15</w:t>
            </w:r>
            <w:r w:rsidR="001A594D" w:rsidRPr="00843CFD">
              <w:rPr>
                <w:rFonts w:ascii="Book Antiqua" w:hAnsi="Book Antiqua" w:cs="Arial"/>
                <w:lang w:val="en-US"/>
              </w:rPr>
              <w:t>E-144</w:t>
            </w:r>
          </w:p>
        </w:tc>
      </w:tr>
      <w:tr w:rsidR="001A594D" w:rsidRPr="00843CFD" w:rsidTr="004E58A6">
        <w:tc>
          <w:tcPr>
            <w:tcW w:w="2386" w:type="dxa"/>
            <w:tcBorders>
              <w:left w:val="nil"/>
              <w:right w:val="nil"/>
            </w:tcBorders>
          </w:tcPr>
          <w:p w:rsidR="001A594D" w:rsidRPr="00843CFD" w:rsidRDefault="001A594D" w:rsidP="000242B5">
            <w:pPr>
              <w:autoSpaceDE w:val="0"/>
              <w:autoSpaceDN w:val="0"/>
              <w:adjustRightInd w:val="0"/>
              <w:snapToGrid w:val="0"/>
              <w:spacing w:line="360" w:lineRule="auto"/>
              <w:jc w:val="both"/>
              <w:rPr>
                <w:rFonts w:ascii="Book Antiqua" w:hAnsi="Book Antiqua" w:cs="Arial"/>
                <w:color w:val="000000"/>
                <w:lang w:val="de-CH" w:eastAsia="fr-CH"/>
              </w:rPr>
            </w:pPr>
            <w:r w:rsidRPr="00843CFD">
              <w:rPr>
                <w:rFonts w:ascii="Book Antiqua" w:hAnsi="Book Antiqua" w:cs="Arial"/>
                <w:color w:val="000000"/>
                <w:lang w:val="de-CH" w:eastAsia="fr-CH"/>
              </w:rPr>
              <w:t>Alkaline phosphatase, U/</w:t>
            </w:r>
            <w:r w:rsidR="00843CFD" w:rsidRPr="00843CFD">
              <w:rPr>
                <w:rFonts w:ascii="Book Antiqua" w:hAnsi="Book Antiqua" w:cs="Arial"/>
                <w:color w:val="000000"/>
                <w:lang w:val="de-CH" w:eastAsia="fr-CH"/>
              </w:rPr>
              <w:t>L</w:t>
            </w:r>
            <w:r w:rsidRPr="00843CFD">
              <w:rPr>
                <w:rFonts w:ascii="Book Antiqua" w:hAnsi="Book Antiqua" w:cs="Arial"/>
                <w:color w:val="000000"/>
                <w:lang w:val="de-CH" w:eastAsia="fr-CH"/>
              </w:rPr>
              <w:t xml:space="preserve"> (SD)</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81 (5.81)</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69.3 (1.25)</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0.021</w:t>
            </w:r>
          </w:p>
        </w:tc>
      </w:tr>
      <w:tr w:rsidR="001A594D" w:rsidRPr="00843CFD" w:rsidTr="004E58A6">
        <w:tc>
          <w:tcPr>
            <w:tcW w:w="2386" w:type="dxa"/>
            <w:tcBorders>
              <w:left w:val="nil"/>
              <w:right w:val="nil"/>
            </w:tcBorders>
          </w:tcPr>
          <w:p w:rsidR="001A594D" w:rsidRPr="00843CFD" w:rsidRDefault="001A594D" w:rsidP="000242B5">
            <w:pPr>
              <w:autoSpaceDE w:val="0"/>
              <w:autoSpaceDN w:val="0"/>
              <w:adjustRightInd w:val="0"/>
              <w:snapToGrid w:val="0"/>
              <w:spacing w:line="360" w:lineRule="auto"/>
              <w:jc w:val="both"/>
              <w:rPr>
                <w:rFonts w:ascii="Book Antiqua" w:hAnsi="Book Antiqua" w:cs="Arial"/>
                <w:color w:val="000000"/>
                <w:lang w:val="en-US" w:eastAsia="fr-CH"/>
              </w:rPr>
            </w:pPr>
            <w:r w:rsidRPr="00843CFD">
              <w:rPr>
                <w:rFonts w:ascii="Book Antiqua" w:hAnsi="Book Antiqua" w:cs="Arial"/>
                <w:color w:val="000000"/>
                <w:lang w:val="en-US" w:eastAsia="fr-CH"/>
              </w:rPr>
              <w:t>Albumin, g/</w:t>
            </w:r>
            <w:r w:rsidR="00843CFD" w:rsidRPr="00843CFD">
              <w:rPr>
                <w:rFonts w:ascii="Book Antiqua" w:hAnsi="Book Antiqua" w:cs="Arial"/>
                <w:color w:val="000000"/>
                <w:lang w:val="en-US" w:eastAsia="fr-CH"/>
              </w:rPr>
              <w:t>L</w:t>
            </w:r>
            <w:r w:rsidRPr="00843CFD">
              <w:rPr>
                <w:rFonts w:ascii="Book Antiqua" w:hAnsi="Book Antiqua" w:cs="Arial"/>
                <w:color w:val="000000"/>
                <w:lang w:val="en-US" w:eastAsia="fr-CH"/>
              </w:rPr>
              <w:t xml:space="preserve"> (SD)</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38.0 (0.92)</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39.9 (0.21)</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0.017</w:t>
            </w:r>
          </w:p>
        </w:tc>
      </w:tr>
      <w:tr w:rsidR="001A594D" w:rsidRPr="00843CFD" w:rsidTr="004E58A6">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D</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25 (31)</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254 (21)</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0.038</w:t>
            </w:r>
          </w:p>
        </w:tc>
      </w:tr>
      <w:tr w:rsidR="001A594D" w:rsidRPr="00843CFD" w:rsidTr="004E58A6">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E</w:t>
            </w:r>
          </w:p>
        </w:tc>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2 (3)</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9 (1)</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0.103</w:t>
            </w:r>
          </w:p>
        </w:tc>
      </w:tr>
      <w:tr w:rsidR="001A594D" w:rsidRPr="00843CFD" w:rsidTr="004E58A6">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Calcium</w:t>
            </w:r>
          </w:p>
        </w:tc>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30 (38)</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336 (28)</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0.076</w:t>
            </w:r>
          </w:p>
        </w:tc>
      </w:tr>
      <w:tr w:rsidR="001A594D" w:rsidRPr="00843CFD" w:rsidTr="004E58A6">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Prednisone</w:t>
            </w:r>
          </w:p>
        </w:tc>
        <w:tc>
          <w:tcPr>
            <w:tcW w:w="2386"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16 (20)</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160 (13)</w:t>
            </w:r>
          </w:p>
        </w:tc>
        <w:tc>
          <w:tcPr>
            <w:tcW w:w="2387" w:type="dxa"/>
            <w:tcBorders>
              <w:left w:val="nil"/>
              <w:right w:val="nil"/>
            </w:tcBorders>
            <w:shd w:val="clear" w:color="auto" w:fill="auto"/>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0.100</w:t>
            </w:r>
          </w:p>
        </w:tc>
      </w:tr>
      <w:tr w:rsidR="001A594D" w:rsidRPr="00843CFD" w:rsidTr="004E58A6">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Azathioprine</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37 (46)</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383 (32)</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0.009</w:t>
            </w:r>
          </w:p>
        </w:tc>
      </w:tr>
      <w:tr w:rsidR="001A594D" w:rsidRPr="00843CFD" w:rsidTr="004E58A6">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Smokers</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12 (15)</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330 (28)</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0.012</w:t>
            </w:r>
          </w:p>
        </w:tc>
      </w:tr>
      <w:tr w:rsidR="001A594D" w:rsidRPr="00843CFD" w:rsidTr="004E58A6">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color w:val="000000"/>
                <w:lang w:val="en-US"/>
              </w:rPr>
            </w:pPr>
            <w:r w:rsidRPr="00843CFD">
              <w:rPr>
                <w:rFonts w:ascii="Book Antiqua" w:hAnsi="Book Antiqua" w:cs="Arial"/>
                <w:color w:val="000000"/>
                <w:lang w:val="en-US"/>
              </w:rPr>
              <w:t>Thrombosis</w:t>
            </w:r>
          </w:p>
        </w:tc>
        <w:tc>
          <w:tcPr>
            <w:tcW w:w="2386"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4 (5)</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17 (1)</w:t>
            </w:r>
          </w:p>
        </w:tc>
        <w:tc>
          <w:tcPr>
            <w:tcW w:w="2387" w:type="dxa"/>
            <w:tcBorders>
              <w:left w:val="nil"/>
              <w:right w:val="nil"/>
            </w:tcBorders>
          </w:tcPr>
          <w:p w:rsidR="001A594D" w:rsidRPr="00843CFD" w:rsidRDefault="001A594D" w:rsidP="000242B5">
            <w:pPr>
              <w:adjustRightInd w:val="0"/>
              <w:snapToGrid w:val="0"/>
              <w:spacing w:line="360" w:lineRule="auto"/>
              <w:jc w:val="both"/>
              <w:rPr>
                <w:rFonts w:ascii="Book Antiqua" w:hAnsi="Book Antiqua" w:cs="Arial"/>
              </w:rPr>
            </w:pPr>
            <w:r w:rsidRPr="00843CFD">
              <w:rPr>
                <w:rFonts w:ascii="Book Antiqua" w:hAnsi="Book Antiqua" w:cs="Arial"/>
              </w:rPr>
              <w:t>0.015</w:t>
            </w:r>
          </w:p>
        </w:tc>
      </w:tr>
    </w:tbl>
    <w:p w:rsidR="001A594D" w:rsidRPr="00843CFD" w:rsidRDefault="001A594D" w:rsidP="000242B5">
      <w:pPr>
        <w:adjustRightInd w:val="0"/>
        <w:snapToGrid w:val="0"/>
        <w:spacing w:line="360" w:lineRule="auto"/>
        <w:jc w:val="both"/>
        <w:rPr>
          <w:rFonts w:ascii="Book Antiqua" w:hAnsi="Book Antiqua" w:cs="Arial"/>
          <w:lang w:val="en-US" w:eastAsia="zh-CN"/>
        </w:rPr>
      </w:pPr>
      <w:proofErr w:type="gramStart"/>
      <w:r w:rsidRPr="00843CFD">
        <w:rPr>
          <w:rFonts w:ascii="Book Antiqua" w:hAnsi="Book Antiqua" w:cs="Arial"/>
          <w:lang w:val="en-US"/>
        </w:rPr>
        <w:t>Univariate analysis of factors differentiating patients with or without cholestasis.</w:t>
      </w:r>
      <w:proofErr w:type="gramEnd"/>
      <w:r w:rsidR="003A59F3" w:rsidRPr="00843CFD">
        <w:rPr>
          <w:rFonts w:ascii="Book Antiqua" w:hAnsi="Book Antiqua" w:cs="Arial"/>
          <w:lang w:val="en-US" w:eastAsia="zh-CN"/>
        </w:rPr>
        <w:t xml:space="preserve"> </w:t>
      </w:r>
      <w:r w:rsidR="003A59F3" w:rsidRPr="00843CFD">
        <w:rPr>
          <w:rFonts w:ascii="Book Antiqua" w:hAnsi="Book Antiqua" w:cs="Arial"/>
          <w:vertAlign w:val="superscript"/>
          <w:lang w:val="en-US" w:eastAsia="zh-CN"/>
        </w:rPr>
        <w:t>1</w:t>
      </w:r>
      <w:r w:rsidR="003A59F3" w:rsidRPr="00843CFD">
        <w:rPr>
          <w:rFonts w:ascii="Book Antiqua" w:hAnsi="Book Antiqua" w:cs="Arial"/>
          <w:lang w:val="en-US"/>
        </w:rPr>
        <w:t>R</w:t>
      </w:r>
      <w:r w:rsidRPr="00843CFD">
        <w:rPr>
          <w:rFonts w:ascii="Book Antiqua" w:hAnsi="Book Antiqua" w:cs="Arial"/>
          <w:lang w:val="en-US"/>
        </w:rPr>
        <w:t>esults expressed in number with percentage in parenthesis otherwise stated.</w:t>
      </w:r>
      <w:r w:rsidR="003A59F3" w:rsidRPr="00843CFD">
        <w:rPr>
          <w:rFonts w:ascii="Book Antiqua" w:hAnsi="Book Antiqua" w:cs="Arial"/>
          <w:lang w:val="en-US" w:eastAsia="zh-CN"/>
        </w:rPr>
        <w:t xml:space="preserve"> </w:t>
      </w:r>
      <w:r w:rsidRPr="00843CFD">
        <w:rPr>
          <w:rFonts w:ascii="Book Antiqua" w:hAnsi="Book Antiqua" w:cs="Arial"/>
          <w:lang w:val="en-US"/>
        </w:rPr>
        <w:t>TBA</w:t>
      </w:r>
      <w:r w:rsidR="003A59F3" w:rsidRPr="00843CFD">
        <w:rPr>
          <w:rFonts w:ascii="Book Antiqua" w:hAnsi="Book Antiqua" w:cs="Arial"/>
          <w:lang w:val="en-US" w:eastAsia="zh-CN"/>
        </w:rPr>
        <w:t>:</w:t>
      </w:r>
      <w:r w:rsidRPr="00843CFD">
        <w:rPr>
          <w:rFonts w:ascii="Book Antiqua" w:hAnsi="Book Antiqua" w:cs="Arial"/>
          <w:lang w:val="en-US"/>
        </w:rPr>
        <w:t xml:space="preserve"> </w:t>
      </w:r>
      <w:r w:rsidR="003A59F3" w:rsidRPr="00843CFD">
        <w:rPr>
          <w:rFonts w:ascii="Book Antiqua" w:hAnsi="Book Antiqua" w:cs="Arial"/>
          <w:lang w:val="en-US"/>
        </w:rPr>
        <w:t>T</w:t>
      </w:r>
      <w:r w:rsidRPr="00843CFD">
        <w:rPr>
          <w:rFonts w:ascii="Book Antiqua" w:hAnsi="Book Antiqua" w:cs="Arial"/>
          <w:lang w:val="en-US"/>
        </w:rPr>
        <w:t>otal bile acid; SD</w:t>
      </w:r>
      <w:r w:rsidR="003A59F3" w:rsidRPr="00843CFD">
        <w:rPr>
          <w:rFonts w:ascii="Book Antiqua" w:hAnsi="Book Antiqua" w:cs="Arial"/>
          <w:lang w:val="en-US" w:eastAsia="zh-CN"/>
        </w:rPr>
        <w:t>:</w:t>
      </w:r>
      <w:r w:rsidRPr="00843CFD">
        <w:rPr>
          <w:rFonts w:ascii="Book Antiqua" w:hAnsi="Book Antiqua" w:cs="Arial"/>
          <w:lang w:val="en-US"/>
        </w:rPr>
        <w:t xml:space="preserve"> </w:t>
      </w:r>
      <w:r w:rsidR="003A59F3" w:rsidRPr="00843CFD">
        <w:rPr>
          <w:rFonts w:ascii="Book Antiqua" w:hAnsi="Book Antiqua" w:cs="Arial"/>
          <w:lang w:val="en-US"/>
        </w:rPr>
        <w:t>S</w:t>
      </w:r>
      <w:r w:rsidRPr="00843CFD">
        <w:rPr>
          <w:rFonts w:ascii="Book Antiqua" w:hAnsi="Book Antiqua" w:cs="Arial"/>
          <w:lang w:val="en-US"/>
        </w:rPr>
        <w:t>tandard deviation</w:t>
      </w:r>
      <w:r w:rsidR="000242B5" w:rsidRPr="00843CFD">
        <w:rPr>
          <w:rFonts w:ascii="Book Antiqua" w:hAnsi="Book Antiqua" w:cs="Arial"/>
          <w:lang w:val="en-US" w:eastAsia="zh-CN"/>
        </w:rPr>
        <w:t>.</w:t>
      </w:r>
    </w:p>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Table 3</w:t>
      </w:r>
      <w:r w:rsidR="003A59F3" w:rsidRPr="00843CFD">
        <w:rPr>
          <w:rFonts w:ascii="Book Antiqua" w:hAnsi="Book Antiqua" w:cs="Arial"/>
          <w:b/>
          <w:lang w:val="en-US" w:eastAsia="zh-CN"/>
        </w:rPr>
        <w:t xml:space="preserve"> </w:t>
      </w:r>
      <w:r w:rsidR="003A59F3" w:rsidRPr="00843CFD">
        <w:rPr>
          <w:rFonts w:ascii="Book Antiqua" w:hAnsi="Book Antiqua" w:cs="Arial"/>
          <w:b/>
          <w:lang w:val="en-US"/>
        </w:rPr>
        <w:t>M</w:t>
      </w:r>
      <w:r w:rsidRPr="00843CFD">
        <w:rPr>
          <w:rFonts w:ascii="Book Antiqua" w:hAnsi="Book Antiqua" w:cs="Arial"/>
          <w:b/>
          <w:lang w:val="en-US"/>
        </w:rPr>
        <w:t>ultivariate analysis</w:t>
      </w:r>
    </w:p>
    <w:tbl>
      <w:tblPr>
        <w:tblStyle w:val="TableGrid"/>
        <w:tblW w:w="0" w:type="auto"/>
        <w:tblLook w:val="04A0" w:firstRow="1" w:lastRow="0" w:firstColumn="1" w:lastColumn="0" w:noHBand="0" w:noVBand="1"/>
      </w:tblPr>
      <w:tblGrid>
        <w:gridCol w:w="3182"/>
        <w:gridCol w:w="1591"/>
        <w:gridCol w:w="2423"/>
        <w:gridCol w:w="2350"/>
      </w:tblGrid>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p>
        </w:tc>
        <w:tc>
          <w:tcPr>
            <w:tcW w:w="1591" w:type="dxa"/>
          </w:tcPr>
          <w:p w:rsidR="001A594D" w:rsidRPr="00843CFD" w:rsidRDefault="001A594D" w:rsidP="00843CFD">
            <w:pPr>
              <w:adjustRightInd w:val="0"/>
              <w:snapToGrid w:val="0"/>
              <w:spacing w:line="360" w:lineRule="auto"/>
              <w:jc w:val="center"/>
              <w:rPr>
                <w:rFonts w:ascii="Book Antiqua" w:hAnsi="Book Antiqua" w:cs="Arial"/>
                <w:b/>
                <w:lang w:val="en-US"/>
              </w:rPr>
            </w:pPr>
            <w:r w:rsidRPr="00843CFD">
              <w:rPr>
                <w:rFonts w:ascii="Book Antiqua" w:hAnsi="Book Antiqua" w:cs="Arial"/>
                <w:b/>
                <w:lang w:val="en-US"/>
              </w:rPr>
              <w:t>OR</w:t>
            </w:r>
          </w:p>
          <w:p w:rsidR="001A594D" w:rsidRPr="00843CFD" w:rsidRDefault="001A594D" w:rsidP="00843CFD">
            <w:pPr>
              <w:adjustRightInd w:val="0"/>
              <w:snapToGrid w:val="0"/>
              <w:spacing w:line="360" w:lineRule="auto"/>
              <w:jc w:val="center"/>
              <w:rPr>
                <w:rFonts w:ascii="Book Antiqua" w:hAnsi="Book Antiqua" w:cs="Arial"/>
                <w:b/>
                <w:lang w:val="en-US"/>
              </w:rPr>
            </w:pPr>
          </w:p>
        </w:tc>
        <w:tc>
          <w:tcPr>
            <w:tcW w:w="2423" w:type="dxa"/>
          </w:tcPr>
          <w:p w:rsidR="001A594D" w:rsidRPr="00843CFD" w:rsidRDefault="001A594D" w:rsidP="00843CFD">
            <w:pPr>
              <w:adjustRightInd w:val="0"/>
              <w:snapToGrid w:val="0"/>
              <w:spacing w:line="360" w:lineRule="auto"/>
              <w:jc w:val="center"/>
              <w:rPr>
                <w:rFonts w:ascii="Book Antiqua" w:hAnsi="Book Antiqua" w:cs="Arial"/>
                <w:b/>
                <w:lang w:val="en-US"/>
              </w:rPr>
            </w:pPr>
            <w:r w:rsidRPr="00843CFD">
              <w:rPr>
                <w:rFonts w:ascii="Book Antiqua" w:hAnsi="Book Antiqua" w:cs="Arial"/>
                <w:b/>
                <w:lang w:val="en-US"/>
              </w:rPr>
              <w:t>CI</w:t>
            </w:r>
          </w:p>
        </w:tc>
        <w:tc>
          <w:tcPr>
            <w:tcW w:w="2350" w:type="dxa"/>
          </w:tcPr>
          <w:p w:rsidR="001A594D" w:rsidRPr="00843CFD" w:rsidRDefault="001A594D" w:rsidP="00843CFD">
            <w:pPr>
              <w:tabs>
                <w:tab w:val="left" w:pos="960"/>
                <w:tab w:val="center" w:pos="1067"/>
              </w:tabs>
              <w:adjustRightInd w:val="0"/>
              <w:snapToGrid w:val="0"/>
              <w:spacing w:line="360" w:lineRule="auto"/>
              <w:jc w:val="center"/>
              <w:rPr>
                <w:rFonts w:ascii="Book Antiqua" w:hAnsi="Book Antiqua" w:cs="Arial"/>
                <w:b/>
                <w:i/>
                <w:lang w:val="en-US"/>
              </w:rPr>
            </w:pPr>
            <w:r w:rsidRPr="00843CFD">
              <w:rPr>
                <w:rFonts w:ascii="Book Antiqua" w:hAnsi="Book Antiqua" w:cs="Arial"/>
                <w:b/>
                <w:i/>
                <w:lang w:val="en-US"/>
              </w:rPr>
              <w:t>P</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Gender</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1.48</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0.83</w:t>
            </w:r>
            <w:r w:rsidR="00843CFD">
              <w:rPr>
                <w:rFonts w:ascii="Book Antiqua" w:hAnsi="Book Antiqua" w:cs="Arial" w:hint="eastAsia"/>
                <w:lang w:val="en-US" w:eastAsia="zh-CN"/>
              </w:rPr>
              <w:t>-</w:t>
            </w:r>
            <w:r w:rsidRPr="00843CFD">
              <w:rPr>
                <w:rFonts w:ascii="Book Antiqua" w:hAnsi="Book Antiqua" w:cs="Arial"/>
                <w:lang w:val="en-US"/>
              </w:rPr>
              <w:t>2.67</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0.188</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Alkaline phosphatase</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0.99</w:t>
            </w:r>
            <w:r w:rsidR="00843CFD">
              <w:rPr>
                <w:rFonts w:ascii="Book Antiqua" w:hAnsi="Book Antiqua" w:cs="Arial" w:hint="eastAsia"/>
                <w:lang w:val="en-US" w:eastAsia="zh-CN"/>
              </w:rPr>
              <w:t>-</w:t>
            </w:r>
            <w:r w:rsidRPr="00843CFD">
              <w:rPr>
                <w:rFonts w:ascii="Book Antiqua" w:hAnsi="Book Antiqua" w:cs="Arial"/>
                <w:lang w:val="en-US"/>
              </w:rPr>
              <w:t>1.01</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0.282</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Albumin</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0.96</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0.92</w:t>
            </w:r>
            <w:r w:rsidR="00843CFD">
              <w:rPr>
                <w:rFonts w:ascii="Book Antiqua" w:hAnsi="Book Antiqua" w:cs="Arial" w:hint="eastAsia"/>
                <w:lang w:val="en-US" w:eastAsia="zh-CN"/>
              </w:rPr>
              <w:t>-</w:t>
            </w:r>
            <w:r w:rsidRPr="00843CFD">
              <w:rPr>
                <w:rFonts w:ascii="Book Antiqua" w:hAnsi="Book Antiqua" w:cs="Arial"/>
                <w:lang w:val="en-US"/>
              </w:rPr>
              <w:t>1.01</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0.108</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Current smoking status</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0.42</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0.17</w:t>
            </w:r>
            <w:r w:rsidR="00843CFD">
              <w:rPr>
                <w:rFonts w:ascii="Book Antiqua" w:hAnsi="Book Antiqua" w:cs="Arial" w:hint="eastAsia"/>
                <w:lang w:val="en-US" w:eastAsia="zh-CN"/>
              </w:rPr>
              <w:t>-</w:t>
            </w:r>
            <w:r w:rsidRPr="00843CFD">
              <w:rPr>
                <w:rFonts w:ascii="Book Antiqua" w:hAnsi="Book Antiqua" w:cs="Arial"/>
                <w:lang w:val="en-US"/>
              </w:rPr>
              <w:t>0.91</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0.041</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Azathioprine treatment</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1.57</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0.873</w:t>
            </w:r>
            <w:r w:rsidR="00843CFD">
              <w:rPr>
                <w:rFonts w:ascii="Book Antiqua" w:hAnsi="Book Antiqua" w:cs="Arial" w:hint="eastAsia"/>
                <w:lang w:val="en-US" w:eastAsia="zh-CN"/>
              </w:rPr>
              <w:t>-</w:t>
            </w:r>
            <w:r w:rsidRPr="00843CFD">
              <w:rPr>
                <w:rFonts w:ascii="Book Antiqua" w:hAnsi="Book Antiqua" w:cs="Arial"/>
                <w:lang w:val="en-US"/>
              </w:rPr>
              <w:t>2.79</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0.128</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Prednisone treatment</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1.15</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0.53</w:t>
            </w:r>
            <w:r w:rsidR="00843CFD">
              <w:rPr>
                <w:rFonts w:ascii="Book Antiqua" w:hAnsi="Book Antiqua" w:cs="Arial" w:hint="eastAsia"/>
                <w:lang w:val="en-US" w:eastAsia="zh-CN"/>
              </w:rPr>
              <w:t>-</w:t>
            </w:r>
            <w:r w:rsidRPr="00843CFD">
              <w:rPr>
                <w:rFonts w:ascii="Book Antiqua" w:hAnsi="Book Antiqua" w:cs="Arial"/>
                <w:lang w:val="en-US"/>
              </w:rPr>
              <w:t>2.36</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0.707</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D supplement</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0.72</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0.29</w:t>
            </w:r>
            <w:r w:rsidR="00843CFD">
              <w:rPr>
                <w:rFonts w:ascii="Book Antiqua" w:hAnsi="Book Antiqua" w:cs="Arial" w:hint="eastAsia"/>
                <w:lang w:val="en-US" w:eastAsia="zh-CN"/>
              </w:rPr>
              <w:t>-</w:t>
            </w:r>
            <w:r w:rsidRPr="00843CFD">
              <w:rPr>
                <w:rFonts w:ascii="Book Antiqua" w:hAnsi="Book Antiqua" w:cs="Arial"/>
                <w:lang w:val="en-US"/>
              </w:rPr>
              <w:t>1.79</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0.471</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Vitamin E supplement</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4.36</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0.56</w:t>
            </w:r>
            <w:r w:rsidR="00843CFD">
              <w:rPr>
                <w:rFonts w:ascii="Book Antiqua" w:hAnsi="Book Antiqua" w:cs="Arial" w:hint="eastAsia"/>
                <w:lang w:val="en-US" w:eastAsia="zh-CN"/>
              </w:rPr>
              <w:t>-</w:t>
            </w:r>
            <w:r w:rsidRPr="00843CFD">
              <w:rPr>
                <w:rFonts w:ascii="Book Antiqua" w:hAnsi="Book Antiqua" w:cs="Arial"/>
                <w:lang w:val="en-US"/>
              </w:rPr>
              <w:t>24.46</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0.110</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Calcium supplement</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2.36</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1.00</w:t>
            </w:r>
            <w:r w:rsidR="00843CFD">
              <w:rPr>
                <w:rFonts w:ascii="Book Antiqua" w:hAnsi="Book Antiqua" w:cs="Arial" w:hint="eastAsia"/>
                <w:lang w:val="en-US" w:eastAsia="zh-CN"/>
              </w:rPr>
              <w:t>-</w:t>
            </w:r>
            <w:r w:rsidRPr="00843CFD">
              <w:rPr>
                <w:rFonts w:ascii="Book Antiqua" w:hAnsi="Book Antiqua" w:cs="Arial"/>
                <w:lang w:val="en-US"/>
              </w:rPr>
              <w:t>5.21</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0.040</w:t>
            </w:r>
          </w:p>
        </w:tc>
      </w:tr>
      <w:tr w:rsidR="001A594D" w:rsidRPr="00843CFD" w:rsidTr="004E58A6">
        <w:tc>
          <w:tcPr>
            <w:tcW w:w="3182" w:type="dxa"/>
          </w:tcPr>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t>Thrombosis</w:t>
            </w:r>
          </w:p>
        </w:tc>
        <w:tc>
          <w:tcPr>
            <w:tcW w:w="1591"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1.38</w:t>
            </w:r>
          </w:p>
        </w:tc>
        <w:tc>
          <w:tcPr>
            <w:tcW w:w="2423"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0.19</w:t>
            </w:r>
            <w:r w:rsidR="00843CFD">
              <w:rPr>
                <w:rFonts w:ascii="Book Antiqua" w:hAnsi="Book Antiqua" w:cs="Arial" w:hint="eastAsia"/>
                <w:lang w:val="en-US" w:eastAsia="zh-CN"/>
              </w:rPr>
              <w:t>-</w:t>
            </w:r>
            <w:r w:rsidRPr="00843CFD">
              <w:rPr>
                <w:rFonts w:ascii="Book Antiqua" w:hAnsi="Book Antiqua" w:cs="Arial"/>
                <w:lang w:val="en-US"/>
              </w:rPr>
              <w:t>5.89</w:t>
            </w:r>
          </w:p>
        </w:tc>
        <w:tc>
          <w:tcPr>
            <w:tcW w:w="2350" w:type="dxa"/>
          </w:tcPr>
          <w:p w:rsidR="001A594D" w:rsidRPr="00843CFD" w:rsidRDefault="001A594D" w:rsidP="00843CFD">
            <w:pPr>
              <w:adjustRightInd w:val="0"/>
              <w:snapToGrid w:val="0"/>
              <w:spacing w:line="360" w:lineRule="auto"/>
              <w:jc w:val="center"/>
              <w:rPr>
                <w:rFonts w:ascii="Book Antiqua" w:hAnsi="Book Antiqua" w:cs="Arial"/>
                <w:lang w:val="en-US"/>
              </w:rPr>
            </w:pPr>
            <w:r w:rsidRPr="00843CFD">
              <w:rPr>
                <w:rFonts w:ascii="Book Antiqua" w:hAnsi="Book Antiqua" w:cs="Arial"/>
                <w:lang w:val="en-US"/>
              </w:rPr>
              <w:t>0.701</w:t>
            </w:r>
          </w:p>
        </w:tc>
      </w:tr>
    </w:tbl>
    <w:p w:rsidR="001A594D" w:rsidRPr="00843CFD" w:rsidRDefault="001A594D"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Multivariate analysis of factors associated with a cholestasis comparing 80 patients with cholestasis and 1190 patients without cholestasis.</w:t>
      </w:r>
      <w:r w:rsidR="003A59F3" w:rsidRPr="00843CFD">
        <w:rPr>
          <w:rFonts w:ascii="Book Antiqua" w:hAnsi="Book Antiqua" w:cs="Arial"/>
          <w:lang w:val="en-US" w:eastAsia="zh-CN"/>
        </w:rPr>
        <w:t xml:space="preserve"> </w:t>
      </w:r>
      <w:r w:rsidRPr="00843CFD">
        <w:rPr>
          <w:rFonts w:ascii="Book Antiqua" w:hAnsi="Book Antiqua" w:cs="Arial"/>
          <w:lang w:val="en-US"/>
        </w:rPr>
        <w:t>CRP</w:t>
      </w:r>
      <w:r w:rsidR="003A59F3" w:rsidRPr="00843CFD">
        <w:rPr>
          <w:rFonts w:ascii="Book Antiqua" w:hAnsi="Book Antiqua" w:cs="Arial"/>
          <w:lang w:val="en-US" w:eastAsia="zh-CN"/>
        </w:rPr>
        <w:t>:</w:t>
      </w:r>
      <w:r w:rsidRPr="00843CFD">
        <w:rPr>
          <w:rFonts w:ascii="Book Antiqua" w:hAnsi="Book Antiqua" w:cs="Arial"/>
          <w:lang w:val="en-US"/>
        </w:rPr>
        <w:t xml:space="preserve"> C-reactive protein; OR</w:t>
      </w:r>
      <w:r w:rsidR="003A59F3" w:rsidRPr="00843CFD">
        <w:rPr>
          <w:rFonts w:ascii="Book Antiqua" w:hAnsi="Book Antiqua" w:cs="Arial"/>
          <w:lang w:val="en-US" w:eastAsia="zh-CN"/>
        </w:rPr>
        <w:t>:</w:t>
      </w:r>
      <w:r w:rsidRPr="00843CFD">
        <w:rPr>
          <w:rFonts w:ascii="Book Antiqua" w:hAnsi="Book Antiqua" w:cs="Arial"/>
          <w:lang w:val="en-US"/>
        </w:rPr>
        <w:t xml:space="preserve"> </w:t>
      </w:r>
      <w:r w:rsidR="000242B5" w:rsidRPr="00843CFD">
        <w:rPr>
          <w:rFonts w:ascii="Book Antiqua" w:hAnsi="Book Antiqua" w:cs="Arial"/>
          <w:lang w:val="en-US"/>
        </w:rPr>
        <w:t>O</w:t>
      </w:r>
      <w:r w:rsidRPr="00843CFD">
        <w:rPr>
          <w:rFonts w:ascii="Book Antiqua" w:hAnsi="Book Antiqua" w:cs="Arial"/>
          <w:lang w:val="en-US"/>
        </w:rPr>
        <w:t>dd-ratio; CI</w:t>
      </w:r>
      <w:r w:rsidR="003A59F3" w:rsidRPr="00843CFD">
        <w:rPr>
          <w:rFonts w:ascii="Book Antiqua" w:hAnsi="Book Antiqua" w:cs="Arial"/>
          <w:lang w:val="en-US" w:eastAsia="zh-CN"/>
        </w:rPr>
        <w:t>:</w:t>
      </w:r>
      <w:r w:rsidRPr="00843CFD">
        <w:rPr>
          <w:rFonts w:ascii="Book Antiqua" w:hAnsi="Book Antiqua" w:cs="Arial"/>
          <w:lang w:val="en-US"/>
        </w:rPr>
        <w:t xml:space="preserve"> </w:t>
      </w:r>
      <w:r w:rsidR="003A59F3" w:rsidRPr="00843CFD">
        <w:rPr>
          <w:rFonts w:ascii="Book Antiqua" w:hAnsi="Book Antiqua" w:cs="Arial"/>
          <w:lang w:val="en-US"/>
        </w:rPr>
        <w:t>C</w:t>
      </w:r>
      <w:r w:rsidRPr="00843CFD">
        <w:rPr>
          <w:rFonts w:ascii="Book Antiqua" w:hAnsi="Book Antiqua" w:cs="Arial"/>
          <w:lang w:val="en-US"/>
        </w:rPr>
        <w:t>onfidence interval</w:t>
      </w:r>
      <w:r w:rsidR="000242B5" w:rsidRPr="00843CFD">
        <w:rPr>
          <w:rFonts w:ascii="Book Antiqua" w:hAnsi="Book Antiqua" w:cs="Arial"/>
          <w:lang w:val="en-US" w:eastAsia="zh-CN"/>
        </w:rPr>
        <w:t>.</w:t>
      </w:r>
    </w:p>
    <w:p w:rsidR="001A594D" w:rsidRPr="00843CFD" w:rsidRDefault="001A594D" w:rsidP="000242B5">
      <w:pPr>
        <w:adjustRightInd w:val="0"/>
        <w:snapToGrid w:val="0"/>
        <w:spacing w:line="360" w:lineRule="auto"/>
        <w:jc w:val="both"/>
        <w:rPr>
          <w:rFonts w:ascii="Book Antiqua" w:hAnsi="Book Antiqua" w:cs="Arial"/>
          <w:lang w:val="en-US"/>
        </w:rPr>
      </w:pPr>
      <w:r w:rsidRPr="00843CFD">
        <w:rPr>
          <w:rFonts w:ascii="Book Antiqua" w:hAnsi="Book Antiqua" w:cs="Arial"/>
          <w:lang w:val="en-US"/>
        </w:rPr>
        <w:br w:type="page"/>
      </w:r>
    </w:p>
    <w:p w:rsidR="001A594D" w:rsidRPr="00843CFD" w:rsidRDefault="001A594D" w:rsidP="000242B5">
      <w:pPr>
        <w:adjustRightInd w:val="0"/>
        <w:snapToGrid w:val="0"/>
        <w:spacing w:line="360" w:lineRule="auto"/>
        <w:jc w:val="both"/>
        <w:rPr>
          <w:rFonts w:ascii="Book Antiqua" w:hAnsi="Book Antiqua" w:cs="Arial"/>
          <w:b/>
          <w:lang w:val="en-US"/>
        </w:rPr>
      </w:pPr>
      <w:r w:rsidRPr="00843CFD">
        <w:rPr>
          <w:rFonts w:ascii="Book Antiqua" w:hAnsi="Book Antiqua" w:cs="Arial"/>
          <w:b/>
          <w:lang w:val="en-US"/>
        </w:rPr>
        <w:t>Table 4</w:t>
      </w:r>
      <w:r w:rsidR="003A59F3" w:rsidRPr="00843CFD">
        <w:rPr>
          <w:rFonts w:ascii="Book Antiqua" w:hAnsi="Book Antiqua" w:cs="Arial"/>
          <w:b/>
          <w:lang w:val="en-US" w:eastAsia="zh-CN"/>
        </w:rPr>
        <w:t xml:space="preserve"> </w:t>
      </w:r>
      <w:r w:rsidRPr="00843CFD">
        <w:rPr>
          <w:rFonts w:ascii="Book Antiqua" w:hAnsi="Book Antiqua" w:cs="Arial"/>
          <w:b/>
          <w:lang w:val="en-US"/>
        </w:rPr>
        <w:t xml:space="preserve">Bile acids subtypes </w:t>
      </w:r>
    </w:p>
    <w:tbl>
      <w:tblPr>
        <w:tblStyle w:val="TableGrid"/>
        <w:tblW w:w="8740" w:type="dxa"/>
        <w:tblLook w:val="04A0" w:firstRow="1" w:lastRow="0" w:firstColumn="1" w:lastColumn="0" w:noHBand="0" w:noVBand="1"/>
      </w:tblPr>
      <w:tblGrid>
        <w:gridCol w:w="2833"/>
        <w:gridCol w:w="1806"/>
        <w:gridCol w:w="1810"/>
        <w:gridCol w:w="2291"/>
      </w:tblGrid>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rPr>
                <w:rFonts w:ascii="Book Antiqua" w:hAnsi="Book Antiqua" w:cs="Arial"/>
                <w:lang w:val="en-US" w:eastAsia="fr-CH"/>
              </w:rPr>
            </w:pP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b/>
                <w:lang w:eastAsia="fr-CH"/>
              </w:rPr>
            </w:pPr>
            <w:r w:rsidRPr="00843CFD">
              <w:rPr>
                <w:rFonts w:ascii="Book Antiqua" w:hAnsi="Book Antiqua" w:cs="Arial"/>
                <w:b/>
                <w:color w:val="000000"/>
                <w:kern w:val="24"/>
                <w:lang w:eastAsia="fr-CH"/>
              </w:rPr>
              <w:t xml:space="preserve">TBA &gt; 8 (80) </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b/>
                <w:lang w:eastAsia="fr-CH"/>
              </w:rPr>
            </w:pPr>
            <w:r w:rsidRPr="00843CFD">
              <w:rPr>
                <w:rFonts w:ascii="Book Antiqua" w:hAnsi="Book Antiqua" w:cs="Arial"/>
                <w:b/>
                <w:color w:val="000000"/>
                <w:kern w:val="24"/>
                <w:lang w:eastAsia="fr-CH"/>
              </w:rPr>
              <w:t xml:space="preserve">TBA &lt; 8 (80) </w:t>
            </w:r>
          </w:p>
        </w:tc>
        <w:tc>
          <w:tcPr>
            <w:tcW w:w="2641" w:type="dxa"/>
            <w:hideMark/>
          </w:tcPr>
          <w:p w:rsidR="001A594D" w:rsidRPr="00843CFD" w:rsidRDefault="003A59F3" w:rsidP="000242B5">
            <w:pPr>
              <w:adjustRightInd w:val="0"/>
              <w:snapToGrid w:val="0"/>
              <w:spacing w:line="360" w:lineRule="auto"/>
              <w:jc w:val="both"/>
              <w:textAlignment w:val="bottom"/>
              <w:rPr>
                <w:rFonts w:ascii="Book Antiqua" w:hAnsi="Book Antiqua" w:cs="Arial"/>
                <w:b/>
                <w:lang w:eastAsia="fr-CH"/>
              </w:rPr>
            </w:pPr>
            <w:r w:rsidRPr="00843CFD">
              <w:rPr>
                <w:rFonts w:ascii="Book Antiqua" w:hAnsi="Book Antiqua" w:cs="Arial"/>
                <w:b/>
                <w:i/>
                <w:kern w:val="24"/>
                <w:lang w:eastAsia="fr-CH"/>
              </w:rPr>
              <w:t>P</w:t>
            </w:r>
            <w:r w:rsidR="001A594D" w:rsidRPr="00843CFD">
              <w:rPr>
                <w:rFonts w:ascii="Book Antiqua" w:hAnsi="Book Antiqua" w:cs="Arial"/>
                <w:b/>
                <w:kern w:val="24"/>
                <w:lang w:eastAsia="fr-CH"/>
              </w:rPr>
              <w:t xml:space="preserve"> value</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eastAsia="fr-CH"/>
              </w:rPr>
            </w:pPr>
            <w:r w:rsidRPr="00843CFD">
              <w:rPr>
                <w:rFonts w:ascii="Book Antiqua" w:hAnsi="Book Antiqua" w:cs="Arial"/>
                <w:color w:val="000000"/>
                <w:kern w:val="24"/>
                <w:lang w:eastAsia="fr-CH"/>
              </w:rPr>
              <w:t xml:space="preserve">TBA </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14.64 (1.24)</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3.31 (0.22)</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1.07</w:t>
            </w:r>
            <w:r w:rsidR="001A594D" w:rsidRPr="00843CFD">
              <w:rPr>
                <w:rFonts w:ascii="Book Antiqua" w:hAnsi="Book Antiqua" w:cs="Arial"/>
                <w:kern w:val="24"/>
                <w:lang w:val="en-US" w:eastAsia="fr-CH"/>
              </w:rPr>
              <w:t>E-15</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Primary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CA</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Cholic acid</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1.09 (0.29)</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0.29 (0.04)</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0.008</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 xml:space="preserve">CDC </w:t>
            </w:r>
            <w:r w:rsidRPr="00843CFD">
              <w:rPr>
                <w:rFonts w:ascii="Book Antiqua" w:hAnsi="Book Antiqua" w:cs="Arial"/>
                <w:lang w:val="en-US"/>
              </w:rPr>
              <w:t>chenodeoxycholate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2.06 (0.41)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0.68 (0.13)</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0.002</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Secondary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DC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1.35 (0.27)</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0.28 (0.04)</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0.0002</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LCA</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 xml:space="preserve"> </w:t>
            </w:r>
            <w:r w:rsidRPr="00843CFD">
              <w:rPr>
                <w:rFonts w:ascii="Book Antiqua" w:hAnsi="Book Antiqua" w:cs="Arial"/>
                <w:lang w:val="en-US"/>
              </w:rPr>
              <w:t>lithocholic acid</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0.07 (0.01)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0.07 (0.01)</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0.900</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Tertiary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UDC</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ursodeoxycholate</w:t>
            </w:r>
            <w:r w:rsidRPr="00843CFD">
              <w:rPr>
                <w:rFonts w:ascii="Book Antiqua" w:hAnsi="Book Antiqua" w:cs="Arial"/>
                <w:color w:val="000000"/>
                <w:kern w:val="24"/>
                <w:lang w:val="en-US" w:eastAsia="fr-CH"/>
              </w:rPr>
              <w:t xml:space="preserve"> </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0.34 (0.05)</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0.14 (0.03)</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0.0004</w:t>
            </w:r>
          </w:p>
        </w:tc>
      </w:tr>
      <w:tr w:rsidR="001A594D" w:rsidRPr="00843CFD" w:rsidTr="004E58A6">
        <w:trPr>
          <w:trHeight w:val="480"/>
        </w:trPr>
        <w:tc>
          <w:tcPr>
            <w:tcW w:w="4068" w:type="dxa"/>
            <w:gridSpan w:val="2"/>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Primary conjugated</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TC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taurocholate</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0.37 (0.08)</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0.04 (0.01)</w:t>
            </w: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0.0001</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GCA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proofErr w:type="spellStart"/>
            <w:r w:rsidRPr="00843CFD">
              <w:rPr>
                <w:rFonts w:ascii="Book Antiqua" w:hAnsi="Book Antiqua" w:cs="Arial"/>
                <w:lang w:val="en-US"/>
              </w:rPr>
              <w:t>gylcocholate</w:t>
            </w:r>
            <w:proofErr w:type="spellEnd"/>
            <w:r w:rsidRPr="00843CFD">
              <w:rPr>
                <w:rFonts w:ascii="Book Antiqua" w:hAnsi="Book Antiqua" w:cs="Arial"/>
                <w:lang w:val="en-US"/>
              </w:rPr>
              <w:t xml:space="preserve"> acid</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1.78 (0.28)</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0.38 (0.05)</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1.83</w:t>
            </w:r>
            <w:r w:rsidR="001A594D" w:rsidRPr="00843CFD">
              <w:rPr>
                <w:rFonts w:ascii="Book Antiqua" w:hAnsi="Book Antiqua" w:cs="Arial"/>
                <w:kern w:val="24"/>
                <w:lang w:val="en-US" w:eastAsia="fr-CH"/>
              </w:rPr>
              <w:t>E-6</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TCDC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taurochenodeoxycholate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0.74 (0.11)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0.18 (0.02)</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1.58</w:t>
            </w:r>
            <w:r w:rsidR="001A594D" w:rsidRPr="00843CFD">
              <w:rPr>
                <w:rFonts w:ascii="Book Antiqua" w:hAnsi="Book Antiqua" w:cs="Arial"/>
                <w:kern w:val="24"/>
                <w:lang w:val="en-US" w:eastAsia="fr-CH"/>
              </w:rPr>
              <w:t>E-6</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GCDC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glycochenodeoxycholate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4.72 (0.33)</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1.42 (0.12)</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1.54</w:t>
            </w:r>
            <w:r w:rsidR="001A594D" w:rsidRPr="00843CFD">
              <w:rPr>
                <w:rFonts w:ascii="Book Antiqua" w:hAnsi="Book Antiqua" w:cs="Arial"/>
                <w:kern w:val="24"/>
                <w:lang w:val="en-US" w:eastAsia="fr-CH"/>
              </w:rPr>
              <w:t>E-16</w:t>
            </w:r>
          </w:p>
        </w:tc>
      </w:tr>
      <w:tr w:rsidR="001A594D" w:rsidRPr="00843CFD" w:rsidTr="004E58A6">
        <w:trPr>
          <w:trHeight w:val="480"/>
        </w:trPr>
        <w:tc>
          <w:tcPr>
            <w:tcW w:w="4068" w:type="dxa"/>
            <w:gridSpan w:val="2"/>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Secondary conjugated</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GDC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glycodeoxycholate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1.01 (0.10)</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0.30 (0.04)</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1.38</w:t>
            </w:r>
            <w:r w:rsidR="001A594D" w:rsidRPr="00843CFD">
              <w:rPr>
                <w:rFonts w:ascii="Book Antiqua" w:hAnsi="Book Antiqua" w:cs="Arial"/>
                <w:kern w:val="24"/>
                <w:lang w:val="en-US" w:eastAsia="fr-CH"/>
              </w:rPr>
              <w:t>E-9</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TDC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taurodeoxycholate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0.20 (0.03)</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0.05 (0.01)</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8.78</w:t>
            </w:r>
            <w:r w:rsidR="001A594D" w:rsidRPr="00843CFD">
              <w:rPr>
                <w:rFonts w:ascii="Book Antiqua" w:hAnsi="Book Antiqua" w:cs="Arial"/>
                <w:kern w:val="24"/>
                <w:lang w:val="en-US" w:eastAsia="fr-CH"/>
              </w:rPr>
              <w:t>E-7</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TLC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lang w:val="en-US"/>
              </w:rPr>
              <w:t>taurolithocholate</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0.04 (0.01)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0.01 (0.00)</w:t>
            </w:r>
          </w:p>
        </w:tc>
        <w:tc>
          <w:tcPr>
            <w:tcW w:w="2641" w:type="dxa"/>
            <w:hideMark/>
          </w:tcPr>
          <w:p w:rsidR="001A594D" w:rsidRPr="00843CFD" w:rsidRDefault="00843CFD" w:rsidP="000242B5">
            <w:pPr>
              <w:adjustRightInd w:val="0"/>
              <w:snapToGrid w:val="0"/>
              <w:spacing w:line="360" w:lineRule="auto"/>
              <w:jc w:val="both"/>
              <w:textAlignment w:val="bottom"/>
              <w:rPr>
                <w:rFonts w:ascii="Book Antiqua" w:hAnsi="Book Antiqua" w:cs="Arial"/>
                <w:lang w:val="en-US" w:eastAsia="fr-CH"/>
              </w:rPr>
            </w:pPr>
            <w:r>
              <w:rPr>
                <w:rFonts w:ascii="Book Antiqua" w:hAnsi="Book Antiqua" w:cs="Arial"/>
                <w:kern w:val="24"/>
                <w:lang w:val="en-US" w:eastAsia="fr-CH"/>
              </w:rPr>
              <w:t>8.46</w:t>
            </w:r>
            <w:r w:rsidR="001A594D" w:rsidRPr="00843CFD">
              <w:rPr>
                <w:rFonts w:ascii="Book Antiqua" w:hAnsi="Book Antiqua" w:cs="Arial"/>
                <w:kern w:val="24"/>
                <w:lang w:val="en-US" w:eastAsia="fr-CH"/>
              </w:rPr>
              <w:t>E-5</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GLC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proofErr w:type="spellStart"/>
            <w:r w:rsidRPr="00843CFD">
              <w:rPr>
                <w:rFonts w:ascii="Book Antiqua" w:hAnsi="Book Antiqua" w:cs="Arial"/>
                <w:lang w:val="en-US"/>
              </w:rPr>
              <w:t>glycolithocholate</w:t>
            </w:r>
            <w:proofErr w:type="spellEnd"/>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0.09 (0.01)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0.09 (0.01)</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0.646</w:t>
            </w:r>
          </w:p>
        </w:tc>
      </w:tr>
      <w:tr w:rsidR="001A594D" w:rsidRPr="00843CFD" w:rsidTr="004E58A6">
        <w:trPr>
          <w:trHeight w:val="480"/>
        </w:trPr>
        <w:tc>
          <w:tcPr>
            <w:tcW w:w="8740" w:type="dxa"/>
            <w:gridSpan w:val="4"/>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r w:rsidRPr="00843CFD">
              <w:rPr>
                <w:rFonts w:ascii="Book Antiqua" w:hAnsi="Book Antiqua" w:cs="Arial"/>
                <w:kern w:val="24"/>
                <w:lang w:val="en-US" w:eastAsia="fr-CH"/>
              </w:rPr>
              <w:t>Tertiary conjugated</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TUDC</w:t>
            </w:r>
          </w:p>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lang w:val="en-US"/>
              </w:rPr>
              <w:t>tauroursodeoxycholate</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0.06 (0.01)</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0.001 (0.00)</w:t>
            </w:r>
          </w:p>
        </w:tc>
        <w:tc>
          <w:tcPr>
            <w:tcW w:w="2641" w:type="dxa"/>
          </w:tcPr>
          <w:p w:rsidR="001A594D" w:rsidRPr="00843CFD" w:rsidRDefault="00843CFD" w:rsidP="000242B5">
            <w:pPr>
              <w:adjustRightInd w:val="0"/>
              <w:snapToGrid w:val="0"/>
              <w:spacing w:line="360" w:lineRule="auto"/>
              <w:jc w:val="both"/>
              <w:textAlignment w:val="bottom"/>
              <w:rPr>
                <w:rFonts w:ascii="Book Antiqua" w:hAnsi="Book Antiqua" w:cs="Arial"/>
                <w:kern w:val="24"/>
                <w:lang w:val="en-US" w:eastAsia="fr-CH"/>
              </w:rPr>
            </w:pPr>
            <w:r>
              <w:rPr>
                <w:rFonts w:ascii="Book Antiqua" w:hAnsi="Book Antiqua" w:cs="Arial"/>
                <w:kern w:val="24"/>
                <w:lang w:val="en-US" w:eastAsia="fr-CH"/>
              </w:rPr>
              <w:t>1.69</w:t>
            </w:r>
            <w:r w:rsidR="001A594D" w:rsidRPr="00843CFD">
              <w:rPr>
                <w:rFonts w:ascii="Book Antiqua" w:hAnsi="Book Antiqua" w:cs="Arial"/>
                <w:kern w:val="24"/>
                <w:lang w:val="en-US" w:eastAsia="fr-CH"/>
              </w:rPr>
              <w:t>E-8</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GUDC</w:t>
            </w:r>
          </w:p>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roofErr w:type="spellStart"/>
            <w:r w:rsidRPr="00843CFD">
              <w:rPr>
                <w:rFonts w:ascii="Book Antiqua" w:hAnsi="Book Antiqua" w:cs="Arial"/>
                <w:lang w:val="en-US"/>
              </w:rPr>
              <w:t>glycoursodeoxycholate</w:t>
            </w:r>
            <w:proofErr w:type="spellEnd"/>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0.84 (0.12)</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0.19 (0.03)</w:t>
            </w:r>
          </w:p>
        </w:tc>
        <w:tc>
          <w:tcPr>
            <w:tcW w:w="2641" w:type="dxa"/>
          </w:tcPr>
          <w:p w:rsidR="001A594D" w:rsidRPr="00843CFD" w:rsidRDefault="00843CFD" w:rsidP="000242B5">
            <w:pPr>
              <w:adjustRightInd w:val="0"/>
              <w:snapToGrid w:val="0"/>
              <w:spacing w:line="360" w:lineRule="auto"/>
              <w:jc w:val="both"/>
              <w:textAlignment w:val="bottom"/>
              <w:rPr>
                <w:rFonts w:ascii="Book Antiqua" w:hAnsi="Book Antiqua" w:cs="Arial"/>
                <w:kern w:val="24"/>
                <w:lang w:val="en-US" w:eastAsia="fr-CH"/>
              </w:rPr>
            </w:pPr>
            <w:r>
              <w:rPr>
                <w:rFonts w:ascii="Book Antiqua" w:hAnsi="Book Antiqua" w:cs="Arial"/>
                <w:kern w:val="24"/>
                <w:lang w:val="en-US" w:eastAsia="fr-CH"/>
              </w:rPr>
              <w:t>4.58</w:t>
            </w:r>
            <w:r w:rsidR="001A594D" w:rsidRPr="00843CFD">
              <w:rPr>
                <w:rFonts w:ascii="Book Antiqua" w:hAnsi="Book Antiqua" w:cs="Arial"/>
                <w:kern w:val="24"/>
                <w:lang w:val="en-US" w:eastAsia="fr-CH"/>
              </w:rPr>
              <w:t>E-7</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roofErr w:type="spellStart"/>
            <w:r w:rsidRPr="00843CFD">
              <w:rPr>
                <w:rFonts w:ascii="Book Antiqua" w:hAnsi="Book Antiqua" w:cs="Arial"/>
                <w:color w:val="000000"/>
                <w:kern w:val="24"/>
                <w:lang w:val="en-US" w:eastAsia="fr-CH"/>
              </w:rPr>
              <w:t>Hydroxydes</w:t>
            </w:r>
            <w:proofErr w:type="spellEnd"/>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bookmarkStart w:id="70" w:name="OLE_LINK1525"/>
            <w:bookmarkStart w:id="71" w:name="OLE_LINK1526"/>
            <w:r w:rsidRPr="00843CFD">
              <w:rPr>
                <w:rFonts w:ascii="Book Antiqua" w:hAnsi="Book Antiqua" w:cs="Arial"/>
                <w:color w:val="000000"/>
                <w:kern w:val="24"/>
                <w:lang w:val="en-US" w:eastAsia="fr-CH"/>
              </w:rPr>
              <w:t xml:space="preserve">DHCA </w:t>
            </w:r>
            <w:bookmarkEnd w:id="70"/>
            <w:bookmarkEnd w:id="71"/>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proofErr w:type="spellStart"/>
            <w:r w:rsidRPr="00843CFD">
              <w:rPr>
                <w:rFonts w:ascii="Book Antiqua" w:hAnsi="Book Antiqua" w:cs="Arial"/>
                <w:lang w:val="en-US"/>
              </w:rPr>
              <w:t>dihydroxycholestanoic</w:t>
            </w:r>
            <w:proofErr w:type="spellEnd"/>
            <w:r w:rsidRPr="00843CFD">
              <w:rPr>
                <w:rFonts w:ascii="Book Antiqua" w:hAnsi="Book Antiqua" w:cs="Arial"/>
                <w:lang w:val="en-US"/>
              </w:rPr>
              <w:t xml:space="preserve"> acid</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0.004 (0.002)</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0.001 (0.001)</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0.291</w:t>
            </w:r>
          </w:p>
        </w:tc>
      </w:tr>
      <w:tr w:rsidR="001A594D" w:rsidRPr="00843CFD" w:rsidTr="004E58A6">
        <w:trPr>
          <w:trHeight w:val="480"/>
        </w:trPr>
        <w:tc>
          <w:tcPr>
            <w:tcW w:w="2042" w:type="dxa"/>
            <w:hideMark/>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 xml:space="preserve">THCA </w:t>
            </w:r>
          </w:p>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proofErr w:type="spellStart"/>
            <w:r w:rsidRPr="00843CFD">
              <w:rPr>
                <w:rFonts w:ascii="Book Antiqua" w:hAnsi="Book Antiqua" w:cs="Arial"/>
                <w:lang w:val="en-US"/>
              </w:rPr>
              <w:t>trihydroxycholestanoic</w:t>
            </w:r>
            <w:proofErr w:type="spellEnd"/>
            <w:r w:rsidRPr="00843CFD">
              <w:rPr>
                <w:rFonts w:ascii="Book Antiqua" w:hAnsi="Book Antiqua" w:cs="Arial"/>
                <w:lang w:val="en-US"/>
              </w:rPr>
              <w:t xml:space="preserve"> acid</w:t>
            </w:r>
          </w:p>
        </w:tc>
        <w:tc>
          <w:tcPr>
            <w:tcW w:w="2026"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0.001 (0.001)</w:t>
            </w:r>
          </w:p>
        </w:tc>
        <w:tc>
          <w:tcPr>
            <w:tcW w:w="203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color w:val="000000"/>
                <w:kern w:val="24"/>
                <w:lang w:val="en-US" w:eastAsia="fr-CH"/>
              </w:rPr>
              <w:t>0.000 (0.000)</w:t>
            </w:r>
          </w:p>
        </w:tc>
        <w:tc>
          <w:tcPr>
            <w:tcW w:w="2641" w:type="dxa"/>
            <w:hideMark/>
          </w:tcPr>
          <w:p w:rsidR="001A594D" w:rsidRPr="00843CFD" w:rsidRDefault="001A594D" w:rsidP="000242B5">
            <w:pPr>
              <w:adjustRightInd w:val="0"/>
              <w:snapToGrid w:val="0"/>
              <w:spacing w:line="360" w:lineRule="auto"/>
              <w:jc w:val="both"/>
              <w:textAlignment w:val="bottom"/>
              <w:rPr>
                <w:rFonts w:ascii="Book Antiqua" w:hAnsi="Book Antiqua" w:cs="Arial"/>
                <w:lang w:val="en-US" w:eastAsia="fr-CH"/>
              </w:rPr>
            </w:pPr>
            <w:r w:rsidRPr="00843CFD">
              <w:rPr>
                <w:rFonts w:ascii="Book Antiqua" w:hAnsi="Book Antiqua" w:cs="Arial"/>
                <w:kern w:val="24"/>
                <w:lang w:val="en-US" w:eastAsia="fr-CH"/>
              </w:rPr>
              <w:t>0.275</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Ratio</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Primary/secondary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3.48 (0.92)</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4.42 (1.34)</w:t>
            </w: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val="en-US" w:eastAsia="fr-CH"/>
              </w:rPr>
            </w:pPr>
            <w:r w:rsidRPr="00843CFD">
              <w:rPr>
                <w:rFonts w:ascii="Book Antiqua" w:hAnsi="Book Antiqua" w:cs="Arial"/>
                <w:kern w:val="24"/>
                <w:lang w:val="en-US" w:eastAsia="fr-CH"/>
              </w:rPr>
              <w:t>0.566</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Primary/TBA</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val="en-US" w:eastAsia="fr-CH"/>
              </w:rPr>
            </w:pPr>
            <w:r w:rsidRPr="00843CFD">
              <w:rPr>
                <w:rFonts w:ascii="Book Antiqua" w:hAnsi="Book Antiqua" w:cs="Arial"/>
                <w:color w:val="000000"/>
                <w:kern w:val="24"/>
                <w:lang w:val="en-US" w:eastAsia="fr-CH"/>
              </w:rPr>
              <w:t>0.23 (0.05)</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0.31 (0.04)</w:t>
            </w: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eastAsia="fr-CH"/>
              </w:rPr>
            </w:pPr>
            <w:r w:rsidRPr="00843CFD">
              <w:rPr>
                <w:rFonts w:ascii="Book Antiqua" w:hAnsi="Book Antiqua" w:cs="Arial"/>
                <w:kern w:val="24"/>
                <w:lang w:eastAsia="fr-CH"/>
              </w:rPr>
              <w:t>0.211</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 xml:space="preserve">Conjugated </w:t>
            </w:r>
            <w:r w:rsidR="00866F9B" w:rsidRPr="00843CFD">
              <w:rPr>
                <w:rFonts w:ascii="Book Antiqua" w:hAnsi="Book Antiqua" w:cs="Arial"/>
                <w:color w:val="000000"/>
                <w:kern w:val="24"/>
                <w:lang w:eastAsia="fr-CH"/>
              </w:rPr>
              <w:t>glycine/taurine</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eastAsia="fr-CH"/>
              </w:rPr>
            </w:pP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Primary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11.64 (1.18)</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10.70 (0.89)</w:t>
            </w: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eastAsia="fr-CH"/>
              </w:rPr>
            </w:pPr>
            <w:r w:rsidRPr="00843CFD">
              <w:rPr>
                <w:rFonts w:ascii="Book Antiqua" w:hAnsi="Book Antiqua" w:cs="Arial"/>
                <w:kern w:val="24"/>
                <w:lang w:eastAsia="fr-CH"/>
              </w:rPr>
              <w:t>0.537</w:t>
            </w:r>
          </w:p>
        </w:tc>
      </w:tr>
      <w:tr w:rsidR="001A594D" w:rsidRPr="00843CFD" w:rsidTr="004E58A6">
        <w:trPr>
          <w:trHeight w:val="480"/>
        </w:trPr>
        <w:tc>
          <w:tcPr>
            <w:tcW w:w="2042"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Secondary</w:t>
            </w:r>
          </w:p>
        </w:tc>
        <w:tc>
          <w:tcPr>
            <w:tcW w:w="2026"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6.40 (0.61)</w:t>
            </w:r>
          </w:p>
        </w:tc>
        <w:tc>
          <w:tcPr>
            <w:tcW w:w="2031" w:type="dxa"/>
          </w:tcPr>
          <w:p w:rsidR="001A594D" w:rsidRPr="00843CFD" w:rsidRDefault="001A594D" w:rsidP="000242B5">
            <w:pPr>
              <w:adjustRightInd w:val="0"/>
              <w:snapToGrid w:val="0"/>
              <w:spacing w:line="360" w:lineRule="auto"/>
              <w:jc w:val="both"/>
              <w:textAlignment w:val="bottom"/>
              <w:rPr>
                <w:rFonts w:ascii="Book Antiqua" w:hAnsi="Book Antiqua" w:cs="Arial"/>
                <w:color w:val="000000"/>
                <w:kern w:val="24"/>
                <w:lang w:eastAsia="fr-CH"/>
              </w:rPr>
            </w:pPr>
            <w:r w:rsidRPr="00843CFD">
              <w:rPr>
                <w:rFonts w:ascii="Book Antiqua" w:hAnsi="Book Antiqua" w:cs="Arial"/>
                <w:color w:val="000000"/>
                <w:kern w:val="24"/>
                <w:lang w:eastAsia="fr-CH"/>
              </w:rPr>
              <w:t>5.15 (0.66)</w:t>
            </w:r>
          </w:p>
        </w:tc>
        <w:tc>
          <w:tcPr>
            <w:tcW w:w="2641" w:type="dxa"/>
          </w:tcPr>
          <w:p w:rsidR="001A594D" w:rsidRPr="00843CFD" w:rsidRDefault="001A594D" w:rsidP="000242B5">
            <w:pPr>
              <w:adjustRightInd w:val="0"/>
              <w:snapToGrid w:val="0"/>
              <w:spacing w:line="360" w:lineRule="auto"/>
              <w:jc w:val="both"/>
              <w:textAlignment w:val="bottom"/>
              <w:rPr>
                <w:rFonts w:ascii="Book Antiqua" w:hAnsi="Book Antiqua" w:cs="Arial"/>
                <w:kern w:val="24"/>
                <w:lang w:eastAsia="fr-CH"/>
              </w:rPr>
            </w:pPr>
            <w:r w:rsidRPr="00843CFD">
              <w:rPr>
                <w:rFonts w:ascii="Book Antiqua" w:hAnsi="Book Antiqua" w:cs="Arial"/>
                <w:kern w:val="24"/>
                <w:lang w:eastAsia="fr-CH"/>
              </w:rPr>
              <w:t>0.209</w:t>
            </w:r>
          </w:p>
        </w:tc>
      </w:tr>
    </w:tbl>
    <w:p w:rsidR="00D400C6" w:rsidRPr="00843CFD" w:rsidRDefault="001A594D" w:rsidP="000242B5">
      <w:pPr>
        <w:adjustRightInd w:val="0"/>
        <w:snapToGrid w:val="0"/>
        <w:spacing w:line="360" w:lineRule="auto"/>
        <w:jc w:val="both"/>
        <w:rPr>
          <w:rFonts w:ascii="Book Antiqua" w:hAnsi="Book Antiqua" w:cs="Arial"/>
          <w:lang w:val="en-US" w:eastAsia="zh-CN"/>
        </w:rPr>
      </w:pPr>
      <w:r w:rsidRPr="00843CFD">
        <w:rPr>
          <w:rFonts w:ascii="Book Antiqua" w:hAnsi="Book Antiqua" w:cs="Arial"/>
          <w:lang w:val="en-US"/>
        </w:rPr>
        <w:t xml:space="preserve">Bile acids subtypes expressed in </w:t>
      </w:r>
      <w:r w:rsidR="00FE1973" w:rsidRPr="00843CFD">
        <w:rPr>
          <w:rFonts w:ascii="Book Antiqua" w:hAnsi="Book Antiqua" w:cs="Arial"/>
          <w:lang w:val="en-US"/>
        </w:rPr>
        <w:t>μmol/L</w:t>
      </w:r>
      <w:r w:rsidRPr="00843CFD">
        <w:rPr>
          <w:rFonts w:ascii="Book Antiqua" w:hAnsi="Book Antiqua" w:cs="Arial"/>
          <w:lang w:val="en-US"/>
        </w:rPr>
        <w:t xml:space="preserve"> with standard deviation under bracket, in 80 patients with a total bile acids level of more than 8 </w:t>
      </w:r>
      <w:r w:rsidR="00FE1973" w:rsidRPr="00843CFD">
        <w:rPr>
          <w:rFonts w:ascii="Book Antiqua" w:hAnsi="Book Antiqua" w:cs="Arial"/>
          <w:lang w:val="en-US"/>
        </w:rPr>
        <w:t>μmol/L</w:t>
      </w:r>
      <w:r w:rsidRPr="00843CFD">
        <w:rPr>
          <w:rFonts w:ascii="Book Antiqua" w:hAnsi="Book Antiqua" w:cs="Arial"/>
          <w:lang w:val="en-US"/>
        </w:rPr>
        <w:t xml:space="preserve"> compared with 80 patients with a total bile acids level of less than 8 </w:t>
      </w:r>
      <w:proofErr w:type="spellStart"/>
      <w:r w:rsidR="00FE1973" w:rsidRPr="00843CFD">
        <w:rPr>
          <w:rFonts w:ascii="Book Antiqua" w:hAnsi="Book Antiqua" w:cs="Arial"/>
          <w:lang w:val="en-US"/>
        </w:rPr>
        <w:t>μmol</w:t>
      </w:r>
      <w:proofErr w:type="spellEnd"/>
      <w:r w:rsidR="00FE1973" w:rsidRPr="00843CFD">
        <w:rPr>
          <w:rFonts w:ascii="Book Antiqua" w:hAnsi="Book Antiqua" w:cs="Arial"/>
          <w:lang w:val="en-US"/>
        </w:rPr>
        <w:t>/L</w:t>
      </w:r>
      <w:r w:rsidRPr="00843CFD">
        <w:rPr>
          <w:rFonts w:ascii="Book Antiqua" w:hAnsi="Book Antiqua" w:cs="Arial"/>
          <w:lang w:val="en-US"/>
        </w:rPr>
        <w:t>.</w:t>
      </w:r>
      <w:r w:rsidR="00D400C6" w:rsidRPr="00843CFD">
        <w:rPr>
          <w:rFonts w:ascii="Book Antiqua" w:hAnsi="Book Antiqua" w:cs="Arial"/>
          <w:lang w:val="en-US"/>
        </w:rPr>
        <w:t xml:space="preserve"> </w:t>
      </w:r>
      <w:r w:rsidR="00791629" w:rsidRPr="00843CFD">
        <w:rPr>
          <w:rFonts w:ascii="Book Antiqua" w:hAnsi="Book Antiqua" w:cs="Arial"/>
          <w:lang w:val="en-US"/>
        </w:rPr>
        <w:t>TBA</w:t>
      </w:r>
      <w:r w:rsidR="00791629" w:rsidRPr="00843CFD">
        <w:rPr>
          <w:rFonts w:ascii="Book Antiqua" w:hAnsi="Book Antiqua" w:cs="Arial"/>
          <w:lang w:val="en-US" w:eastAsia="zh-CN"/>
        </w:rPr>
        <w:t>:</w:t>
      </w:r>
      <w:r w:rsidR="00791629" w:rsidRPr="00843CFD">
        <w:rPr>
          <w:rFonts w:ascii="Book Antiqua" w:hAnsi="Book Antiqua" w:cs="Arial"/>
          <w:lang w:val="en-US"/>
        </w:rPr>
        <w:t xml:space="preserve"> Total bile acids</w:t>
      </w:r>
      <w:r w:rsidR="00791629">
        <w:rPr>
          <w:rFonts w:ascii="Book Antiqua" w:hAnsi="Book Antiqua" w:cs="Arial" w:hint="eastAsia"/>
          <w:lang w:val="en-US" w:eastAsia="zh-CN"/>
        </w:rPr>
        <w:t xml:space="preserve">; </w:t>
      </w:r>
      <w:r w:rsidR="00791629">
        <w:rPr>
          <w:rFonts w:ascii="Book Antiqua" w:hAnsi="Book Antiqua" w:cs="Arial"/>
          <w:lang w:val="en-US"/>
        </w:rPr>
        <w:t>CA</w:t>
      </w:r>
      <w:r w:rsidR="00791629">
        <w:rPr>
          <w:rFonts w:ascii="Book Antiqua" w:hAnsi="Book Antiqua" w:cs="Arial"/>
          <w:lang w:val="en-US" w:eastAsia="zh-CN"/>
        </w:rPr>
        <w:t xml:space="preserve">: </w:t>
      </w:r>
      <w:proofErr w:type="spellStart"/>
      <w:r w:rsidR="00791629">
        <w:rPr>
          <w:rFonts w:ascii="Book Antiqua" w:hAnsi="Book Antiqua" w:cs="Arial"/>
          <w:lang w:val="en-US"/>
        </w:rPr>
        <w:t>Cholic</w:t>
      </w:r>
      <w:proofErr w:type="spellEnd"/>
      <w:r w:rsidR="00791629">
        <w:rPr>
          <w:rFonts w:ascii="Book Antiqua" w:hAnsi="Book Antiqua" w:cs="Arial"/>
          <w:lang w:val="en-US"/>
        </w:rPr>
        <w:t xml:space="preserve"> acid; CDC</w:t>
      </w:r>
      <w:r w:rsidR="00791629">
        <w:rPr>
          <w:rFonts w:ascii="Book Antiqua" w:hAnsi="Book Antiqua" w:cs="Arial"/>
          <w:lang w:val="en-US" w:eastAsia="zh-CN"/>
        </w:rPr>
        <w:t xml:space="preserve">: </w:t>
      </w:r>
      <w:proofErr w:type="spellStart"/>
      <w:r w:rsidR="00791629">
        <w:rPr>
          <w:rFonts w:ascii="Book Antiqua" w:hAnsi="Book Antiqua" w:cs="Arial"/>
          <w:lang w:val="en-US"/>
        </w:rPr>
        <w:t>Chenodeoxycholate</w:t>
      </w:r>
      <w:proofErr w:type="spellEnd"/>
      <w:r w:rsidR="00791629">
        <w:rPr>
          <w:rFonts w:ascii="Book Antiqua" w:hAnsi="Book Antiqua" w:cs="Arial"/>
          <w:lang w:val="en-US"/>
        </w:rPr>
        <w:t>; DC</w:t>
      </w:r>
      <w:r w:rsidR="00791629">
        <w:rPr>
          <w:rFonts w:ascii="Book Antiqua" w:hAnsi="Book Antiqua" w:cs="Arial"/>
          <w:lang w:val="en-US" w:eastAsia="zh-CN"/>
        </w:rPr>
        <w:t xml:space="preserve">: </w:t>
      </w:r>
      <w:proofErr w:type="spellStart"/>
      <w:r w:rsidR="00791629">
        <w:rPr>
          <w:rFonts w:ascii="Book Antiqua" w:hAnsi="Book Antiqua" w:cs="Arial"/>
          <w:lang w:val="en-US"/>
        </w:rPr>
        <w:t>Deoxycholate</w:t>
      </w:r>
      <w:proofErr w:type="spellEnd"/>
      <w:r w:rsidR="00791629">
        <w:rPr>
          <w:rFonts w:ascii="Book Antiqua" w:hAnsi="Book Antiqua" w:cs="Arial"/>
          <w:lang w:val="en-US"/>
        </w:rPr>
        <w:t>; LCA</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Lithocholic</w:t>
      </w:r>
      <w:proofErr w:type="spellEnd"/>
      <w:r w:rsidR="00791629">
        <w:rPr>
          <w:rFonts w:ascii="Book Antiqua" w:hAnsi="Book Antiqua" w:cs="Arial"/>
          <w:lang w:val="en-US"/>
        </w:rPr>
        <w:t xml:space="preserve"> acid; UDC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Ursodeoxycholate</w:t>
      </w:r>
      <w:proofErr w:type="spellEnd"/>
      <w:r w:rsidR="00791629">
        <w:rPr>
          <w:rFonts w:ascii="Book Antiqua" w:hAnsi="Book Antiqua" w:cs="Arial"/>
          <w:lang w:val="en-US"/>
        </w:rPr>
        <w:t>; TC</w:t>
      </w:r>
      <w:r w:rsidR="00791629">
        <w:rPr>
          <w:rFonts w:ascii="Book Antiqua" w:hAnsi="Book Antiqua" w:cs="Arial"/>
          <w:lang w:val="en-US" w:eastAsia="zh-CN"/>
        </w:rPr>
        <w:t>:</w:t>
      </w:r>
      <w:r w:rsidR="00791629">
        <w:rPr>
          <w:rFonts w:ascii="Book Antiqua" w:hAnsi="Book Antiqua" w:cs="Arial"/>
          <w:lang w:val="en-US"/>
        </w:rPr>
        <w:t xml:space="preserve"> Taurocholate; GCA</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Gylcocholate</w:t>
      </w:r>
      <w:proofErr w:type="spellEnd"/>
      <w:r w:rsidR="00791629">
        <w:rPr>
          <w:rFonts w:ascii="Book Antiqua" w:hAnsi="Book Antiqua" w:cs="Arial"/>
          <w:lang w:val="en-US"/>
        </w:rPr>
        <w:t xml:space="preserve"> acid; TCDC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Taurochenodeoxycholate</w:t>
      </w:r>
      <w:proofErr w:type="spellEnd"/>
      <w:r w:rsidR="00791629">
        <w:rPr>
          <w:rFonts w:ascii="Book Antiqua" w:hAnsi="Book Antiqua" w:cs="Arial"/>
          <w:lang w:val="en-US"/>
        </w:rPr>
        <w:t>; GCDC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Glycochenodeoxycholate</w:t>
      </w:r>
      <w:proofErr w:type="spellEnd"/>
      <w:r w:rsidR="00791629">
        <w:rPr>
          <w:rFonts w:ascii="Book Antiqua" w:hAnsi="Book Antiqua" w:cs="Arial"/>
          <w:lang w:val="en-US"/>
        </w:rPr>
        <w:t>; TDC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Taurodeoxycholate</w:t>
      </w:r>
      <w:proofErr w:type="spellEnd"/>
      <w:r w:rsidR="00791629">
        <w:rPr>
          <w:rFonts w:ascii="Book Antiqua" w:hAnsi="Book Antiqua" w:cs="Arial"/>
          <w:lang w:val="en-US"/>
        </w:rPr>
        <w:t>; GDC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Glycodeoxycholate</w:t>
      </w:r>
      <w:proofErr w:type="spellEnd"/>
      <w:r w:rsidR="00791629">
        <w:rPr>
          <w:rFonts w:ascii="Book Antiqua" w:hAnsi="Book Antiqua" w:cs="Arial"/>
          <w:lang w:val="en-US"/>
        </w:rPr>
        <w:t>; TLC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Taurolithocholate</w:t>
      </w:r>
      <w:proofErr w:type="spellEnd"/>
      <w:r w:rsidR="00791629">
        <w:rPr>
          <w:rFonts w:ascii="Book Antiqua" w:hAnsi="Book Antiqua" w:cs="Arial"/>
          <w:lang w:val="en-US"/>
        </w:rPr>
        <w:t>; GLC</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Glycolithocholate</w:t>
      </w:r>
      <w:proofErr w:type="spellEnd"/>
      <w:r w:rsidR="00791629">
        <w:rPr>
          <w:rFonts w:ascii="Book Antiqua" w:hAnsi="Book Antiqua" w:cs="Arial"/>
          <w:lang w:val="en-US"/>
        </w:rPr>
        <w:t>; TUDC</w:t>
      </w:r>
      <w:r w:rsidR="00791629">
        <w:rPr>
          <w:rFonts w:ascii="Book Antiqua" w:hAnsi="Book Antiqua" w:cs="Arial" w:hint="eastAsia"/>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Tauroursodeoxycholate</w:t>
      </w:r>
      <w:proofErr w:type="spellEnd"/>
      <w:r w:rsidR="00791629">
        <w:rPr>
          <w:rFonts w:ascii="Book Antiqua" w:hAnsi="Book Antiqua" w:cs="Arial"/>
          <w:lang w:val="en-US"/>
        </w:rPr>
        <w:t>; GUDC</w:t>
      </w:r>
      <w:r w:rsidR="00791629">
        <w:rPr>
          <w:rFonts w:ascii="Book Antiqua" w:hAnsi="Book Antiqua" w:cs="Arial" w:hint="eastAsia"/>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Glycoursodeoxycholate</w:t>
      </w:r>
      <w:proofErr w:type="spellEnd"/>
      <w:r w:rsidR="00791629">
        <w:rPr>
          <w:rFonts w:ascii="Book Antiqua" w:hAnsi="Book Antiqua" w:cs="Arial"/>
          <w:lang w:val="en-US"/>
        </w:rPr>
        <w:t>; DHCA</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Dihydroxycholestanoic</w:t>
      </w:r>
      <w:proofErr w:type="spellEnd"/>
      <w:r w:rsidR="00791629">
        <w:rPr>
          <w:rFonts w:ascii="Book Antiqua" w:hAnsi="Book Antiqua" w:cs="Arial"/>
          <w:lang w:val="en-US"/>
        </w:rPr>
        <w:t xml:space="preserve"> acid; THCA</w:t>
      </w:r>
      <w:r w:rsidR="00791629">
        <w:rPr>
          <w:rFonts w:ascii="Book Antiqua" w:hAnsi="Book Antiqua" w:cs="Arial"/>
          <w:lang w:val="en-US" w:eastAsia="zh-CN"/>
        </w:rPr>
        <w:t>:</w:t>
      </w:r>
      <w:r w:rsidR="00791629">
        <w:rPr>
          <w:rFonts w:ascii="Book Antiqua" w:hAnsi="Book Antiqua" w:cs="Arial"/>
          <w:lang w:val="en-US"/>
        </w:rPr>
        <w:t xml:space="preserve"> </w:t>
      </w:r>
      <w:proofErr w:type="spellStart"/>
      <w:r w:rsidR="00791629">
        <w:rPr>
          <w:rFonts w:ascii="Book Antiqua" w:hAnsi="Book Antiqua" w:cs="Arial"/>
          <w:lang w:val="en-US"/>
        </w:rPr>
        <w:t>Trihydroxycholestanoic</w:t>
      </w:r>
      <w:proofErr w:type="spellEnd"/>
      <w:r w:rsidR="00791629">
        <w:rPr>
          <w:rFonts w:ascii="Book Antiqua" w:hAnsi="Book Antiqua" w:cs="Arial"/>
          <w:lang w:val="en-US"/>
        </w:rPr>
        <w:t xml:space="preserve"> acid</w:t>
      </w:r>
      <w:r w:rsidR="00791629">
        <w:rPr>
          <w:rFonts w:ascii="Book Antiqua" w:hAnsi="Book Antiqua" w:cs="Arial" w:hint="eastAsia"/>
          <w:lang w:val="en-US" w:eastAsia="zh-CN"/>
        </w:rPr>
        <w:t>.</w:t>
      </w:r>
    </w:p>
    <w:sectPr w:rsidR="00D400C6" w:rsidRPr="00843CFD" w:rsidSect="00103F73">
      <w:headerReference w:type="default" r:id="rId12"/>
      <w:pgSz w:w="12242" w:h="15842" w:code="1"/>
      <w:pgMar w:top="1418" w:right="1418" w:bottom="1418" w:left="1418"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39" w:rsidRDefault="009E6939" w:rsidP="006D4A52">
      <w:r>
        <w:separator/>
      </w:r>
    </w:p>
  </w:endnote>
  <w:endnote w:type="continuationSeparator" w:id="0">
    <w:p w:rsidR="009E6939" w:rsidRDefault="009E6939" w:rsidP="006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Roman">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02FF" w:usb1="4000E47F" w:usb2="00000029" w:usb3="00000000" w:csb0="0000019F" w:csb1="00000000"/>
  </w:font>
  <w:font w:name="微软雅黑">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39" w:rsidRDefault="009E6939" w:rsidP="006D4A52">
      <w:r>
        <w:separator/>
      </w:r>
    </w:p>
  </w:footnote>
  <w:footnote w:type="continuationSeparator" w:id="0">
    <w:p w:rsidR="009E6939" w:rsidRDefault="009E6939" w:rsidP="006D4A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5" w:rsidRDefault="000242B5">
    <w:pPr>
      <w:pStyle w:val="Header"/>
      <w:jc w:val="right"/>
    </w:pPr>
  </w:p>
  <w:p w:rsidR="000242B5" w:rsidRDefault="00024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F7E"/>
    <w:multiLevelType w:val="hybridMultilevel"/>
    <w:tmpl w:val="3050FC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26F4DB6"/>
    <w:multiLevelType w:val="multilevel"/>
    <w:tmpl w:val="100C001F"/>
    <w:lvl w:ilvl="0">
      <w:start w:val="1"/>
      <w:numFmt w:val="decimal"/>
      <w:lvlText w:val="%1."/>
      <w:lvlJc w:val="left"/>
      <w:pPr>
        <w:ind w:left="899" w:hanging="360"/>
      </w:pPr>
    </w:lvl>
    <w:lvl w:ilvl="1">
      <w:start w:val="1"/>
      <w:numFmt w:val="decimal"/>
      <w:lvlText w:val="%1.%2."/>
      <w:lvlJc w:val="left"/>
      <w:pPr>
        <w:ind w:left="716" w:hanging="432"/>
      </w:pPr>
    </w:lvl>
    <w:lvl w:ilvl="2">
      <w:start w:val="1"/>
      <w:numFmt w:val="decimal"/>
      <w:lvlText w:val="%1.%2.%3."/>
      <w:lvlJc w:val="left"/>
      <w:pPr>
        <w:ind w:left="1763" w:hanging="504"/>
      </w:pPr>
    </w:lvl>
    <w:lvl w:ilvl="3">
      <w:start w:val="1"/>
      <w:numFmt w:val="decimal"/>
      <w:lvlText w:val="%1.%2.%3.%4."/>
      <w:lvlJc w:val="left"/>
      <w:pPr>
        <w:ind w:left="2267" w:hanging="648"/>
      </w:pPr>
    </w:lvl>
    <w:lvl w:ilvl="4">
      <w:start w:val="1"/>
      <w:numFmt w:val="decimal"/>
      <w:lvlText w:val="%1.%2.%3.%4.%5."/>
      <w:lvlJc w:val="left"/>
      <w:pPr>
        <w:ind w:left="2771" w:hanging="792"/>
      </w:pPr>
    </w:lvl>
    <w:lvl w:ilvl="5">
      <w:start w:val="1"/>
      <w:numFmt w:val="decimal"/>
      <w:lvlText w:val="%1.%2.%3.%4.%5.%6."/>
      <w:lvlJc w:val="left"/>
      <w:pPr>
        <w:ind w:left="3275" w:hanging="936"/>
      </w:pPr>
    </w:lvl>
    <w:lvl w:ilvl="6">
      <w:start w:val="1"/>
      <w:numFmt w:val="decimal"/>
      <w:lvlText w:val="%1.%2.%3.%4.%5.%6.%7."/>
      <w:lvlJc w:val="left"/>
      <w:pPr>
        <w:ind w:left="3779" w:hanging="1080"/>
      </w:pPr>
    </w:lvl>
    <w:lvl w:ilvl="7">
      <w:start w:val="1"/>
      <w:numFmt w:val="decimal"/>
      <w:lvlText w:val="%1.%2.%3.%4.%5.%6.%7.%8."/>
      <w:lvlJc w:val="left"/>
      <w:pPr>
        <w:ind w:left="4283" w:hanging="1224"/>
      </w:pPr>
    </w:lvl>
    <w:lvl w:ilvl="8">
      <w:start w:val="1"/>
      <w:numFmt w:val="decimal"/>
      <w:lvlText w:val="%1.%2.%3.%4.%5.%6.%7.%8.%9."/>
      <w:lvlJc w:val="left"/>
      <w:pPr>
        <w:ind w:left="4859" w:hanging="1440"/>
      </w:pPr>
    </w:lvl>
  </w:abstractNum>
  <w:abstractNum w:abstractNumId="2">
    <w:nsid w:val="19225CA5"/>
    <w:multiLevelType w:val="hybridMultilevel"/>
    <w:tmpl w:val="D2C44684"/>
    <w:lvl w:ilvl="0" w:tplc="6F0A2DE4">
      <w:start w:val="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EFA0A83"/>
    <w:multiLevelType w:val="hybridMultilevel"/>
    <w:tmpl w:val="E570C06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22172FB"/>
    <w:multiLevelType w:val="multilevel"/>
    <w:tmpl w:val="D2DE27DA"/>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5">
    <w:nsid w:val="271A5955"/>
    <w:multiLevelType w:val="hybridMultilevel"/>
    <w:tmpl w:val="B93A90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7CF33DB"/>
    <w:multiLevelType w:val="multilevel"/>
    <w:tmpl w:val="CD34DBB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i w:val="0"/>
        <w:sz w:val="22"/>
      </w:rPr>
    </w:lvl>
    <w:lvl w:ilvl="3">
      <w:start w:val="1"/>
      <w:numFmt w:val="decimal"/>
      <w:pStyle w:val="Heading4"/>
      <w:lvlText w:val="%1.%2.%3.%4"/>
      <w:lvlJc w:val="left"/>
      <w:pPr>
        <w:tabs>
          <w:tab w:val="num" w:pos="864"/>
        </w:tabs>
        <w:ind w:left="864" w:hanging="864"/>
      </w:pPr>
      <w:rPr>
        <w:rFonts w:ascii="Arial" w:hAnsi="Arial" w:hint="default"/>
        <w:b/>
        <w:i w:val="0"/>
        <w:sz w:val="22"/>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7">
    <w:nsid w:val="3AA33294"/>
    <w:multiLevelType w:val="hybridMultilevel"/>
    <w:tmpl w:val="2EBA051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D11E71"/>
    <w:multiLevelType w:val="hybridMultilevel"/>
    <w:tmpl w:val="F836DC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0DB454C"/>
    <w:multiLevelType w:val="hybridMultilevel"/>
    <w:tmpl w:val="5566B4FE"/>
    <w:lvl w:ilvl="0" w:tplc="100C0001">
      <w:start w:val="1"/>
      <w:numFmt w:val="bullet"/>
      <w:lvlText w:val=""/>
      <w:lvlJc w:val="left"/>
      <w:pPr>
        <w:ind w:left="1259" w:hanging="360"/>
      </w:pPr>
      <w:rPr>
        <w:rFonts w:ascii="Symbol" w:hAnsi="Symbol" w:hint="default"/>
      </w:rPr>
    </w:lvl>
    <w:lvl w:ilvl="1" w:tplc="100C0003" w:tentative="1">
      <w:start w:val="1"/>
      <w:numFmt w:val="bullet"/>
      <w:lvlText w:val="o"/>
      <w:lvlJc w:val="left"/>
      <w:pPr>
        <w:ind w:left="1979" w:hanging="360"/>
      </w:pPr>
      <w:rPr>
        <w:rFonts w:ascii="Courier New" w:hAnsi="Courier New" w:cs="Courier New" w:hint="default"/>
      </w:rPr>
    </w:lvl>
    <w:lvl w:ilvl="2" w:tplc="100C0005" w:tentative="1">
      <w:start w:val="1"/>
      <w:numFmt w:val="bullet"/>
      <w:lvlText w:val=""/>
      <w:lvlJc w:val="left"/>
      <w:pPr>
        <w:ind w:left="2699" w:hanging="360"/>
      </w:pPr>
      <w:rPr>
        <w:rFonts w:ascii="Wingdings" w:hAnsi="Wingdings" w:hint="default"/>
      </w:rPr>
    </w:lvl>
    <w:lvl w:ilvl="3" w:tplc="100C0001" w:tentative="1">
      <w:start w:val="1"/>
      <w:numFmt w:val="bullet"/>
      <w:lvlText w:val=""/>
      <w:lvlJc w:val="left"/>
      <w:pPr>
        <w:ind w:left="3419" w:hanging="360"/>
      </w:pPr>
      <w:rPr>
        <w:rFonts w:ascii="Symbol" w:hAnsi="Symbol" w:hint="default"/>
      </w:rPr>
    </w:lvl>
    <w:lvl w:ilvl="4" w:tplc="100C0003" w:tentative="1">
      <w:start w:val="1"/>
      <w:numFmt w:val="bullet"/>
      <w:lvlText w:val="o"/>
      <w:lvlJc w:val="left"/>
      <w:pPr>
        <w:ind w:left="4139" w:hanging="360"/>
      </w:pPr>
      <w:rPr>
        <w:rFonts w:ascii="Courier New" w:hAnsi="Courier New" w:cs="Courier New" w:hint="default"/>
      </w:rPr>
    </w:lvl>
    <w:lvl w:ilvl="5" w:tplc="100C0005" w:tentative="1">
      <w:start w:val="1"/>
      <w:numFmt w:val="bullet"/>
      <w:lvlText w:val=""/>
      <w:lvlJc w:val="left"/>
      <w:pPr>
        <w:ind w:left="4859" w:hanging="360"/>
      </w:pPr>
      <w:rPr>
        <w:rFonts w:ascii="Wingdings" w:hAnsi="Wingdings" w:hint="default"/>
      </w:rPr>
    </w:lvl>
    <w:lvl w:ilvl="6" w:tplc="100C0001" w:tentative="1">
      <w:start w:val="1"/>
      <w:numFmt w:val="bullet"/>
      <w:lvlText w:val=""/>
      <w:lvlJc w:val="left"/>
      <w:pPr>
        <w:ind w:left="5579" w:hanging="360"/>
      </w:pPr>
      <w:rPr>
        <w:rFonts w:ascii="Symbol" w:hAnsi="Symbol" w:hint="default"/>
      </w:rPr>
    </w:lvl>
    <w:lvl w:ilvl="7" w:tplc="100C0003" w:tentative="1">
      <w:start w:val="1"/>
      <w:numFmt w:val="bullet"/>
      <w:lvlText w:val="o"/>
      <w:lvlJc w:val="left"/>
      <w:pPr>
        <w:ind w:left="6299" w:hanging="360"/>
      </w:pPr>
      <w:rPr>
        <w:rFonts w:ascii="Courier New" w:hAnsi="Courier New" w:cs="Courier New" w:hint="default"/>
      </w:rPr>
    </w:lvl>
    <w:lvl w:ilvl="8" w:tplc="100C0005" w:tentative="1">
      <w:start w:val="1"/>
      <w:numFmt w:val="bullet"/>
      <w:lvlText w:val=""/>
      <w:lvlJc w:val="left"/>
      <w:pPr>
        <w:ind w:left="7019" w:hanging="360"/>
      </w:pPr>
      <w:rPr>
        <w:rFonts w:ascii="Wingdings" w:hAnsi="Wingdings" w:hint="default"/>
      </w:rPr>
    </w:lvl>
  </w:abstractNum>
  <w:abstractNum w:abstractNumId="10">
    <w:nsid w:val="471003C6"/>
    <w:multiLevelType w:val="hybridMultilevel"/>
    <w:tmpl w:val="DAEC0C8E"/>
    <w:lvl w:ilvl="0" w:tplc="E1344CA8">
      <w:start w:val="1"/>
      <w:numFmt w:val="decimal"/>
      <w:lvlText w:val="%1."/>
      <w:lvlJc w:val="left"/>
      <w:pPr>
        <w:ind w:left="945"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7065BB5"/>
    <w:multiLevelType w:val="hybridMultilevel"/>
    <w:tmpl w:val="DBC6C46A"/>
    <w:lvl w:ilvl="0" w:tplc="21842780">
      <w:start w:val="1"/>
      <w:numFmt w:val="decimal"/>
      <w:lvlText w:val="%1."/>
      <w:lvlJc w:val="left"/>
      <w:pPr>
        <w:ind w:left="945" w:hanging="360"/>
      </w:pPr>
      <w:rPr>
        <w:rFonts w:hint="default"/>
      </w:rPr>
    </w:lvl>
    <w:lvl w:ilvl="1" w:tplc="100C0019" w:tentative="1">
      <w:start w:val="1"/>
      <w:numFmt w:val="lowerLetter"/>
      <w:lvlText w:val="%2."/>
      <w:lvlJc w:val="left"/>
      <w:pPr>
        <w:ind w:left="1665" w:hanging="360"/>
      </w:pPr>
    </w:lvl>
    <w:lvl w:ilvl="2" w:tplc="100C001B" w:tentative="1">
      <w:start w:val="1"/>
      <w:numFmt w:val="lowerRoman"/>
      <w:lvlText w:val="%3."/>
      <w:lvlJc w:val="right"/>
      <w:pPr>
        <w:ind w:left="2385" w:hanging="180"/>
      </w:pPr>
    </w:lvl>
    <w:lvl w:ilvl="3" w:tplc="100C000F" w:tentative="1">
      <w:start w:val="1"/>
      <w:numFmt w:val="decimal"/>
      <w:lvlText w:val="%4."/>
      <w:lvlJc w:val="left"/>
      <w:pPr>
        <w:ind w:left="3105" w:hanging="360"/>
      </w:pPr>
    </w:lvl>
    <w:lvl w:ilvl="4" w:tplc="100C0019" w:tentative="1">
      <w:start w:val="1"/>
      <w:numFmt w:val="lowerLetter"/>
      <w:lvlText w:val="%5."/>
      <w:lvlJc w:val="left"/>
      <w:pPr>
        <w:ind w:left="3825" w:hanging="360"/>
      </w:pPr>
    </w:lvl>
    <w:lvl w:ilvl="5" w:tplc="100C001B" w:tentative="1">
      <w:start w:val="1"/>
      <w:numFmt w:val="lowerRoman"/>
      <w:lvlText w:val="%6."/>
      <w:lvlJc w:val="right"/>
      <w:pPr>
        <w:ind w:left="4545" w:hanging="180"/>
      </w:pPr>
    </w:lvl>
    <w:lvl w:ilvl="6" w:tplc="100C000F" w:tentative="1">
      <w:start w:val="1"/>
      <w:numFmt w:val="decimal"/>
      <w:lvlText w:val="%7."/>
      <w:lvlJc w:val="left"/>
      <w:pPr>
        <w:ind w:left="5265" w:hanging="360"/>
      </w:pPr>
    </w:lvl>
    <w:lvl w:ilvl="7" w:tplc="100C0019" w:tentative="1">
      <w:start w:val="1"/>
      <w:numFmt w:val="lowerLetter"/>
      <w:lvlText w:val="%8."/>
      <w:lvlJc w:val="left"/>
      <w:pPr>
        <w:ind w:left="5985" w:hanging="360"/>
      </w:pPr>
    </w:lvl>
    <w:lvl w:ilvl="8" w:tplc="100C001B" w:tentative="1">
      <w:start w:val="1"/>
      <w:numFmt w:val="lowerRoman"/>
      <w:lvlText w:val="%9."/>
      <w:lvlJc w:val="right"/>
      <w:pPr>
        <w:ind w:left="6705" w:hanging="180"/>
      </w:pPr>
    </w:lvl>
  </w:abstractNum>
  <w:abstractNum w:abstractNumId="12">
    <w:nsid w:val="60847DE5"/>
    <w:multiLevelType w:val="multilevel"/>
    <w:tmpl w:val="1EF050B0"/>
    <w:lvl w:ilvl="0">
      <w:start w:val="1"/>
      <w:numFmt w:val="decimal"/>
      <w:lvlText w:val="%1."/>
      <w:lvlJc w:val="left"/>
      <w:pPr>
        <w:tabs>
          <w:tab w:val="num" w:pos="360"/>
        </w:tabs>
        <w:ind w:left="360" w:hanging="360"/>
      </w:pPr>
      <w:rPr>
        <w:rFonts w:hint="default"/>
        <w:b w:val="0"/>
      </w:rPr>
    </w:lvl>
    <w:lvl w:ilvl="1">
      <w:start w:val="1"/>
      <w:numFmt w:val="decimal"/>
      <w:pStyle w:val="Subheading2"/>
      <w:lvlText w:val="%1.%2"/>
      <w:lvlJc w:val="left"/>
      <w:pPr>
        <w:tabs>
          <w:tab w:val="num" w:pos="576"/>
        </w:tabs>
        <w:ind w:left="576" w:hanging="576"/>
      </w:pPr>
      <w:rPr>
        <w:rFonts w:ascii="Arial" w:hAnsi="Arial" w:hint="default"/>
        <w:b/>
        <w:i/>
        <w:sz w:val="24"/>
        <w:szCs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3">
    <w:nsid w:val="60F55852"/>
    <w:multiLevelType w:val="hybridMultilevel"/>
    <w:tmpl w:val="3D66C37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6546B97"/>
    <w:multiLevelType w:val="hybridMultilevel"/>
    <w:tmpl w:val="87D0B3B2"/>
    <w:lvl w:ilvl="0" w:tplc="100C000F">
      <w:start w:val="1"/>
      <w:numFmt w:val="decimal"/>
      <w:lvlText w:val="%1."/>
      <w:lvlJc w:val="left"/>
      <w:pPr>
        <w:ind w:left="1260" w:hanging="360"/>
      </w:pPr>
    </w:lvl>
    <w:lvl w:ilvl="1" w:tplc="100C0019" w:tentative="1">
      <w:start w:val="1"/>
      <w:numFmt w:val="lowerLetter"/>
      <w:lvlText w:val="%2."/>
      <w:lvlJc w:val="left"/>
      <w:pPr>
        <w:ind w:left="1980" w:hanging="360"/>
      </w:pPr>
    </w:lvl>
    <w:lvl w:ilvl="2" w:tplc="100C001B" w:tentative="1">
      <w:start w:val="1"/>
      <w:numFmt w:val="lowerRoman"/>
      <w:lvlText w:val="%3."/>
      <w:lvlJc w:val="right"/>
      <w:pPr>
        <w:ind w:left="2700" w:hanging="180"/>
      </w:pPr>
    </w:lvl>
    <w:lvl w:ilvl="3" w:tplc="100C000F" w:tentative="1">
      <w:start w:val="1"/>
      <w:numFmt w:val="decimal"/>
      <w:lvlText w:val="%4."/>
      <w:lvlJc w:val="left"/>
      <w:pPr>
        <w:ind w:left="3420" w:hanging="360"/>
      </w:pPr>
    </w:lvl>
    <w:lvl w:ilvl="4" w:tplc="100C0019" w:tentative="1">
      <w:start w:val="1"/>
      <w:numFmt w:val="lowerLetter"/>
      <w:lvlText w:val="%5."/>
      <w:lvlJc w:val="left"/>
      <w:pPr>
        <w:ind w:left="4140" w:hanging="360"/>
      </w:pPr>
    </w:lvl>
    <w:lvl w:ilvl="5" w:tplc="100C001B" w:tentative="1">
      <w:start w:val="1"/>
      <w:numFmt w:val="lowerRoman"/>
      <w:lvlText w:val="%6."/>
      <w:lvlJc w:val="right"/>
      <w:pPr>
        <w:ind w:left="4860" w:hanging="180"/>
      </w:pPr>
    </w:lvl>
    <w:lvl w:ilvl="6" w:tplc="100C000F" w:tentative="1">
      <w:start w:val="1"/>
      <w:numFmt w:val="decimal"/>
      <w:lvlText w:val="%7."/>
      <w:lvlJc w:val="left"/>
      <w:pPr>
        <w:ind w:left="5580" w:hanging="360"/>
      </w:pPr>
    </w:lvl>
    <w:lvl w:ilvl="7" w:tplc="100C0019" w:tentative="1">
      <w:start w:val="1"/>
      <w:numFmt w:val="lowerLetter"/>
      <w:lvlText w:val="%8."/>
      <w:lvlJc w:val="left"/>
      <w:pPr>
        <w:ind w:left="6300" w:hanging="360"/>
      </w:pPr>
    </w:lvl>
    <w:lvl w:ilvl="8" w:tplc="100C001B" w:tentative="1">
      <w:start w:val="1"/>
      <w:numFmt w:val="lowerRoman"/>
      <w:lvlText w:val="%9."/>
      <w:lvlJc w:val="right"/>
      <w:pPr>
        <w:ind w:left="7020" w:hanging="180"/>
      </w:pPr>
    </w:lvl>
  </w:abstractNum>
  <w:abstractNum w:abstractNumId="15">
    <w:nsid w:val="6BF0242C"/>
    <w:multiLevelType w:val="multilevel"/>
    <w:tmpl w:val="D2DE27DA"/>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6">
    <w:nsid w:val="6D547F40"/>
    <w:multiLevelType w:val="hybridMultilevel"/>
    <w:tmpl w:val="CF9C17B8"/>
    <w:lvl w:ilvl="0" w:tplc="001A5ADA">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E270B52"/>
    <w:multiLevelType w:val="hybridMultilevel"/>
    <w:tmpl w:val="EA881976"/>
    <w:lvl w:ilvl="0" w:tplc="7D082FE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7687693F"/>
    <w:multiLevelType w:val="multilevel"/>
    <w:tmpl w:val="D2DE27DA"/>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7AA425A3"/>
    <w:multiLevelType w:val="hybridMultilevel"/>
    <w:tmpl w:val="4EE4F0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2"/>
  </w:num>
  <w:num w:numId="5">
    <w:abstractNumId w:val="9"/>
  </w:num>
  <w:num w:numId="6">
    <w:abstractNumId w:val="4"/>
  </w:num>
  <w:num w:numId="7">
    <w:abstractNumId w:val="1"/>
  </w:num>
  <w:num w:numId="8">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7"/>
  </w:num>
  <w:num w:numId="12">
    <w:abstractNumId w:val="11"/>
  </w:num>
  <w:num w:numId="13">
    <w:abstractNumId w:val="10"/>
  </w:num>
  <w:num w:numId="14">
    <w:abstractNumId w:val="17"/>
  </w:num>
  <w:num w:numId="15">
    <w:abstractNumId w:val="2"/>
  </w:num>
  <w:num w:numId="16">
    <w:abstractNumId w:val="16"/>
  </w:num>
  <w:num w:numId="17">
    <w:abstractNumId w:val="5"/>
  </w:num>
  <w:num w:numId="18">
    <w:abstractNumId w:val="19"/>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DSwNDaxMDOzMDBW0lEKTi0uzszPAykwrAUAaJazICwAAAA="/>
  </w:docVars>
  <w:rsids>
    <w:rsidRoot w:val="00740FF4"/>
    <w:rsid w:val="00000BF3"/>
    <w:rsid w:val="00001E9E"/>
    <w:rsid w:val="00002275"/>
    <w:rsid w:val="0001590C"/>
    <w:rsid w:val="000168E1"/>
    <w:rsid w:val="00020FA2"/>
    <w:rsid w:val="00021558"/>
    <w:rsid w:val="000242B5"/>
    <w:rsid w:val="00025C14"/>
    <w:rsid w:val="00031135"/>
    <w:rsid w:val="000338DA"/>
    <w:rsid w:val="00033A0F"/>
    <w:rsid w:val="00033FC1"/>
    <w:rsid w:val="000414D4"/>
    <w:rsid w:val="000441D5"/>
    <w:rsid w:val="00047C03"/>
    <w:rsid w:val="0005161B"/>
    <w:rsid w:val="00052594"/>
    <w:rsid w:val="00056235"/>
    <w:rsid w:val="0005764A"/>
    <w:rsid w:val="00062CFA"/>
    <w:rsid w:val="00066BD1"/>
    <w:rsid w:val="00071234"/>
    <w:rsid w:val="000735A0"/>
    <w:rsid w:val="00075661"/>
    <w:rsid w:val="000763AC"/>
    <w:rsid w:val="0007664D"/>
    <w:rsid w:val="000773DE"/>
    <w:rsid w:val="000826F2"/>
    <w:rsid w:val="0008389B"/>
    <w:rsid w:val="00087D3F"/>
    <w:rsid w:val="00095683"/>
    <w:rsid w:val="00097454"/>
    <w:rsid w:val="00097B5E"/>
    <w:rsid w:val="000A0FAF"/>
    <w:rsid w:val="000A28AE"/>
    <w:rsid w:val="000A5052"/>
    <w:rsid w:val="000A663D"/>
    <w:rsid w:val="000B0A27"/>
    <w:rsid w:val="000B124A"/>
    <w:rsid w:val="000B2F9D"/>
    <w:rsid w:val="000B3BBA"/>
    <w:rsid w:val="000C04BC"/>
    <w:rsid w:val="000C10B4"/>
    <w:rsid w:val="000C73E9"/>
    <w:rsid w:val="000D14C4"/>
    <w:rsid w:val="000D1815"/>
    <w:rsid w:val="000D1E86"/>
    <w:rsid w:val="000D2ABE"/>
    <w:rsid w:val="000D3A1C"/>
    <w:rsid w:val="000E3D85"/>
    <w:rsid w:val="000E3D94"/>
    <w:rsid w:val="000E60E5"/>
    <w:rsid w:val="000F04FA"/>
    <w:rsid w:val="000F0ABC"/>
    <w:rsid w:val="000F4526"/>
    <w:rsid w:val="00103F73"/>
    <w:rsid w:val="00104FA3"/>
    <w:rsid w:val="00105D6B"/>
    <w:rsid w:val="00105E54"/>
    <w:rsid w:val="00113EA4"/>
    <w:rsid w:val="00115C87"/>
    <w:rsid w:val="0011602B"/>
    <w:rsid w:val="00116089"/>
    <w:rsid w:val="00116232"/>
    <w:rsid w:val="00122596"/>
    <w:rsid w:val="001226C2"/>
    <w:rsid w:val="00123BE6"/>
    <w:rsid w:val="00124622"/>
    <w:rsid w:val="00130485"/>
    <w:rsid w:val="00132A20"/>
    <w:rsid w:val="001333E0"/>
    <w:rsid w:val="00141FA3"/>
    <w:rsid w:val="00142A34"/>
    <w:rsid w:val="00144BBA"/>
    <w:rsid w:val="0015096D"/>
    <w:rsid w:val="00150D79"/>
    <w:rsid w:val="00151F92"/>
    <w:rsid w:val="0016359C"/>
    <w:rsid w:val="00164005"/>
    <w:rsid w:val="00164AB0"/>
    <w:rsid w:val="001659B3"/>
    <w:rsid w:val="00166723"/>
    <w:rsid w:val="001713CB"/>
    <w:rsid w:val="00173968"/>
    <w:rsid w:val="001748C9"/>
    <w:rsid w:val="001761CA"/>
    <w:rsid w:val="001801CA"/>
    <w:rsid w:val="00191D76"/>
    <w:rsid w:val="0019414B"/>
    <w:rsid w:val="00194A28"/>
    <w:rsid w:val="00194FB1"/>
    <w:rsid w:val="00195BFA"/>
    <w:rsid w:val="001A2721"/>
    <w:rsid w:val="001A4E42"/>
    <w:rsid w:val="001A58BC"/>
    <w:rsid w:val="001A594D"/>
    <w:rsid w:val="001A5B20"/>
    <w:rsid w:val="001B0D06"/>
    <w:rsid w:val="001B4A8E"/>
    <w:rsid w:val="001C2948"/>
    <w:rsid w:val="001C6419"/>
    <w:rsid w:val="001D02D9"/>
    <w:rsid w:val="001E1961"/>
    <w:rsid w:val="001E2A47"/>
    <w:rsid w:val="001E3A36"/>
    <w:rsid w:val="001E5484"/>
    <w:rsid w:val="001E6960"/>
    <w:rsid w:val="001E732D"/>
    <w:rsid w:val="001E7645"/>
    <w:rsid w:val="001F3036"/>
    <w:rsid w:val="00200B59"/>
    <w:rsid w:val="00213EB4"/>
    <w:rsid w:val="00216E13"/>
    <w:rsid w:val="00223498"/>
    <w:rsid w:val="00233C4D"/>
    <w:rsid w:val="0023637B"/>
    <w:rsid w:val="00236B67"/>
    <w:rsid w:val="00236F90"/>
    <w:rsid w:val="00240971"/>
    <w:rsid w:val="00244FBB"/>
    <w:rsid w:val="0024700E"/>
    <w:rsid w:val="002519A0"/>
    <w:rsid w:val="002519FE"/>
    <w:rsid w:val="00252432"/>
    <w:rsid w:val="00254282"/>
    <w:rsid w:val="002542BE"/>
    <w:rsid w:val="00255522"/>
    <w:rsid w:val="0025680D"/>
    <w:rsid w:val="00256EA7"/>
    <w:rsid w:val="00257102"/>
    <w:rsid w:val="002575D6"/>
    <w:rsid w:val="00261354"/>
    <w:rsid w:val="0026529C"/>
    <w:rsid w:val="00270BA7"/>
    <w:rsid w:val="002728D8"/>
    <w:rsid w:val="0027302E"/>
    <w:rsid w:val="002737BB"/>
    <w:rsid w:val="00274423"/>
    <w:rsid w:val="00276C58"/>
    <w:rsid w:val="00277539"/>
    <w:rsid w:val="002814DF"/>
    <w:rsid w:val="002817B1"/>
    <w:rsid w:val="00286ACB"/>
    <w:rsid w:val="002872ED"/>
    <w:rsid w:val="00290639"/>
    <w:rsid w:val="00290AB6"/>
    <w:rsid w:val="002925CB"/>
    <w:rsid w:val="00295ED8"/>
    <w:rsid w:val="00296F8F"/>
    <w:rsid w:val="002A0D10"/>
    <w:rsid w:val="002A45C8"/>
    <w:rsid w:val="002A478A"/>
    <w:rsid w:val="002A70B0"/>
    <w:rsid w:val="002B1606"/>
    <w:rsid w:val="002B4E51"/>
    <w:rsid w:val="002B577F"/>
    <w:rsid w:val="002C2376"/>
    <w:rsid w:val="002C322F"/>
    <w:rsid w:val="002C76AF"/>
    <w:rsid w:val="002E1F33"/>
    <w:rsid w:val="002E215F"/>
    <w:rsid w:val="002E288E"/>
    <w:rsid w:val="002E3303"/>
    <w:rsid w:val="002E5ACC"/>
    <w:rsid w:val="002E621B"/>
    <w:rsid w:val="002F0576"/>
    <w:rsid w:val="002F0BD9"/>
    <w:rsid w:val="002F1259"/>
    <w:rsid w:val="002F2AC4"/>
    <w:rsid w:val="002F2C39"/>
    <w:rsid w:val="0031008A"/>
    <w:rsid w:val="003113CB"/>
    <w:rsid w:val="003132BF"/>
    <w:rsid w:val="0031482B"/>
    <w:rsid w:val="00324810"/>
    <w:rsid w:val="00325C26"/>
    <w:rsid w:val="00330348"/>
    <w:rsid w:val="0033377E"/>
    <w:rsid w:val="00334DDD"/>
    <w:rsid w:val="00334EA2"/>
    <w:rsid w:val="00335CE0"/>
    <w:rsid w:val="00340911"/>
    <w:rsid w:val="00342ED7"/>
    <w:rsid w:val="00343676"/>
    <w:rsid w:val="00347F5E"/>
    <w:rsid w:val="00357F97"/>
    <w:rsid w:val="00360690"/>
    <w:rsid w:val="00362027"/>
    <w:rsid w:val="00364B84"/>
    <w:rsid w:val="00365FB1"/>
    <w:rsid w:val="00380D4D"/>
    <w:rsid w:val="00381034"/>
    <w:rsid w:val="00382F05"/>
    <w:rsid w:val="003A3732"/>
    <w:rsid w:val="003A3E60"/>
    <w:rsid w:val="003A59F3"/>
    <w:rsid w:val="003A6037"/>
    <w:rsid w:val="003A7FDF"/>
    <w:rsid w:val="003B138C"/>
    <w:rsid w:val="003B207A"/>
    <w:rsid w:val="003B2334"/>
    <w:rsid w:val="003B2485"/>
    <w:rsid w:val="003B3006"/>
    <w:rsid w:val="003B3E88"/>
    <w:rsid w:val="003B72BC"/>
    <w:rsid w:val="003C3481"/>
    <w:rsid w:val="003C511E"/>
    <w:rsid w:val="003C545F"/>
    <w:rsid w:val="003C7166"/>
    <w:rsid w:val="003D63E0"/>
    <w:rsid w:val="003D729B"/>
    <w:rsid w:val="003E3029"/>
    <w:rsid w:val="003E4A83"/>
    <w:rsid w:val="003E4F59"/>
    <w:rsid w:val="003E5829"/>
    <w:rsid w:val="003F1060"/>
    <w:rsid w:val="0040152F"/>
    <w:rsid w:val="004045F3"/>
    <w:rsid w:val="00406E91"/>
    <w:rsid w:val="00411950"/>
    <w:rsid w:val="00412A90"/>
    <w:rsid w:val="00412EE0"/>
    <w:rsid w:val="00420312"/>
    <w:rsid w:val="004224B7"/>
    <w:rsid w:val="0043072A"/>
    <w:rsid w:val="00431EFD"/>
    <w:rsid w:val="00433504"/>
    <w:rsid w:val="00433845"/>
    <w:rsid w:val="004373FB"/>
    <w:rsid w:val="00441204"/>
    <w:rsid w:val="00455F33"/>
    <w:rsid w:val="00460B6B"/>
    <w:rsid w:val="0047131D"/>
    <w:rsid w:val="00471655"/>
    <w:rsid w:val="004719C4"/>
    <w:rsid w:val="00471AAC"/>
    <w:rsid w:val="00472E89"/>
    <w:rsid w:val="004737A3"/>
    <w:rsid w:val="00473A1F"/>
    <w:rsid w:val="00476F15"/>
    <w:rsid w:val="00481019"/>
    <w:rsid w:val="004813EF"/>
    <w:rsid w:val="00483612"/>
    <w:rsid w:val="004929E3"/>
    <w:rsid w:val="00495DC3"/>
    <w:rsid w:val="004968FA"/>
    <w:rsid w:val="0049777C"/>
    <w:rsid w:val="004A4BA1"/>
    <w:rsid w:val="004A777D"/>
    <w:rsid w:val="004B2992"/>
    <w:rsid w:val="004B6D30"/>
    <w:rsid w:val="004D083C"/>
    <w:rsid w:val="004D44B9"/>
    <w:rsid w:val="004D7223"/>
    <w:rsid w:val="004E0ED2"/>
    <w:rsid w:val="004E30B0"/>
    <w:rsid w:val="004E45E1"/>
    <w:rsid w:val="004E571A"/>
    <w:rsid w:val="004E58A6"/>
    <w:rsid w:val="004E5D3F"/>
    <w:rsid w:val="004E60BA"/>
    <w:rsid w:val="004F373D"/>
    <w:rsid w:val="00500A3F"/>
    <w:rsid w:val="00503534"/>
    <w:rsid w:val="00506234"/>
    <w:rsid w:val="00507277"/>
    <w:rsid w:val="00507548"/>
    <w:rsid w:val="00510217"/>
    <w:rsid w:val="00513C58"/>
    <w:rsid w:val="00521479"/>
    <w:rsid w:val="0052315D"/>
    <w:rsid w:val="0052507B"/>
    <w:rsid w:val="00530D61"/>
    <w:rsid w:val="00532BA3"/>
    <w:rsid w:val="00532BBD"/>
    <w:rsid w:val="00537779"/>
    <w:rsid w:val="00542A8A"/>
    <w:rsid w:val="005432D0"/>
    <w:rsid w:val="005533F1"/>
    <w:rsid w:val="0055507B"/>
    <w:rsid w:val="005606BD"/>
    <w:rsid w:val="00561DEB"/>
    <w:rsid w:val="00566705"/>
    <w:rsid w:val="0056698A"/>
    <w:rsid w:val="005672B2"/>
    <w:rsid w:val="005673EE"/>
    <w:rsid w:val="00571930"/>
    <w:rsid w:val="00571A9F"/>
    <w:rsid w:val="00572E2E"/>
    <w:rsid w:val="005738B4"/>
    <w:rsid w:val="00574FE0"/>
    <w:rsid w:val="00576947"/>
    <w:rsid w:val="0058024A"/>
    <w:rsid w:val="00584B81"/>
    <w:rsid w:val="00586F06"/>
    <w:rsid w:val="00590C7D"/>
    <w:rsid w:val="005A0DBE"/>
    <w:rsid w:val="005A35CF"/>
    <w:rsid w:val="005A601F"/>
    <w:rsid w:val="005A76B8"/>
    <w:rsid w:val="005B0D63"/>
    <w:rsid w:val="005B19E1"/>
    <w:rsid w:val="005B31FF"/>
    <w:rsid w:val="005B6C89"/>
    <w:rsid w:val="005C3ABA"/>
    <w:rsid w:val="005C7E54"/>
    <w:rsid w:val="005D4FF8"/>
    <w:rsid w:val="005D794F"/>
    <w:rsid w:val="005E2519"/>
    <w:rsid w:val="005E407D"/>
    <w:rsid w:val="005F0EF0"/>
    <w:rsid w:val="005F2E9E"/>
    <w:rsid w:val="005F5328"/>
    <w:rsid w:val="005F6749"/>
    <w:rsid w:val="005F72EE"/>
    <w:rsid w:val="005F7A0C"/>
    <w:rsid w:val="00604896"/>
    <w:rsid w:val="00607B35"/>
    <w:rsid w:val="006229AC"/>
    <w:rsid w:val="00623A6A"/>
    <w:rsid w:val="00627CC7"/>
    <w:rsid w:val="0063209E"/>
    <w:rsid w:val="00640BB9"/>
    <w:rsid w:val="00641558"/>
    <w:rsid w:val="00641DBE"/>
    <w:rsid w:val="00642159"/>
    <w:rsid w:val="00642824"/>
    <w:rsid w:val="00644201"/>
    <w:rsid w:val="00645C03"/>
    <w:rsid w:val="00651BD9"/>
    <w:rsid w:val="00652494"/>
    <w:rsid w:val="00655A0A"/>
    <w:rsid w:val="00656947"/>
    <w:rsid w:val="00656E52"/>
    <w:rsid w:val="006609FB"/>
    <w:rsid w:val="00671B59"/>
    <w:rsid w:val="00677CA9"/>
    <w:rsid w:val="00680AA8"/>
    <w:rsid w:val="00684E5F"/>
    <w:rsid w:val="00693A82"/>
    <w:rsid w:val="0069524D"/>
    <w:rsid w:val="006A48E8"/>
    <w:rsid w:val="006A4D40"/>
    <w:rsid w:val="006B42D0"/>
    <w:rsid w:val="006B5115"/>
    <w:rsid w:val="006B724F"/>
    <w:rsid w:val="006B7938"/>
    <w:rsid w:val="006C34CC"/>
    <w:rsid w:val="006C4005"/>
    <w:rsid w:val="006C58DD"/>
    <w:rsid w:val="006C61F4"/>
    <w:rsid w:val="006C788E"/>
    <w:rsid w:val="006D2792"/>
    <w:rsid w:val="006D33C4"/>
    <w:rsid w:val="006D4A52"/>
    <w:rsid w:val="006D68DF"/>
    <w:rsid w:val="006E2352"/>
    <w:rsid w:val="006E77D1"/>
    <w:rsid w:val="006F2228"/>
    <w:rsid w:val="006F23DB"/>
    <w:rsid w:val="006F25E3"/>
    <w:rsid w:val="0070450B"/>
    <w:rsid w:val="007045E2"/>
    <w:rsid w:val="00706D56"/>
    <w:rsid w:val="00710892"/>
    <w:rsid w:val="007116A3"/>
    <w:rsid w:val="00711AC1"/>
    <w:rsid w:val="00713532"/>
    <w:rsid w:val="00717FDA"/>
    <w:rsid w:val="00721930"/>
    <w:rsid w:val="0072269E"/>
    <w:rsid w:val="00724DF9"/>
    <w:rsid w:val="00727E0C"/>
    <w:rsid w:val="00736A64"/>
    <w:rsid w:val="0073789E"/>
    <w:rsid w:val="00740FF4"/>
    <w:rsid w:val="00742C36"/>
    <w:rsid w:val="00743410"/>
    <w:rsid w:val="007551AB"/>
    <w:rsid w:val="00760499"/>
    <w:rsid w:val="0076113A"/>
    <w:rsid w:val="00763736"/>
    <w:rsid w:val="00763D0A"/>
    <w:rsid w:val="00767586"/>
    <w:rsid w:val="00771874"/>
    <w:rsid w:val="00773E30"/>
    <w:rsid w:val="00775059"/>
    <w:rsid w:val="007804E8"/>
    <w:rsid w:val="00791629"/>
    <w:rsid w:val="00792337"/>
    <w:rsid w:val="0079594A"/>
    <w:rsid w:val="007A17A3"/>
    <w:rsid w:val="007A6905"/>
    <w:rsid w:val="007B1946"/>
    <w:rsid w:val="007B3732"/>
    <w:rsid w:val="007B3823"/>
    <w:rsid w:val="007C3AF9"/>
    <w:rsid w:val="007C56FE"/>
    <w:rsid w:val="007D2C8E"/>
    <w:rsid w:val="007D431D"/>
    <w:rsid w:val="007D4398"/>
    <w:rsid w:val="007D4BF0"/>
    <w:rsid w:val="007E0272"/>
    <w:rsid w:val="007E232E"/>
    <w:rsid w:val="007E33DE"/>
    <w:rsid w:val="007E37F6"/>
    <w:rsid w:val="007E56AA"/>
    <w:rsid w:val="007F4FFD"/>
    <w:rsid w:val="007F544E"/>
    <w:rsid w:val="007F637A"/>
    <w:rsid w:val="00800302"/>
    <w:rsid w:val="008040D1"/>
    <w:rsid w:val="00804DD9"/>
    <w:rsid w:val="00804F17"/>
    <w:rsid w:val="0080559D"/>
    <w:rsid w:val="00806233"/>
    <w:rsid w:val="008065F5"/>
    <w:rsid w:val="00806F85"/>
    <w:rsid w:val="00810A5A"/>
    <w:rsid w:val="00815784"/>
    <w:rsid w:val="00815AA2"/>
    <w:rsid w:val="00816BE3"/>
    <w:rsid w:val="0082224E"/>
    <w:rsid w:val="00822DEB"/>
    <w:rsid w:val="00823392"/>
    <w:rsid w:val="00833823"/>
    <w:rsid w:val="008362FB"/>
    <w:rsid w:val="008367F3"/>
    <w:rsid w:val="00843CFD"/>
    <w:rsid w:val="00844256"/>
    <w:rsid w:val="008446F7"/>
    <w:rsid w:val="008502F0"/>
    <w:rsid w:val="008576F6"/>
    <w:rsid w:val="00863075"/>
    <w:rsid w:val="00866193"/>
    <w:rsid w:val="00866F9B"/>
    <w:rsid w:val="00873D1C"/>
    <w:rsid w:val="008758AC"/>
    <w:rsid w:val="00876FC0"/>
    <w:rsid w:val="00880368"/>
    <w:rsid w:val="00882101"/>
    <w:rsid w:val="0088416C"/>
    <w:rsid w:val="00885157"/>
    <w:rsid w:val="008866D1"/>
    <w:rsid w:val="00887309"/>
    <w:rsid w:val="00887571"/>
    <w:rsid w:val="00891CF0"/>
    <w:rsid w:val="00892A98"/>
    <w:rsid w:val="00894A63"/>
    <w:rsid w:val="008A1BB4"/>
    <w:rsid w:val="008A2753"/>
    <w:rsid w:val="008A668A"/>
    <w:rsid w:val="008A7149"/>
    <w:rsid w:val="008A7813"/>
    <w:rsid w:val="008B569C"/>
    <w:rsid w:val="008B57CB"/>
    <w:rsid w:val="008C038A"/>
    <w:rsid w:val="008C48FC"/>
    <w:rsid w:val="008C6D8D"/>
    <w:rsid w:val="008C7208"/>
    <w:rsid w:val="008E0508"/>
    <w:rsid w:val="008E1461"/>
    <w:rsid w:val="008E47EF"/>
    <w:rsid w:val="008E498A"/>
    <w:rsid w:val="008E579F"/>
    <w:rsid w:val="008F45D6"/>
    <w:rsid w:val="008F6165"/>
    <w:rsid w:val="008F6659"/>
    <w:rsid w:val="009049D2"/>
    <w:rsid w:val="00906D14"/>
    <w:rsid w:val="00913AEF"/>
    <w:rsid w:val="009144F2"/>
    <w:rsid w:val="0091457F"/>
    <w:rsid w:val="00920EA2"/>
    <w:rsid w:val="00924208"/>
    <w:rsid w:val="009270FD"/>
    <w:rsid w:val="00932912"/>
    <w:rsid w:val="00945E3B"/>
    <w:rsid w:val="00954AFE"/>
    <w:rsid w:val="0096246E"/>
    <w:rsid w:val="00970887"/>
    <w:rsid w:val="009756AD"/>
    <w:rsid w:val="00981CE1"/>
    <w:rsid w:val="00982D91"/>
    <w:rsid w:val="00985187"/>
    <w:rsid w:val="009871A5"/>
    <w:rsid w:val="009926C5"/>
    <w:rsid w:val="00992EE6"/>
    <w:rsid w:val="009940BD"/>
    <w:rsid w:val="009A18EE"/>
    <w:rsid w:val="009A335A"/>
    <w:rsid w:val="009A6DE3"/>
    <w:rsid w:val="009A7EBC"/>
    <w:rsid w:val="009B029A"/>
    <w:rsid w:val="009B15A9"/>
    <w:rsid w:val="009B2558"/>
    <w:rsid w:val="009B496D"/>
    <w:rsid w:val="009B5780"/>
    <w:rsid w:val="009C23A7"/>
    <w:rsid w:val="009C3FD3"/>
    <w:rsid w:val="009C46FF"/>
    <w:rsid w:val="009C64A6"/>
    <w:rsid w:val="009D150F"/>
    <w:rsid w:val="009D22E0"/>
    <w:rsid w:val="009D3AFA"/>
    <w:rsid w:val="009D620F"/>
    <w:rsid w:val="009E04CE"/>
    <w:rsid w:val="009E0E95"/>
    <w:rsid w:val="009E14E6"/>
    <w:rsid w:val="009E4377"/>
    <w:rsid w:val="009E4FC8"/>
    <w:rsid w:val="009E6939"/>
    <w:rsid w:val="009E69A6"/>
    <w:rsid w:val="009F1068"/>
    <w:rsid w:val="009F181B"/>
    <w:rsid w:val="009F48D6"/>
    <w:rsid w:val="009F5990"/>
    <w:rsid w:val="00A01D5F"/>
    <w:rsid w:val="00A037C2"/>
    <w:rsid w:val="00A03AE0"/>
    <w:rsid w:val="00A05723"/>
    <w:rsid w:val="00A07A4A"/>
    <w:rsid w:val="00A1177C"/>
    <w:rsid w:val="00A12F23"/>
    <w:rsid w:val="00A263A6"/>
    <w:rsid w:val="00A27CCF"/>
    <w:rsid w:val="00A27DC9"/>
    <w:rsid w:val="00A33CAE"/>
    <w:rsid w:val="00A34B28"/>
    <w:rsid w:val="00A364CC"/>
    <w:rsid w:val="00A424C0"/>
    <w:rsid w:val="00A42A08"/>
    <w:rsid w:val="00A451A7"/>
    <w:rsid w:val="00A46205"/>
    <w:rsid w:val="00A52A26"/>
    <w:rsid w:val="00A55E28"/>
    <w:rsid w:val="00A61C0E"/>
    <w:rsid w:val="00A61E81"/>
    <w:rsid w:val="00A64B74"/>
    <w:rsid w:val="00A66A0A"/>
    <w:rsid w:val="00A71BF9"/>
    <w:rsid w:val="00A7532F"/>
    <w:rsid w:val="00A80047"/>
    <w:rsid w:val="00A80D71"/>
    <w:rsid w:val="00A83D4D"/>
    <w:rsid w:val="00A84C62"/>
    <w:rsid w:val="00A90C8D"/>
    <w:rsid w:val="00A912D1"/>
    <w:rsid w:val="00A92C0A"/>
    <w:rsid w:val="00AA3F11"/>
    <w:rsid w:val="00AA75F7"/>
    <w:rsid w:val="00AB5BF9"/>
    <w:rsid w:val="00AC03F0"/>
    <w:rsid w:val="00AC2CD7"/>
    <w:rsid w:val="00AC3250"/>
    <w:rsid w:val="00AC59FA"/>
    <w:rsid w:val="00AD1D5F"/>
    <w:rsid w:val="00AD6521"/>
    <w:rsid w:val="00AF17BF"/>
    <w:rsid w:val="00AF35DF"/>
    <w:rsid w:val="00AF422A"/>
    <w:rsid w:val="00AF44A2"/>
    <w:rsid w:val="00AF46A6"/>
    <w:rsid w:val="00AF6FD5"/>
    <w:rsid w:val="00AF7525"/>
    <w:rsid w:val="00B03C33"/>
    <w:rsid w:val="00B057F5"/>
    <w:rsid w:val="00B07714"/>
    <w:rsid w:val="00B12230"/>
    <w:rsid w:val="00B13CD9"/>
    <w:rsid w:val="00B162C7"/>
    <w:rsid w:val="00B17488"/>
    <w:rsid w:val="00B2107C"/>
    <w:rsid w:val="00B21320"/>
    <w:rsid w:val="00B21C7C"/>
    <w:rsid w:val="00B2255F"/>
    <w:rsid w:val="00B25B75"/>
    <w:rsid w:val="00B31594"/>
    <w:rsid w:val="00B327BC"/>
    <w:rsid w:val="00B373DF"/>
    <w:rsid w:val="00B43FF3"/>
    <w:rsid w:val="00B449BC"/>
    <w:rsid w:val="00B4563B"/>
    <w:rsid w:val="00B45B19"/>
    <w:rsid w:val="00B51005"/>
    <w:rsid w:val="00B5505A"/>
    <w:rsid w:val="00B64CC4"/>
    <w:rsid w:val="00B74354"/>
    <w:rsid w:val="00B751FA"/>
    <w:rsid w:val="00B87EBB"/>
    <w:rsid w:val="00B90492"/>
    <w:rsid w:val="00B9347B"/>
    <w:rsid w:val="00B944AC"/>
    <w:rsid w:val="00B96899"/>
    <w:rsid w:val="00B9699D"/>
    <w:rsid w:val="00B96CEC"/>
    <w:rsid w:val="00BA321E"/>
    <w:rsid w:val="00BA3F0C"/>
    <w:rsid w:val="00BA5AD5"/>
    <w:rsid w:val="00BB0D3A"/>
    <w:rsid w:val="00BB325B"/>
    <w:rsid w:val="00BB68BC"/>
    <w:rsid w:val="00BD1E27"/>
    <w:rsid w:val="00BD5220"/>
    <w:rsid w:val="00BE6155"/>
    <w:rsid w:val="00BF2154"/>
    <w:rsid w:val="00BF4082"/>
    <w:rsid w:val="00BF6095"/>
    <w:rsid w:val="00C05465"/>
    <w:rsid w:val="00C058F0"/>
    <w:rsid w:val="00C113E4"/>
    <w:rsid w:val="00C2073D"/>
    <w:rsid w:val="00C31788"/>
    <w:rsid w:val="00C35DD3"/>
    <w:rsid w:val="00C366DB"/>
    <w:rsid w:val="00C43694"/>
    <w:rsid w:val="00C43C7E"/>
    <w:rsid w:val="00C44C83"/>
    <w:rsid w:val="00C47636"/>
    <w:rsid w:val="00C47DFC"/>
    <w:rsid w:val="00C50ADA"/>
    <w:rsid w:val="00C52F45"/>
    <w:rsid w:val="00C567D0"/>
    <w:rsid w:val="00C62719"/>
    <w:rsid w:val="00C63237"/>
    <w:rsid w:val="00C638A5"/>
    <w:rsid w:val="00C63A9B"/>
    <w:rsid w:val="00C70402"/>
    <w:rsid w:val="00C82A43"/>
    <w:rsid w:val="00C82FD9"/>
    <w:rsid w:val="00C90BCF"/>
    <w:rsid w:val="00C91910"/>
    <w:rsid w:val="00C941C1"/>
    <w:rsid w:val="00C9761D"/>
    <w:rsid w:val="00CA0D49"/>
    <w:rsid w:val="00CA7F39"/>
    <w:rsid w:val="00CB17CA"/>
    <w:rsid w:val="00CB1E8C"/>
    <w:rsid w:val="00CB205A"/>
    <w:rsid w:val="00CC23D1"/>
    <w:rsid w:val="00CC2C7C"/>
    <w:rsid w:val="00CC334B"/>
    <w:rsid w:val="00CC52A4"/>
    <w:rsid w:val="00CC7ACA"/>
    <w:rsid w:val="00CD4E6B"/>
    <w:rsid w:val="00CD4F9B"/>
    <w:rsid w:val="00CE3325"/>
    <w:rsid w:val="00CE5B8C"/>
    <w:rsid w:val="00CE70BB"/>
    <w:rsid w:val="00CF4C0F"/>
    <w:rsid w:val="00CF6BD9"/>
    <w:rsid w:val="00D057CF"/>
    <w:rsid w:val="00D07740"/>
    <w:rsid w:val="00D078D0"/>
    <w:rsid w:val="00D10965"/>
    <w:rsid w:val="00D14677"/>
    <w:rsid w:val="00D1554D"/>
    <w:rsid w:val="00D167AB"/>
    <w:rsid w:val="00D21B15"/>
    <w:rsid w:val="00D2443D"/>
    <w:rsid w:val="00D274C6"/>
    <w:rsid w:val="00D4000A"/>
    <w:rsid w:val="00D400C6"/>
    <w:rsid w:val="00D41117"/>
    <w:rsid w:val="00D4164F"/>
    <w:rsid w:val="00D43611"/>
    <w:rsid w:val="00D4368F"/>
    <w:rsid w:val="00D5128C"/>
    <w:rsid w:val="00D52D63"/>
    <w:rsid w:val="00D52EFD"/>
    <w:rsid w:val="00D64EC1"/>
    <w:rsid w:val="00D65212"/>
    <w:rsid w:val="00D65EB2"/>
    <w:rsid w:val="00D66D3D"/>
    <w:rsid w:val="00D67EDF"/>
    <w:rsid w:val="00D703E5"/>
    <w:rsid w:val="00D77368"/>
    <w:rsid w:val="00D814AE"/>
    <w:rsid w:val="00D865E6"/>
    <w:rsid w:val="00D87B3B"/>
    <w:rsid w:val="00D96C82"/>
    <w:rsid w:val="00DA30A2"/>
    <w:rsid w:val="00DA49CD"/>
    <w:rsid w:val="00DA4E19"/>
    <w:rsid w:val="00DA6DAD"/>
    <w:rsid w:val="00DA7ECF"/>
    <w:rsid w:val="00DB6E7C"/>
    <w:rsid w:val="00DC3862"/>
    <w:rsid w:val="00DC486C"/>
    <w:rsid w:val="00DC5DDB"/>
    <w:rsid w:val="00DD14B8"/>
    <w:rsid w:val="00DD5BC7"/>
    <w:rsid w:val="00DD7C69"/>
    <w:rsid w:val="00DE581C"/>
    <w:rsid w:val="00DF1935"/>
    <w:rsid w:val="00E05C89"/>
    <w:rsid w:val="00E07A34"/>
    <w:rsid w:val="00E12E6D"/>
    <w:rsid w:val="00E14249"/>
    <w:rsid w:val="00E17D9B"/>
    <w:rsid w:val="00E32E25"/>
    <w:rsid w:val="00E33145"/>
    <w:rsid w:val="00E3711C"/>
    <w:rsid w:val="00E4293A"/>
    <w:rsid w:val="00E42C0B"/>
    <w:rsid w:val="00E469B6"/>
    <w:rsid w:val="00E508E2"/>
    <w:rsid w:val="00E60B21"/>
    <w:rsid w:val="00E65A41"/>
    <w:rsid w:val="00E66FE7"/>
    <w:rsid w:val="00E72CD6"/>
    <w:rsid w:val="00E73A1D"/>
    <w:rsid w:val="00E77BE8"/>
    <w:rsid w:val="00E82782"/>
    <w:rsid w:val="00E90142"/>
    <w:rsid w:val="00E93750"/>
    <w:rsid w:val="00EA1418"/>
    <w:rsid w:val="00EA555E"/>
    <w:rsid w:val="00EB363A"/>
    <w:rsid w:val="00EB5BA0"/>
    <w:rsid w:val="00EB6A2D"/>
    <w:rsid w:val="00EC6D1A"/>
    <w:rsid w:val="00EC7783"/>
    <w:rsid w:val="00ED22B1"/>
    <w:rsid w:val="00ED34A9"/>
    <w:rsid w:val="00ED37D2"/>
    <w:rsid w:val="00ED3B62"/>
    <w:rsid w:val="00EE0EE0"/>
    <w:rsid w:val="00EE29CE"/>
    <w:rsid w:val="00EF1DF7"/>
    <w:rsid w:val="00EF64F3"/>
    <w:rsid w:val="00F013AE"/>
    <w:rsid w:val="00F0297C"/>
    <w:rsid w:val="00F02D0F"/>
    <w:rsid w:val="00F10952"/>
    <w:rsid w:val="00F10C8C"/>
    <w:rsid w:val="00F13AD6"/>
    <w:rsid w:val="00F157D3"/>
    <w:rsid w:val="00F16787"/>
    <w:rsid w:val="00F20494"/>
    <w:rsid w:val="00F228FD"/>
    <w:rsid w:val="00F34688"/>
    <w:rsid w:val="00F459DE"/>
    <w:rsid w:val="00F46701"/>
    <w:rsid w:val="00F5417A"/>
    <w:rsid w:val="00F61010"/>
    <w:rsid w:val="00F71753"/>
    <w:rsid w:val="00F718D7"/>
    <w:rsid w:val="00F71B03"/>
    <w:rsid w:val="00F71FD0"/>
    <w:rsid w:val="00F736A8"/>
    <w:rsid w:val="00F750BD"/>
    <w:rsid w:val="00F754B1"/>
    <w:rsid w:val="00F81343"/>
    <w:rsid w:val="00F81B56"/>
    <w:rsid w:val="00F827BC"/>
    <w:rsid w:val="00F847C7"/>
    <w:rsid w:val="00F964C1"/>
    <w:rsid w:val="00FA200C"/>
    <w:rsid w:val="00FA21A2"/>
    <w:rsid w:val="00FA2B10"/>
    <w:rsid w:val="00FC00C1"/>
    <w:rsid w:val="00FC0726"/>
    <w:rsid w:val="00FE1128"/>
    <w:rsid w:val="00FE1973"/>
    <w:rsid w:val="00FE26FE"/>
    <w:rsid w:val="00FE66B4"/>
    <w:rsid w:val="00FE688A"/>
    <w:rsid w:val="00FF35F2"/>
    <w:rsid w:val="00FF600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90"/>
    <w:rPr>
      <w:sz w:val="24"/>
      <w:szCs w:val="24"/>
      <w:lang w:eastAsia="fr-FR"/>
    </w:rPr>
  </w:style>
  <w:style w:type="paragraph" w:styleId="Heading1">
    <w:name w:val="heading 1"/>
    <w:basedOn w:val="Normal"/>
    <w:next w:val="Normal"/>
    <w:link w:val="Heading1Char"/>
    <w:qFormat/>
    <w:rsid w:val="00261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61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1354"/>
    <w:pPr>
      <w:keepNext/>
      <w:numPr>
        <w:ilvl w:val="2"/>
        <w:numId w:val="3"/>
      </w:numPr>
      <w:spacing w:before="240" w:after="60"/>
      <w:outlineLvl w:val="2"/>
    </w:pPr>
    <w:rPr>
      <w:rFonts w:ascii="Arial" w:hAnsi="Arial" w:cs="Arial"/>
      <w:b/>
      <w:bCs/>
      <w:sz w:val="22"/>
      <w:szCs w:val="26"/>
      <w:lang w:val="de-CH" w:eastAsia="de-DE"/>
    </w:rPr>
  </w:style>
  <w:style w:type="paragraph" w:styleId="Heading4">
    <w:name w:val="heading 4"/>
    <w:basedOn w:val="Normal"/>
    <w:next w:val="Normal"/>
    <w:link w:val="Heading4Char"/>
    <w:qFormat/>
    <w:rsid w:val="00261354"/>
    <w:pPr>
      <w:keepNext/>
      <w:numPr>
        <w:ilvl w:val="3"/>
        <w:numId w:val="3"/>
      </w:numPr>
      <w:outlineLvl w:val="3"/>
    </w:pPr>
    <w:rPr>
      <w:rFonts w:ascii="Arial" w:hAnsi="Arial" w:cs="Arial"/>
      <w:b/>
      <w:bCs/>
      <w:sz w:val="22"/>
      <w:lang w:val="de-CH" w:eastAsia="de-DE"/>
    </w:rPr>
  </w:style>
  <w:style w:type="paragraph" w:styleId="Heading5">
    <w:name w:val="heading 5"/>
    <w:basedOn w:val="Normal"/>
    <w:next w:val="Normal"/>
    <w:link w:val="Heading5Char"/>
    <w:qFormat/>
    <w:rsid w:val="00261354"/>
    <w:pPr>
      <w:keepNext/>
      <w:numPr>
        <w:ilvl w:val="4"/>
        <w:numId w:val="3"/>
      </w:numPr>
      <w:outlineLvl w:val="4"/>
    </w:pPr>
    <w:rPr>
      <w:rFonts w:ascii="Arial" w:hAnsi="Arial" w:cs="Arial"/>
      <w:b/>
      <w:bCs/>
      <w:sz w:val="22"/>
      <w:lang w:val="de-CH" w:eastAsia="de-DE"/>
    </w:rPr>
  </w:style>
  <w:style w:type="paragraph" w:styleId="Heading6">
    <w:name w:val="heading 6"/>
    <w:basedOn w:val="Normal"/>
    <w:next w:val="Normal"/>
    <w:link w:val="Heading6Char"/>
    <w:qFormat/>
    <w:rsid w:val="00261354"/>
    <w:pPr>
      <w:keepNext/>
      <w:numPr>
        <w:ilvl w:val="5"/>
        <w:numId w:val="3"/>
      </w:numPr>
      <w:outlineLvl w:val="5"/>
    </w:pPr>
    <w:rPr>
      <w:rFonts w:ascii="Arial" w:hAnsi="Arial" w:cs="Arial"/>
      <w:sz w:val="22"/>
      <w:lang w:val="de-CH" w:eastAsia="de-DE"/>
    </w:rPr>
  </w:style>
  <w:style w:type="paragraph" w:styleId="Heading7">
    <w:name w:val="heading 7"/>
    <w:basedOn w:val="Normal"/>
    <w:next w:val="Normal"/>
    <w:link w:val="Heading7Char"/>
    <w:qFormat/>
    <w:rsid w:val="00261354"/>
    <w:pPr>
      <w:numPr>
        <w:ilvl w:val="6"/>
        <w:numId w:val="3"/>
      </w:numPr>
      <w:spacing w:before="240" w:after="60"/>
      <w:outlineLvl w:val="6"/>
    </w:pPr>
    <w:rPr>
      <w:rFonts w:ascii="Arial" w:hAnsi="Arial"/>
      <w:sz w:val="22"/>
      <w:lang w:val="de-CH" w:eastAsia="de-DE"/>
    </w:rPr>
  </w:style>
  <w:style w:type="paragraph" w:styleId="Heading8">
    <w:name w:val="heading 8"/>
    <w:basedOn w:val="Normal"/>
    <w:next w:val="Normal"/>
    <w:link w:val="Heading8Char"/>
    <w:qFormat/>
    <w:rsid w:val="00261354"/>
    <w:pPr>
      <w:numPr>
        <w:ilvl w:val="7"/>
        <w:numId w:val="3"/>
      </w:numPr>
      <w:spacing w:before="240" w:after="60"/>
      <w:outlineLvl w:val="7"/>
    </w:pPr>
    <w:rPr>
      <w:rFonts w:ascii="Arial" w:hAnsi="Arial"/>
      <w:i/>
      <w:iCs/>
      <w:sz w:val="22"/>
      <w:lang w:val="de-CH" w:eastAsia="de-DE"/>
    </w:rPr>
  </w:style>
  <w:style w:type="paragraph" w:styleId="Heading9">
    <w:name w:val="heading 9"/>
    <w:basedOn w:val="Normal"/>
    <w:next w:val="Normal"/>
    <w:link w:val="Heading9Char"/>
    <w:qFormat/>
    <w:rsid w:val="00261354"/>
    <w:pPr>
      <w:numPr>
        <w:ilvl w:val="8"/>
        <w:numId w:val="3"/>
      </w:numPr>
      <w:spacing w:before="240" w:after="60"/>
      <w:outlineLvl w:val="8"/>
    </w:pPr>
    <w:rPr>
      <w:rFonts w:ascii="Arial" w:hAnsi="Arial" w:cs="Arial"/>
      <w:sz w:val="22"/>
      <w:szCs w:val="22"/>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368F"/>
    <w:pPr>
      <w:spacing w:before="100" w:beforeAutospacing="1" w:after="100" w:afterAutospacing="1"/>
    </w:pPr>
    <w:rPr>
      <w:lang w:eastAsia="fr-CH"/>
    </w:rPr>
  </w:style>
  <w:style w:type="paragraph" w:styleId="BalloonText">
    <w:name w:val="Balloon Text"/>
    <w:basedOn w:val="Normal"/>
    <w:link w:val="BalloonTextChar"/>
    <w:rsid w:val="00A46205"/>
    <w:rPr>
      <w:rFonts w:ascii="Tahoma" w:hAnsi="Tahoma"/>
      <w:sz w:val="16"/>
      <w:szCs w:val="16"/>
    </w:rPr>
  </w:style>
  <w:style w:type="character" w:customStyle="1" w:styleId="BalloonTextChar">
    <w:name w:val="Balloon Text Char"/>
    <w:link w:val="BalloonText"/>
    <w:rsid w:val="00A46205"/>
    <w:rPr>
      <w:rFonts w:ascii="Tahoma" w:hAnsi="Tahoma" w:cs="Tahoma"/>
      <w:sz w:val="16"/>
      <w:szCs w:val="16"/>
      <w:lang w:eastAsia="fr-FR"/>
    </w:rPr>
  </w:style>
  <w:style w:type="character" w:styleId="CommentReference">
    <w:name w:val="annotation reference"/>
    <w:rsid w:val="007D431D"/>
    <w:rPr>
      <w:sz w:val="18"/>
      <w:szCs w:val="18"/>
    </w:rPr>
  </w:style>
  <w:style w:type="paragraph" w:styleId="CommentText">
    <w:name w:val="annotation text"/>
    <w:basedOn w:val="Normal"/>
    <w:link w:val="CommentTextChar"/>
    <w:qFormat/>
    <w:rsid w:val="007D431D"/>
  </w:style>
  <w:style w:type="character" w:customStyle="1" w:styleId="CommentTextChar">
    <w:name w:val="Comment Text Char"/>
    <w:link w:val="CommentText"/>
    <w:rsid w:val="007D431D"/>
    <w:rPr>
      <w:sz w:val="24"/>
      <w:szCs w:val="24"/>
      <w:lang w:eastAsia="fr-FR"/>
    </w:rPr>
  </w:style>
  <w:style w:type="character" w:customStyle="1" w:styleId="Heading3Char">
    <w:name w:val="Heading 3 Char"/>
    <w:basedOn w:val="DefaultParagraphFont"/>
    <w:link w:val="Heading3"/>
    <w:rsid w:val="00261354"/>
    <w:rPr>
      <w:rFonts w:ascii="Arial" w:hAnsi="Arial" w:cs="Arial"/>
      <w:b/>
      <w:bCs/>
      <w:sz w:val="22"/>
      <w:szCs w:val="26"/>
      <w:lang w:val="de-CH" w:eastAsia="de-DE"/>
    </w:rPr>
  </w:style>
  <w:style w:type="character" w:customStyle="1" w:styleId="Heading4Char">
    <w:name w:val="Heading 4 Char"/>
    <w:basedOn w:val="DefaultParagraphFont"/>
    <w:link w:val="Heading4"/>
    <w:rsid w:val="00261354"/>
    <w:rPr>
      <w:rFonts w:ascii="Arial" w:hAnsi="Arial" w:cs="Arial"/>
      <w:b/>
      <w:bCs/>
      <w:sz w:val="22"/>
      <w:szCs w:val="24"/>
      <w:lang w:val="de-CH" w:eastAsia="de-DE"/>
    </w:rPr>
  </w:style>
  <w:style w:type="character" w:customStyle="1" w:styleId="Heading5Char">
    <w:name w:val="Heading 5 Char"/>
    <w:basedOn w:val="DefaultParagraphFont"/>
    <w:link w:val="Heading5"/>
    <w:rsid w:val="00261354"/>
    <w:rPr>
      <w:rFonts w:ascii="Arial" w:hAnsi="Arial" w:cs="Arial"/>
      <w:b/>
      <w:bCs/>
      <w:sz w:val="22"/>
      <w:szCs w:val="24"/>
      <w:lang w:val="de-CH" w:eastAsia="de-DE"/>
    </w:rPr>
  </w:style>
  <w:style w:type="character" w:customStyle="1" w:styleId="Heading6Char">
    <w:name w:val="Heading 6 Char"/>
    <w:basedOn w:val="DefaultParagraphFont"/>
    <w:link w:val="Heading6"/>
    <w:rsid w:val="00261354"/>
    <w:rPr>
      <w:rFonts w:ascii="Arial" w:hAnsi="Arial" w:cs="Arial"/>
      <w:sz w:val="22"/>
      <w:szCs w:val="24"/>
      <w:lang w:val="de-CH" w:eastAsia="de-DE"/>
    </w:rPr>
  </w:style>
  <w:style w:type="character" w:customStyle="1" w:styleId="Heading7Char">
    <w:name w:val="Heading 7 Char"/>
    <w:basedOn w:val="DefaultParagraphFont"/>
    <w:link w:val="Heading7"/>
    <w:rsid w:val="00261354"/>
    <w:rPr>
      <w:rFonts w:ascii="Arial" w:hAnsi="Arial"/>
      <w:sz w:val="22"/>
      <w:szCs w:val="24"/>
      <w:lang w:val="de-CH" w:eastAsia="de-DE"/>
    </w:rPr>
  </w:style>
  <w:style w:type="character" w:customStyle="1" w:styleId="Heading8Char">
    <w:name w:val="Heading 8 Char"/>
    <w:basedOn w:val="DefaultParagraphFont"/>
    <w:link w:val="Heading8"/>
    <w:rsid w:val="00261354"/>
    <w:rPr>
      <w:rFonts w:ascii="Arial" w:hAnsi="Arial"/>
      <w:i/>
      <w:iCs/>
      <w:sz w:val="22"/>
      <w:szCs w:val="24"/>
      <w:lang w:val="de-CH" w:eastAsia="de-DE"/>
    </w:rPr>
  </w:style>
  <w:style w:type="character" w:customStyle="1" w:styleId="Heading9Char">
    <w:name w:val="Heading 9 Char"/>
    <w:basedOn w:val="DefaultParagraphFont"/>
    <w:link w:val="Heading9"/>
    <w:rsid w:val="00261354"/>
    <w:rPr>
      <w:rFonts w:ascii="Arial" w:hAnsi="Arial" w:cs="Arial"/>
      <w:sz w:val="22"/>
      <w:szCs w:val="22"/>
      <w:lang w:val="de-CH" w:eastAsia="de-DE"/>
    </w:rPr>
  </w:style>
  <w:style w:type="paragraph" w:customStyle="1" w:styleId="Heading">
    <w:name w:val="Heading"/>
    <w:basedOn w:val="Heading1"/>
    <w:next w:val="Normal"/>
    <w:autoRedefine/>
    <w:rsid w:val="000826F2"/>
    <w:pPr>
      <w:keepNext w:val="0"/>
      <w:keepLines w:val="0"/>
      <w:widowControl w:val="0"/>
      <w:adjustRightInd w:val="0"/>
      <w:snapToGrid w:val="0"/>
      <w:spacing w:before="0" w:line="360" w:lineRule="auto"/>
      <w:jc w:val="both"/>
    </w:pPr>
    <w:rPr>
      <w:rFonts w:ascii="Book Antiqua" w:eastAsia="Times New Roman" w:hAnsi="Book Antiqua" w:cs="Times New Roman"/>
      <w:color w:val="auto"/>
      <w:kern w:val="32"/>
      <w:sz w:val="24"/>
      <w:szCs w:val="24"/>
      <w:lang w:val="en-GB" w:eastAsia="de-DE"/>
    </w:rPr>
  </w:style>
  <w:style w:type="character" w:customStyle="1" w:styleId="Heading1Char">
    <w:name w:val="Heading 1 Char"/>
    <w:basedOn w:val="DefaultParagraphFont"/>
    <w:link w:val="Heading1"/>
    <w:rsid w:val="00261354"/>
    <w:rPr>
      <w:rFonts w:asciiTheme="majorHAnsi" w:eastAsiaTheme="majorEastAsia" w:hAnsiTheme="majorHAnsi" w:cstheme="majorBidi"/>
      <w:b/>
      <w:bCs/>
      <w:color w:val="365F91" w:themeColor="accent1" w:themeShade="BF"/>
      <w:sz w:val="28"/>
      <w:szCs w:val="28"/>
      <w:lang w:eastAsia="fr-FR"/>
    </w:rPr>
  </w:style>
  <w:style w:type="paragraph" w:customStyle="1" w:styleId="Subheading2">
    <w:name w:val="Subheading2"/>
    <w:basedOn w:val="Heading2"/>
    <w:next w:val="Normal"/>
    <w:autoRedefine/>
    <w:rsid w:val="00261354"/>
    <w:pPr>
      <w:keepLines w:val="0"/>
      <w:numPr>
        <w:ilvl w:val="1"/>
        <w:numId w:val="4"/>
      </w:numPr>
      <w:spacing w:before="240" w:after="60" w:line="360" w:lineRule="auto"/>
    </w:pPr>
    <w:rPr>
      <w:rFonts w:ascii="Arial" w:eastAsia="Times New Roman" w:hAnsi="Arial" w:cs="Arial"/>
      <w:i/>
      <w:iCs/>
      <w:color w:val="auto"/>
      <w:sz w:val="24"/>
      <w:szCs w:val="28"/>
      <w:lang w:val="en-GB" w:eastAsia="de-DE"/>
    </w:rPr>
  </w:style>
  <w:style w:type="character" w:customStyle="1" w:styleId="Heading2Char">
    <w:name w:val="Heading 2 Char"/>
    <w:basedOn w:val="DefaultParagraphFont"/>
    <w:link w:val="Heading2"/>
    <w:semiHidden/>
    <w:rsid w:val="00261354"/>
    <w:rPr>
      <w:rFonts w:asciiTheme="majorHAnsi" w:eastAsiaTheme="majorEastAsia" w:hAnsiTheme="majorHAnsi" w:cstheme="majorBidi"/>
      <w:b/>
      <w:bCs/>
      <w:color w:val="4F81BD" w:themeColor="accent1"/>
      <w:sz w:val="26"/>
      <w:szCs w:val="26"/>
      <w:lang w:eastAsia="fr-FR"/>
    </w:rPr>
  </w:style>
  <w:style w:type="paragraph" w:styleId="Header">
    <w:name w:val="header"/>
    <w:basedOn w:val="Normal"/>
    <w:link w:val="HeaderChar"/>
    <w:uiPriority w:val="99"/>
    <w:rsid w:val="00261354"/>
    <w:pPr>
      <w:tabs>
        <w:tab w:val="center" w:pos="4536"/>
        <w:tab w:val="right" w:pos="9072"/>
      </w:tabs>
    </w:pPr>
    <w:rPr>
      <w:rFonts w:ascii="Arial" w:hAnsi="Arial"/>
      <w:sz w:val="22"/>
      <w:lang w:val="de-CH" w:eastAsia="de-DE"/>
    </w:rPr>
  </w:style>
  <w:style w:type="character" w:customStyle="1" w:styleId="HeaderChar">
    <w:name w:val="Header Char"/>
    <w:basedOn w:val="DefaultParagraphFont"/>
    <w:link w:val="Header"/>
    <w:uiPriority w:val="99"/>
    <w:rsid w:val="00261354"/>
    <w:rPr>
      <w:rFonts w:ascii="Arial" w:hAnsi="Arial"/>
      <w:sz w:val="22"/>
      <w:szCs w:val="24"/>
      <w:lang w:val="de-CH" w:eastAsia="de-DE"/>
    </w:rPr>
  </w:style>
  <w:style w:type="paragraph" w:styleId="ListParagraph">
    <w:name w:val="List Paragraph"/>
    <w:basedOn w:val="Normal"/>
    <w:uiPriority w:val="34"/>
    <w:qFormat/>
    <w:rsid w:val="00261354"/>
    <w:pPr>
      <w:ind w:left="708"/>
    </w:pPr>
    <w:rPr>
      <w:rFonts w:ascii="Arial" w:hAnsi="Arial"/>
      <w:sz w:val="22"/>
      <w:lang w:val="de-CH" w:eastAsia="de-DE"/>
    </w:rPr>
  </w:style>
  <w:style w:type="paragraph" w:styleId="CommentSubject">
    <w:name w:val="annotation subject"/>
    <w:basedOn w:val="CommentText"/>
    <w:next w:val="CommentText"/>
    <w:link w:val="CommentSubjectChar"/>
    <w:rsid w:val="0016359C"/>
    <w:rPr>
      <w:b/>
      <w:bCs/>
      <w:sz w:val="20"/>
      <w:szCs w:val="20"/>
    </w:rPr>
  </w:style>
  <w:style w:type="character" w:customStyle="1" w:styleId="CommentSubjectChar">
    <w:name w:val="Comment Subject Char"/>
    <w:basedOn w:val="CommentTextChar"/>
    <w:link w:val="CommentSubject"/>
    <w:rsid w:val="0016359C"/>
    <w:rPr>
      <w:b/>
      <w:bCs/>
      <w:sz w:val="24"/>
      <w:szCs w:val="24"/>
      <w:lang w:eastAsia="fr-FR"/>
    </w:rPr>
  </w:style>
  <w:style w:type="paragraph" w:styleId="Footer">
    <w:name w:val="footer"/>
    <w:basedOn w:val="Normal"/>
    <w:link w:val="FooterChar"/>
    <w:rsid w:val="006D4A52"/>
    <w:pPr>
      <w:tabs>
        <w:tab w:val="center" w:pos="4536"/>
        <w:tab w:val="right" w:pos="9072"/>
      </w:tabs>
    </w:pPr>
  </w:style>
  <w:style w:type="character" w:customStyle="1" w:styleId="FooterChar">
    <w:name w:val="Footer Char"/>
    <w:basedOn w:val="DefaultParagraphFont"/>
    <w:link w:val="Footer"/>
    <w:rsid w:val="006D4A52"/>
    <w:rPr>
      <w:sz w:val="24"/>
      <w:szCs w:val="24"/>
      <w:lang w:eastAsia="fr-FR"/>
    </w:rPr>
  </w:style>
  <w:style w:type="character" w:styleId="Hyperlink">
    <w:name w:val="Hyperlink"/>
    <w:basedOn w:val="DefaultParagraphFont"/>
    <w:rsid w:val="002728D8"/>
    <w:rPr>
      <w:color w:val="0000FF" w:themeColor="hyperlink"/>
      <w:u w:val="single"/>
    </w:rPr>
  </w:style>
  <w:style w:type="character" w:customStyle="1" w:styleId="apple-converted-space">
    <w:name w:val="apple-converted-space"/>
    <w:basedOn w:val="DefaultParagraphFont"/>
    <w:rsid w:val="002E1F33"/>
  </w:style>
  <w:style w:type="character" w:customStyle="1" w:styleId="highlight">
    <w:name w:val="highlight"/>
    <w:basedOn w:val="DefaultParagraphFont"/>
    <w:rsid w:val="002E1F33"/>
  </w:style>
  <w:style w:type="character" w:styleId="FollowedHyperlink">
    <w:name w:val="FollowedHyperlink"/>
    <w:basedOn w:val="DefaultParagraphFont"/>
    <w:rsid w:val="002E1F33"/>
    <w:rPr>
      <w:color w:val="800080" w:themeColor="followedHyperlink"/>
      <w:u w:val="single"/>
    </w:rPr>
  </w:style>
  <w:style w:type="character" w:styleId="LineNumber">
    <w:name w:val="line number"/>
    <w:basedOn w:val="DefaultParagraphFont"/>
    <w:rsid w:val="003B2334"/>
  </w:style>
  <w:style w:type="paragraph" w:customStyle="1" w:styleId="Default">
    <w:name w:val="Default"/>
    <w:rsid w:val="001A58BC"/>
    <w:pPr>
      <w:autoSpaceDE w:val="0"/>
      <w:autoSpaceDN w:val="0"/>
      <w:adjustRightInd w:val="0"/>
    </w:pPr>
    <w:rPr>
      <w:rFonts w:ascii="Book Antiqua" w:hAnsi="Book Antiqua" w:cs="Book Antiqua"/>
      <w:color w:val="000000"/>
      <w:sz w:val="24"/>
      <w:szCs w:val="24"/>
    </w:rPr>
  </w:style>
  <w:style w:type="paragraph" w:customStyle="1" w:styleId="1">
    <w:name w:val="正文1"/>
    <w:rsid w:val="00C44C83"/>
    <w:pPr>
      <w:widowControl w:val="0"/>
      <w:pBdr>
        <w:top w:val="nil"/>
        <w:left w:val="nil"/>
        <w:bottom w:val="nil"/>
        <w:right w:val="nil"/>
        <w:between w:val="nil"/>
      </w:pBdr>
      <w:jc w:val="both"/>
    </w:pPr>
    <w:rPr>
      <w:rFonts w:ascii="Calibri" w:hAnsi="Calibri" w:cs="Calibri"/>
      <w:color w:val="000000"/>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90"/>
    <w:rPr>
      <w:sz w:val="24"/>
      <w:szCs w:val="24"/>
      <w:lang w:eastAsia="fr-FR"/>
    </w:rPr>
  </w:style>
  <w:style w:type="paragraph" w:styleId="Heading1">
    <w:name w:val="heading 1"/>
    <w:basedOn w:val="Normal"/>
    <w:next w:val="Normal"/>
    <w:link w:val="Heading1Char"/>
    <w:qFormat/>
    <w:rsid w:val="00261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61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1354"/>
    <w:pPr>
      <w:keepNext/>
      <w:numPr>
        <w:ilvl w:val="2"/>
        <w:numId w:val="3"/>
      </w:numPr>
      <w:spacing w:before="240" w:after="60"/>
      <w:outlineLvl w:val="2"/>
    </w:pPr>
    <w:rPr>
      <w:rFonts w:ascii="Arial" w:hAnsi="Arial" w:cs="Arial"/>
      <w:b/>
      <w:bCs/>
      <w:sz w:val="22"/>
      <w:szCs w:val="26"/>
      <w:lang w:val="de-CH" w:eastAsia="de-DE"/>
    </w:rPr>
  </w:style>
  <w:style w:type="paragraph" w:styleId="Heading4">
    <w:name w:val="heading 4"/>
    <w:basedOn w:val="Normal"/>
    <w:next w:val="Normal"/>
    <w:link w:val="Heading4Char"/>
    <w:qFormat/>
    <w:rsid w:val="00261354"/>
    <w:pPr>
      <w:keepNext/>
      <w:numPr>
        <w:ilvl w:val="3"/>
        <w:numId w:val="3"/>
      </w:numPr>
      <w:outlineLvl w:val="3"/>
    </w:pPr>
    <w:rPr>
      <w:rFonts w:ascii="Arial" w:hAnsi="Arial" w:cs="Arial"/>
      <w:b/>
      <w:bCs/>
      <w:sz w:val="22"/>
      <w:lang w:val="de-CH" w:eastAsia="de-DE"/>
    </w:rPr>
  </w:style>
  <w:style w:type="paragraph" w:styleId="Heading5">
    <w:name w:val="heading 5"/>
    <w:basedOn w:val="Normal"/>
    <w:next w:val="Normal"/>
    <w:link w:val="Heading5Char"/>
    <w:qFormat/>
    <w:rsid w:val="00261354"/>
    <w:pPr>
      <w:keepNext/>
      <w:numPr>
        <w:ilvl w:val="4"/>
        <w:numId w:val="3"/>
      </w:numPr>
      <w:outlineLvl w:val="4"/>
    </w:pPr>
    <w:rPr>
      <w:rFonts w:ascii="Arial" w:hAnsi="Arial" w:cs="Arial"/>
      <w:b/>
      <w:bCs/>
      <w:sz w:val="22"/>
      <w:lang w:val="de-CH" w:eastAsia="de-DE"/>
    </w:rPr>
  </w:style>
  <w:style w:type="paragraph" w:styleId="Heading6">
    <w:name w:val="heading 6"/>
    <w:basedOn w:val="Normal"/>
    <w:next w:val="Normal"/>
    <w:link w:val="Heading6Char"/>
    <w:qFormat/>
    <w:rsid w:val="00261354"/>
    <w:pPr>
      <w:keepNext/>
      <w:numPr>
        <w:ilvl w:val="5"/>
        <w:numId w:val="3"/>
      </w:numPr>
      <w:outlineLvl w:val="5"/>
    </w:pPr>
    <w:rPr>
      <w:rFonts w:ascii="Arial" w:hAnsi="Arial" w:cs="Arial"/>
      <w:sz w:val="22"/>
      <w:lang w:val="de-CH" w:eastAsia="de-DE"/>
    </w:rPr>
  </w:style>
  <w:style w:type="paragraph" w:styleId="Heading7">
    <w:name w:val="heading 7"/>
    <w:basedOn w:val="Normal"/>
    <w:next w:val="Normal"/>
    <w:link w:val="Heading7Char"/>
    <w:qFormat/>
    <w:rsid w:val="00261354"/>
    <w:pPr>
      <w:numPr>
        <w:ilvl w:val="6"/>
        <w:numId w:val="3"/>
      </w:numPr>
      <w:spacing w:before="240" w:after="60"/>
      <w:outlineLvl w:val="6"/>
    </w:pPr>
    <w:rPr>
      <w:rFonts w:ascii="Arial" w:hAnsi="Arial"/>
      <w:sz w:val="22"/>
      <w:lang w:val="de-CH" w:eastAsia="de-DE"/>
    </w:rPr>
  </w:style>
  <w:style w:type="paragraph" w:styleId="Heading8">
    <w:name w:val="heading 8"/>
    <w:basedOn w:val="Normal"/>
    <w:next w:val="Normal"/>
    <w:link w:val="Heading8Char"/>
    <w:qFormat/>
    <w:rsid w:val="00261354"/>
    <w:pPr>
      <w:numPr>
        <w:ilvl w:val="7"/>
        <w:numId w:val="3"/>
      </w:numPr>
      <w:spacing w:before="240" w:after="60"/>
      <w:outlineLvl w:val="7"/>
    </w:pPr>
    <w:rPr>
      <w:rFonts w:ascii="Arial" w:hAnsi="Arial"/>
      <w:i/>
      <w:iCs/>
      <w:sz w:val="22"/>
      <w:lang w:val="de-CH" w:eastAsia="de-DE"/>
    </w:rPr>
  </w:style>
  <w:style w:type="paragraph" w:styleId="Heading9">
    <w:name w:val="heading 9"/>
    <w:basedOn w:val="Normal"/>
    <w:next w:val="Normal"/>
    <w:link w:val="Heading9Char"/>
    <w:qFormat/>
    <w:rsid w:val="00261354"/>
    <w:pPr>
      <w:numPr>
        <w:ilvl w:val="8"/>
        <w:numId w:val="3"/>
      </w:numPr>
      <w:spacing w:before="240" w:after="60"/>
      <w:outlineLvl w:val="8"/>
    </w:pPr>
    <w:rPr>
      <w:rFonts w:ascii="Arial" w:hAnsi="Arial" w:cs="Arial"/>
      <w:sz w:val="22"/>
      <w:szCs w:val="22"/>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368F"/>
    <w:pPr>
      <w:spacing w:before="100" w:beforeAutospacing="1" w:after="100" w:afterAutospacing="1"/>
    </w:pPr>
    <w:rPr>
      <w:lang w:eastAsia="fr-CH"/>
    </w:rPr>
  </w:style>
  <w:style w:type="paragraph" w:styleId="BalloonText">
    <w:name w:val="Balloon Text"/>
    <w:basedOn w:val="Normal"/>
    <w:link w:val="BalloonTextChar"/>
    <w:rsid w:val="00A46205"/>
    <w:rPr>
      <w:rFonts w:ascii="Tahoma" w:hAnsi="Tahoma"/>
      <w:sz w:val="16"/>
      <w:szCs w:val="16"/>
    </w:rPr>
  </w:style>
  <w:style w:type="character" w:customStyle="1" w:styleId="BalloonTextChar">
    <w:name w:val="Balloon Text Char"/>
    <w:link w:val="BalloonText"/>
    <w:rsid w:val="00A46205"/>
    <w:rPr>
      <w:rFonts w:ascii="Tahoma" w:hAnsi="Tahoma" w:cs="Tahoma"/>
      <w:sz w:val="16"/>
      <w:szCs w:val="16"/>
      <w:lang w:eastAsia="fr-FR"/>
    </w:rPr>
  </w:style>
  <w:style w:type="character" w:styleId="CommentReference">
    <w:name w:val="annotation reference"/>
    <w:rsid w:val="007D431D"/>
    <w:rPr>
      <w:sz w:val="18"/>
      <w:szCs w:val="18"/>
    </w:rPr>
  </w:style>
  <w:style w:type="paragraph" w:styleId="CommentText">
    <w:name w:val="annotation text"/>
    <w:basedOn w:val="Normal"/>
    <w:link w:val="CommentTextChar"/>
    <w:qFormat/>
    <w:rsid w:val="007D431D"/>
  </w:style>
  <w:style w:type="character" w:customStyle="1" w:styleId="CommentTextChar">
    <w:name w:val="Comment Text Char"/>
    <w:link w:val="CommentText"/>
    <w:rsid w:val="007D431D"/>
    <w:rPr>
      <w:sz w:val="24"/>
      <w:szCs w:val="24"/>
      <w:lang w:eastAsia="fr-FR"/>
    </w:rPr>
  </w:style>
  <w:style w:type="character" w:customStyle="1" w:styleId="Heading3Char">
    <w:name w:val="Heading 3 Char"/>
    <w:basedOn w:val="DefaultParagraphFont"/>
    <w:link w:val="Heading3"/>
    <w:rsid w:val="00261354"/>
    <w:rPr>
      <w:rFonts w:ascii="Arial" w:hAnsi="Arial" w:cs="Arial"/>
      <w:b/>
      <w:bCs/>
      <w:sz w:val="22"/>
      <w:szCs w:val="26"/>
      <w:lang w:val="de-CH" w:eastAsia="de-DE"/>
    </w:rPr>
  </w:style>
  <w:style w:type="character" w:customStyle="1" w:styleId="Heading4Char">
    <w:name w:val="Heading 4 Char"/>
    <w:basedOn w:val="DefaultParagraphFont"/>
    <w:link w:val="Heading4"/>
    <w:rsid w:val="00261354"/>
    <w:rPr>
      <w:rFonts w:ascii="Arial" w:hAnsi="Arial" w:cs="Arial"/>
      <w:b/>
      <w:bCs/>
      <w:sz w:val="22"/>
      <w:szCs w:val="24"/>
      <w:lang w:val="de-CH" w:eastAsia="de-DE"/>
    </w:rPr>
  </w:style>
  <w:style w:type="character" w:customStyle="1" w:styleId="Heading5Char">
    <w:name w:val="Heading 5 Char"/>
    <w:basedOn w:val="DefaultParagraphFont"/>
    <w:link w:val="Heading5"/>
    <w:rsid w:val="00261354"/>
    <w:rPr>
      <w:rFonts w:ascii="Arial" w:hAnsi="Arial" w:cs="Arial"/>
      <w:b/>
      <w:bCs/>
      <w:sz w:val="22"/>
      <w:szCs w:val="24"/>
      <w:lang w:val="de-CH" w:eastAsia="de-DE"/>
    </w:rPr>
  </w:style>
  <w:style w:type="character" w:customStyle="1" w:styleId="Heading6Char">
    <w:name w:val="Heading 6 Char"/>
    <w:basedOn w:val="DefaultParagraphFont"/>
    <w:link w:val="Heading6"/>
    <w:rsid w:val="00261354"/>
    <w:rPr>
      <w:rFonts w:ascii="Arial" w:hAnsi="Arial" w:cs="Arial"/>
      <w:sz w:val="22"/>
      <w:szCs w:val="24"/>
      <w:lang w:val="de-CH" w:eastAsia="de-DE"/>
    </w:rPr>
  </w:style>
  <w:style w:type="character" w:customStyle="1" w:styleId="Heading7Char">
    <w:name w:val="Heading 7 Char"/>
    <w:basedOn w:val="DefaultParagraphFont"/>
    <w:link w:val="Heading7"/>
    <w:rsid w:val="00261354"/>
    <w:rPr>
      <w:rFonts w:ascii="Arial" w:hAnsi="Arial"/>
      <w:sz w:val="22"/>
      <w:szCs w:val="24"/>
      <w:lang w:val="de-CH" w:eastAsia="de-DE"/>
    </w:rPr>
  </w:style>
  <w:style w:type="character" w:customStyle="1" w:styleId="Heading8Char">
    <w:name w:val="Heading 8 Char"/>
    <w:basedOn w:val="DefaultParagraphFont"/>
    <w:link w:val="Heading8"/>
    <w:rsid w:val="00261354"/>
    <w:rPr>
      <w:rFonts w:ascii="Arial" w:hAnsi="Arial"/>
      <w:i/>
      <w:iCs/>
      <w:sz w:val="22"/>
      <w:szCs w:val="24"/>
      <w:lang w:val="de-CH" w:eastAsia="de-DE"/>
    </w:rPr>
  </w:style>
  <w:style w:type="character" w:customStyle="1" w:styleId="Heading9Char">
    <w:name w:val="Heading 9 Char"/>
    <w:basedOn w:val="DefaultParagraphFont"/>
    <w:link w:val="Heading9"/>
    <w:rsid w:val="00261354"/>
    <w:rPr>
      <w:rFonts w:ascii="Arial" w:hAnsi="Arial" w:cs="Arial"/>
      <w:sz w:val="22"/>
      <w:szCs w:val="22"/>
      <w:lang w:val="de-CH" w:eastAsia="de-DE"/>
    </w:rPr>
  </w:style>
  <w:style w:type="paragraph" w:customStyle="1" w:styleId="Heading">
    <w:name w:val="Heading"/>
    <w:basedOn w:val="Heading1"/>
    <w:next w:val="Normal"/>
    <w:autoRedefine/>
    <w:rsid w:val="000826F2"/>
    <w:pPr>
      <w:keepNext w:val="0"/>
      <w:keepLines w:val="0"/>
      <w:widowControl w:val="0"/>
      <w:adjustRightInd w:val="0"/>
      <w:snapToGrid w:val="0"/>
      <w:spacing w:before="0" w:line="360" w:lineRule="auto"/>
      <w:jc w:val="both"/>
    </w:pPr>
    <w:rPr>
      <w:rFonts w:ascii="Book Antiqua" w:eastAsia="Times New Roman" w:hAnsi="Book Antiqua" w:cs="Times New Roman"/>
      <w:color w:val="auto"/>
      <w:kern w:val="32"/>
      <w:sz w:val="24"/>
      <w:szCs w:val="24"/>
      <w:lang w:val="en-GB" w:eastAsia="de-DE"/>
    </w:rPr>
  </w:style>
  <w:style w:type="character" w:customStyle="1" w:styleId="Heading1Char">
    <w:name w:val="Heading 1 Char"/>
    <w:basedOn w:val="DefaultParagraphFont"/>
    <w:link w:val="Heading1"/>
    <w:rsid w:val="00261354"/>
    <w:rPr>
      <w:rFonts w:asciiTheme="majorHAnsi" w:eastAsiaTheme="majorEastAsia" w:hAnsiTheme="majorHAnsi" w:cstheme="majorBidi"/>
      <w:b/>
      <w:bCs/>
      <w:color w:val="365F91" w:themeColor="accent1" w:themeShade="BF"/>
      <w:sz w:val="28"/>
      <w:szCs w:val="28"/>
      <w:lang w:eastAsia="fr-FR"/>
    </w:rPr>
  </w:style>
  <w:style w:type="paragraph" w:customStyle="1" w:styleId="Subheading2">
    <w:name w:val="Subheading2"/>
    <w:basedOn w:val="Heading2"/>
    <w:next w:val="Normal"/>
    <w:autoRedefine/>
    <w:rsid w:val="00261354"/>
    <w:pPr>
      <w:keepLines w:val="0"/>
      <w:numPr>
        <w:ilvl w:val="1"/>
        <w:numId w:val="4"/>
      </w:numPr>
      <w:spacing w:before="240" w:after="60" w:line="360" w:lineRule="auto"/>
    </w:pPr>
    <w:rPr>
      <w:rFonts w:ascii="Arial" w:eastAsia="Times New Roman" w:hAnsi="Arial" w:cs="Arial"/>
      <w:i/>
      <w:iCs/>
      <w:color w:val="auto"/>
      <w:sz w:val="24"/>
      <w:szCs w:val="28"/>
      <w:lang w:val="en-GB" w:eastAsia="de-DE"/>
    </w:rPr>
  </w:style>
  <w:style w:type="character" w:customStyle="1" w:styleId="Heading2Char">
    <w:name w:val="Heading 2 Char"/>
    <w:basedOn w:val="DefaultParagraphFont"/>
    <w:link w:val="Heading2"/>
    <w:semiHidden/>
    <w:rsid w:val="00261354"/>
    <w:rPr>
      <w:rFonts w:asciiTheme="majorHAnsi" w:eastAsiaTheme="majorEastAsia" w:hAnsiTheme="majorHAnsi" w:cstheme="majorBidi"/>
      <w:b/>
      <w:bCs/>
      <w:color w:val="4F81BD" w:themeColor="accent1"/>
      <w:sz w:val="26"/>
      <w:szCs w:val="26"/>
      <w:lang w:eastAsia="fr-FR"/>
    </w:rPr>
  </w:style>
  <w:style w:type="paragraph" w:styleId="Header">
    <w:name w:val="header"/>
    <w:basedOn w:val="Normal"/>
    <w:link w:val="HeaderChar"/>
    <w:uiPriority w:val="99"/>
    <w:rsid w:val="00261354"/>
    <w:pPr>
      <w:tabs>
        <w:tab w:val="center" w:pos="4536"/>
        <w:tab w:val="right" w:pos="9072"/>
      </w:tabs>
    </w:pPr>
    <w:rPr>
      <w:rFonts w:ascii="Arial" w:hAnsi="Arial"/>
      <w:sz w:val="22"/>
      <w:lang w:val="de-CH" w:eastAsia="de-DE"/>
    </w:rPr>
  </w:style>
  <w:style w:type="character" w:customStyle="1" w:styleId="HeaderChar">
    <w:name w:val="Header Char"/>
    <w:basedOn w:val="DefaultParagraphFont"/>
    <w:link w:val="Header"/>
    <w:uiPriority w:val="99"/>
    <w:rsid w:val="00261354"/>
    <w:rPr>
      <w:rFonts w:ascii="Arial" w:hAnsi="Arial"/>
      <w:sz w:val="22"/>
      <w:szCs w:val="24"/>
      <w:lang w:val="de-CH" w:eastAsia="de-DE"/>
    </w:rPr>
  </w:style>
  <w:style w:type="paragraph" w:styleId="ListParagraph">
    <w:name w:val="List Paragraph"/>
    <w:basedOn w:val="Normal"/>
    <w:uiPriority w:val="34"/>
    <w:qFormat/>
    <w:rsid w:val="00261354"/>
    <w:pPr>
      <w:ind w:left="708"/>
    </w:pPr>
    <w:rPr>
      <w:rFonts w:ascii="Arial" w:hAnsi="Arial"/>
      <w:sz w:val="22"/>
      <w:lang w:val="de-CH" w:eastAsia="de-DE"/>
    </w:rPr>
  </w:style>
  <w:style w:type="paragraph" w:styleId="CommentSubject">
    <w:name w:val="annotation subject"/>
    <w:basedOn w:val="CommentText"/>
    <w:next w:val="CommentText"/>
    <w:link w:val="CommentSubjectChar"/>
    <w:rsid w:val="0016359C"/>
    <w:rPr>
      <w:b/>
      <w:bCs/>
      <w:sz w:val="20"/>
      <w:szCs w:val="20"/>
    </w:rPr>
  </w:style>
  <w:style w:type="character" w:customStyle="1" w:styleId="CommentSubjectChar">
    <w:name w:val="Comment Subject Char"/>
    <w:basedOn w:val="CommentTextChar"/>
    <w:link w:val="CommentSubject"/>
    <w:rsid w:val="0016359C"/>
    <w:rPr>
      <w:b/>
      <w:bCs/>
      <w:sz w:val="24"/>
      <w:szCs w:val="24"/>
      <w:lang w:eastAsia="fr-FR"/>
    </w:rPr>
  </w:style>
  <w:style w:type="paragraph" w:styleId="Footer">
    <w:name w:val="footer"/>
    <w:basedOn w:val="Normal"/>
    <w:link w:val="FooterChar"/>
    <w:rsid w:val="006D4A52"/>
    <w:pPr>
      <w:tabs>
        <w:tab w:val="center" w:pos="4536"/>
        <w:tab w:val="right" w:pos="9072"/>
      </w:tabs>
    </w:pPr>
  </w:style>
  <w:style w:type="character" w:customStyle="1" w:styleId="FooterChar">
    <w:name w:val="Footer Char"/>
    <w:basedOn w:val="DefaultParagraphFont"/>
    <w:link w:val="Footer"/>
    <w:rsid w:val="006D4A52"/>
    <w:rPr>
      <w:sz w:val="24"/>
      <w:szCs w:val="24"/>
      <w:lang w:eastAsia="fr-FR"/>
    </w:rPr>
  </w:style>
  <w:style w:type="character" w:styleId="Hyperlink">
    <w:name w:val="Hyperlink"/>
    <w:basedOn w:val="DefaultParagraphFont"/>
    <w:rsid w:val="002728D8"/>
    <w:rPr>
      <w:color w:val="0000FF" w:themeColor="hyperlink"/>
      <w:u w:val="single"/>
    </w:rPr>
  </w:style>
  <w:style w:type="character" w:customStyle="1" w:styleId="apple-converted-space">
    <w:name w:val="apple-converted-space"/>
    <w:basedOn w:val="DefaultParagraphFont"/>
    <w:rsid w:val="002E1F33"/>
  </w:style>
  <w:style w:type="character" w:customStyle="1" w:styleId="highlight">
    <w:name w:val="highlight"/>
    <w:basedOn w:val="DefaultParagraphFont"/>
    <w:rsid w:val="002E1F33"/>
  </w:style>
  <w:style w:type="character" w:styleId="FollowedHyperlink">
    <w:name w:val="FollowedHyperlink"/>
    <w:basedOn w:val="DefaultParagraphFont"/>
    <w:rsid w:val="002E1F33"/>
    <w:rPr>
      <w:color w:val="800080" w:themeColor="followedHyperlink"/>
      <w:u w:val="single"/>
    </w:rPr>
  </w:style>
  <w:style w:type="character" w:styleId="LineNumber">
    <w:name w:val="line number"/>
    <w:basedOn w:val="DefaultParagraphFont"/>
    <w:rsid w:val="003B2334"/>
  </w:style>
  <w:style w:type="paragraph" w:customStyle="1" w:styleId="Default">
    <w:name w:val="Default"/>
    <w:rsid w:val="001A58BC"/>
    <w:pPr>
      <w:autoSpaceDE w:val="0"/>
      <w:autoSpaceDN w:val="0"/>
      <w:adjustRightInd w:val="0"/>
    </w:pPr>
    <w:rPr>
      <w:rFonts w:ascii="Book Antiqua" w:hAnsi="Book Antiqua" w:cs="Book Antiqua"/>
      <w:color w:val="000000"/>
      <w:sz w:val="24"/>
      <w:szCs w:val="24"/>
    </w:rPr>
  </w:style>
  <w:style w:type="paragraph" w:customStyle="1" w:styleId="1">
    <w:name w:val="正文1"/>
    <w:rsid w:val="00C44C83"/>
    <w:pPr>
      <w:widowControl w:val="0"/>
      <w:pBdr>
        <w:top w:val="nil"/>
        <w:left w:val="nil"/>
        <w:bottom w:val="nil"/>
        <w:right w:val="nil"/>
        <w:between w:val="nil"/>
      </w:pBdr>
      <w:jc w:val="both"/>
    </w:pPr>
    <w:rPr>
      <w:rFonts w:ascii="Calibri" w:hAnsi="Calibri" w:cs="Calibri"/>
      <w:color w:val="00000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629">
      <w:bodyDiv w:val="1"/>
      <w:marLeft w:val="0"/>
      <w:marRight w:val="0"/>
      <w:marTop w:val="0"/>
      <w:marBottom w:val="0"/>
      <w:divBdr>
        <w:top w:val="none" w:sz="0" w:space="0" w:color="auto"/>
        <w:left w:val="none" w:sz="0" w:space="0" w:color="auto"/>
        <w:bottom w:val="none" w:sz="0" w:space="0" w:color="auto"/>
        <w:right w:val="none" w:sz="0" w:space="0" w:color="auto"/>
      </w:divBdr>
    </w:div>
    <w:div w:id="378941909">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790171055">
      <w:bodyDiv w:val="1"/>
      <w:marLeft w:val="0"/>
      <w:marRight w:val="0"/>
      <w:marTop w:val="0"/>
      <w:marBottom w:val="0"/>
      <w:divBdr>
        <w:top w:val="none" w:sz="0" w:space="0" w:color="auto"/>
        <w:left w:val="none" w:sz="0" w:space="0" w:color="auto"/>
        <w:bottom w:val="none" w:sz="0" w:space="0" w:color="auto"/>
        <w:right w:val="none" w:sz="0" w:space="0" w:color="auto"/>
      </w:divBdr>
    </w:div>
    <w:div w:id="970792281">
      <w:bodyDiv w:val="1"/>
      <w:marLeft w:val="0"/>
      <w:marRight w:val="0"/>
      <w:marTop w:val="0"/>
      <w:marBottom w:val="0"/>
      <w:divBdr>
        <w:top w:val="none" w:sz="0" w:space="0" w:color="auto"/>
        <w:left w:val="none" w:sz="0" w:space="0" w:color="auto"/>
        <w:bottom w:val="none" w:sz="0" w:space="0" w:color="auto"/>
        <w:right w:val="none" w:sz="0" w:space="0" w:color="auto"/>
      </w:divBdr>
    </w:div>
    <w:div w:id="1442528430">
      <w:bodyDiv w:val="1"/>
      <w:marLeft w:val="0"/>
      <w:marRight w:val="0"/>
      <w:marTop w:val="0"/>
      <w:marBottom w:val="0"/>
      <w:divBdr>
        <w:top w:val="none" w:sz="0" w:space="0" w:color="auto"/>
        <w:left w:val="none" w:sz="0" w:space="0" w:color="auto"/>
        <w:bottom w:val="none" w:sz="0" w:space="0" w:color="auto"/>
        <w:right w:val="none" w:sz="0" w:space="0" w:color="auto"/>
      </w:divBdr>
    </w:div>
    <w:div w:id="1601601280">
      <w:bodyDiv w:val="1"/>
      <w:marLeft w:val="0"/>
      <w:marRight w:val="0"/>
      <w:marTop w:val="0"/>
      <w:marBottom w:val="0"/>
      <w:divBdr>
        <w:top w:val="none" w:sz="0" w:space="0" w:color="auto"/>
        <w:left w:val="none" w:sz="0" w:space="0" w:color="auto"/>
        <w:bottom w:val="none" w:sz="0" w:space="0" w:color="auto"/>
        <w:right w:val="none" w:sz="0" w:space="0" w:color="auto"/>
      </w:divBdr>
    </w:div>
    <w:div w:id="1605187876">
      <w:bodyDiv w:val="1"/>
      <w:marLeft w:val="0"/>
      <w:marRight w:val="0"/>
      <w:marTop w:val="0"/>
      <w:marBottom w:val="0"/>
      <w:divBdr>
        <w:top w:val="none" w:sz="0" w:space="0" w:color="auto"/>
        <w:left w:val="none" w:sz="0" w:space="0" w:color="auto"/>
        <w:bottom w:val="none" w:sz="0" w:space="0" w:color="auto"/>
        <w:right w:val="none" w:sz="0" w:space="0" w:color="auto"/>
      </w:divBdr>
    </w:div>
    <w:div w:id="1673991554">
      <w:bodyDiv w:val="1"/>
      <w:marLeft w:val="0"/>
      <w:marRight w:val="0"/>
      <w:marTop w:val="0"/>
      <w:marBottom w:val="0"/>
      <w:divBdr>
        <w:top w:val="none" w:sz="0" w:space="0" w:color="auto"/>
        <w:left w:val="none" w:sz="0" w:space="0" w:color="auto"/>
        <w:bottom w:val="none" w:sz="0" w:space="0" w:color="auto"/>
        <w:right w:val="none" w:sz="0" w:space="0" w:color="auto"/>
      </w:divBdr>
    </w:div>
    <w:div w:id="1720939518">
      <w:bodyDiv w:val="1"/>
      <w:marLeft w:val="0"/>
      <w:marRight w:val="0"/>
      <w:marTop w:val="0"/>
      <w:marBottom w:val="0"/>
      <w:divBdr>
        <w:top w:val="none" w:sz="0" w:space="0" w:color="auto"/>
        <w:left w:val="none" w:sz="0" w:space="0" w:color="auto"/>
        <w:bottom w:val="none" w:sz="0" w:space="0" w:color="auto"/>
        <w:right w:val="none" w:sz="0" w:space="0" w:color="auto"/>
      </w:divBdr>
    </w:div>
    <w:div w:id="1728645426">
      <w:bodyDiv w:val="1"/>
      <w:marLeft w:val="0"/>
      <w:marRight w:val="0"/>
      <w:marTop w:val="0"/>
      <w:marBottom w:val="0"/>
      <w:divBdr>
        <w:top w:val="none" w:sz="0" w:space="0" w:color="auto"/>
        <w:left w:val="none" w:sz="0" w:space="0" w:color="auto"/>
        <w:bottom w:val="none" w:sz="0" w:space="0" w:color="auto"/>
        <w:right w:val="none" w:sz="0" w:space="0" w:color="auto"/>
      </w:divBdr>
    </w:div>
    <w:div w:id="2127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c.girardin@hcuge.ch"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540C-3967-2043-A254-CEBB258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6688</Words>
  <Characters>38126</Characters>
  <Application>Microsoft Macintosh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Figure 1</vt:lpstr>
    </vt:vector>
  </TitlesOfParts>
  <Company>Microsoft</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creator>Girardin</dc:creator>
  <cp:lastModifiedBy>Na Ma</cp:lastModifiedBy>
  <cp:revision>2</cp:revision>
  <cp:lastPrinted>2015-02-06T06:07:00Z</cp:lastPrinted>
  <dcterms:created xsi:type="dcterms:W3CDTF">2018-03-07T19:39:00Z</dcterms:created>
  <dcterms:modified xsi:type="dcterms:W3CDTF">2018-03-07T19:39:00Z</dcterms:modified>
</cp:coreProperties>
</file>