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167" w:rsidRPr="00FB7D6B" w:rsidRDefault="00AA5167" w:rsidP="00FB7D6B">
      <w:pPr>
        <w:adjustRightInd w:val="0"/>
        <w:snapToGrid w:val="0"/>
        <w:spacing w:after="0" w:line="360" w:lineRule="auto"/>
        <w:jc w:val="both"/>
        <w:rPr>
          <w:rFonts w:ascii="Book Antiqua" w:eastAsia="Times New Roman" w:hAnsi="Book Antiqua" w:cs="SimSun"/>
          <w:b/>
          <w:i/>
          <w:color w:val="000000"/>
          <w:sz w:val="24"/>
          <w:szCs w:val="24"/>
        </w:rPr>
      </w:pPr>
      <w:r w:rsidRPr="00FB7D6B">
        <w:rPr>
          <w:rFonts w:ascii="Book Antiqua" w:eastAsia="Times New Roman" w:hAnsi="Book Antiqua" w:cs="SimSun"/>
          <w:b/>
          <w:color w:val="000000"/>
          <w:sz w:val="24"/>
          <w:szCs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B7D6B">
        <w:rPr>
          <w:rFonts w:ascii="Book Antiqua" w:eastAsia="Times New Roman" w:hAnsi="Book Antiqua" w:cs="SimSun"/>
          <w:b/>
          <w:i/>
          <w:color w:val="000000"/>
          <w:sz w:val="24"/>
          <w:szCs w:val="24"/>
        </w:rPr>
        <w:t xml:space="preserve">World Journal of </w:t>
      </w:r>
      <w:bookmarkStart w:id="7" w:name="OLE_LINK1222"/>
      <w:bookmarkStart w:id="8" w:name="OLE_LINK1223"/>
      <w:r w:rsidRPr="00FB7D6B">
        <w:rPr>
          <w:rFonts w:ascii="Book Antiqua" w:eastAsia="Times New Roman" w:hAnsi="Book Antiqua" w:cs="SimSun"/>
          <w:b/>
          <w:i/>
          <w:color w:val="000000"/>
          <w:sz w:val="24"/>
          <w:szCs w:val="24"/>
        </w:rPr>
        <w:t>Gastroenterology</w:t>
      </w:r>
      <w:bookmarkEnd w:id="0"/>
      <w:bookmarkEnd w:id="1"/>
      <w:bookmarkEnd w:id="2"/>
      <w:bookmarkEnd w:id="3"/>
      <w:bookmarkEnd w:id="4"/>
      <w:bookmarkEnd w:id="5"/>
      <w:bookmarkEnd w:id="6"/>
      <w:bookmarkEnd w:id="7"/>
      <w:bookmarkEnd w:id="8"/>
    </w:p>
    <w:p w:rsidR="00AA5167" w:rsidRPr="00FB7D6B" w:rsidRDefault="00AA5167" w:rsidP="00FB7D6B">
      <w:pPr>
        <w:adjustRightInd w:val="0"/>
        <w:snapToGrid w:val="0"/>
        <w:spacing w:after="0" w:line="360" w:lineRule="auto"/>
        <w:jc w:val="both"/>
        <w:rPr>
          <w:rFonts w:ascii="Book Antiqua" w:hAnsi="Book Antiqua" w:cs="Arial"/>
          <w:b/>
          <w:color w:val="000000"/>
          <w:sz w:val="24"/>
          <w:szCs w:val="24"/>
          <w:lang w:val="en" w:eastAsia="zh-CN"/>
        </w:rPr>
      </w:pPr>
      <w:r w:rsidRPr="00FB7D6B">
        <w:rPr>
          <w:rFonts w:ascii="Book Antiqua" w:eastAsia="Times New Roman" w:hAnsi="Book Antiqua"/>
          <w:b/>
          <w:bCs/>
          <w:color w:val="222222"/>
          <w:sz w:val="24"/>
          <w:szCs w:val="24"/>
        </w:rPr>
        <w:t>Manuscript NO</w:t>
      </w:r>
      <w:r w:rsidRPr="00FB7D6B">
        <w:rPr>
          <w:rFonts w:ascii="Book Antiqua" w:hAnsi="Book Antiqua" w:cs="Arial"/>
          <w:b/>
          <w:color w:val="000000"/>
          <w:sz w:val="24"/>
          <w:szCs w:val="24"/>
          <w:lang w:val="en"/>
        </w:rPr>
        <w:t xml:space="preserve">: </w:t>
      </w:r>
      <w:r w:rsidRPr="00FB7D6B">
        <w:rPr>
          <w:rFonts w:ascii="Book Antiqua" w:hAnsi="Book Antiqua" w:cs="Arial"/>
          <w:b/>
          <w:color w:val="000000"/>
          <w:sz w:val="24"/>
          <w:szCs w:val="24"/>
          <w:lang w:val="en" w:eastAsia="zh-CN"/>
        </w:rPr>
        <w:t>37348</w:t>
      </w:r>
    </w:p>
    <w:p w:rsidR="00AA5167" w:rsidRPr="00FB7D6B" w:rsidRDefault="00AA5167" w:rsidP="00FB7D6B">
      <w:pPr>
        <w:adjustRightInd w:val="0"/>
        <w:snapToGrid w:val="0"/>
        <w:spacing w:after="0" w:line="360" w:lineRule="auto"/>
        <w:jc w:val="both"/>
        <w:rPr>
          <w:rFonts w:ascii="Book Antiqua" w:hAnsi="Book Antiqua"/>
          <w:b/>
          <w:color w:val="000000"/>
          <w:sz w:val="24"/>
          <w:szCs w:val="24"/>
        </w:rPr>
      </w:pPr>
      <w:bookmarkStart w:id="9" w:name="OLE_LINK3"/>
      <w:bookmarkStart w:id="10" w:name="OLE_LINK4"/>
      <w:r w:rsidRPr="00FB7D6B">
        <w:rPr>
          <w:rFonts w:ascii="Book Antiqua" w:hAnsi="Book Antiqua"/>
          <w:b/>
          <w:color w:val="000000"/>
          <w:sz w:val="24"/>
          <w:szCs w:val="24"/>
          <w:shd w:val="clear" w:color="auto" w:fill="FFFFFF"/>
        </w:rPr>
        <w:t>Manuscript Type</w:t>
      </w:r>
      <w:r w:rsidRPr="00FB7D6B">
        <w:rPr>
          <w:rFonts w:ascii="Book Antiqua" w:hAnsi="Book Antiqua"/>
          <w:b/>
          <w:color w:val="000000"/>
          <w:sz w:val="24"/>
          <w:szCs w:val="24"/>
        </w:rPr>
        <w:t xml:space="preserve">: </w:t>
      </w:r>
      <w:bookmarkStart w:id="11" w:name="OLE_LINK253"/>
      <w:bookmarkStart w:id="12" w:name="OLE_LINK301"/>
      <w:bookmarkStart w:id="13" w:name="OLE_LINK632"/>
      <w:bookmarkStart w:id="14" w:name="OLE_LINK703"/>
      <w:bookmarkStart w:id="15" w:name="OLE_LINK708"/>
      <w:bookmarkStart w:id="16" w:name="OLE_LINK808"/>
      <w:bookmarkStart w:id="17" w:name="OLE_LINK871"/>
      <w:bookmarkStart w:id="18" w:name="OLE_LINK872"/>
      <w:bookmarkStart w:id="19" w:name="OLE_LINK873"/>
      <w:bookmarkStart w:id="20" w:name="OLE_LINK874"/>
      <w:bookmarkStart w:id="21" w:name="OLE_LINK875"/>
      <w:bookmarkStart w:id="22" w:name="OLE_LINK1051"/>
      <w:bookmarkEnd w:id="9"/>
      <w:bookmarkEnd w:id="10"/>
      <w:r w:rsidRPr="00FB7D6B">
        <w:rPr>
          <w:rFonts w:ascii="Book Antiqua" w:hAnsi="Book Antiqua"/>
          <w:b/>
          <w:sz w:val="24"/>
          <w:szCs w:val="24"/>
        </w:rPr>
        <w:t>ORIGINAL ARTICLE</w:t>
      </w:r>
      <w:bookmarkEnd w:id="11"/>
      <w:bookmarkEnd w:id="12"/>
      <w:bookmarkEnd w:id="13"/>
      <w:bookmarkEnd w:id="14"/>
      <w:bookmarkEnd w:id="15"/>
      <w:bookmarkEnd w:id="16"/>
      <w:bookmarkEnd w:id="17"/>
      <w:bookmarkEnd w:id="18"/>
      <w:bookmarkEnd w:id="19"/>
      <w:bookmarkEnd w:id="20"/>
      <w:bookmarkEnd w:id="21"/>
      <w:bookmarkEnd w:id="22"/>
    </w:p>
    <w:p w:rsidR="00AA5167" w:rsidRPr="00FB7D6B" w:rsidRDefault="00AA5167" w:rsidP="00FB7D6B">
      <w:pPr>
        <w:adjustRightInd w:val="0"/>
        <w:snapToGrid w:val="0"/>
        <w:spacing w:after="0" w:line="360" w:lineRule="auto"/>
        <w:jc w:val="both"/>
        <w:rPr>
          <w:rFonts w:ascii="Book Antiqua" w:hAnsi="Book Antiqua"/>
          <w:b/>
          <w:color w:val="000000"/>
          <w:sz w:val="24"/>
          <w:szCs w:val="24"/>
        </w:rPr>
      </w:pPr>
    </w:p>
    <w:p w:rsidR="00AA5167" w:rsidRPr="00FB7D6B" w:rsidRDefault="00AA5167"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eastAsia="STXihei" w:hAnsi="Book Antiqua" w:cs="Tahoma"/>
          <w:b/>
          <w:i/>
          <w:color w:val="000000"/>
          <w:sz w:val="24"/>
          <w:szCs w:val="24"/>
        </w:rPr>
        <w:t>Retrospective Cohort Study</w:t>
      </w:r>
    </w:p>
    <w:p w:rsidR="00FB7305" w:rsidRPr="00FB7D6B" w:rsidRDefault="002D3FB3"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Potential t</w:t>
      </w:r>
      <w:r w:rsidR="003A12B5" w:rsidRPr="00FB7D6B">
        <w:rPr>
          <w:rFonts w:ascii="Book Antiqua" w:hAnsi="Book Antiqua" w:cs="Arial"/>
          <w:b/>
          <w:sz w:val="24"/>
          <w:szCs w:val="24"/>
          <w:lang w:val="en-US"/>
        </w:rPr>
        <w:t>riggering factors of acute liver failure as a first manifestation of autoim</w:t>
      </w:r>
      <w:r w:rsidR="002C72D4" w:rsidRPr="00FB7D6B">
        <w:rPr>
          <w:rFonts w:ascii="Book Antiqua" w:hAnsi="Book Antiqua" w:cs="Arial"/>
          <w:b/>
          <w:sz w:val="24"/>
          <w:szCs w:val="24"/>
          <w:lang w:val="en-US"/>
        </w:rPr>
        <w:t xml:space="preserve">mune </w:t>
      </w:r>
      <w:r w:rsidR="007A272D" w:rsidRPr="00FB7D6B">
        <w:rPr>
          <w:rFonts w:ascii="Book Antiqua" w:hAnsi="Book Antiqua" w:cs="Arial"/>
          <w:b/>
          <w:sz w:val="24"/>
          <w:szCs w:val="24"/>
          <w:lang w:val="en-US"/>
        </w:rPr>
        <w:t>hepatitis</w:t>
      </w:r>
      <w:r w:rsidR="00FB7D6B" w:rsidRPr="00FB7D6B">
        <w:rPr>
          <w:rFonts w:ascii="Book Antiqua" w:hAnsi="Book Antiqua" w:cs="Arial"/>
          <w:b/>
          <w:sz w:val="24"/>
          <w:szCs w:val="24"/>
          <w:lang w:val="en-US" w:eastAsia="zh-CN"/>
        </w:rPr>
        <w:t>-</w:t>
      </w:r>
      <w:r w:rsidRPr="00FB7D6B">
        <w:rPr>
          <w:rFonts w:ascii="Book Antiqua" w:hAnsi="Book Antiqua" w:cs="Arial"/>
          <w:b/>
          <w:sz w:val="24"/>
          <w:szCs w:val="24"/>
          <w:lang w:val="en-US"/>
        </w:rPr>
        <w:t>a</w:t>
      </w:r>
      <w:r w:rsidR="00446F01" w:rsidRPr="00FB7D6B">
        <w:rPr>
          <w:rFonts w:ascii="Book Antiqua" w:hAnsi="Book Antiqua" w:cs="Arial"/>
          <w:b/>
          <w:sz w:val="24"/>
          <w:szCs w:val="24"/>
          <w:lang w:val="en-US"/>
        </w:rPr>
        <w:t xml:space="preserve"> single center experience of 52 </w:t>
      </w:r>
      <w:r w:rsidR="00FB7305" w:rsidRPr="00FB7D6B">
        <w:rPr>
          <w:rFonts w:ascii="Book Antiqua" w:hAnsi="Book Antiqua" w:cs="Arial"/>
          <w:b/>
          <w:sz w:val="24"/>
          <w:szCs w:val="24"/>
          <w:lang w:val="en-US"/>
        </w:rPr>
        <w:t xml:space="preserve">adult </w:t>
      </w:r>
      <w:r w:rsidR="00446F01" w:rsidRPr="00FB7D6B">
        <w:rPr>
          <w:rFonts w:ascii="Book Antiqua" w:hAnsi="Book Antiqua" w:cs="Arial"/>
          <w:b/>
          <w:sz w:val="24"/>
          <w:szCs w:val="24"/>
          <w:lang w:val="en-US"/>
        </w:rPr>
        <w:t>patients</w:t>
      </w:r>
    </w:p>
    <w:p w:rsidR="007A272D" w:rsidRPr="00FB7D6B" w:rsidRDefault="007A272D" w:rsidP="00FB7D6B">
      <w:pPr>
        <w:adjustRightInd w:val="0"/>
        <w:snapToGrid w:val="0"/>
        <w:spacing w:after="0" w:line="360" w:lineRule="auto"/>
        <w:jc w:val="both"/>
        <w:rPr>
          <w:rFonts w:ascii="Book Antiqua" w:hAnsi="Book Antiqua" w:cs="Arial"/>
          <w:b/>
          <w:sz w:val="24"/>
          <w:szCs w:val="24"/>
          <w:lang w:eastAsia="zh-CN"/>
        </w:rPr>
      </w:pPr>
    </w:p>
    <w:p w:rsidR="007A272D" w:rsidRPr="00FB7D6B" w:rsidRDefault="007A272D"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sz w:val="24"/>
          <w:szCs w:val="24"/>
          <w:lang w:val="en-GB"/>
        </w:rPr>
        <w:t>Buechter</w:t>
      </w:r>
      <w:r w:rsidRPr="00FB7D6B">
        <w:rPr>
          <w:rFonts w:ascii="Book Antiqua" w:eastAsia="SimSun" w:hAnsi="Book Antiqua"/>
          <w:sz w:val="24"/>
          <w:szCs w:val="24"/>
          <w:lang w:val="en-GB" w:eastAsia="zh-CN"/>
        </w:rPr>
        <w:t xml:space="preserve"> M </w:t>
      </w:r>
      <w:r w:rsidRPr="00FB7D6B">
        <w:rPr>
          <w:rFonts w:ascii="Book Antiqua" w:eastAsia="SimSun" w:hAnsi="Book Antiqua"/>
          <w:i/>
          <w:sz w:val="24"/>
          <w:szCs w:val="24"/>
          <w:lang w:val="en-GB" w:eastAsia="zh-CN"/>
        </w:rPr>
        <w:t>et al</w:t>
      </w:r>
      <w:r w:rsidRPr="00FB7D6B">
        <w:rPr>
          <w:rFonts w:ascii="Book Antiqua" w:eastAsia="SimSun" w:hAnsi="Book Antiqua"/>
          <w:sz w:val="24"/>
          <w:szCs w:val="24"/>
          <w:lang w:val="en-GB" w:eastAsia="zh-CN"/>
        </w:rPr>
        <w:t>.</w:t>
      </w:r>
      <w:r w:rsidR="00FB7D6B" w:rsidRPr="00FB7D6B">
        <w:rPr>
          <w:rFonts w:ascii="Book Antiqua" w:eastAsia="SimSun" w:hAnsi="Book Antiqua"/>
          <w:sz w:val="24"/>
          <w:szCs w:val="24"/>
          <w:lang w:val="en-GB" w:eastAsia="zh-CN"/>
        </w:rPr>
        <w:t xml:space="preserve"> </w:t>
      </w:r>
      <w:r w:rsidRPr="00FB7D6B">
        <w:rPr>
          <w:rFonts w:ascii="Book Antiqua" w:hAnsi="Book Antiqua" w:cs="Arial"/>
          <w:sz w:val="24"/>
          <w:szCs w:val="24"/>
          <w:lang w:val="en-US"/>
        </w:rPr>
        <w:t>Acute liver failure in autoimmune hepatitis</w:t>
      </w:r>
    </w:p>
    <w:p w:rsidR="00E83CCF" w:rsidRPr="00FB7D6B" w:rsidRDefault="00E83CCF" w:rsidP="00FB7D6B">
      <w:pPr>
        <w:adjustRightInd w:val="0"/>
        <w:snapToGrid w:val="0"/>
        <w:spacing w:after="0" w:line="360" w:lineRule="auto"/>
        <w:jc w:val="both"/>
        <w:rPr>
          <w:rFonts w:ascii="Book Antiqua" w:hAnsi="Book Antiqua" w:cs="Arial"/>
          <w:b/>
          <w:sz w:val="24"/>
          <w:szCs w:val="24"/>
          <w:lang w:val="en-US"/>
        </w:rPr>
      </w:pPr>
    </w:p>
    <w:p w:rsidR="006566AA" w:rsidRPr="00FB7D6B" w:rsidRDefault="002B44AA" w:rsidP="00FB7D6B">
      <w:pPr>
        <w:adjustRightInd w:val="0"/>
        <w:snapToGrid w:val="0"/>
        <w:spacing w:after="0" w:line="360" w:lineRule="auto"/>
        <w:jc w:val="both"/>
        <w:rPr>
          <w:rFonts w:ascii="Book Antiqua" w:hAnsi="Book Antiqua" w:cs="Arial"/>
          <w:b/>
          <w:sz w:val="24"/>
          <w:szCs w:val="24"/>
          <w:lang w:eastAsia="zh-CN"/>
        </w:rPr>
      </w:pPr>
      <w:r w:rsidRPr="00FB7D6B">
        <w:rPr>
          <w:rFonts w:ascii="Book Antiqua" w:hAnsi="Book Antiqua" w:cs="Arial"/>
          <w:b/>
          <w:sz w:val="24"/>
          <w:szCs w:val="24"/>
        </w:rPr>
        <w:t>Matthias Buechter,</w:t>
      </w:r>
      <w:r w:rsidR="00CF0053" w:rsidRPr="00FB7D6B">
        <w:rPr>
          <w:rFonts w:ascii="Book Antiqua" w:hAnsi="Book Antiqua" w:cs="Arial"/>
          <w:b/>
          <w:sz w:val="24"/>
          <w:szCs w:val="24"/>
        </w:rPr>
        <w:t xml:space="preserve"> </w:t>
      </w:r>
      <w:r w:rsidR="009D1A01" w:rsidRPr="00FB7D6B">
        <w:rPr>
          <w:rFonts w:ascii="Book Antiqua" w:hAnsi="Book Antiqua" w:cs="Arial"/>
          <w:b/>
          <w:sz w:val="24"/>
          <w:szCs w:val="24"/>
        </w:rPr>
        <w:t xml:space="preserve">Paul Manka, </w:t>
      </w:r>
      <w:r w:rsidR="00722A5C" w:rsidRPr="00FB7D6B">
        <w:rPr>
          <w:rFonts w:ascii="Book Antiqua" w:hAnsi="Book Antiqua" w:cs="Arial"/>
          <w:b/>
          <w:sz w:val="24"/>
          <w:szCs w:val="24"/>
        </w:rPr>
        <w:t xml:space="preserve">Falko Markus Heinemann, </w:t>
      </w:r>
      <w:r w:rsidR="008D7A3F" w:rsidRPr="00FB7D6B">
        <w:rPr>
          <w:rFonts w:ascii="Book Antiqua" w:hAnsi="Book Antiqua" w:cs="Arial"/>
          <w:b/>
          <w:sz w:val="24"/>
          <w:szCs w:val="24"/>
        </w:rPr>
        <w:t xml:space="preserve">Monika </w:t>
      </w:r>
      <w:r w:rsidR="00CF3872" w:rsidRPr="00FB7D6B">
        <w:rPr>
          <w:rFonts w:ascii="Book Antiqua" w:hAnsi="Book Antiqua" w:cs="Arial"/>
          <w:b/>
          <w:sz w:val="24"/>
          <w:szCs w:val="24"/>
        </w:rPr>
        <w:t>Lindemann,</w:t>
      </w:r>
      <w:r w:rsidR="003A12B5" w:rsidRPr="00FB7D6B">
        <w:rPr>
          <w:rFonts w:ascii="Book Antiqua" w:hAnsi="Book Antiqua" w:cs="Arial"/>
          <w:b/>
          <w:sz w:val="24"/>
          <w:szCs w:val="24"/>
        </w:rPr>
        <w:t xml:space="preserve"> </w:t>
      </w:r>
      <w:r w:rsidR="00F43308" w:rsidRPr="00FB7D6B">
        <w:rPr>
          <w:rFonts w:ascii="Book Antiqua" w:hAnsi="Book Antiqua" w:cs="Arial"/>
          <w:b/>
          <w:sz w:val="24"/>
          <w:szCs w:val="24"/>
        </w:rPr>
        <w:t>Hideo</w:t>
      </w:r>
      <w:r w:rsidR="00144858" w:rsidRPr="00FB7D6B">
        <w:rPr>
          <w:rFonts w:ascii="Book Antiqua" w:hAnsi="Book Antiqua" w:cs="Arial"/>
          <w:b/>
          <w:sz w:val="24"/>
          <w:szCs w:val="24"/>
        </w:rPr>
        <w:t xml:space="preserve"> Andreas</w:t>
      </w:r>
      <w:r w:rsidR="006566AA" w:rsidRPr="00FB7D6B">
        <w:rPr>
          <w:rFonts w:ascii="Book Antiqua" w:hAnsi="Book Antiqua" w:cs="Arial"/>
          <w:b/>
          <w:sz w:val="24"/>
          <w:szCs w:val="24"/>
        </w:rPr>
        <w:t xml:space="preserve"> Baba, </w:t>
      </w:r>
      <w:r w:rsidR="003A12B5" w:rsidRPr="00FB7D6B">
        <w:rPr>
          <w:rFonts w:ascii="Book Antiqua" w:hAnsi="Book Antiqua" w:cs="Arial"/>
          <w:b/>
          <w:sz w:val="24"/>
          <w:szCs w:val="24"/>
        </w:rPr>
        <w:t>Martin Schlattja</w:t>
      </w:r>
      <w:r w:rsidR="007C3EF3" w:rsidRPr="00FB7D6B">
        <w:rPr>
          <w:rFonts w:ascii="Book Antiqua" w:hAnsi="Book Antiqua" w:cs="Arial"/>
          <w:b/>
          <w:sz w:val="24"/>
          <w:szCs w:val="24"/>
        </w:rPr>
        <w:t xml:space="preserve">n, </w:t>
      </w:r>
      <w:r w:rsidR="00FF08FF" w:rsidRPr="00FB7D6B">
        <w:rPr>
          <w:rFonts w:ascii="Book Antiqua" w:hAnsi="Book Antiqua" w:cs="Arial"/>
          <w:b/>
          <w:sz w:val="24"/>
          <w:szCs w:val="24"/>
        </w:rPr>
        <w:t xml:space="preserve">Ali Canbay, </w:t>
      </w:r>
      <w:r w:rsidR="00CF0053" w:rsidRPr="00FB7D6B">
        <w:rPr>
          <w:rFonts w:ascii="Book Antiqua" w:hAnsi="Book Antiqua" w:cs="Arial"/>
          <w:b/>
          <w:sz w:val="24"/>
          <w:szCs w:val="24"/>
        </w:rPr>
        <w:t>Guido Gerken</w:t>
      </w:r>
      <w:r w:rsidR="00B83CA4" w:rsidRPr="00FB7D6B">
        <w:rPr>
          <w:rFonts w:ascii="Book Antiqua" w:hAnsi="Book Antiqua" w:cs="Arial"/>
          <w:b/>
          <w:sz w:val="24"/>
          <w:szCs w:val="24"/>
        </w:rPr>
        <w:t>,</w:t>
      </w:r>
      <w:r w:rsidR="00FB7D6B" w:rsidRPr="00FB7D6B">
        <w:rPr>
          <w:rFonts w:ascii="Book Antiqua" w:hAnsi="Book Antiqua" w:cs="Arial"/>
          <w:b/>
          <w:sz w:val="24"/>
          <w:szCs w:val="24"/>
          <w:lang w:eastAsia="zh-CN"/>
        </w:rPr>
        <w:t xml:space="preserve"> </w:t>
      </w:r>
      <w:r w:rsidR="00B83CA4" w:rsidRPr="00FB7D6B">
        <w:rPr>
          <w:rFonts w:ascii="Book Antiqua" w:hAnsi="Book Antiqua" w:cs="Arial"/>
          <w:b/>
          <w:sz w:val="24"/>
          <w:szCs w:val="24"/>
        </w:rPr>
        <w:t>Alisan Kahraman</w:t>
      </w:r>
    </w:p>
    <w:p w:rsidR="00E02532" w:rsidRPr="00FB7D6B" w:rsidRDefault="00E02532" w:rsidP="00FB7D6B">
      <w:pPr>
        <w:adjustRightInd w:val="0"/>
        <w:snapToGrid w:val="0"/>
        <w:spacing w:after="0" w:line="360" w:lineRule="auto"/>
        <w:jc w:val="both"/>
        <w:rPr>
          <w:rFonts w:ascii="Book Antiqua" w:hAnsi="Book Antiqua" w:cs="Arial"/>
          <w:sz w:val="24"/>
          <w:szCs w:val="24"/>
          <w:lang w:val="en-US"/>
        </w:rPr>
      </w:pPr>
    </w:p>
    <w:p w:rsidR="006566AA" w:rsidRPr="00FB7D6B" w:rsidRDefault="002C72D4"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Matthias Buechter, Paul Manka, Guido Gerken, Alisan Kahraman</w:t>
      </w:r>
      <w:r w:rsidRPr="003E0D42">
        <w:rPr>
          <w:rFonts w:ascii="Book Antiqua" w:hAnsi="Book Antiqua" w:cs="Arial"/>
          <w:b/>
          <w:sz w:val="24"/>
          <w:szCs w:val="24"/>
          <w:lang w:val="en-US"/>
        </w:rPr>
        <w:t>,</w:t>
      </w:r>
      <w:r w:rsidRPr="00FB7D6B">
        <w:rPr>
          <w:rFonts w:ascii="Book Antiqua" w:hAnsi="Book Antiqua" w:cs="Arial"/>
          <w:sz w:val="24"/>
          <w:szCs w:val="24"/>
          <w:lang w:val="en-US"/>
        </w:rPr>
        <w:t xml:space="preserve"> Department of </w:t>
      </w:r>
      <w:r w:rsidR="002B44AA" w:rsidRPr="00FB7D6B">
        <w:rPr>
          <w:rFonts w:ascii="Book Antiqua" w:hAnsi="Book Antiqua" w:cs="Arial"/>
          <w:sz w:val="24"/>
          <w:szCs w:val="24"/>
          <w:lang w:val="en-US"/>
        </w:rPr>
        <w:t>Gastroenterology and</w:t>
      </w:r>
      <w:r w:rsidR="00FB7305" w:rsidRPr="00FB7D6B">
        <w:rPr>
          <w:rFonts w:ascii="Book Antiqua" w:hAnsi="Book Antiqua" w:cs="Arial"/>
          <w:sz w:val="24"/>
          <w:szCs w:val="24"/>
          <w:lang w:val="en-US"/>
        </w:rPr>
        <w:t xml:space="preserve"> Hepatology, University Clinic</w:t>
      </w:r>
      <w:r w:rsidR="002B44AA" w:rsidRPr="00FB7D6B">
        <w:rPr>
          <w:rFonts w:ascii="Book Antiqua" w:hAnsi="Book Antiqua" w:cs="Arial"/>
          <w:sz w:val="24"/>
          <w:szCs w:val="24"/>
          <w:lang w:val="en-US"/>
        </w:rPr>
        <w:t xml:space="preserve"> </w:t>
      </w:r>
      <w:r w:rsidR="009A7F50" w:rsidRPr="00FB7D6B">
        <w:rPr>
          <w:rFonts w:ascii="Book Antiqua" w:hAnsi="Book Antiqua" w:cs="Arial"/>
          <w:sz w:val="24"/>
          <w:szCs w:val="24"/>
          <w:lang w:val="en-US"/>
        </w:rPr>
        <w:t xml:space="preserve">of </w:t>
      </w:r>
      <w:r w:rsidR="002B44AA" w:rsidRPr="00FB7D6B">
        <w:rPr>
          <w:rFonts w:ascii="Book Antiqua" w:hAnsi="Book Antiqua" w:cs="Arial"/>
          <w:sz w:val="24"/>
          <w:szCs w:val="24"/>
          <w:lang w:val="en-US"/>
        </w:rPr>
        <w:t xml:space="preserve">Essen, </w:t>
      </w:r>
      <w:r w:rsidRPr="00FB7D6B">
        <w:rPr>
          <w:rFonts w:ascii="Book Antiqua" w:hAnsi="Book Antiqua" w:cs="Arial"/>
          <w:sz w:val="24"/>
          <w:szCs w:val="24"/>
          <w:lang w:val="en-US"/>
        </w:rPr>
        <w:t>Essen</w:t>
      </w:r>
      <w:r w:rsidR="007A272D" w:rsidRPr="00FB7D6B">
        <w:rPr>
          <w:rFonts w:ascii="Book Antiqua" w:hAnsi="Book Antiqua" w:cs="Arial"/>
          <w:sz w:val="24"/>
          <w:szCs w:val="24"/>
          <w:lang w:val="en-US" w:eastAsia="zh-CN"/>
        </w:rPr>
        <w:t xml:space="preserve"> </w:t>
      </w:r>
      <w:r w:rsidR="007A272D" w:rsidRPr="00FB7D6B">
        <w:rPr>
          <w:rFonts w:ascii="Book Antiqua" w:hAnsi="Book Antiqua" w:cs="Arial"/>
          <w:sz w:val="24"/>
          <w:szCs w:val="24"/>
          <w:lang w:val="en-US"/>
        </w:rPr>
        <w:t>45147</w:t>
      </w:r>
      <w:r w:rsidRPr="00FB7D6B">
        <w:rPr>
          <w:rFonts w:ascii="Book Antiqua" w:hAnsi="Book Antiqua" w:cs="Arial"/>
          <w:sz w:val="24"/>
          <w:szCs w:val="24"/>
          <w:lang w:val="en-US"/>
        </w:rPr>
        <w:t xml:space="preserve">, </w:t>
      </w:r>
      <w:r w:rsidR="002B44AA" w:rsidRPr="00FB7D6B">
        <w:rPr>
          <w:rFonts w:ascii="Book Antiqua" w:hAnsi="Book Antiqua" w:cs="Arial"/>
          <w:sz w:val="24"/>
          <w:szCs w:val="24"/>
          <w:lang w:val="en-US"/>
        </w:rPr>
        <w:t>Germany</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6566AA" w:rsidRPr="00FB7D6B" w:rsidRDefault="002C72D4"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Paul Manka</w:t>
      </w:r>
      <w:r w:rsidRPr="003E0D42">
        <w:rPr>
          <w:rFonts w:ascii="Book Antiqua" w:hAnsi="Book Antiqua" w:cs="Arial"/>
          <w:b/>
          <w:sz w:val="24"/>
          <w:szCs w:val="24"/>
          <w:lang w:val="en-US"/>
        </w:rPr>
        <w:t>,</w:t>
      </w:r>
      <w:r w:rsidRPr="00FB7D6B">
        <w:rPr>
          <w:rFonts w:ascii="Book Antiqua" w:hAnsi="Book Antiqua" w:cs="Arial"/>
          <w:sz w:val="24"/>
          <w:szCs w:val="24"/>
          <w:lang w:val="en-US"/>
        </w:rPr>
        <w:t xml:space="preserve"> D</w:t>
      </w:r>
      <w:r w:rsidR="006566AA" w:rsidRPr="00FB7D6B">
        <w:rPr>
          <w:rFonts w:ascii="Book Antiqua" w:hAnsi="Book Antiqua" w:cs="Arial"/>
          <w:sz w:val="24"/>
          <w:szCs w:val="24"/>
          <w:lang w:val="en-US"/>
        </w:rPr>
        <w:t>i</w:t>
      </w:r>
      <w:r w:rsidR="00285F51" w:rsidRPr="00FB7D6B">
        <w:rPr>
          <w:rFonts w:ascii="Book Antiqua" w:hAnsi="Book Antiqua" w:cs="Arial"/>
          <w:sz w:val="24"/>
          <w:szCs w:val="24"/>
          <w:lang w:val="en-US"/>
        </w:rPr>
        <w:t>vision of Transplantation Immunology and Mucosal Biology, King’s College, London</w:t>
      </w:r>
      <w:r w:rsidR="007A272D" w:rsidRPr="00FB7D6B">
        <w:rPr>
          <w:rFonts w:ascii="Book Antiqua" w:hAnsi="Book Antiqua" w:cs="Arial"/>
          <w:sz w:val="24"/>
          <w:szCs w:val="24"/>
          <w:lang w:val="en-US" w:eastAsia="zh-CN"/>
        </w:rPr>
        <w:t xml:space="preserve"> </w:t>
      </w:r>
      <w:r w:rsidR="007A272D" w:rsidRPr="00FB7D6B">
        <w:rPr>
          <w:rFonts w:ascii="Book Antiqua" w:hAnsi="Book Antiqua" w:cs="Arial"/>
          <w:sz w:val="24"/>
          <w:szCs w:val="24"/>
          <w:lang w:val="en-US"/>
        </w:rPr>
        <w:t>SE59RJ</w:t>
      </w:r>
      <w:r w:rsidR="00285F51" w:rsidRPr="00FB7D6B">
        <w:rPr>
          <w:rFonts w:ascii="Book Antiqua" w:hAnsi="Book Antiqua" w:cs="Arial"/>
          <w:sz w:val="24"/>
          <w:szCs w:val="24"/>
          <w:lang w:val="en-US"/>
        </w:rPr>
        <w:t>, U</w:t>
      </w:r>
      <w:r w:rsidR="006566AA" w:rsidRPr="00FB7D6B">
        <w:rPr>
          <w:rFonts w:ascii="Book Antiqua" w:hAnsi="Book Antiqua" w:cs="Arial"/>
          <w:sz w:val="24"/>
          <w:szCs w:val="24"/>
          <w:lang w:val="en-US"/>
        </w:rPr>
        <w:t xml:space="preserve">nited </w:t>
      </w:r>
      <w:r w:rsidR="00285F51" w:rsidRPr="00FB7D6B">
        <w:rPr>
          <w:rFonts w:ascii="Book Antiqua" w:hAnsi="Book Antiqua" w:cs="Arial"/>
          <w:sz w:val="24"/>
          <w:szCs w:val="24"/>
          <w:lang w:val="en-US"/>
        </w:rPr>
        <w:t>K</w:t>
      </w:r>
      <w:r w:rsidR="006566AA" w:rsidRPr="00FB7D6B">
        <w:rPr>
          <w:rFonts w:ascii="Book Antiqua" w:hAnsi="Book Antiqua" w:cs="Arial"/>
          <w:sz w:val="24"/>
          <w:szCs w:val="24"/>
          <w:lang w:val="en-US"/>
        </w:rPr>
        <w:t>ingdom</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6566AA" w:rsidRPr="00FB7D6B" w:rsidRDefault="006566AA"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Falko Markus Heinemann, Monika Lindemann</w:t>
      </w:r>
      <w:r w:rsidRPr="00FB7D6B">
        <w:rPr>
          <w:rFonts w:ascii="Book Antiqua" w:hAnsi="Book Antiqua" w:cs="Arial"/>
          <w:sz w:val="24"/>
          <w:szCs w:val="24"/>
          <w:lang w:val="en-US"/>
        </w:rPr>
        <w:t xml:space="preserve">, </w:t>
      </w:r>
      <w:r w:rsidR="00722A5C" w:rsidRPr="00FB7D6B">
        <w:rPr>
          <w:rFonts w:ascii="Book Antiqua" w:hAnsi="Book Antiqua" w:cs="Arial"/>
          <w:sz w:val="24"/>
          <w:szCs w:val="24"/>
          <w:lang w:val="en-US"/>
        </w:rPr>
        <w:t>Institute of Transfusion Medicine</w:t>
      </w:r>
      <w:r w:rsidR="00FB7305" w:rsidRPr="00FB7D6B">
        <w:rPr>
          <w:rFonts w:ascii="Book Antiqua" w:hAnsi="Book Antiqua" w:cs="Arial"/>
          <w:sz w:val="24"/>
          <w:szCs w:val="24"/>
          <w:lang w:val="en-US"/>
        </w:rPr>
        <w:t xml:space="preserve">, University Clinic </w:t>
      </w:r>
      <w:r w:rsidR="009A7F50" w:rsidRPr="00FB7D6B">
        <w:rPr>
          <w:rFonts w:ascii="Book Antiqua" w:hAnsi="Book Antiqua" w:cs="Arial"/>
          <w:sz w:val="24"/>
          <w:szCs w:val="24"/>
          <w:lang w:val="en-US"/>
        </w:rPr>
        <w:t xml:space="preserve">of </w:t>
      </w:r>
      <w:r w:rsidR="00CF3872" w:rsidRPr="00FB7D6B">
        <w:rPr>
          <w:rFonts w:ascii="Book Antiqua" w:hAnsi="Book Antiqua" w:cs="Arial"/>
          <w:sz w:val="24"/>
          <w:szCs w:val="24"/>
          <w:lang w:val="en-US"/>
        </w:rPr>
        <w:t xml:space="preserve">Essen, </w:t>
      </w:r>
      <w:r w:rsidRPr="00FB7D6B">
        <w:rPr>
          <w:rFonts w:ascii="Book Antiqua" w:hAnsi="Book Antiqua" w:cs="Arial"/>
          <w:sz w:val="24"/>
          <w:szCs w:val="24"/>
          <w:lang w:val="en-US"/>
        </w:rPr>
        <w:t>Essen</w:t>
      </w:r>
      <w:r w:rsidR="007A272D" w:rsidRPr="00FB7D6B">
        <w:rPr>
          <w:rFonts w:ascii="Book Antiqua" w:hAnsi="Book Antiqua" w:cs="Arial"/>
          <w:sz w:val="24"/>
          <w:szCs w:val="24"/>
          <w:lang w:val="en-US" w:eastAsia="zh-CN"/>
        </w:rPr>
        <w:t xml:space="preserve"> </w:t>
      </w:r>
      <w:r w:rsidR="007A272D" w:rsidRPr="00FB7D6B">
        <w:rPr>
          <w:rFonts w:ascii="Book Antiqua" w:hAnsi="Book Antiqua" w:cs="Arial"/>
          <w:sz w:val="24"/>
          <w:szCs w:val="24"/>
          <w:lang w:val="en-US"/>
        </w:rPr>
        <w:t>45147</w:t>
      </w:r>
      <w:r w:rsidRPr="00FB7D6B">
        <w:rPr>
          <w:rFonts w:ascii="Book Antiqua" w:hAnsi="Book Antiqua" w:cs="Arial"/>
          <w:sz w:val="24"/>
          <w:szCs w:val="24"/>
          <w:lang w:val="en-US"/>
        </w:rPr>
        <w:t xml:space="preserve">, </w:t>
      </w:r>
      <w:r w:rsidR="00CF3872" w:rsidRPr="00FB7D6B">
        <w:rPr>
          <w:rFonts w:ascii="Book Antiqua" w:hAnsi="Book Antiqua" w:cs="Arial"/>
          <w:sz w:val="24"/>
          <w:szCs w:val="24"/>
          <w:lang w:val="en-US"/>
        </w:rPr>
        <w:t>Germany</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6566AA" w:rsidRPr="00FB7D6B" w:rsidRDefault="006566AA"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Hideo Andreas Ba</w:t>
      </w:r>
      <w:r w:rsidR="008E4278" w:rsidRPr="00FB7D6B">
        <w:rPr>
          <w:rFonts w:ascii="Book Antiqua" w:hAnsi="Book Antiqua" w:cs="Arial"/>
          <w:b/>
          <w:sz w:val="24"/>
          <w:szCs w:val="24"/>
          <w:lang w:val="en-US"/>
        </w:rPr>
        <w:t>ba, Martin Schlattja</w:t>
      </w:r>
      <w:r w:rsidRPr="00FB7D6B">
        <w:rPr>
          <w:rFonts w:ascii="Book Antiqua" w:hAnsi="Book Antiqua" w:cs="Arial"/>
          <w:b/>
          <w:sz w:val="24"/>
          <w:szCs w:val="24"/>
          <w:lang w:val="en-US"/>
        </w:rPr>
        <w:t>n,</w:t>
      </w:r>
      <w:r w:rsidRPr="00FB7D6B">
        <w:rPr>
          <w:rFonts w:ascii="Book Antiqua" w:hAnsi="Book Antiqua" w:cs="Arial"/>
          <w:sz w:val="24"/>
          <w:szCs w:val="24"/>
          <w:lang w:val="en-US"/>
        </w:rPr>
        <w:t xml:space="preserve"> </w:t>
      </w:r>
      <w:r w:rsidR="003A12B5" w:rsidRPr="00FB7D6B">
        <w:rPr>
          <w:rFonts w:ascii="Book Antiqua" w:hAnsi="Book Antiqua" w:cs="Arial"/>
          <w:sz w:val="24"/>
          <w:szCs w:val="24"/>
          <w:lang w:val="en-US"/>
        </w:rPr>
        <w:t xml:space="preserve">Institute </w:t>
      </w:r>
      <w:r w:rsidR="00FB7305" w:rsidRPr="00FB7D6B">
        <w:rPr>
          <w:rFonts w:ascii="Book Antiqua" w:hAnsi="Book Antiqua" w:cs="Arial"/>
          <w:sz w:val="24"/>
          <w:szCs w:val="24"/>
          <w:lang w:val="en-US"/>
        </w:rPr>
        <w:t>of Pathology, University Clinic</w:t>
      </w:r>
      <w:r w:rsidR="003A12B5" w:rsidRPr="00FB7D6B">
        <w:rPr>
          <w:rFonts w:ascii="Book Antiqua" w:hAnsi="Book Antiqua" w:cs="Arial"/>
          <w:sz w:val="24"/>
          <w:szCs w:val="24"/>
          <w:lang w:val="en-US"/>
        </w:rPr>
        <w:t xml:space="preserve"> </w:t>
      </w:r>
      <w:r w:rsidR="009A7F50" w:rsidRPr="00FB7D6B">
        <w:rPr>
          <w:rFonts w:ascii="Book Antiqua" w:hAnsi="Book Antiqua" w:cs="Arial"/>
          <w:sz w:val="24"/>
          <w:szCs w:val="24"/>
          <w:lang w:val="en-US"/>
        </w:rPr>
        <w:t xml:space="preserve">of </w:t>
      </w:r>
      <w:r w:rsidR="003A12B5" w:rsidRPr="00FB7D6B">
        <w:rPr>
          <w:rFonts w:ascii="Book Antiqua" w:hAnsi="Book Antiqua" w:cs="Arial"/>
          <w:sz w:val="24"/>
          <w:szCs w:val="24"/>
          <w:lang w:val="en-US"/>
        </w:rPr>
        <w:t xml:space="preserve">Essen, </w:t>
      </w:r>
      <w:r w:rsidRPr="00FB7D6B">
        <w:rPr>
          <w:rFonts w:ascii="Book Antiqua" w:hAnsi="Book Antiqua" w:cs="Arial"/>
          <w:sz w:val="24"/>
          <w:szCs w:val="24"/>
          <w:lang w:val="en-US"/>
        </w:rPr>
        <w:t>Essen</w:t>
      </w:r>
      <w:r w:rsidR="007A272D" w:rsidRPr="00FB7D6B">
        <w:rPr>
          <w:rFonts w:ascii="Book Antiqua" w:hAnsi="Book Antiqua" w:cs="Arial"/>
          <w:sz w:val="24"/>
          <w:szCs w:val="24"/>
          <w:lang w:val="en-US" w:eastAsia="zh-CN"/>
        </w:rPr>
        <w:t xml:space="preserve"> </w:t>
      </w:r>
      <w:r w:rsidR="007A272D" w:rsidRPr="00FB7D6B">
        <w:rPr>
          <w:rFonts w:ascii="Book Antiqua" w:hAnsi="Book Antiqua" w:cs="Arial"/>
          <w:sz w:val="24"/>
          <w:szCs w:val="24"/>
          <w:lang w:val="en-US"/>
        </w:rPr>
        <w:t>45147</w:t>
      </w:r>
      <w:r w:rsidRPr="00FB7D6B">
        <w:rPr>
          <w:rFonts w:ascii="Book Antiqua" w:hAnsi="Book Antiqua" w:cs="Arial"/>
          <w:sz w:val="24"/>
          <w:szCs w:val="24"/>
          <w:lang w:val="en-US"/>
        </w:rPr>
        <w:t xml:space="preserve">, </w:t>
      </w:r>
      <w:r w:rsidR="003A12B5" w:rsidRPr="00FB7D6B">
        <w:rPr>
          <w:rFonts w:ascii="Book Antiqua" w:hAnsi="Book Antiqua" w:cs="Arial"/>
          <w:sz w:val="24"/>
          <w:szCs w:val="24"/>
          <w:lang w:val="en-US"/>
        </w:rPr>
        <w:t>Germany</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CF3872" w:rsidRPr="00FB7D6B" w:rsidRDefault="006566AA"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b/>
          <w:sz w:val="24"/>
          <w:szCs w:val="24"/>
          <w:lang w:val="en-US"/>
        </w:rPr>
        <w:t>Ali Canbay,</w:t>
      </w:r>
      <w:r w:rsidRPr="00FB7D6B">
        <w:rPr>
          <w:rFonts w:ascii="Book Antiqua" w:hAnsi="Book Antiqua" w:cs="Arial"/>
          <w:sz w:val="24"/>
          <w:szCs w:val="24"/>
          <w:lang w:val="en-US"/>
        </w:rPr>
        <w:t xml:space="preserve"> </w:t>
      </w:r>
      <w:r w:rsidR="00855846" w:rsidRPr="00FB7D6B">
        <w:rPr>
          <w:rFonts w:ascii="Book Antiqua" w:hAnsi="Book Antiqua" w:cs="Arial"/>
          <w:sz w:val="24"/>
          <w:szCs w:val="24"/>
          <w:lang w:val="en-US"/>
        </w:rPr>
        <w:t>Department of Gastroenterology, Hepatology</w:t>
      </w:r>
      <w:r w:rsidR="003A12B5" w:rsidRPr="00FB7D6B">
        <w:rPr>
          <w:rFonts w:ascii="Book Antiqua" w:hAnsi="Book Antiqua" w:cs="Arial"/>
          <w:sz w:val="24"/>
          <w:szCs w:val="24"/>
          <w:lang w:val="en-US"/>
        </w:rPr>
        <w:t>,</w:t>
      </w:r>
      <w:r w:rsidR="00855846" w:rsidRPr="00FB7D6B">
        <w:rPr>
          <w:rFonts w:ascii="Book Antiqua" w:hAnsi="Book Antiqua" w:cs="Arial"/>
          <w:sz w:val="24"/>
          <w:szCs w:val="24"/>
          <w:lang w:val="en-US"/>
        </w:rPr>
        <w:t xml:space="preserve"> and Infectious Diseases, Otto-von-Guericke University, Magdeburg</w:t>
      </w:r>
      <w:r w:rsidR="007A272D" w:rsidRPr="00FB7D6B">
        <w:rPr>
          <w:rFonts w:ascii="Book Antiqua" w:hAnsi="Book Antiqua" w:cs="Arial"/>
          <w:sz w:val="24"/>
          <w:szCs w:val="24"/>
          <w:lang w:val="en-US" w:eastAsia="zh-CN"/>
        </w:rPr>
        <w:t xml:space="preserve"> </w:t>
      </w:r>
      <w:r w:rsidR="007A272D" w:rsidRPr="00FB7D6B">
        <w:rPr>
          <w:rFonts w:ascii="Book Antiqua" w:hAnsi="Book Antiqua" w:cs="Arial"/>
          <w:sz w:val="24"/>
          <w:szCs w:val="24"/>
          <w:lang w:val="en-US"/>
        </w:rPr>
        <w:t>39120</w:t>
      </w:r>
      <w:r w:rsidR="00855846" w:rsidRPr="00FB7D6B">
        <w:rPr>
          <w:rFonts w:ascii="Book Antiqua" w:hAnsi="Book Antiqua" w:cs="Arial"/>
          <w:sz w:val="24"/>
          <w:szCs w:val="24"/>
          <w:lang w:val="en-US"/>
        </w:rPr>
        <w:t>, Germany</w:t>
      </w:r>
    </w:p>
    <w:p w:rsidR="00E83CCF" w:rsidRPr="00FB7D6B" w:rsidRDefault="00E83CCF" w:rsidP="00FB7D6B">
      <w:pPr>
        <w:adjustRightInd w:val="0"/>
        <w:snapToGrid w:val="0"/>
        <w:spacing w:after="0" w:line="360" w:lineRule="auto"/>
        <w:jc w:val="both"/>
        <w:rPr>
          <w:rFonts w:ascii="Book Antiqua" w:hAnsi="Book Antiqua" w:cs="Arial"/>
          <w:b/>
          <w:sz w:val="24"/>
          <w:szCs w:val="24"/>
          <w:lang w:val="en-US" w:eastAsia="zh-CN"/>
        </w:rPr>
      </w:pPr>
    </w:p>
    <w:p w:rsidR="008E4278" w:rsidRDefault="008E4278"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 xml:space="preserve">ORCID number: </w:t>
      </w:r>
      <w:r w:rsidRPr="00FB7D6B">
        <w:rPr>
          <w:rFonts w:ascii="Book Antiqua" w:hAnsi="Book Antiqua" w:cs="Arial"/>
          <w:sz w:val="24"/>
          <w:szCs w:val="24"/>
          <w:lang w:val="en-US"/>
        </w:rPr>
        <w:t>Matthias Buechter (0000-0003-3394-5492)</w:t>
      </w:r>
      <w:r w:rsidR="007A272D"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P</w:t>
      </w:r>
      <w:r w:rsidR="007A272D" w:rsidRPr="00FB7D6B">
        <w:rPr>
          <w:rFonts w:ascii="Book Antiqua" w:hAnsi="Book Antiqua" w:cs="Arial"/>
          <w:sz w:val="24"/>
          <w:szCs w:val="24"/>
          <w:lang w:val="en-US"/>
        </w:rPr>
        <w:t>aul Manka (0000-0001-8589-7280)</w:t>
      </w:r>
      <w:r w:rsidR="007A272D"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Falko Markus Heinemann (0000-0002-9642-1154)</w:t>
      </w:r>
      <w:r w:rsidR="007A272D"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Monika Lindemann (0000-0001-6708-4390)</w:t>
      </w:r>
      <w:r w:rsidR="007A272D"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Hideo Andreas Baba (0000-0002-1750-5318)</w:t>
      </w:r>
      <w:r w:rsidR="007A272D"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Martin Schlattjan </w:t>
      </w:r>
      <w:r w:rsidRPr="00FB7D6B">
        <w:rPr>
          <w:rFonts w:ascii="Book Antiqua" w:hAnsi="Book Antiqua" w:cs="Arial"/>
          <w:sz w:val="24"/>
          <w:szCs w:val="24"/>
          <w:lang w:val="en-US"/>
        </w:rPr>
        <w:lastRenderedPageBreak/>
        <w:t>(</w:t>
      </w:r>
      <w:r w:rsidR="006B143B" w:rsidRPr="00FB7D6B">
        <w:rPr>
          <w:rFonts w:ascii="Book Antiqua" w:hAnsi="Book Antiqua" w:cs="Arial"/>
          <w:sz w:val="24"/>
          <w:szCs w:val="24"/>
          <w:lang w:val="en-US"/>
        </w:rPr>
        <w:t>0000-0001-6639-5568)</w:t>
      </w:r>
      <w:r w:rsidR="007A272D" w:rsidRPr="00FB7D6B">
        <w:rPr>
          <w:rFonts w:ascii="Book Antiqua" w:hAnsi="Book Antiqua" w:cs="Arial"/>
          <w:sz w:val="24"/>
          <w:szCs w:val="24"/>
          <w:lang w:val="en-US" w:eastAsia="zh-CN"/>
        </w:rPr>
        <w:t>;</w:t>
      </w:r>
      <w:r w:rsidR="006B143B" w:rsidRPr="00FB7D6B">
        <w:rPr>
          <w:rFonts w:ascii="Book Antiqua" w:hAnsi="Book Antiqua" w:cs="Arial"/>
          <w:sz w:val="24"/>
          <w:szCs w:val="24"/>
          <w:lang w:val="en-US"/>
        </w:rPr>
        <w:t xml:space="preserve"> Ali Canbay (0000-0001-6069-7899)</w:t>
      </w:r>
      <w:r w:rsidR="007A272D" w:rsidRPr="00FB7D6B">
        <w:rPr>
          <w:rFonts w:ascii="Book Antiqua" w:hAnsi="Book Antiqua" w:cs="Arial"/>
          <w:sz w:val="24"/>
          <w:szCs w:val="24"/>
          <w:lang w:val="en-US" w:eastAsia="zh-CN"/>
        </w:rPr>
        <w:t>;</w:t>
      </w:r>
      <w:r w:rsidR="006B143B" w:rsidRPr="00FB7D6B">
        <w:rPr>
          <w:rFonts w:ascii="Book Antiqua" w:hAnsi="Book Antiqua" w:cs="Arial"/>
          <w:sz w:val="24"/>
          <w:szCs w:val="24"/>
          <w:lang w:val="en-US"/>
        </w:rPr>
        <w:t xml:space="preserve"> Guido Gerken (0000-0001-6734-5001)</w:t>
      </w:r>
      <w:r w:rsidR="007A272D" w:rsidRPr="00FB7D6B">
        <w:rPr>
          <w:rFonts w:ascii="Book Antiqua" w:hAnsi="Book Antiqua" w:cs="Arial"/>
          <w:sz w:val="24"/>
          <w:szCs w:val="24"/>
          <w:lang w:val="en-US" w:eastAsia="zh-CN"/>
        </w:rPr>
        <w:t>;</w:t>
      </w:r>
      <w:r w:rsidR="006B143B" w:rsidRPr="00FB7D6B">
        <w:rPr>
          <w:rFonts w:ascii="Book Antiqua" w:hAnsi="Book Antiqua" w:cs="Arial"/>
          <w:sz w:val="24"/>
          <w:szCs w:val="24"/>
          <w:lang w:val="en-US"/>
        </w:rPr>
        <w:t xml:space="preserve"> Alisan Kahraman (0000-0002-2823-6774)</w:t>
      </w:r>
      <w:r w:rsidR="007A272D" w:rsidRPr="00FB7D6B">
        <w:rPr>
          <w:rFonts w:ascii="Book Antiqua" w:hAnsi="Book Antiqua" w:cs="Arial"/>
          <w:sz w:val="24"/>
          <w:szCs w:val="24"/>
          <w:lang w:val="en-US" w:eastAsia="zh-CN"/>
        </w:rPr>
        <w:t>.</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6566AA" w:rsidRDefault="006B143B"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cs="Arial"/>
          <w:b/>
          <w:sz w:val="24"/>
          <w:szCs w:val="24"/>
          <w:lang w:val="en-US"/>
        </w:rPr>
        <w:t xml:space="preserve">Author contributions: </w:t>
      </w:r>
      <w:r w:rsidR="007A272D" w:rsidRPr="00FB7D6B">
        <w:rPr>
          <w:rFonts w:ascii="Book Antiqua" w:hAnsi="Book Antiqua" w:cs="Arial"/>
          <w:sz w:val="24"/>
          <w:szCs w:val="24"/>
          <w:lang w:val="en-US"/>
        </w:rPr>
        <w:t>Buechter M</w:t>
      </w:r>
      <w:r w:rsidRPr="00FB7D6B">
        <w:rPr>
          <w:rFonts w:ascii="Book Antiqua" w:hAnsi="Book Antiqua" w:cs="Arial"/>
          <w:sz w:val="24"/>
          <w:szCs w:val="24"/>
          <w:lang w:val="en-US"/>
        </w:rPr>
        <w:t xml:space="preserve"> </w:t>
      </w:r>
      <w:r w:rsidR="004324B8" w:rsidRPr="00FB7D6B">
        <w:rPr>
          <w:rFonts w:ascii="Book Antiqua" w:hAnsi="Book Antiqua" w:cs="Arial"/>
          <w:sz w:val="24"/>
          <w:szCs w:val="24"/>
          <w:lang w:val="en-US"/>
        </w:rPr>
        <w:t xml:space="preserve">analyzed the data and </w:t>
      </w:r>
      <w:r w:rsidRPr="00FB7D6B">
        <w:rPr>
          <w:rFonts w:ascii="Book Antiqua" w:hAnsi="Book Antiqua" w:cs="Arial"/>
          <w:sz w:val="24"/>
          <w:szCs w:val="24"/>
          <w:lang w:val="en-US"/>
        </w:rPr>
        <w:t>wrote the manuscript</w:t>
      </w:r>
      <w:r w:rsidR="007A272D" w:rsidRPr="00FB7D6B">
        <w:rPr>
          <w:rFonts w:ascii="Book Antiqua" w:hAnsi="Book Antiqua" w:cs="Arial"/>
          <w:sz w:val="24"/>
          <w:szCs w:val="24"/>
          <w:lang w:val="en-US" w:eastAsia="zh-CN"/>
        </w:rPr>
        <w:t>;</w:t>
      </w:r>
      <w:r w:rsidR="007A272D" w:rsidRPr="00FB7D6B">
        <w:rPr>
          <w:rFonts w:ascii="Book Antiqua" w:hAnsi="Book Antiqua" w:cs="Arial"/>
          <w:sz w:val="24"/>
          <w:szCs w:val="24"/>
          <w:lang w:val="en-US"/>
        </w:rPr>
        <w:t xml:space="preserve"> Manka P</w:t>
      </w:r>
      <w:r w:rsidR="004324B8" w:rsidRPr="00FB7D6B">
        <w:rPr>
          <w:rFonts w:ascii="Book Antiqua" w:hAnsi="Book Antiqua" w:cs="Arial"/>
          <w:sz w:val="24"/>
          <w:szCs w:val="24"/>
          <w:lang w:val="en-US"/>
        </w:rPr>
        <w:t xml:space="preserve"> analyzed the data and performed the statistics</w:t>
      </w:r>
      <w:r w:rsidR="007A272D" w:rsidRPr="00FB7D6B">
        <w:rPr>
          <w:rFonts w:ascii="Book Antiqua" w:hAnsi="Book Antiqua" w:cs="Arial"/>
          <w:sz w:val="24"/>
          <w:szCs w:val="24"/>
          <w:lang w:val="en-US" w:eastAsia="zh-CN"/>
        </w:rPr>
        <w:t>;</w:t>
      </w:r>
      <w:r w:rsidR="007A272D" w:rsidRPr="00FB7D6B">
        <w:rPr>
          <w:rFonts w:ascii="Book Antiqua" w:hAnsi="Book Antiqua" w:cs="Arial"/>
          <w:sz w:val="24"/>
          <w:szCs w:val="24"/>
          <w:lang w:val="en-US"/>
        </w:rPr>
        <w:t xml:space="preserve"> Heinemann FH and Lindemann M</w:t>
      </w:r>
      <w:r w:rsidR="004324B8" w:rsidRPr="00FB7D6B">
        <w:rPr>
          <w:rFonts w:ascii="Book Antiqua" w:hAnsi="Book Antiqua" w:cs="Arial"/>
          <w:sz w:val="24"/>
          <w:szCs w:val="24"/>
          <w:lang w:val="en-US"/>
        </w:rPr>
        <w:t xml:space="preserve"> performed the HLA-typing</w:t>
      </w:r>
      <w:r w:rsidR="007A272D" w:rsidRPr="00FB7D6B">
        <w:rPr>
          <w:rFonts w:ascii="Book Antiqua" w:hAnsi="Book Antiqua" w:cs="Arial"/>
          <w:sz w:val="24"/>
          <w:szCs w:val="24"/>
          <w:lang w:val="en-US" w:eastAsia="zh-CN"/>
        </w:rPr>
        <w:t>;</w:t>
      </w:r>
      <w:r w:rsidR="007A272D" w:rsidRPr="00FB7D6B">
        <w:rPr>
          <w:rFonts w:ascii="Book Antiqua" w:hAnsi="Book Antiqua" w:cs="Arial"/>
          <w:sz w:val="24"/>
          <w:szCs w:val="24"/>
          <w:lang w:val="en-US"/>
        </w:rPr>
        <w:t xml:space="preserve"> Baba HA and Schlattjan M</w:t>
      </w:r>
      <w:r w:rsidR="004324B8" w:rsidRPr="00FB7D6B">
        <w:rPr>
          <w:rFonts w:ascii="Book Antiqua" w:hAnsi="Book Antiqua" w:cs="Arial"/>
          <w:sz w:val="24"/>
          <w:szCs w:val="24"/>
          <w:lang w:val="en-US"/>
        </w:rPr>
        <w:t xml:space="preserve"> </w:t>
      </w:r>
      <w:r w:rsidR="00CA2A9A" w:rsidRPr="00FB7D6B">
        <w:rPr>
          <w:rFonts w:ascii="Book Antiqua" w:hAnsi="Book Antiqua" w:cs="Arial"/>
          <w:sz w:val="24"/>
          <w:szCs w:val="24"/>
          <w:lang w:val="en-US"/>
        </w:rPr>
        <w:t>evaluated the histological specimens</w:t>
      </w:r>
      <w:r w:rsidR="007A272D" w:rsidRPr="00FB7D6B">
        <w:rPr>
          <w:rFonts w:ascii="Book Antiqua" w:hAnsi="Book Antiqua" w:cs="Arial"/>
          <w:sz w:val="24"/>
          <w:szCs w:val="24"/>
          <w:lang w:val="en-US" w:eastAsia="zh-CN"/>
        </w:rPr>
        <w:t>;</w:t>
      </w:r>
      <w:r w:rsidR="007A272D" w:rsidRPr="00FB7D6B">
        <w:rPr>
          <w:rFonts w:ascii="Book Antiqua" w:hAnsi="Book Antiqua" w:cs="Arial"/>
          <w:sz w:val="24"/>
          <w:szCs w:val="24"/>
          <w:lang w:val="en-US"/>
        </w:rPr>
        <w:t xml:space="preserve"> Canbay A and Gerken G</w:t>
      </w:r>
      <w:r w:rsidR="00CA2A9A" w:rsidRPr="00FB7D6B">
        <w:rPr>
          <w:rFonts w:ascii="Book Antiqua" w:hAnsi="Book Antiqua" w:cs="Arial"/>
          <w:sz w:val="24"/>
          <w:szCs w:val="24"/>
          <w:lang w:val="en-US"/>
        </w:rPr>
        <w:t xml:space="preserve"> treated the patients</w:t>
      </w:r>
      <w:r w:rsidR="007A272D" w:rsidRPr="00FB7D6B">
        <w:rPr>
          <w:rFonts w:ascii="Book Antiqua" w:hAnsi="Book Antiqua" w:cs="Arial"/>
          <w:sz w:val="24"/>
          <w:szCs w:val="24"/>
          <w:lang w:val="en-US" w:eastAsia="zh-CN"/>
        </w:rPr>
        <w:t>;</w:t>
      </w:r>
      <w:r w:rsidR="00CA2A9A" w:rsidRPr="00FB7D6B">
        <w:rPr>
          <w:rFonts w:ascii="Book Antiqua" w:hAnsi="Book Antiqua" w:cs="Arial"/>
          <w:sz w:val="24"/>
          <w:szCs w:val="24"/>
          <w:lang w:val="en-US"/>
        </w:rPr>
        <w:t xml:space="preserve"> </w:t>
      </w:r>
      <w:r w:rsidR="007A272D" w:rsidRPr="00FB7D6B">
        <w:rPr>
          <w:rFonts w:ascii="Book Antiqua" w:hAnsi="Book Antiqua" w:cs="Arial"/>
          <w:sz w:val="24"/>
          <w:szCs w:val="24"/>
          <w:lang w:val="en-US"/>
        </w:rPr>
        <w:t>Kahraman A</w:t>
      </w:r>
      <w:r w:rsidR="00157D17" w:rsidRPr="00FB7D6B">
        <w:rPr>
          <w:rFonts w:ascii="Book Antiqua" w:hAnsi="Book Antiqua" w:cs="Arial"/>
          <w:sz w:val="24"/>
          <w:szCs w:val="24"/>
          <w:lang w:val="en-US"/>
        </w:rPr>
        <w:t xml:space="preserve"> </w:t>
      </w:r>
      <w:r w:rsidR="00CA2A9A" w:rsidRPr="00FB7D6B">
        <w:rPr>
          <w:rFonts w:ascii="Book Antiqua" w:hAnsi="Book Antiqua" w:cs="Arial"/>
          <w:sz w:val="24"/>
          <w:szCs w:val="24"/>
          <w:lang w:val="en-US"/>
        </w:rPr>
        <w:t xml:space="preserve">treated the patients and </w:t>
      </w:r>
      <w:r w:rsidR="00157D17" w:rsidRPr="00FB7D6B">
        <w:rPr>
          <w:rFonts w:ascii="Book Antiqua" w:hAnsi="Book Antiqua" w:cs="Arial"/>
          <w:sz w:val="24"/>
          <w:szCs w:val="24"/>
          <w:lang w:val="en-US"/>
        </w:rPr>
        <w:t>designed the study</w:t>
      </w:r>
      <w:r w:rsidR="00CA2A9A" w:rsidRPr="00FB7D6B">
        <w:rPr>
          <w:rFonts w:ascii="Book Antiqua" w:hAnsi="Book Antiqua" w:cs="Arial"/>
          <w:b/>
          <w:sz w:val="24"/>
          <w:szCs w:val="24"/>
          <w:lang w:val="en-US"/>
        </w:rPr>
        <w:t>.</w:t>
      </w:r>
    </w:p>
    <w:p w:rsidR="007A272D" w:rsidRPr="00FB7D6B" w:rsidRDefault="007A272D" w:rsidP="00FB7D6B">
      <w:pPr>
        <w:adjustRightInd w:val="0"/>
        <w:snapToGrid w:val="0"/>
        <w:spacing w:after="0" w:line="360" w:lineRule="auto"/>
        <w:jc w:val="both"/>
        <w:rPr>
          <w:rFonts w:ascii="Book Antiqua" w:hAnsi="Book Antiqua" w:cs="Arial"/>
          <w:b/>
          <w:sz w:val="24"/>
          <w:szCs w:val="24"/>
          <w:lang w:val="en-US" w:eastAsia="zh-CN"/>
        </w:rPr>
      </w:pPr>
    </w:p>
    <w:p w:rsidR="00206205" w:rsidRPr="00FB7D6B" w:rsidRDefault="00206205"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 xml:space="preserve">Institutional review board statement: </w:t>
      </w:r>
      <w:r w:rsidRPr="00FB7D6B">
        <w:rPr>
          <w:rFonts w:ascii="Book Antiqua" w:hAnsi="Book Antiqua" w:cs="Arial"/>
          <w:sz w:val="24"/>
          <w:szCs w:val="24"/>
          <w:lang w:val="en-US"/>
        </w:rPr>
        <w:t>This study was reviewed and approved by the ethics committee of the University Clinic of Essen.</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206205" w:rsidRPr="00FB7D6B" w:rsidRDefault="00206205"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 xml:space="preserve">Informed consent statement: </w:t>
      </w:r>
      <w:r w:rsidRPr="00FB7D6B">
        <w:rPr>
          <w:rFonts w:ascii="Book Antiqua" w:hAnsi="Book Antiqua" w:cs="Arial"/>
          <w:sz w:val="24"/>
          <w:szCs w:val="24"/>
          <w:lang w:val="en-US"/>
        </w:rPr>
        <w:t>All patients gave their written informed consent prior to study inclusion.</w:t>
      </w:r>
    </w:p>
    <w:p w:rsidR="007A272D" w:rsidRPr="00FB7D6B" w:rsidRDefault="007A272D" w:rsidP="00FB7D6B">
      <w:pPr>
        <w:adjustRightInd w:val="0"/>
        <w:snapToGrid w:val="0"/>
        <w:spacing w:after="0" w:line="360" w:lineRule="auto"/>
        <w:jc w:val="both"/>
        <w:rPr>
          <w:rFonts w:ascii="Book Antiqua" w:hAnsi="Book Antiqua" w:cs="Arial"/>
          <w:b/>
          <w:sz w:val="24"/>
          <w:szCs w:val="24"/>
          <w:lang w:val="en-US" w:eastAsia="zh-CN"/>
        </w:rPr>
      </w:pPr>
    </w:p>
    <w:p w:rsidR="003347F4" w:rsidRPr="00FB7D6B" w:rsidRDefault="007A272D"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Conflict-of-interest statement:</w:t>
      </w:r>
      <w:r w:rsidR="003347F4" w:rsidRPr="00FB7D6B">
        <w:rPr>
          <w:rFonts w:ascii="Book Antiqua" w:hAnsi="Book Antiqua" w:cs="Arial"/>
          <w:b/>
          <w:sz w:val="24"/>
          <w:szCs w:val="24"/>
          <w:lang w:val="en-US"/>
        </w:rPr>
        <w:t xml:space="preserve"> </w:t>
      </w:r>
      <w:r w:rsidR="001D700A" w:rsidRPr="00FB7D6B">
        <w:rPr>
          <w:rFonts w:ascii="Book Antiqua" w:hAnsi="Book Antiqua" w:cs="Arial"/>
          <w:sz w:val="24"/>
          <w:szCs w:val="24"/>
          <w:lang w:val="en-US"/>
        </w:rPr>
        <w:t>All authors have n</w:t>
      </w:r>
      <w:r w:rsidR="003347F4" w:rsidRPr="00FB7D6B">
        <w:rPr>
          <w:rFonts w:ascii="Book Antiqua" w:hAnsi="Book Antiqua" w:cs="Arial"/>
          <w:sz w:val="24"/>
          <w:szCs w:val="24"/>
          <w:lang w:val="en-US"/>
        </w:rPr>
        <w:t>othing to declare.</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206205" w:rsidRPr="00FB7D6B" w:rsidRDefault="007A272D"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TimesNewRomanPS-BoldItalicMT"/>
          <w:b/>
          <w:bCs/>
          <w:iCs/>
          <w:color w:val="000000"/>
          <w:sz w:val="24"/>
          <w:szCs w:val="24"/>
        </w:rPr>
        <w:t xml:space="preserve">Data sharing </w:t>
      </w:r>
      <w:r w:rsidRPr="00FB7D6B">
        <w:rPr>
          <w:rFonts w:ascii="Book Antiqua" w:hAnsi="Book Antiqua"/>
          <w:b/>
          <w:color w:val="000000"/>
          <w:sz w:val="24"/>
          <w:szCs w:val="24"/>
        </w:rPr>
        <w:t>statement</w:t>
      </w:r>
      <w:r w:rsidRPr="00FB7D6B">
        <w:rPr>
          <w:rFonts w:ascii="Book Antiqua" w:hAnsi="Book Antiqua" w:cs="TimesNewRomanPS-BoldItalicMT"/>
          <w:b/>
          <w:bCs/>
          <w:iCs/>
          <w:color w:val="000000"/>
          <w:sz w:val="24"/>
          <w:szCs w:val="24"/>
          <w:lang w:eastAsia="zh-CN"/>
        </w:rPr>
        <w:t>:</w:t>
      </w:r>
      <w:r w:rsidR="00206205" w:rsidRPr="00FB7D6B">
        <w:rPr>
          <w:rFonts w:ascii="Book Antiqua" w:hAnsi="Book Antiqua" w:cs="Arial"/>
          <w:sz w:val="24"/>
          <w:szCs w:val="24"/>
          <w:lang w:val="en-US"/>
        </w:rPr>
        <w:t xml:space="preserve"> No additional data are available.</w:t>
      </w:r>
    </w:p>
    <w:p w:rsidR="007A272D" w:rsidRPr="00FB7D6B" w:rsidRDefault="007A272D" w:rsidP="00FB7D6B">
      <w:pPr>
        <w:adjustRightInd w:val="0"/>
        <w:snapToGrid w:val="0"/>
        <w:spacing w:after="0" w:line="360" w:lineRule="auto"/>
        <w:jc w:val="both"/>
        <w:rPr>
          <w:rFonts w:ascii="Book Antiqua" w:hAnsi="Book Antiqua" w:cs="Arial"/>
          <w:sz w:val="24"/>
          <w:szCs w:val="24"/>
          <w:lang w:val="en-US" w:eastAsia="zh-CN"/>
        </w:rPr>
      </w:pPr>
    </w:p>
    <w:p w:rsidR="007A272D" w:rsidRPr="00FB7D6B" w:rsidRDefault="007A272D" w:rsidP="00FB7D6B">
      <w:pPr>
        <w:pStyle w:val="CommentText"/>
        <w:adjustRightInd w:val="0"/>
        <w:snapToGrid w:val="0"/>
        <w:spacing w:line="360" w:lineRule="auto"/>
        <w:jc w:val="both"/>
        <w:rPr>
          <w:rFonts w:ascii="Book Antiqua" w:hAnsi="Book Antiqua"/>
          <w:sz w:val="24"/>
          <w:szCs w:val="24"/>
          <w:lang w:eastAsia="zh-CN"/>
        </w:rPr>
      </w:pPr>
      <w:r w:rsidRPr="00FB7D6B">
        <w:rPr>
          <w:rFonts w:ascii="Book Antiqua" w:hAnsi="Book Antiqua"/>
          <w:b/>
          <w:sz w:val="24"/>
          <w:szCs w:val="24"/>
        </w:rPr>
        <w:t xml:space="preserve">Open-Access: </w:t>
      </w:r>
      <w:r w:rsidRPr="00FB7D6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FB7D6B">
          <w:rPr>
            <w:rStyle w:val="Hyperlink"/>
            <w:rFonts w:ascii="Book Antiqua" w:hAnsi="Book Antiqua"/>
            <w:color w:val="auto"/>
            <w:sz w:val="24"/>
            <w:szCs w:val="24"/>
            <w:u w:val="none"/>
          </w:rPr>
          <w:t>http://creativecommons.org/licenses/by-nc/4.0/</w:t>
        </w:r>
      </w:hyperlink>
    </w:p>
    <w:p w:rsidR="007A272D" w:rsidRPr="00FB7D6B" w:rsidRDefault="007A272D" w:rsidP="00FB7D6B">
      <w:pPr>
        <w:pStyle w:val="CommentText"/>
        <w:adjustRightInd w:val="0"/>
        <w:snapToGrid w:val="0"/>
        <w:spacing w:line="360" w:lineRule="auto"/>
        <w:jc w:val="both"/>
        <w:rPr>
          <w:rFonts w:ascii="Book Antiqua" w:hAnsi="Book Antiqua"/>
          <w:sz w:val="24"/>
          <w:szCs w:val="24"/>
          <w:lang w:eastAsia="zh-CN"/>
        </w:rPr>
      </w:pPr>
    </w:p>
    <w:p w:rsidR="007A272D" w:rsidRPr="00FB7D6B" w:rsidRDefault="007A272D" w:rsidP="00FB7D6B">
      <w:pPr>
        <w:adjustRightInd w:val="0"/>
        <w:snapToGrid w:val="0"/>
        <w:spacing w:after="0" w:line="360" w:lineRule="auto"/>
        <w:rPr>
          <w:rFonts w:ascii="Book Antiqua" w:hAnsi="Book Antiqua" w:cs="Arial Unicode MS"/>
          <w:color w:val="000000"/>
          <w:sz w:val="24"/>
          <w:szCs w:val="24"/>
        </w:rPr>
      </w:pPr>
      <w:r w:rsidRPr="00FB7D6B">
        <w:rPr>
          <w:rFonts w:ascii="Book Antiqua" w:hAnsi="Book Antiqua" w:cs="Arial Unicode MS"/>
          <w:b/>
          <w:color w:val="000000"/>
          <w:sz w:val="24"/>
          <w:szCs w:val="24"/>
        </w:rPr>
        <w:t xml:space="preserve">Manuscript source: </w:t>
      </w:r>
      <w:r w:rsidRPr="00FB7D6B">
        <w:rPr>
          <w:rFonts w:ascii="Book Antiqua" w:hAnsi="Book Antiqua" w:cs="Arial Unicode MS"/>
          <w:color w:val="000000"/>
          <w:sz w:val="24"/>
          <w:szCs w:val="24"/>
        </w:rPr>
        <w:t>Unsolicited manuscript</w:t>
      </w:r>
    </w:p>
    <w:p w:rsidR="007A272D" w:rsidRPr="00FB7D6B" w:rsidRDefault="007A272D" w:rsidP="00FB7D6B">
      <w:pPr>
        <w:pStyle w:val="CommentText"/>
        <w:adjustRightInd w:val="0"/>
        <w:snapToGrid w:val="0"/>
        <w:spacing w:line="360" w:lineRule="auto"/>
        <w:jc w:val="both"/>
        <w:rPr>
          <w:rFonts w:ascii="Book Antiqua" w:hAnsi="Book Antiqua"/>
          <w:sz w:val="24"/>
          <w:szCs w:val="24"/>
          <w:lang w:val="de-DE" w:eastAsia="zh-CN"/>
        </w:rPr>
      </w:pPr>
    </w:p>
    <w:p w:rsidR="00E02532" w:rsidRPr="00FB7D6B" w:rsidRDefault="00E02532"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Correspondence to:</w:t>
      </w:r>
      <w:r w:rsidRPr="00FB7D6B">
        <w:rPr>
          <w:rFonts w:ascii="Book Antiqua" w:hAnsi="Book Antiqua" w:cs="Arial"/>
          <w:sz w:val="24"/>
          <w:szCs w:val="24"/>
          <w:lang w:val="en-US"/>
        </w:rPr>
        <w:t xml:space="preserve"> </w:t>
      </w:r>
      <w:r w:rsidRPr="00FB7D6B">
        <w:rPr>
          <w:rFonts w:ascii="Book Antiqua" w:hAnsi="Book Antiqua" w:cs="Arial"/>
          <w:b/>
          <w:sz w:val="24"/>
          <w:szCs w:val="24"/>
          <w:lang w:val="en-US"/>
        </w:rPr>
        <w:t>Kahraman Alisan, MD</w:t>
      </w:r>
      <w:r w:rsidR="007A272D" w:rsidRPr="00FB7D6B">
        <w:rPr>
          <w:rFonts w:ascii="Book Antiqua" w:hAnsi="Book Antiqua" w:cs="Arial"/>
          <w:b/>
          <w:sz w:val="24"/>
          <w:szCs w:val="24"/>
          <w:lang w:val="en-US" w:eastAsia="zh-CN"/>
        </w:rPr>
        <w:t xml:space="preserve">, </w:t>
      </w:r>
      <w:r w:rsidRPr="00FB7D6B">
        <w:rPr>
          <w:rFonts w:ascii="Book Antiqua" w:hAnsi="Book Antiqua" w:cs="Arial"/>
          <w:b/>
          <w:sz w:val="24"/>
          <w:szCs w:val="24"/>
          <w:lang w:val="en-US"/>
        </w:rPr>
        <w:t>Associate Professor</w:t>
      </w:r>
      <w:r w:rsidR="00FB7D6B" w:rsidRPr="003E0D42">
        <w:rPr>
          <w:rFonts w:ascii="Book Antiqua" w:hAnsi="Book Antiqua" w:cs="Arial"/>
          <w:b/>
          <w:sz w:val="24"/>
          <w:szCs w:val="24"/>
          <w:lang w:val="en-US" w:eastAsia="zh-CN"/>
        </w:rPr>
        <w:t>,</w:t>
      </w:r>
      <w:r w:rsidRPr="00FB7D6B">
        <w:rPr>
          <w:rFonts w:ascii="Book Antiqua" w:hAnsi="Book Antiqua" w:cs="Arial"/>
          <w:sz w:val="24"/>
          <w:szCs w:val="24"/>
          <w:lang w:val="en-US"/>
        </w:rPr>
        <w:t xml:space="preserve"> </w:t>
      </w:r>
      <w:r w:rsidR="004C43BA" w:rsidRPr="00FB7D6B">
        <w:rPr>
          <w:rFonts w:ascii="Book Antiqua" w:hAnsi="Book Antiqua" w:cs="Arial"/>
          <w:sz w:val="24"/>
          <w:szCs w:val="24"/>
          <w:lang w:val="en-US"/>
        </w:rPr>
        <w:t>Department of Gastroenterology and Hepatology, University Hospital of Essen, Hufelandstr</w:t>
      </w:r>
      <w:r w:rsidR="004C43BA" w:rsidRPr="00FB7D6B">
        <w:rPr>
          <w:rFonts w:ascii="Book Antiqua" w:hAnsi="Book Antiqua" w:cs="Arial"/>
          <w:sz w:val="24"/>
          <w:szCs w:val="24"/>
          <w:lang w:val="en-US" w:eastAsia="zh-CN"/>
        </w:rPr>
        <w:t xml:space="preserve"> </w:t>
      </w:r>
      <w:r w:rsidR="004C43BA" w:rsidRPr="00FB7D6B">
        <w:rPr>
          <w:rFonts w:ascii="Book Antiqua" w:hAnsi="Book Antiqua" w:cs="Arial"/>
          <w:sz w:val="24"/>
          <w:szCs w:val="24"/>
          <w:lang w:val="en-US"/>
        </w:rPr>
        <w:t>55, Essen 45122, Germany.</w:t>
      </w:r>
      <w:r w:rsidR="004C43BA" w:rsidRPr="00FB7D6B">
        <w:rPr>
          <w:rFonts w:ascii="Book Antiqua" w:hAnsi="Book Antiqua" w:cs="Arial"/>
          <w:sz w:val="24"/>
          <w:szCs w:val="24"/>
          <w:lang w:val="en-US" w:eastAsia="zh-CN"/>
        </w:rPr>
        <w:t xml:space="preserve"> </w:t>
      </w:r>
      <w:hyperlink r:id="rId9" w:history="1">
        <w:r w:rsidR="007A272D" w:rsidRPr="00FB7D6B">
          <w:rPr>
            <w:rStyle w:val="Hyperlink"/>
            <w:rFonts w:ascii="Book Antiqua" w:hAnsi="Book Antiqua" w:cs="Arial"/>
            <w:color w:val="auto"/>
            <w:sz w:val="24"/>
            <w:szCs w:val="24"/>
            <w:u w:val="none"/>
            <w:lang w:val="en-US" w:eastAsia="zh-CN"/>
          </w:rPr>
          <w:t>alisan.kahraman@uk-essen.de</w:t>
        </w:r>
      </w:hyperlink>
    </w:p>
    <w:p w:rsidR="007A272D" w:rsidRPr="00FB7D6B" w:rsidRDefault="007A272D" w:rsidP="00FB7D6B">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FB7D6B">
        <w:rPr>
          <w:rFonts w:ascii="Book Antiqua" w:eastAsia="SimSun" w:hAnsi="Book Antiqua"/>
          <w:b/>
          <w:color w:val="000000"/>
          <w:kern w:val="2"/>
          <w:sz w:val="24"/>
          <w:szCs w:val="24"/>
          <w:lang w:val="en-US" w:eastAsia="zh-CN"/>
        </w:rPr>
        <w:lastRenderedPageBreak/>
        <w:t>Telephone:</w:t>
      </w:r>
      <w:r w:rsidRPr="00FB7D6B">
        <w:rPr>
          <w:rFonts w:ascii="Book Antiqua" w:hAnsi="Book Antiqua" w:cs="Arial"/>
          <w:sz w:val="24"/>
          <w:szCs w:val="24"/>
          <w:lang w:val="en-US"/>
        </w:rPr>
        <w:t xml:space="preserve"> +49</w:t>
      </w:r>
      <w:r w:rsidRPr="00FB7D6B">
        <w:rPr>
          <w:rFonts w:ascii="Book Antiqua" w:hAnsi="Book Antiqua" w:cs="Arial"/>
          <w:sz w:val="24"/>
          <w:szCs w:val="24"/>
          <w:lang w:val="en-US" w:eastAsia="zh-CN"/>
        </w:rPr>
        <w:t>-</w:t>
      </w:r>
      <w:r w:rsidRPr="00FB7D6B">
        <w:rPr>
          <w:rFonts w:ascii="Book Antiqua" w:hAnsi="Book Antiqua" w:cs="Arial"/>
          <w:sz w:val="24"/>
          <w:szCs w:val="24"/>
          <w:lang w:val="en-US"/>
        </w:rPr>
        <w:t>201</w:t>
      </w:r>
      <w:r w:rsidRPr="00FB7D6B">
        <w:rPr>
          <w:rFonts w:ascii="Book Antiqua" w:hAnsi="Book Antiqua" w:cs="Arial"/>
          <w:sz w:val="24"/>
          <w:szCs w:val="24"/>
          <w:lang w:val="en-US" w:eastAsia="zh-CN"/>
        </w:rPr>
        <w:t>-</w:t>
      </w:r>
      <w:r w:rsidRPr="00FB7D6B">
        <w:rPr>
          <w:rFonts w:ascii="Book Antiqua" w:hAnsi="Book Antiqua" w:cs="Arial"/>
          <w:sz w:val="24"/>
          <w:szCs w:val="24"/>
          <w:lang w:val="en-US"/>
        </w:rPr>
        <w:t>72384797</w:t>
      </w:r>
    </w:p>
    <w:p w:rsidR="007A272D" w:rsidRPr="00FB7D6B" w:rsidRDefault="007A272D" w:rsidP="00FB7D6B">
      <w:pPr>
        <w:widowControl w:val="0"/>
        <w:adjustRightInd w:val="0"/>
        <w:snapToGrid w:val="0"/>
        <w:spacing w:after="0" w:line="360" w:lineRule="auto"/>
        <w:jc w:val="both"/>
        <w:rPr>
          <w:rFonts w:ascii="Book Antiqua" w:eastAsia="SimSun" w:hAnsi="Book Antiqua"/>
          <w:color w:val="000000"/>
          <w:kern w:val="2"/>
          <w:sz w:val="24"/>
          <w:szCs w:val="24"/>
          <w:lang w:val="en-US" w:eastAsia="zh-CN"/>
        </w:rPr>
      </w:pPr>
      <w:r w:rsidRPr="00FB7D6B">
        <w:rPr>
          <w:rFonts w:ascii="Book Antiqua" w:eastAsia="SimSun" w:hAnsi="Book Antiqua"/>
          <w:b/>
          <w:color w:val="000000"/>
          <w:kern w:val="2"/>
          <w:sz w:val="24"/>
          <w:szCs w:val="24"/>
          <w:lang w:val="en-US" w:eastAsia="zh-CN"/>
        </w:rPr>
        <w:t>Fax:</w:t>
      </w:r>
      <w:r w:rsidRPr="00FB7D6B">
        <w:rPr>
          <w:rFonts w:ascii="Book Antiqua" w:eastAsia="SimSun" w:hAnsi="Book Antiqua"/>
          <w:color w:val="000000"/>
          <w:kern w:val="2"/>
          <w:sz w:val="24"/>
          <w:szCs w:val="24"/>
          <w:lang w:val="en-US" w:eastAsia="zh-CN"/>
        </w:rPr>
        <w:t xml:space="preserve"> </w:t>
      </w:r>
      <w:r w:rsidRPr="00FB7D6B">
        <w:rPr>
          <w:rFonts w:ascii="Book Antiqua" w:hAnsi="Book Antiqua" w:cs="Arial"/>
          <w:sz w:val="24"/>
          <w:szCs w:val="24"/>
          <w:lang w:val="en-US"/>
        </w:rPr>
        <w:t>+49</w:t>
      </w:r>
      <w:r w:rsidRPr="00FB7D6B">
        <w:rPr>
          <w:rFonts w:ascii="Book Antiqua" w:hAnsi="Book Antiqua" w:cs="Arial"/>
          <w:sz w:val="24"/>
          <w:szCs w:val="24"/>
          <w:lang w:val="en-US" w:eastAsia="zh-CN"/>
        </w:rPr>
        <w:t>-</w:t>
      </w:r>
      <w:r w:rsidRPr="00FB7D6B">
        <w:rPr>
          <w:rFonts w:ascii="Book Antiqua" w:hAnsi="Book Antiqua" w:cs="Arial"/>
          <w:sz w:val="24"/>
          <w:szCs w:val="24"/>
          <w:lang w:val="en-US"/>
        </w:rPr>
        <w:t>201</w:t>
      </w:r>
      <w:r w:rsidRPr="00FB7D6B">
        <w:rPr>
          <w:rFonts w:ascii="Book Antiqua" w:hAnsi="Book Antiqua" w:cs="Arial"/>
          <w:sz w:val="24"/>
          <w:szCs w:val="24"/>
          <w:lang w:val="en-US" w:eastAsia="zh-CN"/>
        </w:rPr>
        <w:t>-</w:t>
      </w:r>
      <w:r w:rsidRPr="00FB7D6B">
        <w:rPr>
          <w:rFonts w:ascii="Book Antiqua" w:hAnsi="Book Antiqua" w:cs="Arial"/>
          <w:sz w:val="24"/>
          <w:szCs w:val="24"/>
          <w:lang w:val="en-US"/>
        </w:rPr>
        <w:t>7235655</w:t>
      </w:r>
    </w:p>
    <w:p w:rsidR="00E02532" w:rsidRPr="00FB7D6B" w:rsidRDefault="00E02532" w:rsidP="00FB7D6B">
      <w:pPr>
        <w:adjustRightInd w:val="0"/>
        <w:snapToGrid w:val="0"/>
        <w:spacing w:after="0" w:line="360" w:lineRule="auto"/>
        <w:jc w:val="both"/>
        <w:rPr>
          <w:rFonts w:ascii="Book Antiqua" w:hAnsi="Book Antiqua" w:cs="Arial"/>
          <w:sz w:val="24"/>
          <w:szCs w:val="24"/>
          <w:lang w:val="en-US"/>
        </w:rPr>
      </w:pPr>
    </w:p>
    <w:p w:rsidR="007A272D" w:rsidRPr="00FB7D6B" w:rsidRDefault="007A272D" w:rsidP="00FB7D6B">
      <w:pPr>
        <w:spacing w:after="0" w:line="360" w:lineRule="auto"/>
        <w:jc w:val="both"/>
        <w:rPr>
          <w:rFonts w:ascii="Book Antiqua" w:eastAsia="SimSun" w:hAnsi="Book Antiqua"/>
          <w:sz w:val="24"/>
          <w:szCs w:val="24"/>
          <w:lang w:eastAsia="zh-CN"/>
        </w:rPr>
      </w:pPr>
      <w:r w:rsidRPr="00FB7D6B">
        <w:rPr>
          <w:rFonts w:ascii="Book Antiqua" w:hAnsi="Book Antiqua"/>
          <w:b/>
          <w:sz w:val="24"/>
          <w:szCs w:val="24"/>
        </w:rPr>
        <w:t xml:space="preserve">Received: </w:t>
      </w:r>
      <w:r w:rsidRPr="00FB7D6B">
        <w:rPr>
          <w:rFonts w:ascii="Book Antiqua" w:eastAsia="SimSun" w:hAnsi="Book Antiqua"/>
          <w:sz w:val="24"/>
          <w:szCs w:val="24"/>
          <w:lang w:eastAsia="zh-CN"/>
        </w:rPr>
        <w:t>December 6, 2017</w:t>
      </w:r>
    </w:p>
    <w:p w:rsidR="007A272D" w:rsidRPr="00FB7D6B" w:rsidRDefault="007A272D" w:rsidP="00FB7D6B">
      <w:pPr>
        <w:spacing w:after="0" w:line="360" w:lineRule="auto"/>
        <w:jc w:val="both"/>
        <w:rPr>
          <w:rFonts w:ascii="Book Antiqua" w:eastAsia="SimSun" w:hAnsi="Book Antiqua"/>
          <w:sz w:val="24"/>
          <w:szCs w:val="24"/>
          <w:lang w:eastAsia="zh-CN"/>
        </w:rPr>
      </w:pPr>
      <w:r w:rsidRPr="00FB7D6B">
        <w:rPr>
          <w:rFonts w:ascii="Book Antiqua" w:hAnsi="Book Antiqua"/>
          <w:b/>
          <w:sz w:val="24"/>
          <w:szCs w:val="24"/>
        </w:rPr>
        <w:t>Peer-review started:</w:t>
      </w:r>
      <w:r w:rsidRPr="00FB7D6B">
        <w:rPr>
          <w:rFonts w:ascii="Book Antiqua" w:eastAsia="SimSun" w:hAnsi="Book Antiqua"/>
          <w:sz w:val="24"/>
          <w:szCs w:val="24"/>
          <w:lang w:eastAsia="zh-CN"/>
        </w:rPr>
        <w:t xml:space="preserve"> </w:t>
      </w:r>
      <w:r w:rsidR="004C43BA" w:rsidRPr="00FB7D6B">
        <w:rPr>
          <w:rFonts w:ascii="Book Antiqua" w:eastAsia="SimSun" w:hAnsi="Book Antiqua"/>
          <w:sz w:val="24"/>
          <w:szCs w:val="24"/>
          <w:lang w:eastAsia="zh-CN"/>
        </w:rPr>
        <w:t>December 6</w:t>
      </w:r>
      <w:r w:rsidRPr="00FB7D6B">
        <w:rPr>
          <w:rFonts w:ascii="Book Antiqua" w:eastAsia="SimSun" w:hAnsi="Book Antiqua"/>
          <w:sz w:val="24"/>
          <w:szCs w:val="24"/>
          <w:lang w:eastAsia="zh-CN"/>
        </w:rPr>
        <w:t>, 2017</w:t>
      </w:r>
    </w:p>
    <w:p w:rsidR="007A272D" w:rsidRPr="00FB7D6B" w:rsidRDefault="007A272D" w:rsidP="00FB7D6B">
      <w:pPr>
        <w:spacing w:after="0" w:line="360" w:lineRule="auto"/>
        <w:jc w:val="both"/>
        <w:rPr>
          <w:rFonts w:ascii="Book Antiqua" w:eastAsia="SimSun" w:hAnsi="Book Antiqua"/>
          <w:sz w:val="24"/>
          <w:szCs w:val="24"/>
          <w:lang w:eastAsia="zh-CN"/>
        </w:rPr>
      </w:pPr>
      <w:r w:rsidRPr="00FB7D6B">
        <w:rPr>
          <w:rFonts w:ascii="Book Antiqua" w:hAnsi="Book Antiqua"/>
          <w:b/>
          <w:sz w:val="24"/>
          <w:szCs w:val="24"/>
        </w:rPr>
        <w:t>First decision:</w:t>
      </w:r>
      <w:r w:rsidRPr="00FB7D6B">
        <w:rPr>
          <w:rFonts w:ascii="Book Antiqua" w:eastAsia="SimSun" w:hAnsi="Book Antiqua"/>
          <w:b/>
          <w:sz w:val="24"/>
          <w:szCs w:val="24"/>
          <w:lang w:eastAsia="zh-CN"/>
        </w:rPr>
        <w:t xml:space="preserve"> </w:t>
      </w:r>
      <w:r w:rsidR="004C43BA" w:rsidRPr="00FB7D6B">
        <w:rPr>
          <w:rFonts w:ascii="Book Antiqua" w:eastAsia="SimSun" w:hAnsi="Book Antiqua"/>
          <w:sz w:val="24"/>
          <w:szCs w:val="24"/>
          <w:lang w:eastAsia="zh-CN"/>
        </w:rPr>
        <w:t>January</w:t>
      </w:r>
      <w:r w:rsidRPr="00FB7D6B">
        <w:rPr>
          <w:rFonts w:ascii="Book Antiqua" w:eastAsia="SimSun" w:hAnsi="Book Antiqua"/>
          <w:sz w:val="24"/>
          <w:szCs w:val="24"/>
          <w:lang w:eastAsia="zh-CN"/>
        </w:rPr>
        <w:t xml:space="preserve"> </w:t>
      </w:r>
      <w:r w:rsidR="004C43BA" w:rsidRPr="00FB7D6B">
        <w:rPr>
          <w:rFonts w:ascii="Book Antiqua" w:eastAsia="SimSun" w:hAnsi="Book Antiqua"/>
          <w:sz w:val="24"/>
          <w:szCs w:val="24"/>
          <w:lang w:eastAsia="zh-CN"/>
        </w:rPr>
        <w:t>18</w:t>
      </w:r>
      <w:r w:rsidRPr="00FB7D6B">
        <w:rPr>
          <w:rFonts w:ascii="Book Antiqua" w:eastAsia="SimSun" w:hAnsi="Book Antiqua"/>
          <w:sz w:val="24"/>
          <w:szCs w:val="24"/>
          <w:lang w:eastAsia="zh-CN"/>
        </w:rPr>
        <w:t>, 201</w:t>
      </w:r>
      <w:r w:rsidR="004C43BA" w:rsidRPr="00FB7D6B">
        <w:rPr>
          <w:rFonts w:ascii="Book Antiqua" w:eastAsia="SimSun" w:hAnsi="Book Antiqua"/>
          <w:sz w:val="24"/>
          <w:szCs w:val="24"/>
          <w:lang w:eastAsia="zh-CN"/>
        </w:rPr>
        <w:t>8</w:t>
      </w:r>
    </w:p>
    <w:p w:rsidR="007A272D" w:rsidRPr="00FB7D6B" w:rsidRDefault="007A272D" w:rsidP="00FB7D6B">
      <w:pPr>
        <w:widowControl w:val="0"/>
        <w:spacing w:after="0" w:line="360" w:lineRule="auto"/>
        <w:jc w:val="both"/>
        <w:rPr>
          <w:rFonts w:ascii="Book Antiqua" w:hAnsi="Book Antiqua"/>
          <w:b/>
          <w:sz w:val="24"/>
          <w:szCs w:val="24"/>
        </w:rPr>
      </w:pPr>
      <w:r w:rsidRPr="00FB7D6B">
        <w:rPr>
          <w:rFonts w:ascii="Book Antiqua" w:hAnsi="Book Antiqua"/>
          <w:b/>
          <w:sz w:val="24"/>
          <w:szCs w:val="24"/>
        </w:rPr>
        <w:t xml:space="preserve">Revised: </w:t>
      </w:r>
      <w:r w:rsidR="004C43BA" w:rsidRPr="00FB7D6B">
        <w:rPr>
          <w:rFonts w:ascii="Book Antiqua" w:eastAsia="SimSun" w:hAnsi="Book Antiqua"/>
          <w:sz w:val="24"/>
          <w:szCs w:val="24"/>
          <w:lang w:eastAsia="zh-CN"/>
        </w:rPr>
        <w:t>February 21, 2018</w:t>
      </w:r>
    </w:p>
    <w:p w:rsidR="007A272D" w:rsidRPr="00FB7D6B" w:rsidRDefault="007A272D" w:rsidP="00FB7D6B">
      <w:pPr>
        <w:widowControl w:val="0"/>
        <w:spacing w:after="0" w:line="360" w:lineRule="auto"/>
        <w:jc w:val="both"/>
        <w:rPr>
          <w:rFonts w:ascii="Book Antiqua" w:hAnsi="Book Antiqua"/>
          <w:b/>
          <w:sz w:val="24"/>
          <w:szCs w:val="24"/>
        </w:rPr>
      </w:pPr>
      <w:r w:rsidRPr="00FB7D6B">
        <w:rPr>
          <w:rFonts w:ascii="Book Antiqua" w:hAnsi="Book Antiqua"/>
          <w:b/>
          <w:sz w:val="24"/>
          <w:szCs w:val="24"/>
        </w:rPr>
        <w:t>Accepted:</w:t>
      </w:r>
      <w:r w:rsidR="00E21EBA" w:rsidRPr="00E21EBA">
        <w:t xml:space="preserve"> </w:t>
      </w:r>
      <w:r w:rsidR="00E21EBA" w:rsidRPr="00E21EBA">
        <w:rPr>
          <w:rFonts w:ascii="Book Antiqua" w:hAnsi="Book Antiqua"/>
          <w:sz w:val="24"/>
          <w:szCs w:val="24"/>
        </w:rPr>
        <w:t>March 3, 2018</w:t>
      </w:r>
      <w:r w:rsidRPr="00FB7D6B">
        <w:rPr>
          <w:rFonts w:ascii="Book Antiqua" w:hAnsi="Book Antiqua"/>
          <w:b/>
          <w:sz w:val="24"/>
          <w:szCs w:val="24"/>
        </w:rPr>
        <w:t xml:space="preserve"> </w:t>
      </w:r>
    </w:p>
    <w:p w:rsidR="007A272D" w:rsidRPr="00FB7D6B" w:rsidRDefault="007A272D" w:rsidP="00FB7D6B">
      <w:pPr>
        <w:widowControl w:val="0"/>
        <w:spacing w:after="0" w:line="360" w:lineRule="auto"/>
        <w:jc w:val="both"/>
        <w:rPr>
          <w:rFonts w:ascii="Book Antiqua" w:hAnsi="Book Antiqua"/>
          <w:b/>
          <w:sz w:val="24"/>
          <w:szCs w:val="24"/>
        </w:rPr>
      </w:pPr>
      <w:r w:rsidRPr="00FB7D6B">
        <w:rPr>
          <w:rFonts w:ascii="Book Antiqua" w:hAnsi="Book Antiqua"/>
          <w:b/>
          <w:sz w:val="24"/>
          <w:szCs w:val="24"/>
        </w:rPr>
        <w:t>Article in press:</w:t>
      </w:r>
    </w:p>
    <w:p w:rsidR="00FB7D6B" w:rsidRDefault="007A272D" w:rsidP="00FB7D6B">
      <w:pPr>
        <w:widowControl w:val="0"/>
        <w:spacing w:after="0" w:line="360" w:lineRule="auto"/>
        <w:jc w:val="both"/>
        <w:rPr>
          <w:rFonts w:ascii="Book Antiqua" w:eastAsia="SimSun" w:hAnsi="Book Antiqua"/>
          <w:sz w:val="24"/>
          <w:szCs w:val="24"/>
          <w:lang w:eastAsia="zh-CN"/>
        </w:rPr>
      </w:pPr>
      <w:r w:rsidRPr="00FB7D6B">
        <w:rPr>
          <w:rFonts w:ascii="Book Antiqua" w:hAnsi="Book Antiqua"/>
          <w:b/>
          <w:sz w:val="24"/>
          <w:szCs w:val="24"/>
        </w:rPr>
        <w:t>Published online:</w:t>
      </w:r>
    </w:p>
    <w:p w:rsidR="00FB7D6B" w:rsidRDefault="00FB7D6B">
      <w:pPr>
        <w:spacing w:after="0" w:line="240" w:lineRule="auto"/>
        <w:rPr>
          <w:rFonts w:ascii="Book Antiqua" w:eastAsia="SimSun" w:hAnsi="Book Antiqua"/>
          <w:sz w:val="24"/>
          <w:szCs w:val="24"/>
          <w:lang w:eastAsia="zh-CN"/>
        </w:rPr>
      </w:pPr>
      <w:r>
        <w:rPr>
          <w:rFonts w:ascii="Book Antiqua" w:eastAsia="SimSun" w:hAnsi="Book Antiqua"/>
          <w:sz w:val="24"/>
          <w:szCs w:val="24"/>
          <w:lang w:eastAsia="zh-CN"/>
        </w:rPr>
        <w:br w:type="page"/>
      </w:r>
    </w:p>
    <w:p w:rsidR="002B44AA" w:rsidRPr="00FB7D6B" w:rsidRDefault="0006706B" w:rsidP="00FB7D6B">
      <w:pPr>
        <w:widowControl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lastRenderedPageBreak/>
        <w:t>A</w:t>
      </w:r>
      <w:r w:rsidR="004C43BA" w:rsidRPr="00FB7D6B">
        <w:rPr>
          <w:rFonts w:ascii="Book Antiqua" w:hAnsi="Book Antiqua" w:cs="Arial"/>
          <w:b/>
          <w:sz w:val="24"/>
          <w:szCs w:val="24"/>
          <w:lang w:val="en-US"/>
        </w:rPr>
        <w:t>bstract</w:t>
      </w:r>
    </w:p>
    <w:p w:rsidR="004C43BA" w:rsidRPr="00FB7D6B" w:rsidRDefault="001A4238"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AIM</w:t>
      </w:r>
    </w:p>
    <w:p w:rsidR="001A4238" w:rsidRPr="00FB7D6B" w:rsidRDefault="00DF0599"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 </w:t>
      </w:r>
      <w:r w:rsidR="001A4238" w:rsidRPr="00FB7D6B">
        <w:rPr>
          <w:rFonts w:ascii="Book Antiqua" w:hAnsi="Book Antiqua" w:cs="Arial"/>
          <w:sz w:val="24"/>
          <w:szCs w:val="24"/>
          <w:lang w:val="en-US"/>
        </w:rPr>
        <w:t>To investigate potential triggering factors leading to acute liver failure (</w:t>
      </w:r>
      <w:r w:rsidR="00C72B49" w:rsidRPr="00FB7D6B">
        <w:rPr>
          <w:rFonts w:ascii="Book Antiqua" w:hAnsi="Book Antiqua" w:cs="Arial"/>
          <w:sz w:val="24"/>
          <w:szCs w:val="24"/>
          <w:lang w:val="en-US"/>
        </w:rPr>
        <w:t>ALF</w:t>
      </w:r>
      <w:r w:rsidR="001A4238" w:rsidRPr="00FB7D6B">
        <w:rPr>
          <w:rFonts w:ascii="Book Antiqua" w:hAnsi="Book Antiqua" w:cs="Arial"/>
          <w:sz w:val="24"/>
          <w:szCs w:val="24"/>
          <w:lang w:val="en-US"/>
        </w:rPr>
        <w:t>)</w:t>
      </w:r>
      <w:r w:rsidR="00C72B49" w:rsidRPr="00FB7D6B">
        <w:rPr>
          <w:rFonts w:ascii="Book Antiqua" w:hAnsi="Book Antiqua" w:cs="Arial"/>
          <w:sz w:val="24"/>
          <w:szCs w:val="24"/>
          <w:lang w:val="en-US"/>
        </w:rPr>
        <w:t xml:space="preserve"> as </w:t>
      </w:r>
      <w:r w:rsidR="00731C01" w:rsidRPr="00FB7D6B">
        <w:rPr>
          <w:rFonts w:ascii="Book Antiqua" w:hAnsi="Book Antiqua" w:cs="Arial"/>
          <w:sz w:val="24"/>
          <w:szCs w:val="24"/>
          <w:lang w:val="en-US"/>
        </w:rPr>
        <w:t xml:space="preserve">the </w:t>
      </w:r>
      <w:r w:rsidR="00C72B49" w:rsidRPr="00FB7D6B">
        <w:rPr>
          <w:rFonts w:ascii="Book Antiqua" w:hAnsi="Book Antiqua" w:cs="Arial"/>
          <w:sz w:val="24"/>
          <w:szCs w:val="24"/>
          <w:lang w:val="en-US"/>
        </w:rPr>
        <w:t xml:space="preserve">initial presentation of </w:t>
      </w:r>
      <w:r w:rsidR="00731C01" w:rsidRPr="00FB7D6B">
        <w:rPr>
          <w:rFonts w:ascii="Book Antiqua" w:hAnsi="Book Antiqua" w:cs="Arial"/>
          <w:sz w:val="24"/>
          <w:szCs w:val="24"/>
          <w:lang w:val="en-US"/>
        </w:rPr>
        <w:t>autoimmune hepatitis (</w:t>
      </w:r>
      <w:r w:rsidR="00C72B49" w:rsidRPr="00FB7D6B">
        <w:rPr>
          <w:rFonts w:ascii="Book Antiqua" w:hAnsi="Book Antiqua" w:cs="Arial"/>
          <w:sz w:val="24"/>
          <w:szCs w:val="24"/>
          <w:lang w:val="en-US"/>
        </w:rPr>
        <w:t>AIH</w:t>
      </w:r>
      <w:r w:rsidR="001A4238" w:rsidRPr="00FB7D6B">
        <w:rPr>
          <w:rFonts w:ascii="Book Antiqua" w:hAnsi="Book Antiqua" w:cs="Arial"/>
          <w:sz w:val="24"/>
          <w:szCs w:val="24"/>
          <w:lang w:val="en-US"/>
        </w:rPr>
        <w:t>).</w:t>
      </w:r>
      <w:r w:rsidR="00C72B49" w:rsidRPr="00FB7D6B">
        <w:rPr>
          <w:rFonts w:ascii="Book Antiqua" w:hAnsi="Book Antiqua" w:cs="Arial"/>
          <w:sz w:val="24"/>
          <w:szCs w:val="24"/>
          <w:lang w:val="en-US"/>
        </w:rPr>
        <w:t xml:space="preserve"> </w:t>
      </w:r>
    </w:p>
    <w:p w:rsidR="004C43BA" w:rsidRPr="00FB7D6B" w:rsidRDefault="004C43BA" w:rsidP="00FB7D6B">
      <w:pPr>
        <w:adjustRightInd w:val="0"/>
        <w:snapToGrid w:val="0"/>
        <w:spacing w:after="0" w:line="360" w:lineRule="auto"/>
        <w:jc w:val="both"/>
        <w:rPr>
          <w:rFonts w:ascii="Book Antiqua" w:hAnsi="Book Antiqua" w:cs="Arial"/>
          <w:sz w:val="24"/>
          <w:szCs w:val="24"/>
          <w:lang w:val="en-US" w:eastAsia="zh-CN"/>
        </w:rPr>
      </w:pPr>
    </w:p>
    <w:p w:rsidR="004C43BA" w:rsidRPr="00FB7D6B" w:rsidRDefault="00E36520"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i/>
          <w:sz w:val="24"/>
          <w:szCs w:val="24"/>
          <w:lang w:val="en-US"/>
        </w:rPr>
        <w:t>METHODS</w:t>
      </w:r>
    </w:p>
    <w:p w:rsidR="00E36520" w:rsidRPr="00FB7D6B" w:rsidRDefault="009A2082"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A total of </w:t>
      </w:r>
      <w:r w:rsidR="00DF0599" w:rsidRPr="00FB7D6B">
        <w:rPr>
          <w:rFonts w:ascii="Book Antiqua" w:hAnsi="Book Antiqua" w:cs="Arial"/>
          <w:sz w:val="24"/>
          <w:szCs w:val="24"/>
          <w:lang w:val="en-US"/>
        </w:rPr>
        <w:t>5</w:t>
      </w:r>
      <w:r w:rsidR="00E52A37" w:rsidRPr="00FB7D6B">
        <w:rPr>
          <w:rFonts w:ascii="Book Antiqua" w:hAnsi="Book Antiqua" w:cs="Arial"/>
          <w:sz w:val="24"/>
          <w:szCs w:val="24"/>
          <w:lang w:val="en-US"/>
        </w:rPr>
        <w:t>65</w:t>
      </w:r>
      <w:r w:rsidRPr="00FB7D6B">
        <w:rPr>
          <w:rFonts w:ascii="Book Antiqua" w:hAnsi="Book Antiqua" w:cs="Arial"/>
          <w:sz w:val="24"/>
          <w:szCs w:val="24"/>
          <w:lang w:val="en-US"/>
        </w:rPr>
        <w:t xml:space="preserve"> patients </w:t>
      </w:r>
      <w:r w:rsidR="00731C01" w:rsidRPr="00FB7D6B">
        <w:rPr>
          <w:rFonts w:ascii="Book Antiqua" w:hAnsi="Book Antiqua" w:cs="Arial"/>
          <w:sz w:val="24"/>
          <w:szCs w:val="24"/>
          <w:lang w:val="en-US"/>
        </w:rPr>
        <w:t>treated at our D</w:t>
      </w:r>
      <w:r w:rsidR="00DF0599" w:rsidRPr="00FB7D6B">
        <w:rPr>
          <w:rFonts w:ascii="Book Antiqua" w:hAnsi="Book Antiqua" w:cs="Arial"/>
          <w:sz w:val="24"/>
          <w:szCs w:val="24"/>
          <w:lang w:val="en-US"/>
        </w:rPr>
        <w:t xml:space="preserve">epartment between </w:t>
      </w:r>
      <w:r w:rsidR="00E52A37" w:rsidRPr="00FB7D6B">
        <w:rPr>
          <w:rFonts w:ascii="Book Antiqua" w:hAnsi="Book Antiqua" w:cs="Arial"/>
          <w:sz w:val="24"/>
          <w:szCs w:val="24"/>
          <w:lang w:val="en-US"/>
        </w:rPr>
        <w:t>2005</w:t>
      </w:r>
      <w:r w:rsidR="00DF0599" w:rsidRPr="00FB7D6B">
        <w:rPr>
          <w:rFonts w:ascii="Book Antiqua" w:hAnsi="Book Antiqua" w:cs="Arial"/>
          <w:sz w:val="24"/>
          <w:szCs w:val="24"/>
          <w:lang w:val="en-US"/>
        </w:rPr>
        <w:t xml:space="preserve"> and 201</w:t>
      </w:r>
      <w:r w:rsidR="00E52A37" w:rsidRPr="00FB7D6B">
        <w:rPr>
          <w:rFonts w:ascii="Book Antiqua" w:hAnsi="Book Antiqua" w:cs="Arial"/>
          <w:sz w:val="24"/>
          <w:szCs w:val="24"/>
          <w:lang w:val="en-US"/>
        </w:rPr>
        <w:t>7</w:t>
      </w:r>
      <w:r w:rsidR="00DF0599" w:rsidRPr="00FB7D6B">
        <w:rPr>
          <w:rFonts w:ascii="Book Antiqua" w:hAnsi="Book Antiqua" w:cs="Arial"/>
          <w:sz w:val="24"/>
          <w:szCs w:val="24"/>
          <w:lang w:val="en-US"/>
        </w:rPr>
        <w:t xml:space="preserve"> for </w:t>
      </w:r>
      <w:r w:rsidR="00DA6F5D" w:rsidRPr="00FB7D6B">
        <w:rPr>
          <w:rFonts w:ascii="Book Antiqua" w:hAnsi="Book Antiqua" w:cs="Arial"/>
          <w:sz w:val="24"/>
          <w:szCs w:val="24"/>
          <w:lang w:val="en-US"/>
        </w:rPr>
        <w:t>histologically-</w:t>
      </w:r>
      <w:r w:rsidR="00731C01" w:rsidRPr="00FB7D6B">
        <w:rPr>
          <w:rFonts w:ascii="Book Antiqua" w:hAnsi="Book Antiqua" w:cs="Arial"/>
          <w:sz w:val="24"/>
          <w:szCs w:val="24"/>
          <w:lang w:val="en-US"/>
        </w:rPr>
        <w:t xml:space="preserve">proven </w:t>
      </w:r>
      <w:r w:rsidR="00C92E46" w:rsidRPr="00FB7D6B">
        <w:rPr>
          <w:rFonts w:ascii="Book Antiqua" w:hAnsi="Book Antiqua" w:cs="Arial"/>
          <w:sz w:val="24"/>
          <w:szCs w:val="24"/>
          <w:lang w:val="en-US"/>
        </w:rPr>
        <w:t xml:space="preserve">AIH </w:t>
      </w:r>
      <w:r w:rsidRPr="00FB7D6B">
        <w:rPr>
          <w:rFonts w:ascii="Book Antiqua" w:hAnsi="Book Antiqua" w:cs="Arial"/>
          <w:sz w:val="24"/>
          <w:szCs w:val="24"/>
          <w:lang w:val="en-US"/>
        </w:rPr>
        <w:t xml:space="preserve">were </w:t>
      </w:r>
      <w:r w:rsidR="00E36520" w:rsidRPr="00FB7D6B">
        <w:rPr>
          <w:rFonts w:ascii="Book Antiqua" w:hAnsi="Book Antiqua" w:cs="Arial"/>
          <w:sz w:val="24"/>
          <w:szCs w:val="24"/>
          <w:lang w:val="en-US"/>
        </w:rPr>
        <w:t xml:space="preserve">retrospectively </w:t>
      </w:r>
      <w:r w:rsidRPr="00FB7D6B">
        <w:rPr>
          <w:rFonts w:ascii="Book Antiqua" w:hAnsi="Book Antiqua" w:cs="Arial"/>
          <w:sz w:val="24"/>
          <w:szCs w:val="24"/>
          <w:lang w:val="en-US"/>
        </w:rPr>
        <w:t>analyzed</w:t>
      </w:r>
      <w:r w:rsidR="00DF0599" w:rsidRPr="00FB7D6B">
        <w:rPr>
          <w:rFonts w:ascii="Book Antiqua" w:hAnsi="Book Antiqua" w:cs="Arial"/>
          <w:sz w:val="24"/>
          <w:szCs w:val="24"/>
          <w:lang w:val="en-US"/>
        </w:rPr>
        <w:t xml:space="preserve">. However, </w:t>
      </w:r>
      <w:r w:rsidR="00C72B49" w:rsidRPr="00FB7D6B">
        <w:rPr>
          <w:rFonts w:ascii="Book Antiqua" w:hAnsi="Book Antiqua" w:cs="Arial"/>
          <w:sz w:val="24"/>
          <w:szCs w:val="24"/>
          <w:lang w:val="en-US"/>
        </w:rPr>
        <w:t>52</w:t>
      </w:r>
      <w:r w:rsidR="00DF0599" w:rsidRPr="00FB7D6B">
        <w:rPr>
          <w:rFonts w:ascii="Book Antiqua" w:hAnsi="Book Antiqua" w:cs="Arial"/>
          <w:sz w:val="24"/>
          <w:szCs w:val="24"/>
          <w:lang w:val="en-US"/>
        </w:rPr>
        <w:t xml:space="preserve"> patients (</w:t>
      </w:r>
      <w:r w:rsidR="00C72B49" w:rsidRPr="00FB7D6B">
        <w:rPr>
          <w:rFonts w:ascii="Book Antiqua" w:hAnsi="Book Antiqua" w:cs="Arial"/>
          <w:sz w:val="24"/>
          <w:szCs w:val="24"/>
          <w:lang w:val="en-US"/>
        </w:rPr>
        <w:t>9</w:t>
      </w:r>
      <w:r w:rsidR="00E52A37" w:rsidRPr="00FB7D6B">
        <w:rPr>
          <w:rFonts w:ascii="Book Antiqua" w:hAnsi="Book Antiqua" w:cs="Arial"/>
          <w:sz w:val="24"/>
          <w:szCs w:val="24"/>
          <w:lang w:val="en-US"/>
        </w:rPr>
        <w:t>.</w:t>
      </w:r>
      <w:r w:rsidR="001F6882" w:rsidRPr="00FB7D6B">
        <w:rPr>
          <w:rFonts w:ascii="Book Antiqua" w:hAnsi="Book Antiqua" w:cs="Arial"/>
          <w:sz w:val="24"/>
          <w:szCs w:val="24"/>
          <w:lang w:val="en-US"/>
        </w:rPr>
        <w:t>2</w:t>
      </w:r>
      <w:r w:rsidR="00DF0599" w:rsidRPr="00FB7D6B">
        <w:rPr>
          <w:rFonts w:ascii="Book Antiqua" w:hAnsi="Book Antiqua" w:cs="Arial"/>
          <w:sz w:val="24"/>
          <w:szCs w:val="24"/>
          <w:lang w:val="en-US"/>
        </w:rPr>
        <w:t xml:space="preserve">%) fulfilled the criteria </w:t>
      </w:r>
      <w:r w:rsidR="00F32B8E" w:rsidRPr="00FB7D6B">
        <w:rPr>
          <w:rFonts w:ascii="Book Antiqua" w:hAnsi="Book Antiqua" w:cs="Arial"/>
          <w:sz w:val="24"/>
          <w:szCs w:val="24"/>
          <w:lang w:val="en-US"/>
        </w:rPr>
        <w:t>for</w:t>
      </w:r>
      <w:r w:rsidR="00E36520" w:rsidRPr="00FB7D6B">
        <w:rPr>
          <w:rFonts w:ascii="Book Antiqua" w:hAnsi="Book Antiqua" w:cs="Arial"/>
          <w:sz w:val="24"/>
          <w:szCs w:val="24"/>
          <w:lang w:val="en-US"/>
        </w:rPr>
        <w:t xml:space="preserve"> </w:t>
      </w:r>
      <w:r w:rsidR="00C92E46" w:rsidRPr="00FB7D6B">
        <w:rPr>
          <w:rFonts w:ascii="Book Antiqua" w:hAnsi="Book Antiqua" w:cs="Arial"/>
          <w:sz w:val="24"/>
          <w:szCs w:val="24"/>
          <w:lang w:val="en-US"/>
        </w:rPr>
        <w:t xml:space="preserve">ALF </w:t>
      </w:r>
      <w:r w:rsidR="00DF0599" w:rsidRPr="00FB7D6B">
        <w:rPr>
          <w:rFonts w:ascii="Book Antiqua" w:hAnsi="Book Antiqua" w:cs="Arial"/>
          <w:sz w:val="24"/>
          <w:szCs w:val="24"/>
          <w:lang w:val="en-US"/>
        </w:rPr>
        <w:t>defined</w:t>
      </w:r>
      <w:r w:rsidR="00AE3C8E" w:rsidRPr="00FB7D6B">
        <w:rPr>
          <w:rFonts w:ascii="Book Antiqua" w:hAnsi="Book Antiqua" w:cs="Arial"/>
          <w:sz w:val="24"/>
          <w:szCs w:val="24"/>
          <w:lang w:val="en-US"/>
        </w:rPr>
        <w:t xml:space="preserve"> </w:t>
      </w:r>
      <w:r w:rsidR="00DF0599" w:rsidRPr="00FB7D6B">
        <w:rPr>
          <w:rFonts w:ascii="Book Antiqua" w:hAnsi="Book Antiqua" w:cs="Arial"/>
          <w:sz w:val="24"/>
          <w:szCs w:val="24"/>
          <w:lang w:val="en-US"/>
        </w:rPr>
        <w:t>by the “</w:t>
      </w:r>
      <w:r w:rsidR="00AE3C8E" w:rsidRPr="00FB7D6B">
        <w:rPr>
          <w:rFonts w:ascii="Book Antiqua" w:hAnsi="Book Antiqua" w:cs="Arial"/>
          <w:sz w:val="24"/>
          <w:szCs w:val="24"/>
          <w:lang w:val="en-US"/>
        </w:rPr>
        <w:t>American Association for the Study of the Liver (AASLD)</w:t>
      </w:r>
      <w:r w:rsidR="00DF0599" w:rsidRPr="00FB7D6B">
        <w:rPr>
          <w:rFonts w:ascii="Book Antiqua" w:hAnsi="Book Antiqua" w:cs="Arial"/>
          <w:sz w:val="24"/>
          <w:szCs w:val="24"/>
          <w:lang w:val="en-US"/>
        </w:rPr>
        <w:t>”.</w:t>
      </w:r>
      <w:r w:rsidR="00AE3C8E" w:rsidRPr="00FB7D6B">
        <w:rPr>
          <w:rFonts w:ascii="Book Antiqua" w:hAnsi="Book Antiqua" w:cs="Arial"/>
          <w:sz w:val="24"/>
          <w:szCs w:val="24"/>
          <w:lang w:val="en-US"/>
        </w:rPr>
        <w:t xml:space="preserve"> According to this definition, p</w:t>
      </w:r>
      <w:r w:rsidR="00731C01" w:rsidRPr="00FB7D6B">
        <w:rPr>
          <w:rFonts w:ascii="Book Antiqua" w:hAnsi="Book Antiqua" w:cs="Arial"/>
          <w:sz w:val="24"/>
          <w:szCs w:val="24"/>
          <w:lang w:val="en-US"/>
        </w:rPr>
        <w:t xml:space="preserve">atients with </w:t>
      </w:r>
      <w:r w:rsidR="00DF0599" w:rsidRPr="00FB7D6B">
        <w:rPr>
          <w:rFonts w:ascii="Book Antiqua" w:hAnsi="Book Antiqua" w:cs="Arial"/>
          <w:sz w:val="24"/>
          <w:szCs w:val="24"/>
          <w:lang w:val="en-US"/>
        </w:rPr>
        <w:t xml:space="preserve">“acute-on-chronic” or “acute-on-cirrhosis” liver failure were excluded. </w:t>
      </w:r>
      <w:r w:rsidR="00E36520" w:rsidRPr="00FB7D6B">
        <w:rPr>
          <w:rFonts w:ascii="Book Antiqua" w:hAnsi="Book Antiqua" w:cs="Arial"/>
          <w:sz w:val="24"/>
          <w:szCs w:val="24"/>
          <w:lang w:val="en-US"/>
        </w:rPr>
        <w:t xml:space="preserve">Following parameters </w:t>
      </w:r>
      <w:r w:rsidR="00C92E46" w:rsidRPr="00FB7D6B">
        <w:rPr>
          <w:rFonts w:ascii="Book Antiqua" w:hAnsi="Book Antiqua" w:cs="Arial"/>
          <w:sz w:val="24"/>
          <w:szCs w:val="24"/>
          <w:lang w:val="en-US"/>
        </w:rPr>
        <w:t xml:space="preserve">with focus on potential triggering factors </w:t>
      </w:r>
      <w:r w:rsidR="00E36520" w:rsidRPr="00FB7D6B">
        <w:rPr>
          <w:rFonts w:ascii="Book Antiqua" w:hAnsi="Book Antiqua" w:cs="Arial"/>
          <w:sz w:val="24"/>
          <w:szCs w:val="24"/>
          <w:lang w:val="en-US"/>
        </w:rPr>
        <w:t xml:space="preserve">were evaluated: </w:t>
      </w:r>
      <w:r w:rsidR="004C43BA" w:rsidRPr="00FB7D6B">
        <w:rPr>
          <w:rFonts w:ascii="Book Antiqua" w:hAnsi="Book Antiqua" w:cs="Arial"/>
          <w:sz w:val="24"/>
          <w:szCs w:val="24"/>
          <w:lang w:val="en-US"/>
        </w:rPr>
        <w:t>P</w:t>
      </w:r>
      <w:r w:rsidR="00E36520" w:rsidRPr="00FB7D6B">
        <w:rPr>
          <w:rFonts w:ascii="Book Antiqua" w:hAnsi="Book Antiqua" w:cs="Arial"/>
          <w:sz w:val="24"/>
          <w:szCs w:val="24"/>
          <w:lang w:val="en-US"/>
        </w:rPr>
        <w:t xml:space="preserve">atients’ demographics, </w:t>
      </w:r>
      <w:r w:rsidR="00C92E46" w:rsidRPr="00FB7D6B">
        <w:rPr>
          <w:rFonts w:ascii="Book Antiqua" w:hAnsi="Book Antiqua" w:cs="Arial"/>
          <w:sz w:val="24"/>
          <w:szCs w:val="24"/>
          <w:lang w:val="en-US"/>
        </w:rPr>
        <w:t xml:space="preserve">causation of liver failure, </w:t>
      </w:r>
      <w:r w:rsidR="00E36520" w:rsidRPr="00FB7D6B">
        <w:rPr>
          <w:rFonts w:ascii="Book Antiqua" w:hAnsi="Book Antiqua" w:cs="Arial"/>
          <w:sz w:val="24"/>
          <w:szCs w:val="24"/>
          <w:lang w:val="en-US"/>
        </w:rPr>
        <w:t xml:space="preserve">laboratory data (liver enzymes, MELD-score, </w:t>
      </w:r>
      <w:r w:rsidR="00C92E46" w:rsidRPr="00FB7D6B">
        <w:rPr>
          <w:rFonts w:ascii="Book Antiqua" w:hAnsi="Book Antiqua" w:cs="Arial"/>
          <w:sz w:val="24"/>
          <w:szCs w:val="24"/>
          <w:lang w:val="en-US"/>
        </w:rPr>
        <w:t xml:space="preserve">autoimmune markers, virus serology), liver histology, </w:t>
      </w:r>
      <w:r w:rsidR="00E36520" w:rsidRPr="00FB7D6B">
        <w:rPr>
          <w:rFonts w:ascii="Book Antiqua" w:hAnsi="Book Antiqua" w:cs="Arial"/>
          <w:sz w:val="24"/>
          <w:szCs w:val="24"/>
          <w:lang w:val="en-US"/>
        </w:rPr>
        <w:t>immunosuppressive regime</w:t>
      </w:r>
      <w:r w:rsidR="00C92E46" w:rsidRPr="00FB7D6B">
        <w:rPr>
          <w:rFonts w:ascii="Book Antiqua" w:hAnsi="Book Antiqua" w:cs="Arial"/>
          <w:sz w:val="24"/>
          <w:szCs w:val="24"/>
          <w:lang w:val="en-US"/>
        </w:rPr>
        <w:t>, and finally, outcome of our patients.</w:t>
      </w:r>
    </w:p>
    <w:p w:rsidR="004C43BA" w:rsidRPr="00FB7D6B" w:rsidRDefault="004C43BA" w:rsidP="00FB7D6B">
      <w:pPr>
        <w:adjustRightInd w:val="0"/>
        <w:snapToGrid w:val="0"/>
        <w:spacing w:after="0" w:line="360" w:lineRule="auto"/>
        <w:jc w:val="both"/>
        <w:rPr>
          <w:rFonts w:ascii="Book Antiqua" w:hAnsi="Book Antiqua" w:cs="Arial"/>
          <w:b/>
          <w:sz w:val="24"/>
          <w:szCs w:val="24"/>
          <w:lang w:val="en-US" w:eastAsia="zh-CN"/>
        </w:rPr>
      </w:pPr>
    </w:p>
    <w:p w:rsidR="004C43BA" w:rsidRPr="00FB7D6B" w:rsidRDefault="00C92E4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RESULTS</w:t>
      </w:r>
    </w:p>
    <w:p w:rsidR="00C92E46" w:rsidRPr="00FB7D6B" w:rsidRDefault="00DF0599"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The majority </w:t>
      </w:r>
      <w:r w:rsidR="00C72B49" w:rsidRPr="00FB7D6B">
        <w:rPr>
          <w:rFonts w:ascii="Book Antiqua" w:hAnsi="Book Antiqua" w:cs="Arial"/>
          <w:sz w:val="24"/>
          <w:szCs w:val="24"/>
          <w:lang w:val="en-US"/>
        </w:rPr>
        <w:t xml:space="preserve">of patients </w:t>
      </w:r>
      <w:r w:rsidR="009A2082" w:rsidRPr="00FB7D6B">
        <w:rPr>
          <w:rFonts w:ascii="Book Antiqua" w:hAnsi="Book Antiqua" w:cs="Arial"/>
          <w:sz w:val="24"/>
          <w:szCs w:val="24"/>
          <w:lang w:val="en-US"/>
        </w:rPr>
        <w:t xml:space="preserve">with ALF </w:t>
      </w:r>
      <w:r w:rsidR="00C72B49" w:rsidRPr="00FB7D6B">
        <w:rPr>
          <w:rFonts w:ascii="Book Antiqua" w:hAnsi="Book Antiqua" w:cs="Arial"/>
          <w:sz w:val="24"/>
          <w:szCs w:val="24"/>
          <w:lang w:val="en-US"/>
        </w:rPr>
        <w:t>were</w:t>
      </w:r>
      <w:r w:rsidRPr="00FB7D6B">
        <w:rPr>
          <w:rFonts w:ascii="Book Antiqua" w:hAnsi="Book Antiqua" w:cs="Arial"/>
          <w:sz w:val="24"/>
          <w:szCs w:val="24"/>
          <w:lang w:val="en-US"/>
        </w:rPr>
        <w:t xml:space="preserve"> female (</w:t>
      </w:r>
      <w:r w:rsidR="001F6882" w:rsidRPr="00FB7D6B">
        <w:rPr>
          <w:rFonts w:ascii="Book Antiqua" w:hAnsi="Book Antiqua" w:cs="Arial"/>
          <w:sz w:val="24"/>
          <w:szCs w:val="24"/>
          <w:lang w:val="en-US"/>
        </w:rPr>
        <w:t>84.6</w:t>
      </w:r>
      <w:r w:rsidR="004C43BA" w:rsidRPr="00FB7D6B">
        <w:rPr>
          <w:rFonts w:ascii="Book Antiqua" w:hAnsi="Book Antiqua" w:cs="Arial"/>
          <w:sz w:val="24"/>
          <w:szCs w:val="24"/>
          <w:lang w:val="en-US"/>
        </w:rPr>
        <w:t>%</w:t>
      </w:r>
      <w:r w:rsidR="00731C01" w:rsidRPr="00FB7D6B">
        <w:rPr>
          <w:rFonts w:ascii="Book Antiqua" w:hAnsi="Book Antiqua" w:cs="Arial"/>
          <w:sz w:val="24"/>
          <w:szCs w:val="24"/>
          <w:lang w:val="en-US"/>
        </w:rPr>
        <w:t xml:space="preserve">) and </w:t>
      </w:r>
      <w:r w:rsidRPr="00FB7D6B">
        <w:rPr>
          <w:rFonts w:ascii="Book Antiqua" w:hAnsi="Book Antiqua" w:cs="Arial"/>
          <w:sz w:val="24"/>
          <w:szCs w:val="24"/>
          <w:lang w:val="en-US"/>
        </w:rPr>
        <w:t>m</w:t>
      </w:r>
      <w:r w:rsidR="00872E0D" w:rsidRPr="00FB7D6B">
        <w:rPr>
          <w:rFonts w:ascii="Book Antiqua" w:hAnsi="Book Antiqua" w:cs="Arial"/>
          <w:sz w:val="24"/>
          <w:szCs w:val="24"/>
          <w:lang w:val="en-US"/>
        </w:rPr>
        <w:t>ea</w:t>
      </w:r>
      <w:r w:rsidR="00C72B49" w:rsidRPr="00FB7D6B">
        <w:rPr>
          <w:rFonts w:ascii="Book Antiqua" w:hAnsi="Book Antiqua" w:cs="Arial"/>
          <w:sz w:val="24"/>
          <w:szCs w:val="24"/>
          <w:lang w:val="en-US"/>
        </w:rPr>
        <w:t>n</w:t>
      </w:r>
      <w:r w:rsidRPr="00FB7D6B">
        <w:rPr>
          <w:rFonts w:ascii="Book Antiqua" w:hAnsi="Book Antiqua" w:cs="Arial"/>
          <w:sz w:val="24"/>
          <w:szCs w:val="24"/>
          <w:lang w:val="en-US"/>
        </w:rPr>
        <w:t xml:space="preserve"> age was </w:t>
      </w:r>
      <w:r w:rsidR="001F6882" w:rsidRPr="00FB7D6B">
        <w:rPr>
          <w:rFonts w:ascii="Book Antiqua" w:hAnsi="Book Antiqua" w:cs="Arial"/>
          <w:sz w:val="24"/>
          <w:szCs w:val="24"/>
          <w:lang w:val="en-US"/>
        </w:rPr>
        <w:t>4</w:t>
      </w:r>
      <w:r w:rsidR="00DB3E03" w:rsidRPr="00FB7D6B">
        <w:rPr>
          <w:rFonts w:ascii="Book Antiqua" w:hAnsi="Book Antiqua" w:cs="Arial"/>
          <w:sz w:val="24"/>
          <w:szCs w:val="24"/>
          <w:lang w:val="en-US"/>
        </w:rPr>
        <w:t>3</w:t>
      </w:r>
      <w:r w:rsidR="001F6882" w:rsidRPr="00FB7D6B">
        <w:rPr>
          <w:rFonts w:ascii="Book Antiqua" w:hAnsi="Book Antiqua" w:cs="Arial"/>
          <w:sz w:val="24"/>
          <w:szCs w:val="24"/>
          <w:lang w:val="en-US"/>
        </w:rPr>
        <w:t>.</w:t>
      </w:r>
      <w:r w:rsidR="00DB3E03" w:rsidRPr="00FB7D6B">
        <w:rPr>
          <w:rFonts w:ascii="Book Antiqua" w:hAnsi="Book Antiqua" w:cs="Arial"/>
          <w:sz w:val="24"/>
          <w:szCs w:val="24"/>
          <w:lang w:val="en-US"/>
        </w:rPr>
        <w:t>6</w:t>
      </w:r>
      <w:r w:rsidR="00E52A37" w:rsidRPr="00FB7D6B">
        <w:rPr>
          <w:rFonts w:ascii="Book Antiqua" w:hAnsi="Book Antiqua" w:cs="Arial"/>
          <w:sz w:val="24"/>
          <w:szCs w:val="24"/>
          <w:lang w:val="en-US"/>
        </w:rPr>
        <w:t xml:space="preserve"> ± 14.</w:t>
      </w:r>
      <w:r w:rsidR="00C72B49" w:rsidRPr="00FB7D6B">
        <w:rPr>
          <w:rFonts w:ascii="Book Antiqua" w:hAnsi="Book Antiqua" w:cs="Arial"/>
          <w:sz w:val="24"/>
          <w:szCs w:val="24"/>
          <w:lang w:val="en-US"/>
        </w:rPr>
        <w:t>9</w:t>
      </w:r>
      <w:r w:rsidR="009A2082" w:rsidRPr="00FB7D6B">
        <w:rPr>
          <w:rFonts w:ascii="Book Antiqua" w:hAnsi="Book Antiqua" w:cs="Arial"/>
          <w:sz w:val="24"/>
          <w:szCs w:val="24"/>
          <w:lang w:val="en-US"/>
        </w:rPr>
        <w:t xml:space="preserve"> </w:t>
      </w:r>
      <w:r w:rsidRPr="00FB7D6B">
        <w:rPr>
          <w:rFonts w:ascii="Book Antiqua" w:hAnsi="Book Antiqua" w:cs="Arial"/>
          <w:sz w:val="24"/>
          <w:szCs w:val="24"/>
          <w:lang w:val="en-US"/>
        </w:rPr>
        <w:t>years.</w:t>
      </w:r>
      <w:r w:rsidR="00731C01" w:rsidRPr="00FB7D6B">
        <w:rPr>
          <w:rFonts w:ascii="Book Antiqua" w:hAnsi="Book Antiqua" w:cs="Arial"/>
          <w:sz w:val="24"/>
          <w:szCs w:val="24"/>
          <w:lang w:val="en-US"/>
        </w:rPr>
        <w:t xml:space="preserve"> Interestingly, n</w:t>
      </w:r>
      <w:r w:rsidR="00E52A37" w:rsidRPr="00FB7D6B">
        <w:rPr>
          <w:rFonts w:ascii="Book Antiqua" w:hAnsi="Book Antiqua" w:cs="Arial"/>
          <w:sz w:val="24"/>
          <w:szCs w:val="24"/>
          <w:lang w:val="en-US"/>
        </w:rPr>
        <w:t xml:space="preserve">one of the patients </w:t>
      </w:r>
      <w:r w:rsidR="00697E97" w:rsidRPr="00FB7D6B">
        <w:rPr>
          <w:rFonts w:ascii="Book Antiqua" w:hAnsi="Book Antiqua" w:cs="Arial"/>
          <w:sz w:val="24"/>
          <w:szCs w:val="24"/>
          <w:lang w:val="en-US"/>
        </w:rPr>
        <w:t>with ALF was positive for anti-liver kidney microsomal antibody (LKM)</w:t>
      </w:r>
      <w:r w:rsidR="00E52A37" w:rsidRPr="00FB7D6B">
        <w:rPr>
          <w:rFonts w:ascii="Book Antiqua" w:hAnsi="Book Antiqua" w:cs="Arial"/>
          <w:sz w:val="24"/>
          <w:szCs w:val="24"/>
          <w:lang w:val="en-US"/>
        </w:rPr>
        <w:t xml:space="preserve">. </w:t>
      </w:r>
      <w:r w:rsidR="00731C01" w:rsidRPr="00FB7D6B">
        <w:rPr>
          <w:rFonts w:ascii="Book Antiqua" w:hAnsi="Book Antiqua" w:cs="Arial"/>
          <w:sz w:val="24"/>
          <w:szCs w:val="24"/>
          <w:lang w:val="en-US"/>
        </w:rPr>
        <w:t xml:space="preserve">We could identify </w:t>
      </w:r>
      <w:r w:rsidR="009A2082" w:rsidRPr="00FB7D6B">
        <w:rPr>
          <w:rFonts w:ascii="Book Antiqua" w:hAnsi="Book Antiqua" w:cs="Arial"/>
          <w:sz w:val="24"/>
          <w:szCs w:val="24"/>
          <w:lang w:val="en-US"/>
        </w:rPr>
        <w:t xml:space="preserve">potential </w:t>
      </w:r>
      <w:r w:rsidR="00731C01" w:rsidRPr="00FB7D6B">
        <w:rPr>
          <w:rFonts w:ascii="Book Antiqua" w:hAnsi="Book Antiqua" w:cs="Arial"/>
          <w:sz w:val="24"/>
          <w:szCs w:val="24"/>
          <w:lang w:val="en-US"/>
        </w:rPr>
        <w:t>t</w:t>
      </w:r>
      <w:r w:rsidR="00E52A37" w:rsidRPr="00FB7D6B">
        <w:rPr>
          <w:rFonts w:ascii="Book Antiqua" w:hAnsi="Book Antiqua" w:cs="Arial"/>
          <w:sz w:val="24"/>
          <w:szCs w:val="24"/>
          <w:lang w:val="en-US"/>
        </w:rPr>
        <w:t>r</w:t>
      </w:r>
      <w:r w:rsidR="00731C01" w:rsidRPr="00FB7D6B">
        <w:rPr>
          <w:rFonts w:ascii="Book Antiqua" w:hAnsi="Book Antiqua" w:cs="Arial"/>
          <w:sz w:val="24"/>
          <w:szCs w:val="24"/>
          <w:lang w:val="en-US"/>
        </w:rPr>
        <w:t xml:space="preserve">iggering factors </w:t>
      </w:r>
      <w:r w:rsidR="00E52A37" w:rsidRPr="00FB7D6B">
        <w:rPr>
          <w:rFonts w:ascii="Book Antiqua" w:hAnsi="Book Antiqua" w:cs="Arial"/>
          <w:sz w:val="24"/>
          <w:szCs w:val="24"/>
          <w:lang w:val="en-US"/>
        </w:rPr>
        <w:t xml:space="preserve">in </w:t>
      </w:r>
      <w:r w:rsidR="00702D2D" w:rsidRPr="00FB7D6B">
        <w:rPr>
          <w:rFonts w:ascii="Book Antiqua" w:hAnsi="Book Antiqua" w:cs="Arial"/>
          <w:sz w:val="24"/>
          <w:szCs w:val="24"/>
          <w:lang w:val="en-US"/>
        </w:rPr>
        <w:t>26</w:t>
      </w:r>
      <w:r w:rsidR="00E52A37" w:rsidRPr="00FB7D6B">
        <w:rPr>
          <w:rFonts w:ascii="Book Antiqua" w:hAnsi="Book Antiqua" w:cs="Arial"/>
          <w:sz w:val="24"/>
          <w:szCs w:val="24"/>
          <w:lang w:val="en-US"/>
        </w:rPr>
        <w:t>/</w:t>
      </w:r>
      <w:r w:rsidR="00702D2D" w:rsidRPr="00FB7D6B">
        <w:rPr>
          <w:rFonts w:ascii="Book Antiqua" w:hAnsi="Book Antiqua" w:cs="Arial"/>
          <w:sz w:val="24"/>
          <w:szCs w:val="24"/>
          <w:lang w:val="en-US"/>
        </w:rPr>
        <w:t>52</w:t>
      </w:r>
      <w:r w:rsidR="00E52A37" w:rsidRPr="00FB7D6B">
        <w:rPr>
          <w:rFonts w:ascii="Book Antiqua" w:hAnsi="Book Antiqua" w:cs="Arial"/>
          <w:sz w:val="24"/>
          <w:szCs w:val="24"/>
          <w:lang w:val="en-US"/>
        </w:rPr>
        <w:t xml:space="preserve"> (</w:t>
      </w:r>
      <w:r w:rsidR="001F6882" w:rsidRPr="00FB7D6B">
        <w:rPr>
          <w:rFonts w:ascii="Book Antiqua" w:hAnsi="Book Antiqua" w:cs="Arial"/>
          <w:sz w:val="24"/>
          <w:szCs w:val="24"/>
          <w:lang w:val="en-US"/>
        </w:rPr>
        <w:t>50.</w:t>
      </w:r>
      <w:r w:rsidR="00702D2D" w:rsidRPr="00FB7D6B">
        <w:rPr>
          <w:rFonts w:ascii="Book Antiqua" w:hAnsi="Book Antiqua" w:cs="Arial"/>
          <w:sz w:val="24"/>
          <w:szCs w:val="24"/>
          <w:lang w:val="en-US"/>
        </w:rPr>
        <w:t>0</w:t>
      </w:r>
      <w:r w:rsidR="00731C01" w:rsidRPr="00FB7D6B">
        <w:rPr>
          <w:rFonts w:ascii="Book Antiqua" w:hAnsi="Book Antiqua" w:cs="Arial"/>
          <w:sz w:val="24"/>
          <w:szCs w:val="24"/>
          <w:lang w:val="en-US"/>
        </w:rPr>
        <w:t xml:space="preserve">%) </w:t>
      </w:r>
      <w:r w:rsidR="009A2082" w:rsidRPr="00FB7D6B">
        <w:rPr>
          <w:rFonts w:ascii="Book Antiqua" w:hAnsi="Book Antiqua" w:cs="Arial"/>
          <w:sz w:val="24"/>
          <w:szCs w:val="24"/>
          <w:lang w:val="en-US"/>
        </w:rPr>
        <w:t xml:space="preserve">of previously healthy </w:t>
      </w:r>
      <w:r w:rsidR="00731C01" w:rsidRPr="00FB7D6B">
        <w:rPr>
          <w:rFonts w:ascii="Book Antiqua" w:hAnsi="Book Antiqua" w:cs="Arial"/>
          <w:sz w:val="24"/>
          <w:szCs w:val="24"/>
          <w:lang w:val="en-US"/>
        </w:rPr>
        <w:t xml:space="preserve">patients presenting </w:t>
      </w:r>
      <w:r w:rsidR="00E52A37" w:rsidRPr="00FB7D6B">
        <w:rPr>
          <w:rFonts w:ascii="Book Antiqua" w:hAnsi="Book Antiqua" w:cs="Arial"/>
          <w:sz w:val="24"/>
          <w:szCs w:val="24"/>
          <w:lang w:val="en-US"/>
        </w:rPr>
        <w:t xml:space="preserve">ALF as </w:t>
      </w:r>
      <w:r w:rsidR="00CB67C2" w:rsidRPr="00FB7D6B">
        <w:rPr>
          <w:rFonts w:ascii="Book Antiqua" w:hAnsi="Book Antiqua" w:cs="Arial"/>
          <w:sz w:val="24"/>
          <w:szCs w:val="24"/>
          <w:lang w:val="en-US"/>
        </w:rPr>
        <w:t>their</w:t>
      </w:r>
      <w:r w:rsidR="00731C01" w:rsidRPr="00FB7D6B">
        <w:rPr>
          <w:rFonts w:ascii="Book Antiqua" w:hAnsi="Book Antiqua" w:cs="Arial"/>
          <w:sz w:val="24"/>
          <w:szCs w:val="24"/>
          <w:lang w:val="en-US"/>
        </w:rPr>
        <w:t xml:space="preserve"> </w:t>
      </w:r>
      <w:r w:rsidR="00E52A37" w:rsidRPr="00FB7D6B">
        <w:rPr>
          <w:rFonts w:ascii="Book Antiqua" w:hAnsi="Book Antiqua" w:cs="Arial"/>
          <w:sz w:val="24"/>
          <w:szCs w:val="24"/>
          <w:lang w:val="en-US"/>
        </w:rPr>
        <w:t>first manifestation of AIH</w:t>
      </w:r>
      <w:r w:rsidR="00731C01" w:rsidRPr="00FB7D6B">
        <w:rPr>
          <w:rFonts w:ascii="Book Antiqua" w:hAnsi="Book Antiqua" w:cs="Arial"/>
          <w:sz w:val="24"/>
          <w:szCs w:val="24"/>
          <w:lang w:val="en-US"/>
        </w:rPr>
        <w:t>. These were</w:t>
      </w:r>
      <w:r w:rsidR="00E52A37" w:rsidRPr="00FB7D6B">
        <w:rPr>
          <w:rFonts w:ascii="Book Antiqua" w:hAnsi="Book Antiqua" w:cs="Arial"/>
          <w:sz w:val="24"/>
          <w:szCs w:val="24"/>
          <w:lang w:val="en-US"/>
        </w:rPr>
        <w:t xml:space="preserve"> drug-induced</w:t>
      </w:r>
      <w:r w:rsidR="008321DF" w:rsidRPr="00FB7D6B">
        <w:rPr>
          <w:rFonts w:ascii="Book Antiqua" w:hAnsi="Book Antiqua" w:cs="Arial"/>
          <w:sz w:val="24"/>
          <w:szCs w:val="24"/>
          <w:lang w:val="en-US"/>
        </w:rPr>
        <w:t xml:space="preserve"> ALF (</w:t>
      </w:r>
      <w:r w:rsidR="00702D2D" w:rsidRPr="00FB7D6B">
        <w:rPr>
          <w:rFonts w:ascii="Book Antiqua" w:hAnsi="Book Antiqua" w:cs="Arial"/>
          <w:sz w:val="24"/>
          <w:szCs w:val="24"/>
          <w:lang w:val="en-US"/>
        </w:rPr>
        <w:t>57</w:t>
      </w:r>
      <w:r w:rsidR="008321DF" w:rsidRPr="00FB7D6B">
        <w:rPr>
          <w:rFonts w:ascii="Book Antiqua" w:hAnsi="Book Antiqua" w:cs="Arial"/>
          <w:sz w:val="24"/>
          <w:szCs w:val="24"/>
          <w:lang w:val="en-US"/>
        </w:rPr>
        <w:t>.</w:t>
      </w:r>
      <w:r w:rsidR="001F6882" w:rsidRPr="00FB7D6B">
        <w:rPr>
          <w:rFonts w:ascii="Book Antiqua" w:hAnsi="Book Antiqua" w:cs="Arial"/>
          <w:sz w:val="24"/>
          <w:szCs w:val="24"/>
          <w:lang w:val="en-US"/>
        </w:rPr>
        <w:t>7</w:t>
      </w:r>
      <w:r w:rsidR="004C43BA" w:rsidRPr="00FB7D6B">
        <w:rPr>
          <w:rFonts w:ascii="Book Antiqua" w:hAnsi="Book Antiqua" w:cs="Arial"/>
          <w:sz w:val="24"/>
          <w:szCs w:val="24"/>
          <w:lang w:val="en-US"/>
        </w:rPr>
        <w:t>%</w:t>
      </w:r>
      <w:r w:rsidR="008321DF" w:rsidRPr="00FB7D6B">
        <w:rPr>
          <w:rFonts w:ascii="Book Antiqua" w:hAnsi="Book Antiqua" w:cs="Arial"/>
          <w:sz w:val="24"/>
          <w:szCs w:val="24"/>
          <w:lang w:val="en-US"/>
        </w:rPr>
        <w:t>),</w:t>
      </w:r>
      <w:r w:rsidR="00702D2D" w:rsidRPr="00FB7D6B">
        <w:rPr>
          <w:rFonts w:ascii="Book Antiqua" w:hAnsi="Book Antiqua" w:cs="Arial"/>
          <w:sz w:val="24"/>
          <w:szCs w:val="24"/>
          <w:lang w:val="en-US"/>
        </w:rPr>
        <w:t xml:space="preserve"> </w:t>
      </w:r>
      <w:r w:rsidR="00731C01" w:rsidRPr="00FB7D6B">
        <w:rPr>
          <w:rFonts w:ascii="Book Antiqua" w:hAnsi="Book Antiqua" w:cs="Arial"/>
          <w:sz w:val="24"/>
          <w:szCs w:val="24"/>
          <w:lang w:val="en-US"/>
        </w:rPr>
        <w:t>virus-induc</w:t>
      </w:r>
      <w:r w:rsidR="008321DF" w:rsidRPr="00FB7D6B">
        <w:rPr>
          <w:rFonts w:ascii="Book Antiqua" w:hAnsi="Book Antiqua" w:cs="Arial"/>
          <w:sz w:val="24"/>
          <w:szCs w:val="24"/>
          <w:lang w:val="en-US"/>
        </w:rPr>
        <w:t>ed ALF (</w:t>
      </w:r>
      <w:r w:rsidR="001F6882" w:rsidRPr="00FB7D6B">
        <w:rPr>
          <w:rFonts w:ascii="Book Antiqua" w:hAnsi="Book Antiqua" w:cs="Arial"/>
          <w:sz w:val="24"/>
          <w:szCs w:val="24"/>
          <w:lang w:val="en-US"/>
        </w:rPr>
        <w:t>30.8</w:t>
      </w:r>
      <w:r w:rsidR="004C43BA" w:rsidRPr="00FB7D6B">
        <w:rPr>
          <w:rFonts w:ascii="Book Antiqua" w:hAnsi="Book Antiqua" w:cs="Arial"/>
          <w:sz w:val="24"/>
          <w:szCs w:val="24"/>
          <w:lang w:val="en-US"/>
        </w:rPr>
        <w:t>%</w:t>
      </w:r>
      <w:r w:rsidR="00702D2D" w:rsidRPr="00FB7D6B">
        <w:rPr>
          <w:rFonts w:ascii="Book Antiqua" w:hAnsi="Book Antiqua" w:cs="Arial"/>
          <w:sz w:val="24"/>
          <w:szCs w:val="24"/>
          <w:lang w:val="en-US"/>
        </w:rPr>
        <w:t>)</w:t>
      </w:r>
      <w:r w:rsidR="00731C01" w:rsidRPr="00FB7D6B">
        <w:rPr>
          <w:rFonts w:ascii="Book Antiqua" w:hAnsi="Book Antiqua" w:cs="Arial"/>
          <w:sz w:val="24"/>
          <w:szCs w:val="24"/>
          <w:lang w:val="en-US"/>
        </w:rPr>
        <w:t>,</w:t>
      </w:r>
      <w:r w:rsidR="00702D2D" w:rsidRPr="00FB7D6B">
        <w:rPr>
          <w:rFonts w:ascii="Book Antiqua" w:hAnsi="Book Antiqua" w:cs="Arial"/>
          <w:sz w:val="24"/>
          <w:szCs w:val="24"/>
          <w:lang w:val="en-US"/>
        </w:rPr>
        <w:t xml:space="preserve"> and </w:t>
      </w:r>
      <w:r w:rsidR="00E83CCF" w:rsidRPr="00FB7D6B">
        <w:rPr>
          <w:rFonts w:ascii="Book Antiqua" w:hAnsi="Book Antiqua" w:cs="Arial"/>
          <w:sz w:val="24"/>
          <w:szCs w:val="24"/>
          <w:lang w:val="en-US"/>
        </w:rPr>
        <w:t>preceding</w:t>
      </w:r>
      <w:r w:rsidR="009A2082" w:rsidRPr="00FB7D6B">
        <w:rPr>
          <w:rFonts w:ascii="Book Antiqua" w:hAnsi="Book Antiqua" w:cs="Arial"/>
          <w:sz w:val="24"/>
          <w:szCs w:val="24"/>
          <w:lang w:val="en-US"/>
        </w:rPr>
        <w:t xml:space="preserve"> surgery in </w:t>
      </w:r>
      <w:r w:rsidR="008321DF" w:rsidRPr="00FB7D6B">
        <w:rPr>
          <w:rFonts w:ascii="Book Antiqua" w:hAnsi="Book Antiqua" w:cs="Arial"/>
          <w:sz w:val="24"/>
          <w:szCs w:val="24"/>
          <w:lang w:val="en-US"/>
        </w:rPr>
        <w:t>general anesthesia (</w:t>
      </w:r>
      <w:r w:rsidR="001F6882" w:rsidRPr="00FB7D6B">
        <w:rPr>
          <w:rFonts w:ascii="Book Antiqua" w:hAnsi="Book Antiqua" w:cs="Arial"/>
          <w:sz w:val="24"/>
          <w:szCs w:val="24"/>
          <w:lang w:val="en-US"/>
        </w:rPr>
        <w:t>11.5</w:t>
      </w:r>
      <w:r w:rsidR="004C43BA" w:rsidRPr="00FB7D6B">
        <w:rPr>
          <w:rFonts w:ascii="Book Antiqua" w:hAnsi="Book Antiqua" w:cs="Arial"/>
          <w:sz w:val="24"/>
          <w:szCs w:val="24"/>
          <w:lang w:val="en-US"/>
        </w:rPr>
        <w:t>%</w:t>
      </w:r>
      <w:r w:rsidR="006C680F" w:rsidRPr="00FB7D6B">
        <w:rPr>
          <w:rFonts w:ascii="Book Antiqua" w:hAnsi="Book Antiqua" w:cs="Arial"/>
          <w:sz w:val="24"/>
          <w:szCs w:val="24"/>
          <w:lang w:val="en-US"/>
        </w:rPr>
        <w:t>)</w:t>
      </w:r>
      <w:r w:rsidR="00335199" w:rsidRPr="00FB7D6B">
        <w:rPr>
          <w:rFonts w:ascii="Book Antiqua" w:hAnsi="Book Antiqua" w:cs="Arial"/>
          <w:sz w:val="24"/>
          <w:szCs w:val="24"/>
          <w:lang w:val="en-US"/>
        </w:rPr>
        <w:t>, respectively.</w:t>
      </w:r>
      <w:r w:rsidR="006C680F" w:rsidRPr="00FB7D6B">
        <w:rPr>
          <w:rFonts w:ascii="Book Antiqua" w:hAnsi="Book Antiqua" w:cs="Arial"/>
          <w:sz w:val="24"/>
          <w:szCs w:val="24"/>
          <w:lang w:val="en-US"/>
        </w:rPr>
        <w:t xml:space="preserve"> </w:t>
      </w:r>
      <w:r w:rsidR="00731C01" w:rsidRPr="00FB7D6B">
        <w:rPr>
          <w:rFonts w:ascii="Book Antiqua" w:hAnsi="Book Antiqua" w:cs="Arial"/>
          <w:sz w:val="24"/>
          <w:szCs w:val="24"/>
          <w:lang w:val="en-US"/>
        </w:rPr>
        <w:t>Unfortunately, 6</w:t>
      </w:r>
      <w:r w:rsidR="006C680F" w:rsidRPr="00FB7D6B">
        <w:rPr>
          <w:rFonts w:ascii="Book Antiqua" w:hAnsi="Book Antiqua" w:cs="Arial"/>
          <w:sz w:val="24"/>
          <w:szCs w:val="24"/>
          <w:lang w:val="en-US"/>
        </w:rPr>
        <w:t xml:space="preserve"> out of 52 patients</w:t>
      </w:r>
      <w:r w:rsidR="00731C01" w:rsidRPr="00FB7D6B">
        <w:rPr>
          <w:rFonts w:ascii="Book Antiqua" w:hAnsi="Book Antiqua" w:cs="Arial"/>
          <w:sz w:val="24"/>
          <w:szCs w:val="24"/>
          <w:lang w:val="en-US"/>
        </w:rPr>
        <w:t xml:space="preserve"> (11.5</w:t>
      </w:r>
      <w:r w:rsidR="004C43BA" w:rsidRPr="00FB7D6B">
        <w:rPr>
          <w:rFonts w:ascii="Book Antiqua" w:hAnsi="Book Antiqua" w:cs="Arial"/>
          <w:sz w:val="24"/>
          <w:szCs w:val="24"/>
          <w:lang w:val="en-US"/>
        </w:rPr>
        <w:t>%</w:t>
      </w:r>
      <w:r w:rsidR="00E75DB1" w:rsidRPr="00FB7D6B">
        <w:rPr>
          <w:rFonts w:ascii="Book Antiqua" w:hAnsi="Book Antiqua" w:cs="Arial"/>
          <w:sz w:val="24"/>
          <w:szCs w:val="24"/>
          <w:lang w:val="en-US"/>
        </w:rPr>
        <w:t>)</w:t>
      </w:r>
      <w:r w:rsidR="00B80E71" w:rsidRPr="00FB7D6B">
        <w:rPr>
          <w:rFonts w:ascii="Book Antiqua" w:hAnsi="Book Antiqua" w:cs="Arial"/>
          <w:sz w:val="24"/>
          <w:szCs w:val="24"/>
          <w:lang w:val="en-US"/>
        </w:rPr>
        <w:t xml:space="preserve"> did not survive ALF and 3 patients (5.7</w:t>
      </w:r>
      <w:r w:rsidR="004C43BA" w:rsidRPr="00FB7D6B">
        <w:rPr>
          <w:rFonts w:ascii="Book Antiqua" w:hAnsi="Book Antiqua" w:cs="Arial"/>
          <w:sz w:val="24"/>
          <w:szCs w:val="24"/>
          <w:lang w:val="en-US"/>
        </w:rPr>
        <w:t>%</w:t>
      </w:r>
      <w:r w:rsidR="00B80E71" w:rsidRPr="00FB7D6B">
        <w:rPr>
          <w:rFonts w:ascii="Book Antiqua" w:hAnsi="Book Antiqua" w:cs="Arial"/>
          <w:sz w:val="24"/>
          <w:szCs w:val="24"/>
          <w:lang w:val="en-US"/>
        </w:rPr>
        <w:t xml:space="preserve">) </w:t>
      </w:r>
      <w:r w:rsidR="009A2082" w:rsidRPr="00FB7D6B">
        <w:rPr>
          <w:rFonts w:ascii="Book Antiqua" w:hAnsi="Book Antiqua" w:cs="Arial"/>
          <w:sz w:val="24"/>
          <w:szCs w:val="24"/>
          <w:lang w:val="en-US"/>
        </w:rPr>
        <w:t>underwent</w:t>
      </w:r>
      <w:r w:rsidR="006C680F" w:rsidRPr="00FB7D6B">
        <w:rPr>
          <w:rFonts w:ascii="Book Antiqua" w:hAnsi="Book Antiqua" w:cs="Arial"/>
          <w:sz w:val="24"/>
          <w:szCs w:val="24"/>
          <w:lang w:val="en-US"/>
        </w:rPr>
        <w:t xml:space="preserve"> liver transplantation</w:t>
      </w:r>
      <w:r w:rsidR="00B80E71" w:rsidRPr="00FB7D6B">
        <w:rPr>
          <w:rFonts w:ascii="Book Antiqua" w:hAnsi="Book Antiqua" w:cs="Arial"/>
          <w:sz w:val="24"/>
          <w:szCs w:val="24"/>
          <w:lang w:val="en-US"/>
        </w:rPr>
        <w:t xml:space="preserve"> (LT)</w:t>
      </w:r>
      <w:r w:rsidR="00E75DB1" w:rsidRPr="00FB7D6B">
        <w:rPr>
          <w:rFonts w:ascii="Book Antiqua" w:hAnsi="Book Antiqua" w:cs="Arial"/>
          <w:sz w:val="24"/>
          <w:szCs w:val="24"/>
          <w:lang w:val="en-US"/>
        </w:rPr>
        <w:t xml:space="preserve">. </w:t>
      </w:r>
      <w:r w:rsidR="00B80E71" w:rsidRPr="00FB7D6B">
        <w:rPr>
          <w:rFonts w:ascii="Book Antiqua" w:hAnsi="Book Antiqua" w:cs="Arial"/>
          <w:sz w:val="24"/>
          <w:szCs w:val="24"/>
          <w:lang w:val="en-US"/>
        </w:rPr>
        <w:t>C</w:t>
      </w:r>
      <w:r w:rsidR="006C680F" w:rsidRPr="00FB7D6B">
        <w:rPr>
          <w:rFonts w:ascii="Book Antiqua" w:hAnsi="Book Antiqua" w:cs="Arial"/>
          <w:sz w:val="24"/>
          <w:szCs w:val="24"/>
          <w:lang w:val="en-US"/>
        </w:rPr>
        <w:t xml:space="preserve">omparing data of survivors and </w:t>
      </w:r>
      <w:r w:rsidR="00DA6F5D" w:rsidRPr="00FB7D6B">
        <w:rPr>
          <w:rFonts w:ascii="Book Antiqua" w:hAnsi="Book Antiqua" w:cs="Arial"/>
          <w:sz w:val="24"/>
          <w:szCs w:val="24"/>
          <w:lang w:val="en-US"/>
        </w:rPr>
        <w:t>patients with non-</w:t>
      </w:r>
      <w:r w:rsidR="00E23401" w:rsidRPr="00FB7D6B">
        <w:rPr>
          <w:rFonts w:ascii="Book Antiqua" w:hAnsi="Book Antiqua" w:cs="Arial"/>
          <w:sz w:val="24"/>
          <w:szCs w:val="24"/>
          <w:lang w:val="en-US"/>
        </w:rPr>
        <w:t>recovery</w:t>
      </w:r>
      <w:r w:rsidR="009A2082" w:rsidRPr="00FB7D6B">
        <w:rPr>
          <w:rFonts w:ascii="Book Antiqua" w:hAnsi="Book Antiqua" w:cs="Arial"/>
          <w:sz w:val="24"/>
          <w:szCs w:val="24"/>
          <w:lang w:val="en-US"/>
        </w:rPr>
        <w:t xml:space="preserve"> following treatment</w:t>
      </w:r>
      <w:r w:rsidR="006C680F" w:rsidRPr="00FB7D6B">
        <w:rPr>
          <w:rFonts w:ascii="Book Antiqua" w:hAnsi="Book Antiqua" w:cs="Arial"/>
          <w:sz w:val="24"/>
          <w:szCs w:val="24"/>
          <w:lang w:val="en-US"/>
        </w:rPr>
        <w:t xml:space="preserve">, </w:t>
      </w:r>
      <w:r w:rsidR="00B80E71" w:rsidRPr="00FB7D6B">
        <w:rPr>
          <w:rFonts w:ascii="Book Antiqua" w:hAnsi="Book Antiqua" w:cs="Arial"/>
          <w:sz w:val="24"/>
          <w:szCs w:val="24"/>
          <w:lang w:val="en-US"/>
        </w:rPr>
        <w:t>MELD-score</w:t>
      </w:r>
      <w:r w:rsidR="00D727CC" w:rsidRPr="00FB7D6B">
        <w:rPr>
          <w:rFonts w:ascii="Book Antiqua" w:hAnsi="Book Antiqua" w:cs="Arial"/>
          <w:sz w:val="24"/>
          <w:szCs w:val="24"/>
          <w:lang w:val="en-US"/>
        </w:rPr>
        <w:t xml:space="preserve"> (</w:t>
      </w:r>
      <w:r w:rsidR="00D727CC" w:rsidRPr="00FB7D6B">
        <w:rPr>
          <w:rFonts w:ascii="Book Antiqua" w:hAnsi="Book Antiqua" w:cs="Arial"/>
          <w:i/>
          <w:sz w:val="24"/>
          <w:szCs w:val="24"/>
          <w:lang w:val="en-US"/>
        </w:rPr>
        <w:t>P</w:t>
      </w:r>
      <w:r w:rsidR="00D727CC" w:rsidRPr="00FB7D6B">
        <w:rPr>
          <w:rFonts w:ascii="Book Antiqua" w:hAnsi="Book Antiqua" w:cs="Arial"/>
          <w:sz w:val="24"/>
          <w:szCs w:val="24"/>
          <w:lang w:val="en-US"/>
        </w:rPr>
        <w:t xml:space="preserve"> &lt; 0.001)</w:t>
      </w:r>
      <w:r w:rsidR="00B80E71" w:rsidRPr="00FB7D6B">
        <w:rPr>
          <w:rFonts w:ascii="Book Antiqua" w:hAnsi="Book Antiqua" w:cs="Arial"/>
          <w:sz w:val="24"/>
          <w:szCs w:val="24"/>
          <w:lang w:val="en-US"/>
        </w:rPr>
        <w:t xml:space="preserve">, </w:t>
      </w:r>
      <w:r w:rsidR="006C680F" w:rsidRPr="00FB7D6B">
        <w:rPr>
          <w:rFonts w:ascii="Book Antiqua" w:hAnsi="Book Antiqua" w:cs="Arial"/>
          <w:sz w:val="24"/>
          <w:szCs w:val="24"/>
          <w:lang w:val="en-US"/>
        </w:rPr>
        <w:t>age</w:t>
      </w:r>
      <w:r w:rsidR="00D727CC" w:rsidRPr="00FB7D6B">
        <w:rPr>
          <w:rFonts w:ascii="Book Antiqua" w:hAnsi="Book Antiqua" w:cs="Arial"/>
          <w:sz w:val="24"/>
          <w:szCs w:val="24"/>
          <w:lang w:val="en-US"/>
        </w:rPr>
        <w:t xml:space="preserve"> (</w:t>
      </w:r>
      <w:r w:rsidR="00D727CC" w:rsidRPr="00FB7D6B">
        <w:rPr>
          <w:rFonts w:ascii="Book Antiqua" w:hAnsi="Book Antiqua" w:cs="Arial"/>
          <w:i/>
          <w:sz w:val="24"/>
          <w:szCs w:val="24"/>
          <w:lang w:val="en-US"/>
        </w:rPr>
        <w:t>P</w:t>
      </w:r>
      <w:r w:rsidR="00D727CC" w:rsidRPr="00FB7D6B">
        <w:rPr>
          <w:rFonts w:ascii="Book Antiqua" w:hAnsi="Book Antiqua" w:cs="Arial"/>
          <w:sz w:val="24"/>
          <w:szCs w:val="24"/>
          <w:lang w:val="en-US"/>
        </w:rPr>
        <w:t xml:space="preserve"> &lt; 0.05)</w:t>
      </w:r>
      <w:r w:rsidR="006C680F" w:rsidRPr="00FB7D6B">
        <w:rPr>
          <w:rFonts w:ascii="Book Antiqua" w:hAnsi="Book Antiqua" w:cs="Arial"/>
          <w:sz w:val="24"/>
          <w:szCs w:val="24"/>
          <w:lang w:val="en-US"/>
        </w:rPr>
        <w:t>, creatinine</w:t>
      </w:r>
      <w:r w:rsidR="00D727CC" w:rsidRPr="00FB7D6B">
        <w:rPr>
          <w:rFonts w:ascii="Book Antiqua" w:hAnsi="Book Antiqua" w:cs="Arial"/>
          <w:sz w:val="24"/>
          <w:szCs w:val="24"/>
          <w:lang w:val="en-US"/>
        </w:rPr>
        <w:t xml:space="preserve"> (</w:t>
      </w:r>
      <w:r w:rsidR="00D727CC" w:rsidRPr="00FB7D6B">
        <w:rPr>
          <w:rFonts w:ascii="Book Antiqua" w:hAnsi="Book Antiqua" w:cs="Arial"/>
          <w:i/>
          <w:sz w:val="24"/>
          <w:szCs w:val="24"/>
          <w:lang w:val="en-US"/>
        </w:rPr>
        <w:t>P</w:t>
      </w:r>
      <w:r w:rsidR="00D727CC" w:rsidRPr="00FB7D6B">
        <w:rPr>
          <w:rFonts w:ascii="Book Antiqua" w:hAnsi="Book Antiqua" w:cs="Arial"/>
          <w:sz w:val="24"/>
          <w:szCs w:val="24"/>
          <w:lang w:val="en-US"/>
        </w:rPr>
        <w:t xml:space="preserve"> &lt; 0.01)</w:t>
      </w:r>
      <w:r w:rsidR="006C680F" w:rsidRPr="00FB7D6B">
        <w:rPr>
          <w:rFonts w:ascii="Book Antiqua" w:hAnsi="Book Antiqua" w:cs="Arial"/>
          <w:sz w:val="24"/>
          <w:szCs w:val="24"/>
          <w:lang w:val="en-US"/>
        </w:rPr>
        <w:t xml:space="preserve">, </w:t>
      </w:r>
      <w:r w:rsidR="00B80E71" w:rsidRPr="00FB7D6B">
        <w:rPr>
          <w:rFonts w:ascii="Book Antiqua" w:hAnsi="Book Antiqua" w:cs="Arial"/>
          <w:sz w:val="24"/>
          <w:szCs w:val="24"/>
          <w:lang w:val="en-US"/>
        </w:rPr>
        <w:t xml:space="preserve">and finally, </w:t>
      </w:r>
      <w:r w:rsidR="006C680F" w:rsidRPr="00FB7D6B">
        <w:rPr>
          <w:rFonts w:ascii="Book Antiqua" w:hAnsi="Book Antiqua" w:cs="Arial"/>
          <w:sz w:val="24"/>
          <w:szCs w:val="24"/>
          <w:lang w:val="en-US"/>
        </w:rPr>
        <w:t>ALT</w:t>
      </w:r>
      <w:r w:rsidR="00B80E71" w:rsidRPr="00FB7D6B">
        <w:rPr>
          <w:rFonts w:ascii="Book Antiqua" w:hAnsi="Book Antiqua" w:cs="Arial"/>
          <w:sz w:val="24"/>
          <w:szCs w:val="24"/>
          <w:lang w:val="en-US"/>
        </w:rPr>
        <w:t xml:space="preserve">-values </w:t>
      </w:r>
      <w:r w:rsidR="00D727CC" w:rsidRPr="00FB7D6B">
        <w:rPr>
          <w:rFonts w:ascii="Book Antiqua" w:hAnsi="Book Antiqua" w:cs="Arial"/>
          <w:sz w:val="24"/>
          <w:szCs w:val="24"/>
          <w:lang w:val="en-US"/>
        </w:rPr>
        <w:t>(</w:t>
      </w:r>
      <w:r w:rsidR="00D727CC" w:rsidRPr="00FB7D6B">
        <w:rPr>
          <w:rFonts w:ascii="Book Antiqua" w:hAnsi="Book Antiqua" w:cs="Arial"/>
          <w:i/>
          <w:sz w:val="24"/>
          <w:szCs w:val="24"/>
          <w:lang w:val="en-US"/>
        </w:rPr>
        <w:t>P</w:t>
      </w:r>
      <w:r w:rsidR="00D727CC" w:rsidRPr="00FB7D6B">
        <w:rPr>
          <w:rFonts w:ascii="Book Antiqua" w:hAnsi="Book Antiqua" w:cs="Arial"/>
          <w:sz w:val="24"/>
          <w:szCs w:val="24"/>
          <w:lang w:val="en-US"/>
        </w:rPr>
        <w:t xml:space="preserve"> &lt; 0.05) </w:t>
      </w:r>
      <w:r w:rsidR="006C680F" w:rsidRPr="00FB7D6B">
        <w:rPr>
          <w:rFonts w:ascii="Book Antiqua" w:hAnsi="Book Antiqua" w:cs="Arial"/>
          <w:sz w:val="24"/>
          <w:szCs w:val="24"/>
          <w:lang w:val="en-US"/>
        </w:rPr>
        <w:t xml:space="preserve">reached statistical significance. </w:t>
      </w:r>
    </w:p>
    <w:p w:rsidR="004C43BA" w:rsidRPr="00FB7D6B" w:rsidRDefault="004C43BA" w:rsidP="00FB7D6B">
      <w:pPr>
        <w:adjustRightInd w:val="0"/>
        <w:snapToGrid w:val="0"/>
        <w:spacing w:after="0" w:line="360" w:lineRule="auto"/>
        <w:jc w:val="both"/>
        <w:rPr>
          <w:rFonts w:ascii="Book Antiqua" w:hAnsi="Book Antiqua" w:cs="Arial"/>
          <w:sz w:val="24"/>
          <w:szCs w:val="24"/>
          <w:lang w:val="en-US" w:eastAsia="zh-CN"/>
        </w:rPr>
      </w:pPr>
    </w:p>
    <w:p w:rsidR="004C43BA" w:rsidRPr="00FB7D6B" w:rsidRDefault="00C92E4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CONCLUSION</w:t>
      </w:r>
    </w:p>
    <w:p w:rsidR="006566AA" w:rsidRPr="00FB7D6B" w:rsidRDefault="006C680F"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Drugs, viral infection</w:t>
      </w:r>
      <w:r w:rsidR="00B80E71" w:rsidRPr="00FB7D6B">
        <w:rPr>
          <w:rFonts w:ascii="Book Antiqua" w:hAnsi="Book Antiqua" w:cs="Arial"/>
          <w:sz w:val="24"/>
          <w:szCs w:val="24"/>
          <w:lang w:val="en-US"/>
        </w:rPr>
        <w:t>s,</w:t>
      </w:r>
      <w:r w:rsidRPr="00FB7D6B">
        <w:rPr>
          <w:rFonts w:ascii="Book Antiqua" w:hAnsi="Book Antiqua" w:cs="Arial"/>
          <w:sz w:val="24"/>
          <w:szCs w:val="24"/>
          <w:lang w:val="en-US"/>
        </w:rPr>
        <w:t xml:space="preserve"> and </w:t>
      </w:r>
      <w:r w:rsidR="00D727CC" w:rsidRPr="00FB7D6B">
        <w:rPr>
          <w:rFonts w:ascii="Book Antiqua" w:hAnsi="Book Antiqua" w:cs="Arial"/>
          <w:sz w:val="24"/>
          <w:szCs w:val="24"/>
          <w:lang w:val="en-US"/>
        </w:rPr>
        <w:t xml:space="preserve">previous surgery </w:t>
      </w:r>
      <w:r w:rsidRPr="00FB7D6B">
        <w:rPr>
          <w:rFonts w:ascii="Book Antiqua" w:hAnsi="Book Antiqua" w:cs="Arial"/>
          <w:sz w:val="24"/>
          <w:szCs w:val="24"/>
          <w:lang w:val="en-US"/>
        </w:rPr>
        <w:t xml:space="preserve">may </w:t>
      </w:r>
      <w:r w:rsidR="009A2082" w:rsidRPr="00FB7D6B">
        <w:rPr>
          <w:rFonts w:ascii="Book Antiqua" w:hAnsi="Book Antiqua" w:cs="Arial"/>
          <w:sz w:val="24"/>
          <w:szCs w:val="24"/>
          <w:lang w:val="en-US"/>
        </w:rPr>
        <w:t xml:space="preserve">trigger ALF </w:t>
      </w:r>
      <w:r w:rsidRPr="00FB7D6B">
        <w:rPr>
          <w:rFonts w:ascii="Book Antiqua" w:hAnsi="Book Antiqua" w:cs="Arial"/>
          <w:sz w:val="24"/>
          <w:szCs w:val="24"/>
          <w:lang w:val="en-US"/>
        </w:rPr>
        <w:t xml:space="preserve">as </w:t>
      </w:r>
      <w:r w:rsidR="00B80E71" w:rsidRPr="00FB7D6B">
        <w:rPr>
          <w:rFonts w:ascii="Book Antiqua" w:hAnsi="Book Antiqua" w:cs="Arial"/>
          <w:sz w:val="24"/>
          <w:szCs w:val="24"/>
          <w:lang w:val="en-US"/>
        </w:rPr>
        <w:t xml:space="preserve">the </w:t>
      </w:r>
      <w:r w:rsidRPr="00FB7D6B">
        <w:rPr>
          <w:rFonts w:ascii="Book Antiqua" w:hAnsi="Book Antiqua" w:cs="Arial"/>
          <w:sz w:val="24"/>
          <w:szCs w:val="24"/>
          <w:lang w:val="en-US"/>
        </w:rPr>
        <w:t>ini</w:t>
      </w:r>
      <w:r w:rsidR="009A2082" w:rsidRPr="00FB7D6B">
        <w:rPr>
          <w:rFonts w:ascii="Book Antiqua" w:hAnsi="Book Antiqua" w:cs="Arial"/>
          <w:sz w:val="24"/>
          <w:szCs w:val="24"/>
          <w:lang w:val="en-US"/>
        </w:rPr>
        <w:t xml:space="preserve">tial presentation of AIH. Advanced age and </w:t>
      </w:r>
      <w:r w:rsidR="00B80E71" w:rsidRPr="00FB7D6B">
        <w:rPr>
          <w:rFonts w:ascii="Book Antiqua" w:hAnsi="Book Antiqua" w:cs="Arial"/>
          <w:sz w:val="24"/>
          <w:szCs w:val="24"/>
          <w:lang w:val="en-US"/>
        </w:rPr>
        <w:t>high MELD-</w:t>
      </w:r>
      <w:r w:rsidRPr="00FB7D6B">
        <w:rPr>
          <w:rFonts w:ascii="Book Antiqua" w:hAnsi="Book Antiqua" w:cs="Arial"/>
          <w:sz w:val="24"/>
          <w:szCs w:val="24"/>
          <w:lang w:val="en-US"/>
        </w:rPr>
        <w:t>score</w:t>
      </w:r>
      <w:r w:rsidR="009A2082" w:rsidRPr="00FB7D6B">
        <w:rPr>
          <w:rFonts w:ascii="Book Antiqua" w:hAnsi="Book Antiqua" w:cs="Arial"/>
          <w:sz w:val="24"/>
          <w:szCs w:val="24"/>
          <w:lang w:val="en-US"/>
        </w:rPr>
        <w:t xml:space="preserve"> </w:t>
      </w:r>
      <w:r w:rsidR="00D727CC" w:rsidRPr="00FB7D6B">
        <w:rPr>
          <w:rFonts w:ascii="Book Antiqua" w:hAnsi="Book Antiqua" w:cs="Arial"/>
          <w:sz w:val="24"/>
          <w:szCs w:val="24"/>
          <w:lang w:val="en-US"/>
        </w:rPr>
        <w:t xml:space="preserve">were associated with </w:t>
      </w:r>
      <w:r w:rsidR="00EA01A1" w:rsidRPr="00FB7D6B">
        <w:rPr>
          <w:rFonts w:ascii="Book Antiqua" w:hAnsi="Book Antiqua" w:cs="Arial"/>
          <w:sz w:val="24"/>
          <w:szCs w:val="24"/>
          <w:lang w:val="en-US"/>
        </w:rPr>
        <w:t>lethal</w:t>
      </w:r>
      <w:r w:rsidR="000E10C7" w:rsidRPr="00FB7D6B">
        <w:rPr>
          <w:rFonts w:ascii="Book Antiqua" w:hAnsi="Book Antiqua" w:cs="Arial"/>
          <w:sz w:val="24"/>
          <w:szCs w:val="24"/>
          <w:lang w:val="en-US"/>
        </w:rPr>
        <w:t xml:space="preserve"> outcome</w:t>
      </w:r>
      <w:r w:rsidR="00ED1A86" w:rsidRPr="00FB7D6B">
        <w:rPr>
          <w:rFonts w:ascii="Book Antiqua" w:hAnsi="Book Antiqua" w:cs="Arial"/>
          <w:sz w:val="24"/>
          <w:szCs w:val="24"/>
          <w:lang w:val="en-US"/>
        </w:rPr>
        <w:t>.</w:t>
      </w:r>
    </w:p>
    <w:p w:rsidR="00D727CC" w:rsidRPr="00FB7D6B" w:rsidRDefault="00D727CC" w:rsidP="00FB7D6B">
      <w:pPr>
        <w:adjustRightInd w:val="0"/>
        <w:snapToGrid w:val="0"/>
        <w:spacing w:after="0" w:line="360" w:lineRule="auto"/>
        <w:jc w:val="both"/>
        <w:rPr>
          <w:rFonts w:ascii="Book Antiqua" w:hAnsi="Book Antiqua" w:cs="Arial"/>
          <w:b/>
          <w:sz w:val="24"/>
          <w:szCs w:val="24"/>
          <w:lang w:val="en-US"/>
        </w:rPr>
      </w:pPr>
    </w:p>
    <w:p w:rsidR="00D2412B" w:rsidRPr="00FB7D6B" w:rsidRDefault="00D2412B"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Key words:</w:t>
      </w:r>
      <w:r w:rsidRPr="00FB7D6B">
        <w:rPr>
          <w:rFonts w:ascii="Book Antiqua" w:hAnsi="Book Antiqua" w:cs="Arial"/>
          <w:sz w:val="24"/>
          <w:szCs w:val="24"/>
          <w:lang w:val="en-US"/>
        </w:rPr>
        <w:t xml:space="preserve"> </w:t>
      </w:r>
      <w:r w:rsidR="00D727CC" w:rsidRPr="00FB7D6B">
        <w:rPr>
          <w:rFonts w:ascii="Book Antiqua" w:hAnsi="Book Antiqua" w:cs="Arial"/>
          <w:sz w:val="24"/>
          <w:szCs w:val="24"/>
          <w:lang w:val="en-US"/>
        </w:rPr>
        <w:t>A</w:t>
      </w:r>
      <w:r w:rsidR="00DF0599" w:rsidRPr="00FB7D6B">
        <w:rPr>
          <w:rFonts w:ascii="Book Antiqua" w:hAnsi="Book Antiqua" w:cs="Arial"/>
          <w:sz w:val="24"/>
          <w:szCs w:val="24"/>
          <w:lang w:val="en-US"/>
        </w:rPr>
        <w:t xml:space="preserve">cute </w:t>
      </w:r>
      <w:r w:rsidR="00D727CC" w:rsidRPr="00FB7D6B">
        <w:rPr>
          <w:rFonts w:ascii="Book Antiqua" w:hAnsi="Book Antiqua" w:cs="Arial"/>
          <w:sz w:val="24"/>
          <w:szCs w:val="24"/>
          <w:lang w:val="en-US"/>
        </w:rPr>
        <w:t>liver failure; Autoimmune</w:t>
      </w:r>
      <w:r w:rsidR="00B80E71" w:rsidRPr="00FB7D6B">
        <w:rPr>
          <w:rFonts w:ascii="Book Antiqua" w:hAnsi="Book Antiqua" w:cs="Arial"/>
          <w:sz w:val="24"/>
          <w:szCs w:val="24"/>
          <w:lang w:val="en-US"/>
        </w:rPr>
        <w:t xml:space="preserve"> hepatitis</w:t>
      </w:r>
      <w:r w:rsidR="00D727CC" w:rsidRPr="00FB7D6B">
        <w:rPr>
          <w:rFonts w:ascii="Book Antiqua" w:hAnsi="Book Antiqua" w:cs="Arial"/>
          <w:sz w:val="24"/>
          <w:szCs w:val="24"/>
          <w:lang w:val="en-US"/>
        </w:rPr>
        <w:t>;</w:t>
      </w:r>
      <w:r w:rsidR="00DF0599" w:rsidRPr="00FB7D6B">
        <w:rPr>
          <w:rFonts w:ascii="Book Antiqua" w:hAnsi="Book Antiqua" w:cs="Arial"/>
          <w:sz w:val="24"/>
          <w:szCs w:val="24"/>
          <w:lang w:val="en-US"/>
        </w:rPr>
        <w:t xml:space="preserve"> </w:t>
      </w:r>
      <w:r w:rsidR="00D727CC" w:rsidRPr="00FB7D6B">
        <w:rPr>
          <w:rFonts w:ascii="Book Antiqua" w:hAnsi="Book Antiqua" w:cs="Arial"/>
          <w:sz w:val="24"/>
          <w:szCs w:val="24"/>
          <w:lang w:val="en-US"/>
        </w:rPr>
        <w:t>D</w:t>
      </w:r>
      <w:r w:rsidR="00B80E71" w:rsidRPr="00FB7D6B">
        <w:rPr>
          <w:rFonts w:ascii="Book Antiqua" w:hAnsi="Book Antiqua" w:cs="Arial"/>
          <w:sz w:val="24"/>
          <w:szCs w:val="24"/>
          <w:lang w:val="en-US"/>
        </w:rPr>
        <w:t>rug-ind</w:t>
      </w:r>
      <w:r w:rsidR="00D727CC" w:rsidRPr="00FB7D6B">
        <w:rPr>
          <w:rFonts w:ascii="Book Antiqua" w:hAnsi="Book Antiqua" w:cs="Arial"/>
          <w:sz w:val="24"/>
          <w:szCs w:val="24"/>
          <w:lang w:val="en-US"/>
        </w:rPr>
        <w:t>uced liver injury; MELD-score; T</w:t>
      </w:r>
      <w:r w:rsidR="00B80E71" w:rsidRPr="00FB7D6B">
        <w:rPr>
          <w:rFonts w:ascii="Book Antiqua" w:hAnsi="Book Antiqua" w:cs="Arial"/>
          <w:sz w:val="24"/>
          <w:szCs w:val="24"/>
          <w:lang w:val="en-US"/>
        </w:rPr>
        <w:t>riggering factors</w:t>
      </w:r>
    </w:p>
    <w:p w:rsidR="00F77C81" w:rsidRPr="00FB7D6B" w:rsidRDefault="00F77C81" w:rsidP="00FB7D6B">
      <w:pPr>
        <w:adjustRightInd w:val="0"/>
        <w:snapToGrid w:val="0"/>
        <w:spacing w:after="0" w:line="360" w:lineRule="auto"/>
        <w:jc w:val="both"/>
        <w:rPr>
          <w:rFonts w:ascii="Book Antiqua" w:hAnsi="Book Antiqua" w:cs="Arial"/>
          <w:sz w:val="24"/>
          <w:szCs w:val="24"/>
          <w:lang w:val="en-US" w:eastAsia="zh-CN"/>
        </w:rPr>
      </w:pPr>
    </w:p>
    <w:p w:rsidR="00F77C81" w:rsidRPr="00FB7D6B" w:rsidRDefault="00F77C81" w:rsidP="00FB7D6B">
      <w:pPr>
        <w:widowControl w:val="0"/>
        <w:spacing w:after="0" w:line="360" w:lineRule="auto"/>
        <w:jc w:val="both"/>
        <w:rPr>
          <w:rFonts w:ascii="Book Antiqua" w:eastAsia="SimSun" w:hAnsi="Book Antiqua"/>
          <w:bCs/>
          <w:sz w:val="24"/>
          <w:szCs w:val="24"/>
          <w:lang w:eastAsia="zh-CN"/>
        </w:rPr>
      </w:pPr>
      <w:r w:rsidRPr="00FB7D6B">
        <w:rPr>
          <w:rFonts w:ascii="Book Antiqua" w:hAnsi="Book Antiqua"/>
          <w:b/>
          <w:bCs/>
          <w:sz w:val="24"/>
          <w:szCs w:val="24"/>
        </w:rPr>
        <w:t>© The Author(s) 201</w:t>
      </w:r>
      <w:r w:rsidRPr="00FB7D6B">
        <w:rPr>
          <w:rFonts w:ascii="Book Antiqua" w:hAnsi="Book Antiqua"/>
          <w:b/>
          <w:bCs/>
          <w:sz w:val="24"/>
          <w:szCs w:val="24"/>
          <w:lang w:eastAsia="zh-CN"/>
        </w:rPr>
        <w:t>8</w:t>
      </w:r>
      <w:r w:rsidRPr="00FB7D6B">
        <w:rPr>
          <w:rFonts w:ascii="Book Antiqua" w:hAnsi="Book Antiqua"/>
          <w:b/>
          <w:bCs/>
          <w:sz w:val="24"/>
          <w:szCs w:val="24"/>
        </w:rPr>
        <w:t xml:space="preserve">. </w:t>
      </w:r>
      <w:r w:rsidRPr="00FB7D6B">
        <w:rPr>
          <w:rFonts w:ascii="Book Antiqua" w:hAnsi="Book Antiqua"/>
          <w:bCs/>
          <w:sz w:val="24"/>
          <w:szCs w:val="24"/>
        </w:rPr>
        <w:t>Published by Baishideng Publishing Group Inc. All rights reserved.</w:t>
      </w:r>
    </w:p>
    <w:p w:rsidR="00F77C81" w:rsidRPr="00FB7D6B" w:rsidRDefault="00F77C81" w:rsidP="00FB7D6B">
      <w:pPr>
        <w:adjustRightInd w:val="0"/>
        <w:snapToGrid w:val="0"/>
        <w:spacing w:after="0" w:line="360" w:lineRule="auto"/>
        <w:jc w:val="both"/>
        <w:rPr>
          <w:rFonts w:ascii="Book Antiqua" w:hAnsi="Book Antiqua" w:cs="Arial"/>
          <w:sz w:val="24"/>
          <w:szCs w:val="24"/>
          <w:lang w:eastAsia="zh-CN"/>
        </w:rPr>
      </w:pPr>
    </w:p>
    <w:p w:rsidR="00A20705" w:rsidRPr="00FB7D6B" w:rsidRDefault="00A20705"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b/>
          <w:sz w:val="24"/>
          <w:szCs w:val="24"/>
          <w:lang w:val="en-US"/>
        </w:rPr>
        <w:t>Core tip:</w:t>
      </w:r>
      <w:r w:rsidRPr="00FB7D6B">
        <w:rPr>
          <w:rFonts w:ascii="Book Antiqua" w:hAnsi="Book Antiqua" w:cs="Arial"/>
          <w:sz w:val="24"/>
          <w:szCs w:val="24"/>
          <w:lang w:val="en-US"/>
        </w:rPr>
        <w:t xml:space="preserve"> Autoimmune hepatitis </w:t>
      </w:r>
      <w:r w:rsidR="008935D9" w:rsidRPr="00FB7D6B">
        <w:rPr>
          <w:rFonts w:ascii="Book Antiqua" w:hAnsi="Book Antiqua" w:cs="Arial"/>
          <w:sz w:val="24"/>
          <w:szCs w:val="24"/>
          <w:lang w:val="en-US"/>
        </w:rPr>
        <w:t xml:space="preserve">is </w:t>
      </w:r>
      <w:r w:rsidRPr="00FB7D6B">
        <w:rPr>
          <w:rFonts w:ascii="Book Antiqua" w:hAnsi="Book Antiqua" w:cs="Arial"/>
          <w:sz w:val="24"/>
          <w:szCs w:val="24"/>
          <w:lang w:val="en-US"/>
        </w:rPr>
        <w:t>considered to m</w:t>
      </w:r>
      <w:r w:rsidR="00824690" w:rsidRPr="00FB7D6B">
        <w:rPr>
          <w:rFonts w:ascii="Book Antiqua" w:hAnsi="Book Antiqua" w:cs="Arial"/>
          <w:sz w:val="24"/>
          <w:szCs w:val="24"/>
          <w:lang w:val="en-US"/>
        </w:rPr>
        <w:t xml:space="preserve">anifest </w:t>
      </w:r>
      <w:r w:rsidR="008935D9" w:rsidRPr="00FB7D6B">
        <w:rPr>
          <w:rFonts w:ascii="Book Antiqua" w:hAnsi="Book Antiqua" w:cs="Arial"/>
          <w:sz w:val="24"/>
          <w:szCs w:val="24"/>
          <w:lang w:val="en-US"/>
        </w:rPr>
        <w:t xml:space="preserve">as a chronic </w:t>
      </w:r>
      <w:r w:rsidRPr="00FB7D6B">
        <w:rPr>
          <w:rFonts w:ascii="Book Antiqua" w:hAnsi="Book Antiqua" w:cs="Arial"/>
          <w:sz w:val="24"/>
          <w:szCs w:val="24"/>
          <w:lang w:val="en-US"/>
        </w:rPr>
        <w:t xml:space="preserve">disease. </w:t>
      </w:r>
      <w:r w:rsidR="00824690" w:rsidRPr="00FB7D6B">
        <w:rPr>
          <w:rFonts w:ascii="Book Antiqua" w:hAnsi="Book Antiqua" w:cs="Arial"/>
          <w:sz w:val="24"/>
          <w:szCs w:val="24"/>
          <w:lang w:val="en-US"/>
        </w:rPr>
        <w:t>I</w:t>
      </w:r>
      <w:r w:rsidRPr="00FB7D6B">
        <w:rPr>
          <w:rFonts w:ascii="Book Antiqua" w:hAnsi="Book Antiqua" w:cs="Arial"/>
          <w:sz w:val="24"/>
          <w:szCs w:val="24"/>
          <w:lang w:val="en-US"/>
        </w:rPr>
        <w:t>n few cases, the clinician is challenged with patients revealing acute liver failure as their first manifestation</w:t>
      </w:r>
      <w:r w:rsidR="00824690" w:rsidRPr="00FB7D6B">
        <w:rPr>
          <w:rFonts w:ascii="Book Antiqua" w:hAnsi="Book Antiqua" w:cs="Arial"/>
          <w:sz w:val="24"/>
          <w:szCs w:val="24"/>
          <w:lang w:val="en-US"/>
        </w:rPr>
        <w:t xml:space="preserve"> of </w:t>
      </w:r>
      <w:r w:rsidR="00F77C81" w:rsidRPr="00FB7D6B">
        <w:rPr>
          <w:rFonts w:ascii="Book Antiqua" w:hAnsi="Book Antiqua" w:cs="Arial"/>
          <w:sz w:val="24"/>
          <w:szCs w:val="24"/>
          <w:lang w:val="en-US"/>
        </w:rPr>
        <w:t xml:space="preserve">autoimmune hepatitis </w:t>
      </w:r>
      <w:r w:rsidR="00F77C81" w:rsidRPr="00FB7D6B">
        <w:rPr>
          <w:rFonts w:ascii="Book Antiqua" w:hAnsi="Book Antiqua" w:cs="Arial"/>
          <w:sz w:val="24"/>
          <w:szCs w:val="24"/>
          <w:lang w:val="en-US" w:eastAsia="zh-CN"/>
        </w:rPr>
        <w:t>(</w:t>
      </w:r>
      <w:r w:rsidR="00824690" w:rsidRPr="00FB7D6B">
        <w:rPr>
          <w:rFonts w:ascii="Book Antiqua" w:hAnsi="Book Antiqua" w:cs="Arial"/>
          <w:sz w:val="24"/>
          <w:szCs w:val="24"/>
          <w:lang w:val="en-US"/>
        </w:rPr>
        <w:t>AIH</w:t>
      </w:r>
      <w:r w:rsidR="00F77C81"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w:t>
      </w:r>
      <w:r w:rsidR="00824690" w:rsidRPr="00FB7D6B">
        <w:rPr>
          <w:rFonts w:ascii="Book Antiqua" w:hAnsi="Book Antiqua" w:cs="Arial"/>
          <w:sz w:val="24"/>
          <w:szCs w:val="24"/>
          <w:lang w:val="en-US"/>
        </w:rPr>
        <w:t>T</w:t>
      </w:r>
      <w:r w:rsidRPr="00FB7D6B">
        <w:rPr>
          <w:rFonts w:ascii="Book Antiqua" w:hAnsi="Book Antiqua" w:cs="Arial"/>
          <w:sz w:val="24"/>
          <w:szCs w:val="24"/>
          <w:lang w:val="en-US"/>
        </w:rPr>
        <w:t>he aim of our study was</w:t>
      </w:r>
      <w:r w:rsidR="008935D9" w:rsidRPr="00FB7D6B">
        <w:rPr>
          <w:rFonts w:ascii="Book Antiqua" w:hAnsi="Book Antiqua" w:cs="Arial"/>
          <w:sz w:val="24"/>
          <w:szCs w:val="24"/>
          <w:lang w:val="en-US"/>
        </w:rPr>
        <w:t xml:space="preserve"> </w:t>
      </w:r>
      <w:r w:rsidRPr="00FB7D6B">
        <w:rPr>
          <w:rFonts w:ascii="Book Antiqua" w:hAnsi="Book Antiqua" w:cs="Arial"/>
          <w:sz w:val="24"/>
          <w:szCs w:val="24"/>
          <w:lang w:val="en-US"/>
        </w:rPr>
        <w:t xml:space="preserve">to investigate features of especially these patients </w:t>
      </w:r>
      <w:r w:rsidR="00824690" w:rsidRPr="00FB7D6B">
        <w:rPr>
          <w:rFonts w:ascii="Book Antiqua" w:hAnsi="Book Antiqua" w:cs="Arial"/>
          <w:sz w:val="24"/>
          <w:szCs w:val="24"/>
          <w:lang w:val="en-US"/>
        </w:rPr>
        <w:t xml:space="preserve">with </w:t>
      </w:r>
      <w:r w:rsidRPr="00FB7D6B">
        <w:rPr>
          <w:rFonts w:ascii="Book Antiqua" w:hAnsi="Book Antiqua" w:cs="Arial"/>
          <w:sz w:val="24"/>
          <w:szCs w:val="24"/>
          <w:lang w:val="en-US"/>
        </w:rPr>
        <w:t xml:space="preserve">focus on potential triggering factors. We </w:t>
      </w:r>
      <w:r w:rsidR="008935D9" w:rsidRPr="00FB7D6B">
        <w:rPr>
          <w:rFonts w:ascii="Book Antiqua" w:hAnsi="Book Antiqua" w:cs="Arial"/>
          <w:sz w:val="24"/>
          <w:szCs w:val="24"/>
          <w:lang w:val="en-US"/>
        </w:rPr>
        <w:t>identified</w:t>
      </w:r>
      <w:r w:rsidRPr="00FB7D6B">
        <w:rPr>
          <w:rFonts w:ascii="Book Antiqua" w:hAnsi="Book Antiqua" w:cs="Arial"/>
          <w:sz w:val="24"/>
          <w:szCs w:val="24"/>
          <w:lang w:val="en-US"/>
        </w:rPr>
        <w:t xml:space="preserve"> triggering factors </w:t>
      </w:r>
      <w:r w:rsidR="00824690" w:rsidRPr="00FB7D6B">
        <w:rPr>
          <w:rFonts w:ascii="Book Antiqua" w:hAnsi="Book Antiqua" w:cs="Arial"/>
          <w:sz w:val="24"/>
          <w:szCs w:val="24"/>
          <w:lang w:val="en-US"/>
        </w:rPr>
        <w:t xml:space="preserve">in half of our patients (26 out of 52 patients with </w:t>
      </w:r>
      <w:r w:rsidR="00F77C81" w:rsidRPr="00FB7D6B">
        <w:rPr>
          <w:rFonts w:ascii="Book Antiqua" w:hAnsi="Book Antiqua" w:cs="Arial"/>
          <w:sz w:val="24"/>
          <w:szCs w:val="24"/>
          <w:lang w:val="en-US"/>
        </w:rPr>
        <w:t xml:space="preserve">acute liver failure </w:t>
      </w:r>
      <w:r w:rsidR="00824690" w:rsidRPr="00FB7D6B">
        <w:rPr>
          <w:rFonts w:ascii="Book Antiqua" w:hAnsi="Book Antiqua" w:cs="Arial"/>
          <w:sz w:val="24"/>
          <w:szCs w:val="24"/>
          <w:lang w:val="en-US"/>
        </w:rPr>
        <w:t>within a total cohort of 565 AIH patients). These were drugs,</w:t>
      </w:r>
      <w:r w:rsidR="008935D9" w:rsidRPr="00FB7D6B">
        <w:rPr>
          <w:rFonts w:ascii="Book Antiqua" w:hAnsi="Book Antiqua" w:cs="Arial"/>
          <w:sz w:val="24"/>
          <w:szCs w:val="24"/>
          <w:lang w:val="en-US"/>
        </w:rPr>
        <w:t xml:space="preserve"> viral infections, and </w:t>
      </w:r>
      <w:r w:rsidR="00824690" w:rsidRPr="00FB7D6B">
        <w:rPr>
          <w:rFonts w:ascii="Book Antiqua" w:hAnsi="Book Antiqua" w:cs="Arial"/>
          <w:sz w:val="24"/>
          <w:szCs w:val="24"/>
          <w:lang w:val="en-US"/>
        </w:rPr>
        <w:t>surgery. Advanced age and high MELD-score were associated with lethal outcome. Consequently, the clinician woul</w:t>
      </w:r>
      <w:r w:rsidR="008935D9" w:rsidRPr="00FB7D6B">
        <w:rPr>
          <w:rFonts w:ascii="Book Antiqua" w:hAnsi="Book Antiqua" w:cs="Arial"/>
          <w:sz w:val="24"/>
          <w:szCs w:val="24"/>
          <w:lang w:val="en-US"/>
        </w:rPr>
        <w:t xml:space="preserve">d be well-advised to </w:t>
      </w:r>
      <w:r w:rsidR="00824690" w:rsidRPr="00FB7D6B">
        <w:rPr>
          <w:rFonts w:ascii="Book Antiqua" w:hAnsi="Book Antiqua" w:cs="Arial"/>
          <w:sz w:val="24"/>
          <w:szCs w:val="24"/>
          <w:lang w:val="en-US"/>
        </w:rPr>
        <w:t>document these underlying conditions.</w:t>
      </w:r>
    </w:p>
    <w:p w:rsidR="00F77C81" w:rsidRPr="00FB7D6B" w:rsidRDefault="00F77C81" w:rsidP="00FB7D6B">
      <w:pPr>
        <w:adjustRightInd w:val="0"/>
        <w:snapToGrid w:val="0"/>
        <w:spacing w:after="0" w:line="360" w:lineRule="auto"/>
        <w:jc w:val="both"/>
        <w:rPr>
          <w:rFonts w:ascii="Book Antiqua" w:hAnsi="Book Antiqua" w:cs="Arial"/>
          <w:b/>
          <w:sz w:val="24"/>
          <w:szCs w:val="24"/>
          <w:lang w:val="en-US" w:eastAsia="zh-CN"/>
        </w:rPr>
      </w:pPr>
    </w:p>
    <w:p w:rsidR="003E0D42" w:rsidRPr="003E0D42" w:rsidRDefault="008935D9"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Buechter M, Manka P, Heinemann FM, Lindemann M, Baba HA, Schlattjan M, Canbay A, Gerken G, Kahraman A.</w:t>
      </w:r>
      <w:r w:rsidR="00F77C81" w:rsidRPr="00FB7D6B">
        <w:rPr>
          <w:rFonts w:ascii="Book Antiqua" w:hAnsi="Book Antiqua" w:cs="Arial"/>
          <w:b/>
          <w:sz w:val="24"/>
          <w:szCs w:val="24"/>
          <w:lang w:val="en-US" w:eastAsia="zh-CN"/>
        </w:rPr>
        <w:t xml:space="preserve"> </w:t>
      </w:r>
      <w:r w:rsidRPr="00FB7D6B">
        <w:rPr>
          <w:rFonts w:ascii="Book Antiqua" w:hAnsi="Book Antiqua" w:cs="Arial"/>
          <w:sz w:val="24"/>
          <w:szCs w:val="24"/>
          <w:lang w:val="en-US"/>
        </w:rPr>
        <w:t>Potential triggering factors of acute liver failure as a first manife</w:t>
      </w:r>
      <w:r w:rsidR="00F77C81" w:rsidRPr="00FB7D6B">
        <w:rPr>
          <w:rFonts w:ascii="Book Antiqua" w:hAnsi="Book Antiqua" w:cs="Arial"/>
          <w:sz w:val="24"/>
          <w:szCs w:val="24"/>
          <w:lang w:val="en-US"/>
        </w:rPr>
        <w:t>station of autoimmune hepatitis-</w:t>
      </w:r>
      <w:r w:rsidRPr="00FB7D6B">
        <w:rPr>
          <w:rFonts w:ascii="Book Antiqua" w:hAnsi="Book Antiqua" w:cs="Arial"/>
          <w:sz w:val="24"/>
          <w:szCs w:val="24"/>
          <w:lang w:val="en-US"/>
        </w:rPr>
        <w:t>a single center experience of 52 adult patients</w:t>
      </w:r>
      <w:r w:rsidR="00F77C81" w:rsidRPr="00FB7D6B">
        <w:rPr>
          <w:rFonts w:ascii="Book Antiqua" w:hAnsi="Book Antiqua" w:cs="Arial"/>
          <w:sz w:val="24"/>
          <w:szCs w:val="24"/>
          <w:lang w:val="en-US" w:eastAsia="zh-CN"/>
        </w:rPr>
        <w:t xml:space="preserve">. </w:t>
      </w:r>
      <w:r w:rsidR="00F77C81" w:rsidRPr="00FB7D6B">
        <w:rPr>
          <w:rFonts w:ascii="Book Antiqua" w:hAnsi="Book Antiqua" w:cs="Arial"/>
          <w:i/>
          <w:sz w:val="24"/>
          <w:szCs w:val="24"/>
          <w:lang w:val="en-US"/>
        </w:rPr>
        <w:t>World J Gastroenterol</w:t>
      </w:r>
      <w:r w:rsidR="00F77C81" w:rsidRPr="00FB7D6B">
        <w:rPr>
          <w:rFonts w:ascii="Book Antiqua" w:hAnsi="Book Antiqua" w:cs="Arial"/>
          <w:sz w:val="24"/>
          <w:szCs w:val="24"/>
          <w:lang w:val="en-US"/>
        </w:rPr>
        <w:t xml:space="preserve"> 2018; In press</w:t>
      </w:r>
    </w:p>
    <w:p w:rsidR="00F77C81" w:rsidRPr="00FB7D6B" w:rsidRDefault="00F77C81" w:rsidP="00FB7D6B">
      <w:pPr>
        <w:spacing w:after="0" w:line="360" w:lineRule="auto"/>
        <w:rPr>
          <w:rFonts w:ascii="Book Antiqua" w:hAnsi="Book Antiqua" w:cs="Arial"/>
          <w:sz w:val="24"/>
          <w:szCs w:val="24"/>
          <w:lang w:val="en-US" w:eastAsia="zh-CN"/>
        </w:rPr>
      </w:pPr>
      <w:r w:rsidRPr="00FB7D6B">
        <w:rPr>
          <w:rFonts w:ascii="Book Antiqua" w:hAnsi="Book Antiqua" w:cs="Arial"/>
          <w:sz w:val="24"/>
          <w:szCs w:val="24"/>
          <w:lang w:val="en-US" w:eastAsia="zh-CN"/>
        </w:rPr>
        <w:br w:type="page"/>
      </w:r>
    </w:p>
    <w:p w:rsidR="00D2412B" w:rsidRPr="00FB7D6B" w:rsidRDefault="00D02B88"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lastRenderedPageBreak/>
        <w:t>INTRODUCTION</w:t>
      </w:r>
      <w:r w:rsidR="00910342" w:rsidRPr="00FB7D6B">
        <w:rPr>
          <w:rFonts w:ascii="Book Antiqua" w:hAnsi="Book Antiqua" w:cs="Arial"/>
          <w:b/>
          <w:sz w:val="24"/>
          <w:szCs w:val="24"/>
          <w:lang w:val="en-US"/>
        </w:rPr>
        <w:t xml:space="preserve"> </w:t>
      </w:r>
    </w:p>
    <w:p w:rsidR="00315E4E" w:rsidRPr="00FB7D6B" w:rsidRDefault="00234B99"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Autoimmune hepatiti</w:t>
      </w:r>
      <w:r w:rsidR="00F025E5" w:rsidRPr="00FB7D6B">
        <w:rPr>
          <w:rFonts w:ascii="Book Antiqua" w:hAnsi="Book Antiqua" w:cs="Arial"/>
          <w:sz w:val="24"/>
          <w:szCs w:val="24"/>
          <w:lang w:val="en-US"/>
        </w:rPr>
        <w:t xml:space="preserve">s (AIH) is a complex </w:t>
      </w:r>
      <w:r w:rsidRPr="00FB7D6B">
        <w:rPr>
          <w:rFonts w:ascii="Book Antiqua" w:hAnsi="Book Antiqua" w:cs="Arial"/>
          <w:sz w:val="24"/>
          <w:szCs w:val="24"/>
          <w:lang w:val="en-US"/>
        </w:rPr>
        <w:t>disease characterized by immune-mediated destruction of hepatic parenchyma, female gend</w:t>
      </w:r>
      <w:r w:rsidR="00DA6F5D" w:rsidRPr="00FB7D6B">
        <w:rPr>
          <w:rFonts w:ascii="Book Antiqua" w:hAnsi="Book Antiqua" w:cs="Arial"/>
          <w:sz w:val="24"/>
          <w:szCs w:val="24"/>
          <w:lang w:val="en-US"/>
        </w:rPr>
        <w:t xml:space="preserve">er bias, presence of </w:t>
      </w:r>
      <w:r w:rsidR="00D06448" w:rsidRPr="00FB7D6B">
        <w:rPr>
          <w:rFonts w:ascii="Book Antiqua" w:hAnsi="Book Antiqua" w:cs="Arial"/>
          <w:sz w:val="24"/>
          <w:szCs w:val="24"/>
          <w:lang w:val="en-US"/>
        </w:rPr>
        <w:t>auto-antibodies, hypergammaglobulina</w:t>
      </w:r>
      <w:r w:rsidRPr="00FB7D6B">
        <w:rPr>
          <w:rFonts w:ascii="Book Antiqua" w:hAnsi="Book Antiqua" w:cs="Arial"/>
          <w:sz w:val="24"/>
          <w:szCs w:val="24"/>
          <w:lang w:val="en-US"/>
        </w:rPr>
        <w:t xml:space="preserve">emia, association with other autoimmune </w:t>
      </w:r>
      <w:r w:rsidR="00D06448" w:rsidRPr="00FB7D6B">
        <w:rPr>
          <w:rFonts w:ascii="Book Antiqua" w:hAnsi="Book Antiqua" w:cs="Arial"/>
          <w:sz w:val="24"/>
          <w:szCs w:val="24"/>
          <w:lang w:val="en-US"/>
        </w:rPr>
        <w:t>condition</w:t>
      </w:r>
      <w:r w:rsidRPr="00FB7D6B">
        <w:rPr>
          <w:rFonts w:ascii="Book Antiqua" w:hAnsi="Book Antiqua" w:cs="Arial"/>
          <w:sz w:val="24"/>
          <w:szCs w:val="24"/>
          <w:lang w:val="en-US"/>
        </w:rPr>
        <w:t>s</w:t>
      </w:r>
      <w:r w:rsidR="00D06448" w:rsidRPr="00FB7D6B">
        <w:rPr>
          <w:rFonts w:ascii="Book Antiqua" w:hAnsi="Book Antiqua" w:cs="Arial"/>
          <w:sz w:val="24"/>
          <w:szCs w:val="24"/>
          <w:lang w:val="en-US"/>
        </w:rPr>
        <w:t>,</w:t>
      </w:r>
      <w:r w:rsidRPr="00FB7D6B">
        <w:rPr>
          <w:rFonts w:ascii="Book Antiqua" w:hAnsi="Book Antiqua" w:cs="Arial"/>
          <w:sz w:val="24"/>
          <w:szCs w:val="24"/>
          <w:lang w:val="en-US"/>
        </w:rPr>
        <w:t xml:space="preserve"> and </w:t>
      </w:r>
      <w:r w:rsidR="00D06448" w:rsidRPr="00FB7D6B">
        <w:rPr>
          <w:rFonts w:ascii="Book Antiqua" w:hAnsi="Book Antiqua" w:cs="Arial"/>
          <w:sz w:val="24"/>
          <w:szCs w:val="24"/>
          <w:lang w:val="en-US"/>
        </w:rPr>
        <w:t xml:space="preserve">excellent </w:t>
      </w:r>
      <w:r w:rsidRPr="00FB7D6B">
        <w:rPr>
          <w:rFonts w:ascii="Book Antiqua" w:hAnsi="Book Antiqua" w:cs="Arial"/>
          <w:sz w:val="24"/>
          <w:szCs w:val="24"/>
          <w:lang w:val="en-US"/>
        </w:rPr>
        <w:t xml:space="preserve">response to </w:t>
      </w:r>
      <w:r w:rsidR="00840D8E" w:rsidRPr="00FB7D6B">
        <w:rPr>
          <w:rFonts w:ascii="Book Antiqua" w:hAnsi="Book Antiqua" w:cs="Arial"/>
          <w:sz w:val="24"/>
          <w:szCs w:val="24"/>
          <w:lang w:val="en-US"/>
        </w:rPr>
        <w:t xml:space="preserve">immunosuppressive </w:t>
      </w:r>
      <w:r w:rsidR="00F025E5" w:rsidRPr="00FB7D6B">
        <w:rPr>
          <w:rFonts w:ascii="Book Antiqua" w:hAnsi="Book Antiqua" w:cs="Arial"/>
          <w:sz w:val="24"/>
          <w:szCs w:val="24"/>
          <w:lang w:val="en-US"/>
        </w:rPr>
        <w:t>therapy</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{"citationID":"eXlYkgmm","properties":{"formattedCitation":"{\\rtf \\super [1]\\nosupersub{}}","plainCitation":"[1]"},"citationItems":[{"id":514,"uris":["http://zotero.org/users/local/Cz1JGnYD/items/X8GK9XN6"],"uri":["http://zotero.org/users/local/Cz1JGnYD/items/X8GK9XN6"],"itemData":{"id":514,"type":"article-journal","title":"The clinical phenotypes of autoimmune hepatitis: A comprehensive review","container-title":"Journal of Autoimmunity","page":"98-107","volume":"66","source":"PubMed","abstract":"Autoimmune hepatitis (AIH) fulfills the generally accepted contemporary criteria of an autoimmune liver disease: the presence of autoantibodies and autoreactive T cells, a female gender bias, association with other autoimmune diseases, response to immunosuppressive therapy and strong associations with the major histocompatibility complex HLA loci. It occurs worldwide in both children and adults and is marked by both etiopathogenic and clinical heterogeneity, differing from the other putative autoimmune liver diseases, primary biliary cirrhosis (PBC) and primary sclerosing cholangitis (PSC), albeit occasionally presenting with overlapping features of PBC or PSC. Although diagnostic criteria have been established and validated, there are still major issues to be clarified due to its variability, such as autoantibody-negative AIH, drug-induced AIH, AIH sharing features with PBC or PSC, and post-transplant de novo AIH. In view of the diverse presentations and courses, including classical chronic onset, acute and acute severe onset, cirrhosis and decompensated cirrhosis, individualized management of patients is indicated. Each patient should receive a personalized analysis of the benefits and side effect risks of drugs. Herein we describe a comprehensive review of the clinical phenotypes of AIH underscoring its clinical heterogeneity.","DOI":"10.1016/j.jaut.2015.10.006","ISSN":"1095-9157","note":"PMID: 26614611","shortTitle":"The clinical phenotypes of autoimmune hepatitis","journalAbbreviation":"J. Autoimmun.","language":"eng","author":[{"family":"Wang","given":"Qixia"},{"family":"Yang","given":"Fan"},{"family":"Miao","given":"Qi"},{"family":"Krawitt","given":"Edward L."},{"family":"Gershwin","given":"M. Eric"},{"family":"Ma","given":"Xiong"}],"issued":{"date-parts":[["2016",1]]},"PMID":"26614611"}}],"schema":"https://github.com/citation-style-language/schema/raw/master/csl-citation.json"}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w:t>
      </w:r>
      <w:r w:rsidR="00CA4090" w:rsidRPr="00FB7D6B">
        <w:rPr>
          <w:rFonts w:ascii="Book Antiqua" w:hAnsi="Book Antiqua" w:cs="Arial"/>
          <w:sz w:val="24"/>
          <w:szCs w:val="24"/>
          <w:vertAlign w:val="superscript"/>
          <w:lang w:val="en-US"/>
        </w:rPr>
        <w:fldChar w:fldCharType="end"/>
      </w:r>
      <w:r w:rsidR="00D06448" w:rsidRPr="00FB7D6B">
        <w:rPr>
          <w:rFonts w:ascii="Book Antiqua" w:hAnsi="Book Antiqua" w:cs="Arial"/>
          <w:sz w:val="24"/>
          <w:szCs w:val="24"/>
          <w:lang w:val="en-US"/>
        </w:rPr>
        <w:t xml:space="preserve">. </w:t>
      </w:r>
      <w:r w:rsidR="0060111A" w:rsidRPr="00FB7D6B">
        <w:rPr>
          <w:rFonts w:ascii="Book Antiqua" w:hAnsi="Book Antiqua" w:cs="Arial"/>
          <w:sz w:val="24"/>
          <w:szCs w:val="24"/>
          <w:lang w:val="en-US"/>
        </w:rPr>
        <w:t>Sin</w:t>
      </w:r>
      <w:r w:rsidR="00D06448" w:rsidRPr="00FB7D6B">
        <w:rPr>
          <w:rFonts w:ascii="Book Antiqua" w:hAnsi="Book Antiqua" w:cs="Arial"/>
          <w:sz w:val="24"/>
          <w:szCs w:val="24"/>
          <w:lang w:val="en-US"/>
        </w:rPr>
        <w:t>ce its first</w:t>
      </w:r>
      <w:r w:rsidR="00F025E5" w:rsidRPr="00FB7D6B">
        <w:rPr>
          <w:rFonts w:ascii="Book Antiqua" w:hAnsi="Book Antiqua" w:cs="Arial"/>
          <w:sz w:val="24"/>
          <w:szCs w:val="24"/>
          <w:lang w:val="en-US"/>
        </w:rPr>
        <w:t xml:space="preserve"> description by Waldenström </w:t>
      </w:r>
      <w:r w:rsidR="0060111A" w:rsidRPr="00FB7D6B">
        <w:rPr>
          <w:rFonts w:ascii="Book Antiqua" w:hAnsi="Book Antiqua" w:cs="Arial"/>
          <w:sz w:val="24"/>
          <w:szCs w:val="24"/>
          <w:lang w:val="en-US"/>
        </w:rPr>
        <w:t>in the early 1950</w:t>
      </w:r>
      <w:r w:rsidR="00D06448" w:rsidRPr="00FB7D6B">
        <w:rPr>
          <w:rFonts w:ascii="Book Antiqua" w:hAnsi="Book Antiqua" w:cs="Arial"/>
          <w:sz w:val="24"/>
          <w:szCs w:val="24"/>
          <w:lang w:val="en-US"/>
        </w:rPr>
        <w:t>’s</w:t>
      </w:r>
      <w:r w:rsidR="0060111A" w:rsidRPr="00FB7D6B">
        <w:rPr>
          <w:rFonts w:ascii="Book Antiqua" w:hAnsi="Book Antiqua" w:cs="Arial"/>
          <w:sz w:val="24"/>
          <w:szCs w:val="24"/>
          <w:lang w:val="en-US"/>
        </w:rPr>
        <w:t xml:space="preserve">, </w:t>
      </w:r>
      <w:r w:rsidR="00FB007B" w:rsidRPr="00FB7D6B">
        <w:rPr>
          <w:rFonts w:ascii="Book Antiqua" w:hAnsi="Book Antiqua" w:cs="Arial"/>
          <w:sz w:val="24"/>
          <w:szCs w:val="24"/>
          <w:lang w:val="en-US"/>
        </w:rPr>
        <w:t>AIH</w:t>
      </w:r>
      <w:r w:rsidR="0060111A" w:rsidRPr="00FB7D6B">
        <w:rPr>
          <w:rFonts w:ascii="Book Antiqua" w:hAnsi="Book Antiqua" w:cs="Arial"/>
          <w:sz w:val="24"/>
          <w:szCs w:val="24"/>
          <w:lang w:val="en-US"/>
        </w:rPr>
        <w:t xml:space="preserve"> was </w:t>
      </w:r>
      <w:r w:rsidR="005878F2" w:rsidRPr="00FB7D6B">
        <w:rPr>
          <w:rFonts w:ascii="Book Antiqua" w:hAnsi="Book Antiqua" w:cs="Arial"/>
          <w:sz w:val="24"/>
          <w:szCs w:val="24"/>
          <w:lang w:val="en-US"/>
        </w:rPr>
        <w:t xml:space="preserve">considered to </w:t>
      </w:r>
      <w:r w:rsidR="005F2392" w:rsidRPr="00FB7D6B">
        <w:rPr>
          <w:rFonts w:ascii="Book Antiqua" w:hAnsi="Book Antiqua" w:cs="Arial"/>
          <w:sz w:val="24"/>
          <w:szCs w:val="24"/>
          <w:lang w:val="en-US"/>
        </w:rPr>
        <w:t>manifest</w:t>
      </w:r>
      <w:r w:rsidR="005878F2" w:rsidRPr="00FB7D6B">
        <w:rPr>
          <w:rFonts w:ascii="Book Antiqua" w:hAnsi="Book Antiqua" w:cs="Arial"/>
          <w:sz w:val="24"/>
          <w:szCs w:val="24"/>
          <w:lang w:val="en-US"/>
        </w:rPr>
        <w:t xml:space="preserve"> as a chronic liver </w:t>
      </w:r>
      <w:r w:rsidR="0060111A" w:rsidRPr="00FB7D6B">
        <w:rPr>
          <w:rFonts w:ascii="Book Antiqua" w:hAnsi="Book Antiqua" w:cs="Arial"/>
          <w:sz w:val="24"/>
          <w:szCs w:val="24"/>
          <w:lang w:val="en-US"/>
        </w:rPr>
        <w:t>disease</w:t>
      </w:r>
      <w:r w:rsidR="005878F2" w:rsidRPr="00FB7D6B">
        <w:rPr>
          <w:rFonts w:ascii="Book Antiqua" w:hAnsi="Book Antiqua" w:cs="Arial"/>
          <w:sz w:val="24"/>
          <w:szCs w:val="24"/>
          <w:lang w:val="en-US"/>
        </w:rPr>
        <w:t xml:space="preserve"> and its fulminant presentation was not commonly reported</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{"citationID":"pkhv361td","properties":{"formattedCitation":"{\\rtf \\super [2\\uc0\\u8211{}4]\\nosupersub{}}","plainCitation":"[2–4]"},"citationItems":[{"id":516,"uris":["http://zotero.org/users/local/Cz1JGnYD/items/EG3CQ2IB"],"uri":["http://zotero.org/users/local/Cz1JGnYD/items/EG3CQ2IB"],"itemData":{"id":516,"type":"article-journal","title":"[Liver, blood proteins and nutritive protein]","container-title":"Deutsche Zeitschrift Fur Verdauungs- Und Stoffwechselkrankheiten","page":"113-119","volume":"9","source":"PubMed","ISSN":"0012-1053","note":"PMID: 13150939","journalAbbreviation":"Dtsch Z Verdau Stoffwechselkr","language":"und","author":[{"family":"Waldenstrom","given":"J."}],"issued":{"date-parts":[["1953"]]},"PMID":"13150939"},"label":"page"},{"id":518,"uris":["http://zotero.org/users/local/Cz1JGnYD/items/7PSKEUCF"],"uri":["http://zotero.org/users/local/Cz1JGnYD/items/7PSKEUCF"],"itemData":{"id":518,"type":"article-journal","title":"Fulminant hepatic failure as the initial presentation of acute autoimmune hepatitis","container-title":"Clinical Gastroenterology and Hepatology: The Official Clinical Practice Journal of the American Gastroenterological Association","page":"625-631","volume":"2","issue":"7","source":"PubMed","abstract":"BACKGROUND &amp; AIMS: Autoimmune hepatitis is a common cause of chronic hepatitis, and acute presentation is thought to be uncommon. The aim of this study was to compare clinical, biochemical, and histological features in patients with autoimmune hepatitis presenting with either acute or chronic hepatitis.\nMETHODS: Retrospective review of all patients with autoimmune hepatitis presenting to a University medical center from 1993 to 2002.\nRESULTS: One hundred fifteen patients with autoimmune hepatitis were identified. Ten patients with autoimmune hepatitis were identified as having acute presentation (group I), and 20 patients with a classic presentation as chronic hepatitis (group II) served as age- and sex-matched controls. All patients met criteria published by the International Autoimmune Hepatitis Group. Patients with acute presentation differed significantly with regard to encephalopathy, albumin levels, and bilirubin levels. Blinded liver biopsy review demonstrated that those with acute presentation had significantly less fibrosis, and significantly greater interface hepatitis, lobular disarray, lobular hepatitis, hepatocyte necrosis, zone III necrosis, and submassive necrosis.\nCONCLUSIONS: In our study, patients with an acute presentation of autoimmune hepatitis differed from patients with a classical presentation clinically, biochemically, and histologically. In our review, a majority of patients with acute autoimmune hepatitis presented with fulminant hepatic failure. The pattern of zone 3 necrosis may be a specific finding in those with acute autoimmune hepatitis.","ISSN":"1542-3565","note":"PMID: 15224287","journalAbbreviation":"Clin. Gastroenterol. Hepatol.","language":"eng","author":[{"family":"Kessler","given":"William R."},{"family":"Cummings","given":"Oscar W."},{"family":"Eckert","given":"George"},{"family":"Chalasani","given":"Naga"},{"family":"Lumeng","given":"Lawrence"},{"family":"Kwo","given":"Paul Y."}],"issued":{"date-parts":[["2004",7]]},"PMID":"15224287"},"label":"page"},{"id":520,"uris":["http://zotero.org/users/local/Cz1JGnYD/items/TQMMSPXE"],"uri":["http://zotero.org/users/local/Cz1JGnYD/items/TQMMSPXE"],"itemData":{"id":520,"type":"article-journal","title":"Fulminant presentation of autoimmune hepatitis: clinical features and early predictors of corticosteroid treatment failure","container-title":"European Journal of Gastroenterology &amp; Hepatology","page":"644-648","volume":"27","issue":"6","source":"PubMed","abstract":"BACKGROUND AND AIMS: Classical features of autoimmune hepatitis (AIH) may be altered during the abrupt onset of the disease. Corticosteroid therapy can be life-saving, but its use in the fulminant presentation of AIH (F-AIH) remains controversial. We aimed to assess the clinical features of patients with F-AIH and to describe the role of corticosteroids in this population.\nPATIENTS AND METHODS: We retrospectively analyzed 154 adult patients with fulminant hepatic failure who were admitted to six liver transplantation (LT) programs. The AIH simplified criteria were used to identify patients with F-AIH.\nRESULTS: We identified 40 (26%) patients with F-AIH. Compared with other etiologies, patients with F-AIH presented a longer interval from jaundice to encephalopathy (26 vs. 16 days, P=0.02) and a lower Model for End-Stage Liver Disease (MELD) score on admission (29 vs. 33, P=0.002). Overall, 25 (62%) patients with F-AIH underwent LT, eight (20%) patients survived, and seven (18%) died without LT. Seventeen patients received corticosteroids therapy, of whom seven (41%) survived without LT. Among the treated patients, higher MELD score and encephalopathy grade of 3 or more were associated significantly with corticosteroid failure.\nCONCLUSION: Patients with F-AIH have a more indolent presentation compared with the non-F-AIH population. Altogether, only eight (20%) patients presenting with F-AIH survived without LT. A subset of patients with F-AIH and an initial MELD score less than 27 and low-grade hepatic encephalopathy might benefit from administration of corticosteroids.","DOI":"10.1097/MEG.0000000000000353","ISSN":"1473-5687","note":"PMID: 25923939","shortTitle":"Fulminant presentation of autoimmune hepatitis","journalAbbreviation":"Eur J Gastroenterol Hepatol","language":"eng","author":[{"family":"Mendizabal","given":"Manuel"},{"family":"Marciano","given":"Sebastián"},{"family":"Videla","given":"María G."},{"family":"Anders","given":"Margarita"},{"family":"Zerega","given":"Alina"},{"family":"Balderramo","given":"Domingo C."},{"family":"Tisi Baña","given":"Matías R."},{"family":"Barrabino","given":"Martín"},{"family":"Gil","given":"Octavio"},{"family":"Mastai","given":"Ricardo"},{"family":"Yantorno","given":"Silvina"},{"family":"Gadano","given":"Adrián"},{"family":"Silva","given":"Marcelo O."}],"issued":{"date-parts":[["2015",6]]},"PMID":"25923939"},"label":"page"}],"schema":"https://github.com/citation-style-language/schema/raw/master/csl-citation.json"}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w:t>
      </w:r>
      <w:r w:rsidR="003E0D42">
        <w:rPr>
          <w:rFonts w:ascii="Book Antiqua" w:hAnsi="Book Antiqua" w:cs="Arial" w:hint="eastAsia"/>
          <w:sz w:val="24"/>
          <w:szCs w:val="24"/>
          <w:vertAlign w:val="superscript"/>
          <w:lang w:val="en-US" w:eastAsia="zh-CN"/>
        </w:rPr>
        <w:t>-</w:t>
      </w:r>
      <w:r w:rsidR="00353C5E" w:rsidRPr="00FB7D6B">
        <w:rPr>
          <w:rFonts w:ascii="Book Antiqua" w:hAnsi="Book Antiqua" w:cs="Arial"/>
          <w:sz w:val="24"/>
          <w:szCs w:val="24"/>
          <w:vertAlign w:val="superscript"/>
          <w:lang w:val="en-US"/>
        </w:rPr>
        <w:t>4]</w:t>
      </w:r>
      <w:r w:rsidR="00CA4090" w:rsidRPr="00FB7D6B">
        <w:rPr>
          <w:rFonts w:ascii="Book Antiqua" w:hAnsi="Book Antiqua" w:cs="Arial"/>
          <w:sz w:val="24"/>
          <w:szCs w:val="24"/>
          <w:vertAlign w:val="superscript"/>
          <w:lang w:val="en-US"/>
        </w:rPr>
        <w:fldChar w:fldCharType="end"/>
      </w:r>
      <w:r w:rsidR="0060111A" w:rsidRPr="00FB7D6B">
        <w:rPr>
          <w:rFonts w:ascii="Book Antiqua" w:hAnsi="Book Antiqua" w:cs="Arial"/>
          <w:sz w:val="24"/>
          <w:szCs w:val="24"/>
          <w:lang w:val="en-US"/>
        </w:rPr>
        <w:t xml:space="preserve">. </w:t>
      </w:r>
      <w:r w:rsidR="005878F2" w:rsidRPr="00FB7D6B">
        <w:rPr>
          <w:rFonts w:ascii="Book Antiqua" w:hAnsi="Book Antiqua" w:cs="Arial"/>
          <w:sz w:val="24"/>
          <w:szCs w:val="24"/>
          <w:lang w:val="en-US"/>
        </w:rPr>
        <w:t>Over the last decades</w:t>
      </w:r>
      <w:r w:rsidR="00163655" w:rsidRPr="00FB7D6B">
        <w:rPr>
          <w:rFonts w:ascii="Book Antiqua" w:hAnsi="Book Antiqua" w:cs="Arial"/>
          <w:sz w:val="24"/>
          <w:szCs w:val="24"/>
          <w:lang w:val="en-US"/>
        </w:rPr>
        <w:t>,</w:t>
      </w:r>
      <w:r w:rsidR="005878F2" w:rsidRPr="00FB7D6B">
        <w:rPr>
          <w:rFonts w:ascii="Book Antiqua" w:hAnsi="Book Antiqua" w:cs="Arial"/>
          <w:sz w:val="24"/>
          <w:szCs w:val="24"/>
          <w:lang w:val="en-US"/>
        </w:rPr>
        <w:t xml:space="preserve"> it has become apparent that</w:t>
      </w:r>
      <w:r w:rsidR="0060111A" w:rsidRPr="00FB7D6B">
        <w:rPr>
          <w:rFonts w:ascii="Book Antiqua" w:hAnsi="Book Antiqua" w:cs="Arial"/>
          <w:sz w:val="24"/>
          <w:szCs w:val="24"/>
          <w:lang w:val="en-US"/>
        </w:rPr>
        <w:t xml:space="preserve"> </w:t>
      </w:r>
      <w:r w:rsidR="005878F2" w:rsidRPr="00FB7D6B">
        <w:rPr>
          <w:rFonts w:ascii="Book Antiqua" w:hAnsi="Book Antiqua" w:cs="Arial"/>
          <w:sz w:val="24"/>
          <w:szCs w:val="24"/>
          <w:lang w:val="en-US"/>
        </w:rPr>
        <w:t>AIH</w:t>
      </w:r>
      <w:r w:rsidR="0060111A" w:rsidRPr="00FB7D6B">
        <w:rPr>
          <w:rFonts w:ascii="Book Antiqua" w:hAnsi="Book Antiqua" w:cs="Arial"/>
          <w:sz w:val="24"/>
          <w:szCs w:val="24"/>
          <w:lang w:val="en-US"/>
        </w:rPr>
        <w:t xml:space="preserve"> </w:t>
      </w:r>
      <w:r w:rsidR="0048589A" w:rsidRPr="00FB7D6B">
        <w:rPr>
          <w:rFonts w:ascii="Book Antiqua" w:hAnsi="Book Antiqua" w:cs="Arial"/>
          <w:sz w:val="24"/>
          <w:szCs w:val="24"/>
          <w:lang w:val="en-US"/>
        </w:rPr>
        <w:t xml:space="preserve">can </w:t>
      </w:r>
      <w:r w:rsidR="00840D8E" w:rsidRPr="00FB7D6B">
        <w:rPr>
          <w:rFonts w:ascii="Book Antiqua" w:hAnsi="Book Antiqua" w:cs="Arial"/>
          <w:sz w:val="24"/>
          <w:szCs w:val="24"/>
          <w:lang w:val="en-US"/>
        </w:rPr>
        <w:t>occur</w:t>
      </w:r>
      <w:r w:rsidR="0048589A" w:rsidRPr="00FB7D6B">
        <w:rPr>
          <w:rFonts w:ascii="Book Antiqua" w:hAnsi="Book Antiqua" w:cs="Arial"/>
          <w:sz w:val="24"/>
          <w:szCs w:val="24"/>
          <w:lang w:val="en-US"/>
        </w:rPr>
        <w:t xml:space="preserve"> with diverse clinical phenotypes and its classical perception of a chronic inflammatory liver disease that affects mainly young </w:t>
      </w:r>
      <w:r w:rsidR="00F32AB2" w:rsidRPr="00FB7D6B">
        <w:rPr>
          <w:rFonts w:ascii="Book Antiqua" w:hAnsi="Book Antiqua" w:cs="Arial"/>
          <w:sz w:val="24"/>
          <w:szCs w:val="24"/>
          <w:lang w:val="en-US"/>
        </w:rPr>
        <w:t>Caucasian</w:t>
      </w:r>
      <w:r w:rsidR="0048589A" w:rsidRPr="00FB7D6B">
        <w:rPr>
          <w:rFonts w:ascii="Book Antiqua" w:hAnsi="Book Antiqua" w:cs="Arial"/>
          <w:sz w:val="24"/>
          <w:szCs w:val="24"/>
          <w:lang w:val="en-US"/>
        </w:rPr>
        <w:t xml:space="preserve"> women has been expanded</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{"citationID":"25grfai3j2","properties":{"formattedCitation":"{\\rtf \\super [5\\uc0\\u8211{}8]\\nosupersub{}}","plainCitation":"[5–8]"},"citationItems":[{"id":522,"uris":["http://zotero.org/users/local/Cz1JGnYD/items/IKUR5CGA"],"uri":["http://zotero.org/users/local/Cz1JGnYD/items/IKUR5CGA"],"itemData":{"id":522,"type":"article-journal","title":"Diagnosis and Management of Autoimmune Hepatitis: Current Status and Future Directions","container-title":"Gut and Liver","page":"177-203","volume":"10","issue":"2","source":"PubMed","abstract":"Autoimmune hepatitis is characterized by autoantibodies, hypergammaglobulinemia, and interface hepatitis on histological examination. The features lack diagnostic specificity, and other diseases that may resemble autoimmune hepatitis must be excluded. The clinical presentation may be acute, acute severe (fulminant), or asymptomatic; conventional autoantibodies may be absent; centrilobular necrosis and bile duct changes may be present; and the disease may occur after liver transplantation or with features that suggest overlapping disorders. The diagnostic criteria have been codified, and diagnostic scoring systems can support clinical judgment. Nonstandard autoantibodies, including antibodies to actin, α-actinin, soluble liver antigen, perinuclear antineutrophil antigen, asialoglycoprotein receptor, and liver cytosol type 1, are tools that can support the diagnosis, especially in patients with atypical features. Prednisone or prednisolone in combination with azathioprine is the preferred treatment, and strategies using these medications in various doses can ameliorate treatment failure, incomplete response, drug intolerance, and relapse after drug withdrawal. Budesonide, mycophenolate mofetil, and calcineurin inhibitors can be considered in selected patients as frontline or salvage therapies. Molecular (recombinant proteins and monoclonal antibodies), cellular (adoptive transfer and antigenic manipulation), and pharmacological (antioxidants, antifibrotics, and antiapoptotic agents) interventions constitute future directions in management. The evolving knowledge of the pathogenic pathways and the advances in technology promise new management algorithms.","DOI":"10.5009/gnl15352","ISSN":"2005-1212","note":"PMID: 26934884\nPMCID: PMC4780448","shortTitle":"Diagnosis and Management of Autoimmune Hepatitis","journalAbbreviation":"Gut Liver","language":"eng","author":[{"family":"Czaja","given":"Albert J."}],"issued":{"date-parts":[["2016",3]]},"PMID":"26934884","PMCID":"PMC4780448"},"label":"page"},{"id":524,"uris":["http://zotero.org/users/local/Cz1JGnYD/items/IAKPI8UV"],"uri":["http://zotero.org/users/local/Cz1JGnYD/items/IAKPI8UV"],"itemData":{"id":524,"type":"article-journal","title":"EASL Clinical Practice Guidelines: Autoimmune hepatitis","container-title":"Journal of Hepatology","page":"971-1004","volume":"63","issue":"4","source":"PubMed","DOI":"10.1016/j.jhep.2015.06.030","ISSN":"1600-0641","note":"PMID: 26341719","shortTitle":"EASL Clinical Practice Guidelines","journalAbbreviation":"J. Hepatol.","language":"eng","author":[{"literal":"European Association for the Study of the Liver"}],"issued":{"date-parts":[["2015"]]},"PMID":"26341719"},"label":"page"},{"id":526,"uris":["http://zotero.org/users/local/Cz1JGnYD/items/TNRI7DNG"],"uri":["http://zotero.org/users/local/Cz1JGnYD/items/TNRI7DNG"],"itemData":{"id":526,"type":"article-journal","title":"Management of Difficult Cases of Autoimmune Hepatitis","container-title":"Current Gastroenterology Reports","page":"9","volume":"18","issue":"2","source":"PubMed","abstract":"Autoimmune hepatitis (AIH) is a complex autoimmune disease characterized by immune-mediated destruction of hepatic parenchyma which can result in cirrhosis, liver failure, and death. Current American Association for the Study of Liver Diseases (AASLD) and European Association for the Study of Liver (EASL) guidelines recommend corticosteroids alone or in combination with azathioprine as first-line treatment strategies. However, a significant proportion of patients may not be able to tolerate or achieve complete biochemical response with these options. In this article, we discuss approaches to these patients and other challenging AIH patient groups such as the asymptomatic, pregnant, elderly, and liver transplant recipients.","DOI":"10.1007/s11894-015-0484-7","ISSN":"1534-312X","note":"PMID: 26780632\nPMCID: PMC5410647","journalAbbreviation":"Curr Gastroenterol Rep","language":"eng","author":[{"family":"Lammert","given":"Craig"},{"family":"Loy","given":"Veronica M."},{"family":"Oshima","given":"Kiyoko"},{"family":"Gawrieh","given":"Samer"}],"issued":{"date-parts":[["2016",2]]},"PMID":"26780632","PMCID":"PMC5410647"},"label":"page"},{"id":528,"uris":["http://zotero.org/users/local/Cz1JGnYD/items/HUSI8BI2"],"uri":["http://zotero.org/users/local/Cz1JGnYD/items/HUSI8BI2"],"itemData":{"id":528,"type":"article-journal","title":"Autoimmune hepatitis","container-title":"Lancet (London, England)","page":"1433-1444","volume":"382","issue":"9902","source":"PubMed","abstract":"Autoimmune hepatitis is a disease of the hepatic parenchyma that can present in acute or chronic forms. In common with many autoimmune diseases, autoimmune hepatitis is associated with non-organ-specific antibodies in the context of hepatic autoimmunity. This dichotomy has made definition of a unifying hypothesis in the pathophysiology of the disease difficult, although data from the past 8 years have drawn attention to the role of regulatory T cells. Several triggers have been identified, and the disease arises in genetically susceptible individuals. Clinical and biochemical remission is achievable in up to 85% of cases. For the remaining patients, alternative immunosuppression strategies are an option. Liver transplantation provides an excellent outcome for patients with acute liver failure or complications of end-stage liver disease, including hepatocellular carcinoma. Variant or overlapping syndromes are worthy of consideration when unexpected disease features arise.","DOI":"10.1016/S0140-6736(12)62163-1","ISSN":"1474-547X","note":"PMID: 23768844","journalAbbreviation":"Lancet","language":"eng","author":[{"family":"Heneghan","given":"Michael A."},{"family":"Yeoman","given":"Andrew D."},{"family":"Verma","given":"Sumita"},{"family":"Smith","given":"Alastair D."},{"family":"Longhi","given":"Maria Serena"}],"issued":{"date-parts":[["2013",10,26]]},"PMID":"23768844"},"label":"page"}],"schema":"https://github.com/citation-style-language/schema/raw/master/csl-citation.json"}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[5</w:t>
      </w:r>
      <w:r w:rsidR="00FB7D6B">
        <w:rPr>
          <w:rFonts w:ascii="Book Antiqua" w:hAnsi="Book Antiqua" w:cs="Arial" w:hint="eastAsia"/>
          <w:sz w:val="24"/>
          <w:szCs w:val="24"/>
          <w:vertAlign w:val="superscript"/>
          <w:lang w:val="en-US" w:eastAsia="zh-CN"/>
        </w:rPr>
        <w:t>-</w:t>
      </w:r>
      <w:r w:rsidR="00353C5E" w:rsidRPr="00FB7D6B">
        <w:rPr>
          <w:rFonts w:ascii="Book Antiqua" w:hAnsi="Book Antiqua" w:cs="Arial"/>
          <w:sz w:val="24"/>
          <w:szCs w:val="24"/>
          <w:vertAlign w:val="superscript"/>
          <w:lang w:val="en-US"/>
        </w:rPr>
        <w:t>8]</w:t>
      </w:r>
      <w:r w:rsidR="00CA4090" w:rsidRPr="00FB7D6B">
        <w:rPr>
          <w:rFonts w:ascii="Book Antiqua" w:hAnsi="Book Antiqua" w:cs="Arial"/>
          <w:sz w:val="24"/>
          <w:szCs w:val="24"/>
          <w:vertAlign w:val="superscript"/>
          <w:lang w:val="en-US"/>
        </w:rPr>
        <w:fldChar w:fldCharType="end"/>
      </w:r>
      <w:r w:rsidR="0048589A" w:rsidRPr="00FB7D6B">
        <w:rPr>
          <w:rFonts w:ascii="Book Antiqua" w:hAnsi="Book Antiqua" w:cs="Arial"/>
          <w:sz w:val="24"/>
          <w:szCs w:val="24"/>
          <w:lang w:val="en-US"/>
        </w:rPr>
        <w:t xml:space="preserve">. </w:t>
      </w:r>
    </w:p>
    <w:p w:rsidR="00315E4E" w:rsidRPr="00FB7D6B" w:rsidRDefault="005F2392"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 xml:space="preserve">However, </w:t>
      </w:r>
      <w:r w:rsidR="0003343D" w:rsidRPr="00FB7D6B">
        <w:rPr>
          <w:rFonts w:ascii="Book Antiqua" w:hAnsi="Book Antiqua" w:cs="Arial"/>
          <w:sz w:val="24"/>
          <w:szCs w:val="24"/>
          <w:lang w:val="en-US"/>
        </w:rPr>
        <w:t>approximately</w:t>
      </w:r>
      <w:r w:rsidRPr="00FB7D6B">
        <w:rPr>
          <w:rFonts w:ascii="Book Antiqua" w:hAnsi="Book Antiqua" w:cs="Arial"/>
          <w:sz w:val="24"/>
          <w:szCs w:val="24"/>
          <w:lang w:val="en-US"/>
        </w:rPr>
        <w:t xml:space="preserve"> 20</w:t>
      </w:r>
      <w:r w:rsidR="00472A70" w:rsidRPr="00FB7D6B">
        <w:rPr>
          <w:rFonts w:ascii="Book Antiqua" w:hAnsi="Book Antiqua" w:cs="Arial"/>
          <w:sz w:val="24"/>
          <w:szCs w:val="24"/>
          <w:lang w:val="en-US" w:eastAsia="zh-CN"/>
        </w:rPr>
        <w:t>%</w:t>
      </w:r>
      <w:r w:rsidR="00FB7D6B">
        <w:rPr>
          <w:rFonts w:ascii="Book Antiqua" w:hAnsi="Book Antiqua" w:cs="Arial" w:hint="eastAsia"/>
          <w:sz w:val="24"/>
          <w:szCs w:val="24"/>
          <w:lang w:val="en-US" w:eastAsia="zh-CN"/>
        </w:rPr>
        <w:t>-</w:t>
      </w:r>
      <w:r w:rsidR="0003343D" w:rsidRPr="00FB7D6B">
        <w:rPr>
          <w:rFonts w:ascii="Book Antiqua" w:hAnsi="Book Antiqua" w:cs="Arial"/>
          <w:sz w:val="24"/>
          <w:szCs w:val="24"/>
          <w:lang w:val="en-US"/>
        </w:rPr>
        <w:t>30</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xml:space="preserve"> of </w:t>
      </w:r>
      <w:r w:rsidR="00D06448" w:rsidRPr="00FB7D6B">
        <w:rPr>
          <w:rFonts w:ascii="Book Antiqua" w:hAnsi="Book Antiqua" w:cs="Arial"/>
          <w:sz w:val="24"/>
          <w:szCs w:val="24"/>
          <w:lang w:val="en-US"/>
        </w:rPr>
        <w:t xml:space="preserve">the </w:t>
      </w:r>
      <w:r w:rsidRPr="00FB7D6B">
        <w:rPr>
          <w:rFonts w:ascii="Book Antiqua" w:hAnsi="Book Antiqua" w:cs="Arial"/>
          <w:sz w:val="24"/>
          <w:szCs w:val="24"/>
          <w:lang w:val="en-US"/>
        </w:rPr>
        <w:t xml:space="preserve">patients </w:t>
      </w:r>
      <w:r w:rsidR="00D06448" w:rsidRPr="00FB7D6B">
        <w:rPr>
          <w:rFonts w:ascii="Book Antiqua" w:hAnsi="Book Antiqua" w:cs="Arial"/>
          <w:sz w:val="24"/>
          <w:szCs w:val="24"/>
          <w:lang w:val="en-US"/>
        </w:rPr>
        <w:t>reveal</w:t>
      </w:r>
      <w:r w:rsidRPr="00FB7D6B">
        <w:rPr>
          <w:rFonts w:ascii="Book Antiqua" w:hAnsi="Book Antiqua" w:cs="Arial"/>
          <w:sz w:val="24"/>
          <w:szCs w:val="24"/>
          <w:lang w:val="en-US"/>
        </w:rPr>
        <w:t xml:space="preserve"> an acute presentation which may be </w:t>
      </w:r>
      <w:r w:rsidR="00A00B0D" w:rsidRPr="00FB7D6B">
        <w:rPr>
          <w:rFonts w:ascii="Book Antiqua" w:hAnsi="Book Antiqua" w:cs="Arial"/>
          <w:sz w:val="24"/>
          <w:szCs w:val="24"/>
          <w:lang w:val="en-US"/>
        </w:rPr>
        <w:t>induced by a</w:t>
      </w:r>
      <w:r w:rsidRPr="00FB7D6B">
        <w:rPr>
          <w:rFonts w:ascii="Book Antiqua" w:hAnsi="Book Antiqua" w:cs="Arial"/>
          <w:sz w:val="24"/>
          <w:szCs w:val="24"/>
          <w:lang w:val="en-US"/>
        </w:rPr>
        <w:t xml:space="preserve"> triggering agent such as previous viral infection</w:t>
      </w:r>
      <w:r w:rsidR="00D06448" w:rsidRPr="00FB7D6B">
        <w:rPr>
          <w:rFonts w:ascii="Book Antiqua" w:hAnsi="Book Antiqua" w:cs="Arial"/>
          <w:sz w:val="24"/>
          <w:szCs w:val="24"/>
          <w:lang w:val="en-US"/>
        </w:rPr>
        <w:t>s</w:t>
      </w:r>
      <w:r w:rsidR="00214433" w:rsidRPr="00FB7D6B">
        <w:rPr>
          <w:rFonts w:ascii="Book Antiqua" w:hAnsi="Book Antiqua" w:cs="Arial"/>
          <w:sz w:val="24"/>
          <w:szCs w:val="24"/>
          <w:lang w:val="en-US"/>
        </w:rPr>
        <w:t>,</w:t>
      </w:r>
      <w:r w:rsidRPr="00FB7D6B">
        <w:rPr>
          <w:rFonts w:ascii="Book Antiqua" w:hAnsi="Book Antiqua" w:cs="Arial"/>
          <w:sz w:val="24"/>
          <w:szCs w:val="24"/>
          <w:lang w:val="en-US"/>
        </w:rPr>
        <w:t xml:space="preserve"> toxic injury</w:t>
      </w:r>
      <w:r w:rsidR="00905521" w:rsidRPr="00FB7D6B">
        <w:rPr>
          <w:rFonts w:ascii="Book Antiqua" w:hAnsi="Book Antiqua" w:cs="Arial"/>
          <w:sz w:val="24"/>
          <w:szCs w:val="24"/>
          <w:lang w:val="en-US"/>
        </w:rPr>
        <w:t xml:space="preserve"> or treatment with</w:t>
      </w:r>
      <w:r w:rsidRPr="00FB7D6B">
        <w:rPr>
          <w:rFonts w:ascii="Book Antiqua" w:hAnsi="Book Antiqua" w:cs="Arial"/>
          <w:sz w:val="24"/>
          <w:szCs w:val="24"/>
          <w:lang w:val="en-US"/>
        </w:rPr>
        <w:t xml:space="preserve"> immune-modifying drug</w:t>
      </w:r>
      <w:r w:rsidR="00905521" w:rsidRPr="00FB7D6B">
        <w:rPr>
          <w:rFonts w:ascii="Book Antiqua" w:hAnsi="Book Antiqua" w:cs="Arial"/>
          <w:sz w:val="24"/>
          <w:szCs w:val="24"/>
          <w:lang w:val="en-US"/>
        </w:rPr>
        <w:t>s</w:t>
      </w:r>
      <w:r w:rsidRPr="00FB7D6B">
        <w:rPr>
          <w:rFonts w:ascii="Book Antiqua" w:hAnsi="Book Antiqua" w:cs="Arial"/>
          <w:sz w:val="24"/>
          <w:szCs w:val="24"/>
          <w:lang w:val="en-US"/>
        </w:rPr>
        <w:t xml:space="preserve">. </w:t>
      </w:r>
      <w:r w:rsidR="00D06448" w:rsidRPr="00FB7D6B">
        <w:rPr>
          <w:rFonts w:ascii="Book Antiqua" w:hAnsi="Book Antiqua" w:cs="Arial"/>
          <w:sz w:val="24"/>
          <w:szCs w:val="24"/>
          <w:lang w:val="en-US"/>
        </w:rPr>
        <w:t xml:space="preserve">Infectious triggers are commonly indicated as being involved in the induction of </w:t>
      </w:r>
      <w:r w:rsidR="00D06448" w:rsidRPr="00FB7D6B">
        <w:rPr>
          <w:rStyle w:val="highlight2"/>
          <w:rFonts w:ascii="Book Antiqua" w:hAnsi="Book Antiqua" w:cs="Arial"/>
          <w:sz w:val="24"/>
          <w:szCs w:val="24"/>
          <w:lang w:val="en-US"/>
        </w:rPr>
        <w:t>autoimmune</w:t>
      </w:r>
      <w:r w:rsidR="00D06448" w:rsidRPr="00FB7D6B">
        <w:rPr>
          <w:rFonts w:ascii="Book Antiqua" w:hAnsi="Book Antiqua" w:cs="Arial"/>
          <w:sz w:val="24"/>
          <w:szCs w:val="24"/>
          <w:lang w:val="en-US"/>
        </w:rPr>
        <w:t xml:space="preserve"> disease</w:t>
      </w:r>
      <w:r w:rsidR="005F4415" w:rsidRPr="00FB7D6B">
        <w:rPr>
          <w:rFonts w:ascii="Book Antiqua" w:hAnsi="Book Antiqua" w:cs="Arial"/>
          <w:sz w:val="24"/>
          <w:szCs w:val="24"/>
          <w:lang w:val="en-US"/>
        </w:rPr>
        <w:t>s, with Epstein-B</w:t>
      </w:r>
      <w:r w:rsidR="00D06448" w:rsidRPr="00FB7D6B">
        <w:rPr>
          <w:rFonts w:ascii="Book Antiqua" w:hAnsi="Book Antiqua" w:cs="Arial"/>
          <w:sz w:val="24"/>
          <w:szCs w:val="24"/>
          <w:lang w:val="en-US"/>
        </w:rPr>
        <w:t xml:space="preserve">arr </w:t>
      </w:r>
      <w:r w:rsidR="00F32AB2" w:rsidRPr="00FB7D6B">
        <w:rPr>
          <w:rFonts w:ascii="Book Antiqua" w:hAnsi="Book Antiqua" w:cs="Arial"/>
          <w:sz w:val="24"/>
          <w:szCs w:val="24"/>
          <w:lang w:val="en-US"/>
        </w:rPr>
        <w:t xml:space="preserve">(EBV) </w:t>
      </w:r>
      <w:r w:rsidR="005F4415" w:rsidRPr="00FB7D6B">
        <w:rPr>
          <w:rFonts w:ascii="Book Antiqua" w:hAnsi="Book Antiqua" w:cs="Arial"/>
          <w:sz w:val="24"/>
          <w:szCs w:val="24"/>
          <w:lang w:val="en-US"/>
        </w:rPr>
        <w:t>or Cytomegalo</w:t>
      </w:r>
      <w:r w:rsidR="00D06448" w:rsidRPr="00FB7D6B">
        <w:rPr>
          <w:rFonts w:ascii="Book Antiqua" w:hAnsi="Book Antiqua" w:cs="Arial"/>
          <w:sz w:val="24"/>
          <w:szCs w:val="24"/>
          <w:lang w:val="en-US"/>
        </w:rPr>
        <w:t xml:space="preserve">virus </w:t>
      </w:r>
      <w:r w:rsidR="00F32AB2" w:rsidRPr="00FB7D6B">
        <w:rPr>
          <w:rFonts w:ascii="Book Antiqua" w:hAnsi="Book Antiqua" w:cs="Arial"/>
          <w:sz w:val="24"/>
          <w:szCs w:val="24"/>
          <w:lang w:val="en-US"/>
        </w:rPr>
        <w:t xml:space="preserve">(CMV) </w:t>
      </w:r>
      <w:r w:rsidR="00D06448" w:rsidRPr="00FB7D6B">
        <w:rPr>
          <w:rFonts w:ascii="Book Antiqua" w:hAnsi="Book Antiqua" w:cs="Arial"/>
          <w:sz w:val="24"/>
          <w:szCs w:val="24"/>
          <w:lang w:val="en-US"/>
        </w:rPr>
        <w:t xml:space="preserve">being implicated in several </w:t>
      </w:r>
      <w:r w:rsidR="00D06448" w:rsidRPr="00FB7D6B">
        <w:rPr>
          <w:rStyle w:val="highlight2"/>
          <w:rFonts w:ascii="Book Antiqua" w:hAnsi="Book Antiqua" w:cs="Arial"/>
          <w:sz w:val="24"/>
          <w:szCs w:val="24"/>
          <w:lang w:val="en-US"/>
        </w:rPr>
        <w:t>autoimmune</w:t>
      </w:r>
      <w:r w:rsidR="00D06448" w:rsidRPr="00FB7D6B">
        <w:rPr>
          <w:rFonts w:ascii="Book Antiqua" w:hAnsi="Book Antiqua" w:cs="Arial"/>
          <w:sz w:val="24"/>
          <w:szCs w:val="24"/>
          <w:lang w:val="en-US"/>
        </w:rPr>
        <w:t xml:space="preserve"> liver disorders, such as type I autoimmune hepatitis or primary biliary cholangitis</w:t>
      </w:r>
      <w:r w:rsidR="00315E4E" w:rsidRPr="00FB7D6B">
        <w:rPr>
          <w:rFonts w:ascii="Book Antiqua" w:hAnsi="Book Antiqua" w:cs="Arial"/>
          <w:sz w:val="24"/>
          <w:szCs w:val="24"/>
          <w:lang w:val="en-US"/>
        </w:rPr>
        <w:t xml:space="preserve"> (PBC)</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{"citationID":"lnw9iKC3","properties":{"formattedCitation":"{\\rtf \\super [9]\\nosupersub{}}","plainCitation":"[9]"},"citationItems":[{"id":530,"uris":["http://zotero.org/users/local/Cz1JGnYD/items/KT2U2W9R"],"uri":["http://zotero.org/users/local/Cz1JGnYD/items/KT2U2W9R"],"itemData":{"id":530,"type":"article-journal","title":"Epstein-barr virus as a trigger of autoimmune liver diseases","container-title":"Advances in Virology","page":"987471","volume":"2012","source":"PubMed","abstract":"The pathogenesis of autoimmune diseases includes a combination of genetic factors and environmental exposures including infectious agents. Infectious triggers are commonly indicated as being involved in the induction of autoimmune disease, with Epstein-Barr virus (EBV) being implicated in several autoimmune disorders. EBV is appealing in the pathogenesis of autoimmune disease, due to its high prevalence worldwide, its persistency throughout life in the host's B lymphocytes, and its ability to alter the host's immune response and to inhibit apoptosis. However, the evidence in support of EBV in the pathogenesis varies among diseases. Autoimmune liver diseases (AiLDs), including autoimmune hepatitis (AIH), primary biliary cirrhosis (PBC), and primary sclerosing cholangitis (PSC), have a potential causative link with EBV. The data surrounding EBV and AiLD are scarce. The lack of evidence surrounding EBV in AiLD may also be reflective of the rarity of these conditions. EBV infection has also been linked to other autoimmune conditions, which are often found to be concomitant with AiLD. This paper will critically examine the literature surrounding the link between EBV infection and AiLD development. The current evidence is far from being conclusive of the theory of a link between EBV and AiLD.","DOI":"10.1155/2012/987471","ISSN":"1687-8647","note":"PMID: 22693505\nPMCID: PMC3368154","journalAbbreviation":"Adv Virol","language":"eng","author":[{"family":"Rigopoulou","given":"Eirini I."},{"family":"Smyk","given":"Daniel S."},{"family":"Matthews","given":"Claire E."},{"family":"Billinis","given":"Charalambos"},{"family":"Burroughs","given":"Andrew K."},{"family":"Lenzi","given":"Marco"},{"family":"Bogdanos","given":"Dimitrios P."}],"issued":{"date-parts":[["2012"]]},"PMID":"22693505","PMCID":"PMC3368154"}}],"schema":"https://github.com/citation-style-language/schema/raw/master/csl-citation.json"}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[9]</w:t>
      </w:r>
      <w:r w:rsidR="00CA4090" w:rsidRPr="00FB7D6B">
        <w:rPr>
          <w:rFonts w:ascii="Book Antiqua" w:hAnsi="Book Antiqua" w:cs="Arial"/>
          <w:sz w:val="24"/>
          <w:szCs w:val="24"/>
          <w:vertAlign w:val="superscript"/>
          <w:lang w:val="en-US"/>
        </w:rPr>
        <w:fldChar w:fldCharType="end"/>
      </w:r>
      <w:r w:rsidR="007B0AF3" w:rsidRPr="00FB7D6B">
        <w:rPr>
          <w:rFonts w:ascii="Book Antiqua" w:hAnsi="Book Antiqua" w:cs="Arial"/>
          <w:sz w:val="24"/>
          <w:szCs w:val="24"/>
          <w:lang w:val="en-US"/>
        </w:rPr>
        <w:t>.</w:t>
      </w:r>
      <w:r w:rsidR="005F4415" w:rsidRPr="00FB7D6B">
        <w:rPr>
          <w:rFonts w:ascii="Book Antiqua" w:hAnsi="Book Antiqua" w:cs="Arial"/>
          <w:sz w:val="24"/>
          <w:szCs w:val="24"/>
          <w:lang w:val="en-US"/>
        </w:rPr>
        <w:t xml:space="preserve"> </w:t>
      </w:r>
      <w:r w:rsidR="00F025E5" w:rsidRPr="00FB7D6B">
        <w:rPr>
          <w:rFonts w:ascii="Book Antiqua" w:hAnsi="Book Antiqua" w:cs="Arial"/>
          <w:sz w:val="24"/>
          <w:szCs w:val="24"/>
          <w:lang w:val="en-US"/>
        </w:rPr>
        <w:t xml:space="preserve">A remarkable </w:t>
      </w:r>
      <w:r w:rsidRPr="00FB7D6B">
        <w:rPr>
          <w:rFonts w:ascii="Book Antiqua" w:hAnsi="Book Antiqua" w:cs="Arial"/>
          <w:sz w:val="24"/>
          <w:szCs w:val="24"/>
          <w:lang w:val="en-US"/>
        </w:rPr>
        <w:t xml:space="preserve">proportion of patients with acute </w:t>
      </w:r>
      <w:r w:rsidR="00214433" w:rsidRPr="00FB7D6B">
        <w:rPr>
          <w:rFonts w:ascii="Book Antiqua" w:hAnsi="Book Antiqua" w:cs="Arial"/>
          <w:sz w:val="24"/>
          <w:szCs w:val="24"/>
          <w:lang w:val="en-US"/>
        </w:rPr>
        <w:t>manifestation</w:t>
      </w:r>
      <w:r w:rsidRPr="00FB7D6B">
        <w:rPr>
          <w:rFonts w:ascii="Book Antiqua" w:hAnsi="Book Antiqua" w:cs="Arial"/>
          <w:sz w:val="24"/>
          <w:szCs w:val="24"/>
          <w:lang w:val="en-US"/>
        </w:rPr>
        <w:t xml:space="preserve"> can develop acu</w:t>
      </w:r>
      <w:r w:rsidR="00A00B0D" w:rsidRPr="00FB7D6B">
        <w:rPr>
          <w:rFonts w:ascii="Book Antiqua" w:hAnsi="Book Antiqua" w:cs="Arial"/>
          <w:sz w:val="24"/>
          <w:szCs w:val="24"/>
          <w:lang w:val="en-US"/>
        </w:rPr>
        <w:t>te liver failure</w:t>
      </w:r>
      <w:r w:rsidR="00214433" w:rsidRPr="00FB7D6B">
        <w:rPr>
          <w:rFonts w:ascii="Book Antiqua" w:hAnsi="Book Antiqua" w:cs="Arial"/>
          <w:sz w:val="24"/>
          <w:szCs w:val="24"/>
          <w:lang w:val="en-US"/>
        </w:rPr>
        <w:t xml:space="preserve"> (ALF)</w:t>
      </w:r>
      <w:r w:rsidR="004909FE" w:rsidRPr="00FB7D6B">
        <w:rPr>
          <w:rFonts w:ascii="Book Antiqua" w:hAnsi="Book Antiqua" w:cs="Arial"/>
          <w:sz w:val="24"/>
          <w:szCs w:val="24"/>
          <w:lang w:val="en-US"/>
        </w:rPr>
        <w:t xml:space="preserve">, </w:t>
      </w:r>
      <w:r w:rsidR="004F2130" w:rsidRPr="00FB7D6B">
        <w:rPr>
          <w:rFonts w:ascii="Book Antiqua" w:hAnsi="Book Antiqua" w:cs="Arial"/>
          <w:sz w:val="24"/>
          <w:szCs w:val="24"/>
          <w:lang w:val="en-US"/>
        </w:rPr>
        <w:t>particularly</w:t>
      </w:r>
      <w:r w:rsidR="004909FE" w:rsidRPr="00FB7D6B">
        <w:rPr>
          <w:rFonts w:ascii="Book Antiqua" w:hAnsi="Book Antiqua" w:cs="Arial"/>
          <w:sz w:val="24"/>
          <w:szCs w:val="24"/>
          <w:lang w:val="en-US"/>
        </w:rPr>
        <w:t xml:space="preserve"> in case of delayed diagnosis and treatment</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{"citationID":"2824tk4tms","properties":{"formattedCitation":"{\\rtf \\super [4,10,11]\\nosupersub{}}","plainCitation":"[4,10,11]"},"citationItems":[{"id":520,"uris":["http://zotero.org/users/local/Cz1JGnYD/items/TQMMSPXE"],"uri":["http://zotero.org/users/local/Cz1JGnYD/items/TQMMSPXE"],"itemData":{"id":520,"type":"article-journal","title":"Fulminant presentation of autoimmune hepatitis: clinical features and early predictors of corticosteroid treatment failure","container-title":"European Journal of Gastroenterology &amp; Hepatology","page":"644-648","volume":"27","issue":"6","source":"PubMed","abstract":"BACKGROUND AND AIMS: Classical features of autoimmune hepatitis (AIH) may be altered during the abrupt onset of the disease. Corticosteroid therapy can be life-saving, but its use in the fulminant presentation of AIH (F-AIH) remains controversial. We aimed to assess the clinical features of patients with F-AIH and to describe the role of corticosteroids in this population.\nPATIENTS AND METHODS: We retrospectively analyzed 154 adult patients with fulminant hepatic failure who were admitted to six liver transplantation (LT) programs. The AIH simplified criteria were used to identify patients with F-AIH.\nRESULTS: We identified 40 (26%) patients with F-AIH. Compared with other etiologies, patients with F-AIH presented a longer interval from jaundice to encephalopathy (26 vs. 16 days, P=0.02) and a lower Model for End-Stage Liver Disease (MELD) score on admission (29 vs. 33, P=0.002). Overall, 25 (62%) patients with F-AIH underwent LT, eight (20%) patients survived, and seven (18%) died without LT. Seventeen patients received corticosteroids therapy, of whom seven (41%) survived without LT. Among the treated patients, higher MELD score and encephalopathy grade of 3 or more were associated significantly with corticosteroid failure.\nCONCLUSION: Patients with F-AIH have a more indolent presentation compared with the non-F-AIH population. Altogether, only eight (20%) patients presenting with F-AIH survived without LT. A subset of patients with F-AIH and an initial MELD score less than 27 and low-grade hepatic encephalopathy might benefit from administration of corticosteroids.","DOI":"10.1097/MEG.0000000000000353","ISSN":"1473-5687","note":"PMID: 25923939","shortTitle":"Fulminant presentation of autoimmune hepatitis","journalAbbreviation":"Eur J Gastroenterol Hepatol","language":"eng","author":[{"family":"Mendizabal","given":"Manuel"},{"family":"Marciano","given":"Sebastián"},{"family":"Videla","given":"María G."},{"family":"Anders","given":"Margarita"},{"family":"Zerega","given":"Alina"},{"family":"Balderramo","given":"Domingo C."},{"family":"Tisi Baña","given":"Matías R."},{"family":"Barrabino","given":"Martín"},{"family":"Gil","given":"Octavio"},{"family":"Mastai","given":"Ricardo"},{"family":"Yantorno","given":"Silvina"},{"family":"Gadano","given":"Adrián"},{"family":"Silva","given":"Marcelo O."}],"issued":{"date-parts":[["2015",6]]},"PMID":"25923939"},"label":"page"},{"id":532,"uris":["http://zotero.org/users/local/Cz1JGnYD/items/K8D4MD2E"],"uri":["http://zotero.org/users/local/Cz1JGnYD/items/K8D4MD2E"],"itemData":{"id":532,"type":"article-journal","title":"Acute liver failure in children and adolescents","container-title":"Clinics and Research in Hepatology and Gastroenterology","page":"278-283","volume":"36","issue":"3","source":"PubMed","abstract":"Acute liver failure is a severe and sudden onset of hepatocyte dysfunction, leading on to synthetic and detoxification failure, which could progress to multi-organ failure and death. Common causes vary with age and geographical location. Metabolic liver diseases are frequent in the young child, sometimes amenable to a specific treatment or prenatal diagnosis. In older children, viruses, toxics, metabolic diseases (especially Wilson), autoimmune hepatitis are the main causes. Management should be initiated in conjunction with investigations, as soon as liver failure is diagnosed. The patients should be early transferred to an expert centre, where complications can be prevented and liver transplantation is possible. Improved intensive care management and availability of donor organs (split livers or living-related donors) has made it possible to transplant young children, and improved their survival chances.","DOI":"10.1016/j.clinre.2012.03.022","ISSN":"2210-741X","note":"PMID: 22521555","journalAbbreviation":"Clin Res Hepatol Gastroenterol","language":"eng","author":[{"family":"Dhawan","given":"Anil"}],"issued":{"date-parts":[["2012",6]]},"PMID":"22521555"},"label":"page"},{"id":534,"uris":["http://zotero.org/users/local/Cz1JGnYD/items/JEJKEKNI"],"uri":["http://zotero.org/users/local/Cz1JGnYD/items/JEJKEKNI"],"itemData":{"id":534,"type":"article-journal","title":"Natural History and Treatment Outcomes of Severe Autoimmune Hepatitis","container-title":"Journal of Clinical Gastroenterology","page":"548-556","volume":"51","issue":"6","source":"PubMed","abstract":"GOALS: The aim of this study was to analyze the natural history and treatment outcomes of autoimmune hepatitis (AIH) variants presenting with severe-AIH.\nBACKGROUND: Severe acute presentation is an uncommon manifestation of AIH, and it remains poorly characterized.\nMATERIALS AND METHODS: We included 101 patients with AIH from January 2011 to December 2015. Patients were classified as seropositive-AIH and seronegative-AIH. Patients with acute liver failure, acute-on-chronic liver failure, and severe acute hepatitis were defined as severe-AIH patients. Patient characteristics and treatment outcomes with follow-up until 12 months were analyzed between the different groups.\nRESULTS: Out of 101 cases, 24 (23.76%) had severe AIH. Of them 9 (37.5%) had severe acute hepatitis, 3 (12.5%) had acute liver failure, and 12 (50%) had acute-on-chronic liver failure. Seronegative-AIH patients presented with severe-AIH significantly more frequently compared with seropositive-AIH patients (50% vs. 20.27%, P=0.022). Severe-AIH had 50% complete responders, 25% partial responders, and 25% treatment failures. Jaundice (88.88% vs. 68.7%, P=0.048), encephalopathy (55.55% vs. 6.66%, P=0.014), and higher international normalized ratio values (2.17±0.60 vs. 1.82±0.14, P=0.038) were factors associated with nonresponse rather than the presence or absence of autoantibodies in severe-AIH. The hazard ratio for predicting remission in the non-severe AIH group as compared with the severe-AIH group was 1.502, which was statistically not significant (95% CI, 0.799-2.827; P=0.205).\nCONCLUSION: Approximately 24% of patients with AIH have severe-AIH. Conventional autoantibodies are often absent in severe-AIH; however, it does not alter the outcome. Immunosuppressants should be given expediently in patients with severe-AIH.","DOI":"10.1097/MCG.0000000000000805","ISSN":"1539-2031","note":"PMID: 28272079","journalAbbreviation":"J. Clin. Gastroenterol.","language":"eng","author":[{"family":"Sonthalia","given":"Nikhil"},{"family":"Rathi","given":"Pravin M."},{"family":"Jain","given":"Samit S."},{"family":"Surude","given":"Ravindra G."},{"family":"Mohite","given":"Ashok R."},{"family":"Pawar","given":"Sunil V."},{"family":"Contractor","given":"Qais"}],"issued":{"date-parts":[["2017",7]]},"PMID":"28272079"},"label":"page"}],"schema":"https://github.com/citation-style-language/schema/raw/master/csl-citation.json"}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[4,10,11]</w:t>
      </w:r>
      <w:r w:rsidR="00CA4090" w:rsidRPr="00FB7D6B">
        <w:rPr>
          <w:rFonts w:ascii="Book Antiqua" w:hAnsi="Book Antiqua" w:cs="Arial"/>
          <w:sz w:val="24"/>
          <w:szCs w:val="24"/>
          <w:vertAlign w:val="superscript"/>
          <w:lang w:val="en-US"/>
        </w:rPr>
        <w:fldChar w:fldCharType="end"/>
      </w:r>
      <w:r w:rsidR="00A00B0D" w:rsidRPr="00FB7D6B">
        <w:rPr>
          <w:rFonts w:ascii="Book Antiqua" w:hAnsi="Book Antiqua" w:cs="Arial"/>
          <w:sz w:val="24"/>
          <w:szCs w:val="24"/>
          <w:lang w:val="en-US"/>
        </w:rPr>
        <w:t>.</w:t>
      </w:r>
    </w:p>
    <w:p w:rsidR="00315E4E" w:rsidRPr="00FB7D6B" w:rsidRDefault="00214433"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ALF is characterized by</w:t>
      </w:r>
      <w:r w:rsidR="00074DD6" w:rsidRPr="00FB7D6B">
        <w:rPr>
          <w:rFonts w:ascii="Book Antiqua" w:hAnsi="Book Antiqua" w:cs="Arial"/>
          <w:sz w:val="24"/>
          <w:szCs w:val="24"/>
          <w:lang w:val="en-US"/>
        </w:rPr>
        <w:t xml:space="preserve"> a</w:t>
      </w:r>
      <w:r w:rsidRPr="00FB7D6B">
        <w:rPr>
          <w:rFonts w:ascii="Book Antiqua" w:hAnsi="Book Antiqua" w:cs="Arial"/>
          <w:sz w:val="24"/>
          <w:szCs w:val="24"/>
          <w:lang w:val="en-US"/>
        </w:rPr>
        <w:t xml:space="preserve"> rapid onset of severe hepatocyte injury without prior liver disease that is associated with significant morbidity and mortality</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{"citationID":"gvj66tuia","properties":{"formattedCitation":"{\\rtf \\super [12,13]\\nosupersub{}}","plainCitation":"[12,13]"},"citationItems":[{"id":536,"uris":["http://zotero.org/users/local/Cz1JGnYD/items/RZ9GSN9I"],"uri":["http://zotero.org/users/local/Cz1JGnYD/items/RZ9GSN9I"],"itemData":{"id":536,"type":"article-journal","title":"Acute liver failure","container-title":"The New England Journal of Medicine","page":"2525-2534","volume":"369","issue":"26","source":"PubMed","DOI":"10.1056/NEJMra1208937","ISSN":"1533-4406","note":"PMID: 24369077","journalAbbreviation":"N. Engl. J. Med.","language":"eng","author":[{"family":"Bernal","given":"William"},{"family":"Wendon","given":"Julia"}],"issued":{"date-parts":[["2013",12,26]]},"PMID":"24369077"},"label":"page"},{"id":538,"uris":["http://zotero.org/users/local/Cz1JGnYD/items/387EICV5"],"uri":["http://zotero.org/users/local/Cz1JGnYD/items/387EICV5"],"itemData":{"id":538,"type":"article-journal","title":"Determinants of outcome among patients with acute liver failure listed for liver transplantation in the United States","container-title":"Liver Transplantation: Official Publication of the American Association for the Study of Liver Diseases and the International Liver Transplantation Society","page":"505-515","volume":"22","issue":"4","source":"PubMed","abstract":"Analyses of outcomes after acute liver failure (ALF) have typically included all ALF patients regardless of whether they were listed for liver transplantation (LT). We hypothesized that limiting analysis to listed patients might provide novel insights into factors associated with outcome, focusing attention on disease evolution after listing. Listed adult ALF patients enrolled in the US Acute Liver Failure Study Group registry between 2000 and 2013 were analyzed to determine baseline factors associated with 21-day outcomes after listing. We classified 617 patients (36% of overall ALF group) by 3-week outcome after study admission: 117 were spontaneous survivors (SSs; survival without LT), 108 died without LT, and 392 underwent LT. Only 22% of N-acetyl-p-aminophenol (APAP) ALF patients were listed; however, this group of 173 patients demonstrated greater illness severity: higher coma grades and more patients requiring ventilator, vasopressor, or renal replacement therapy support. Only 62/173 (36%) of APAP patients received a graft versus 66% for drug-induced liver injury patients, 86% for autoimmune-related ALF, and 71% for hepatitis B-related ALF. APAP patients were more likely to die than non-APAP patients (24% versus 17%), and the median time to death was sooner (2 versus 4.5 days). Despite greater severity of illness, the listed APAP group still had a SS rate of 40% versus 11% for non-APAP causes (P</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&lt;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 xml:space="preserve">0.001). APAP outcomes evolve rapidly, mainly to SS or death. Patients with APAP ALF listed for LT had the highest death rate of any etiology, whereas more slowly evolving etiologies yielded higher LT rates and, consequently, fewer deaths. Decisions to list and transplant must be made early in all ALF patients, particularly in those with APAP ALF.","DOI":"10.1002/lt.24347","ISSN":"1527-6473","note":"PMID: 26421889\nPMCID: PMC4809785","journalAbbreviation":"Liver Transpl.","language":"eng","author":[{"family":"Reddy","given":"K. Rajender"},{"family":"Ellerbe","given":"Caitlyn"},{"family":"Schilsky","given":"Michael"},{"family":"Stravitz","given":"R. Todd"},{"family":"Fontana","given":"Robert J."},{"family":"Durkalski","given":"Valerie"},{"family":"Lee","given":"William M."},{"literal":"Acute Liver Failure Study Group"}],"issued":{"date-parts":[["2016",4]]},"PMID":"26421889","PMCID":"PMC4809785"},"label":"page"}],"schema":"https://github.com/citation-style-language/schema/raw/master/csl-citation.json"}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[12,13]</w:t>
      </w:r>
      <w:r w:rsidR="00CA4090" w:rsidRPr="00FB7D6B">
        <w:rPr>
          <w:rFonts w:ascii="Book Antiqua" w:hAnsi="Book Antiqua" w:cs="Arial"/>
          <w:sz w:val="24"/>
          <w:szCs w:val="24"/>
          <w:vertAlign w:val="superscript"/>
          <w:lang w:val="en-US"/>
        </w:rPr>
        <w:fldChar w:fldCharType="end"/>
      </w:r>
      <w:r w:rsidRPr="00FB7D6B">
        <w:rPr>
          <w:rFonts w:ascii="Book Antiqua" w:hAnsi="Book Antiqua" w:cs="Arial"/>
          <w:sz w:val="24"/>
          <w:szCs w:val="24"/>
          <w:lang w:val="en-US"/>
        </w:rPr>
        <w:t>.</w:t>
      </w:r>
      <w:r w:rsidR="00A77828" w:rsidRPr="00FB7D6B">
        <w:rPr>
          <w:rFonts w:ascii="Book Antiqua" w:hAnsi="Book Antiqua" w:cs="Arial"/>
          <w:sz w:val="24"/>
          <w:szCs w:val="24"/>
          <w:lang w:val="en-US"/>
        </w:rPr>
        <w:t xml:space="preserve"> </w:t>
      </w:r>
      <w:r w:rsidR="00AE3C8E" w:rsidRPr="00FB7D6B">
        <w:rPr>
          <w:rFonts w:ascii="Book Antiqua" w:hAnsi="Book Antiqua" w:cs="Arial"/>
          <w:sz w:val="24"/>
          <w:szCs w:val="24"/>
          <w:lang w:val="en-US"/>
        </w:rPr>
        <w:t>The most widely accepted deﬁnition of ALF includes evidence of coagulation abnormality, usually an INR ≥ 1.5, and any degree of mental alteration (</w:t>
      </w:r>
      <w:r w:rsidR="00F025E5" w:rsidRPr="00FB7D6B">
        <w:rPr>
          <w:rFonts w:ascii="Book Antiqua" w:hAnsi="Book Antiqua" w:cs="Arial"/>
          <w:sz w:val="24"/>
          <w:szCs w:val="24"/>
          <w:lang w:val="en-US"/>
        </w:rPr>
        <w:t xml:space="preserve">hepatic </w:t>
      </w:r>
      <w:r w:rsidR="00AE3C8E" w:rsidRPr="00FB7D6B">
        <w:rPr>
          <w:rFonts w:ascii="Book Antiqua" w:hAnsi="Book Antiqua" w:cs="Arial"/>
          <w:sz w:val="24"/>
          <w:szCs w:val="24"/>
          <w:lang w:val="en-US"/>
        </w:rPr>
        <w:t>encephalopathy) in a patient without pre</w:t>
      </w:r>
      <w:r w:rsidR="0009071E" w:rsidRPr="00FB7D6B">
        <w:rPr>
          <w:rFonts w:ascii="Book Antiqua" w:hAnsi="Book Antiqua" w:cs="Arial"/>
          <w:sz w:val="24"/>
          <w:szCs w:val="24"/>
          <w:lang w:val="en-US"/>
        </w:rPr>
        <w:t>-</w:t>
      </w:r>
      <w:r w:rsidR="00AE3C8E" w:rsidRPr="00FB7D6B">
        <w:rPr>
          <w:rFonts w:ascii="Book Antiqua" w:hAnsi="Book Antiqua" w:cs="Arial"/>
          <w:sz w:val="24"/>
          <w:szCs w:val="24"/>
          <w:lang w:val="en-US"/>
        </w:rPr>
        <w:t>exi</w:t>
      </w:r>
      <w:r w:rsidR="00F025E5" w:rsidRPr="00FB7D6B">
        <w:rPr>
          <w:rFonts w:ascii="Book Antiqua" w:hAnsi="Book Antiqua" w:cs="Arial"/>
          <w:sz w:val="24"/>
          <w:szCs w:val="24"/>
          <w:lang w:val="en-US"/>
        </w:rPr>
        <w:t xml:space="preserve">sting chronic liver disease </w:t>
      </w:r>
      <w:r w:rsidR="00AE3C8E" w:rsidRPr="00FB7D6B">
        <w:rPr>
          <w:rFonts w:ascii="Book Antiqua" w:hAnsi="Book Antiqua" w:cs="Arial"/>
          <w:sz w:val="24"/>
          <w:szCs w:val="24"/>
          <w:lang w:val="en-US"/>
        </w:rPr>
        <w:t xml:space="preserve">with an illness of </w:t>
      </w:r>
      <w:r w:rsidR="00AE3C8E" w:rsidRPr="00FB7D6B">
        <w:rPr>
          <w:rFonts w:ascii="Book Antiqua" w:hAnsi="Book Antiqua" w:cs="Cambria Math"/>
          <w:sz w:val="24"/>
          <w:szCs w:val="24"/>
          <w:lang w:val="en-US"/>
        </w:rPr>
        <w:t xml:space="preserve">&lt; </w:t>
      </w:r>
      <w:r w:rsidR="00AE3C8E" w:rsidRPr="00FB7D6B">
        <w:rPr>
          <w:rFonts w:ascii="Book Antiqua" w:hAnsi="Book Antiqua" w:cs="Arial"/>
          <w:sz w:val="24"/>
          <w:szCs w:val="24"/>
          <w:lang w:val="en-US"/>
        </w:rPr>
        <w:t>26 wk duration</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{"citationID":"u10wmyhB","properties":{"formattedCitation":"{\\rtf \\super [14]\\nosupersub{}}","plainCitation":"[14]"},"citationItems":[{"id":540,"uris":["http://zotero.org/users/local/Cz1JGnYD/items/92XJHHCN"],"uri":["http://zotero.org/users/local/Cz1JGnYD/items/92XJHHCN"],"itemData":{"id":540,"type":"article-journal","title":"AASLD position paper: the management of acute liver failure","container-title":"Hepatology (Baltimore, Md.)","page":"1179-1197","volume":"41","issue":"5","source":"PubMed","DOI":"10.1002/hep.20703","ISSN":"0270-9139","note":"PMID: 15841455","shortTitle":"AASLD position paper","journalAbbreviation":"Hepatology","language":"eng","author":[{"family":"Polson","given":"Julie"},{"family":"Lee","given":"William M."},{"literal":"American Association for the Study of Liver Disease"}],"issued":{"date-parts":[["2005",5]]},"PMID":"15841455"}}],"schema":"https://github.com/citation-style-language/schema/raw/master/csl-citation.json"}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[14]</w:t>
      </w:r>
      <w:r w:rsidR="00CA4090" w:rsidRPr="00FB7D6B">
        <w:rPr>
          <w:rFonts w:ascii="Book Antiqua" w:hAnsi="Book Antiqua" w:cs="Arial"/>
          <w:sz w:val="24"/>
          <w:szCs w:val="24"/>
          <w:vertAlign w:val="superscript"/>
          <w:lang w:val="en-US"/>
        </w:rPr>
        <w:fldChar w:fldCharType="end"/>
      </w:r>
      <w:r w:rsidR="00AE3C8E" w:rsidRPr="00FB7D6B">
        <w:rPr>
          <w:rFonts w:ascii="Book Antiqua" w:hAnsi="Book Antiqua" w:cs="Arial"/>
          <w:sz w:val="24"/>
          <w:szCs w:val="24"/>
          <w:lang w:val="en-US"/>
        </w:rPr>
        <w:t xml:space="preserve">. </w:t>
      </w:r>
    </w:p>
    <w:p w:rsidR="00315E4E" w:rsidRPr="00FB7D6B" w:rsidRDefault="00E36443"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P</w:t>
      </w:r>
      <w:r w:rsidR="00214433" w:rsidRPr="00FB7D6B">
        <w:rPr>
          <w:rFonts w:ascii="Book Antiqua" w:hAnsi="Book Antiqua" w:cs="Arial"/>
          <w:sz w:val="24"/>
          <w:szCs w:val="24"/>
          <w:lang w:val="en-US"/>
        </w:rPr>
        <w:t xml:space="preserve">atients </w:t>
      </w:r>
      <w:r w:rsidRPr="00FB7D6B">
        <w:rPr>
          <w:rFonts w:ascii="Book Antiqua" w:hAnsi="Book Antiqua" w:cs="Arial"/>
          <w:sz w:val="24"/>
          <w:szCs w:val="24"/>
          <w:lang w:val="en-US"/>
        </w:rPr>
        <w:t xml:space="preserve">with AIH-induced ALF </w:t>
      </w:r>
      <w:r w:rsidR="00214433" w:rsidRPr="00FB7D6B">
        <w:rPr>
          <w:rFonts w:ascii="Book Antiqua" w:hAnsi="Book Antiqua" w:cs="Arial"/>
          <w:sz w:val="24"/>
          <w:szCs w:val="24"/>
          <w:lang w:val="en-US"/>
        </w:rPr>
        <w:t>are</w:t>
      </w:r>
      <w:r w:rsidRPr="00FB7D6B">
        <w:rPr>
          <w:rFonts w:ascii="Book Antiqua" w:hAnsi="Book Antiqua" w:cs="Arial"/>
          <w:sz w:val="24"/>
          <w:szCs w:val="24"/>
          <w:lang w:val="en-US"/>
        </w:rPr>
        <w:t xml:space="preserve"> frequently</w:t>
      </w:r>
      <w:r w:rsidR="00214433" w:rsidRPr="00FB7D6B">
        <w:rPr>
          <w:rFonts w:ascii="Book Antiqua" w:hAnsi="Book Antiqua" w:cs="Arial"/>
          <w:sz w:val="24"/>
          <w:szCs w:val="24"/>
          <w:lang w:val="en-US"/>
        </w:rPr>
        <w:t xml:space="preserve"> difficu</w:t>
      </w:r>
      <w:r w:rsidR="000759C7" w:rsidRPr="00FB7D6B">
        <w:rPr>
          <w:rFonts w:ascii="Book Antiqua" w:hAnsi="Book Antiqua" w:cs="Arial"/>
          <w:sz w:val="24"/>
          <w:szCs w:val="24"/>
          <w:lang w:val="en-US"/>
        </w:rPr>
        <w:t xml:space="preserve">lt to diagnose due to </w:t>
      </w:r>
      <w:r w:rsidR="00214433" w:rsidRPr="00FB7D6B">
        <w:rPr>
          <w:rFonts w:ascii="Book Antiqua" w:hAnsi="Book Antiqua" w:cs="Arial"/>
          <w:sz w:val="24"/>
          <w:szCs w:val="24"/>
          <w:lang w:val="en-US"/>
        </w:rPr>
        <w:t>absence of serological markers including anti</w:t>
      </w:r>
      <w:r w:rsidR="000369D8" w:rsidRPr="00FB7D6B">
        <w:rPr>
          <w:rFonts w:ascii="Book Antiqua" w:hAnsi="Book Antiqua" w:cs="Arial"/>
          <w:sz w:val="24"/>
          <w:szCs w:val="24"/>
          <w:lang w:val="en-US"/>
        </w:rPr>
        <w:t>-</w:t>
      </w:r>
      <w:r w:rsidR="00214433" w:rsidRPr="00FB7D6B">
        <w:rPr>
          <w:rFonts w:ascii="Book Antiqua" w:hAnsi="Book Antiqua" w:cs="Arial"/>
          <w:sz w:val="24"/>
          <w:szCs w:val="24"/>
          <w:lang w:val="en-US"/>
        </w:rPr>
        <w:t>nuclear (ANA), anti-smooth muscle</w:t>
      </w:r>
      <w:r w:rsidR="00C238CA" w:rsidRPr="00FB7D6B">
        <w:rPr>
          <w:rFonts w:ascii="Book Antiqua" w:hAnsi="Book Antiqua" w:cs="Arial"/>
          <w:sz w:val="24"/>
          <w:szCs w:val="24"/>
          <w:lang w:val="en-US"/>
        </w:rPr>
        <w:t xml:space="preserve"> (</w:t>
      </w:r>
      <w:r w:rsidR="00214433" w:rsidRPr="00FB7D6B">
        <w:rPr>
          <w:rFonts w:ascii="Book Antiqua" w:hAnsi="Book Antiqua" w:cs="Arial"/>
          <w:sz w:val="24"/>
          <w:szCs w:val="24"/>
          <w:lang w:val="en-US"/>
        </w:rPr>
        <w:t>SMA)</w:t>
      </w:r>
      <w:r w:rsidR="00130894" w:rsidRPr="00FB7D6B">
        <w:rPr>
          <w:rFonts w:ascii="Book Antiqua" w:hAnsi="Book Antiqua" w:cs="Arial"/>
          <w:sz w:val="24"/>
          <w:szCs w:val="24"/>
          <w:lang w:val="en-US"/>
        </w:rPr>
        <w:t xml:space="preserve">, </w:t>
      </w:r>
      <w:r w:rsidR="00C238CA" w:rsidRPr="00FB7D6B">
        <w:rPr>
          <w:rFonts w:ascii="Book Antiqua" w:hAnsi="Book Antiqua" w:cs="Arial"/>
          <w:sz w:val="24"/>
          <w:szCs w:val="24"/>
          <w:lang w:val="en-US"/>
        </w:rPr>
        <w:t>anti-liver kidney microsomal (LKM) antibodies</w:t>
      </w:r>
      <w:r w:rsidR="00074DD6" w:rsidRPr="00FB7D6B">
        <w:rPr>
          <w:rFonts w:ascii="Book Antiqua" w:hAnsi="Book Antiqua" w:cs="Arial"/>
          <w:sz w:val="24"/>
          <w:szCs w:val="24"/>
          <w:lang w:val="en-US"/>
        </w:rPr>
        <w:t>,</w:t>
      </w:r>
      <w:r w:rsidR="00C238CA" w:rsidRPr="00FB7D6B">
        <w:rPr>
          <w:rFonts w:ascii="Book Antiqua" w:hAnsi="Book Antiqua" w:cs="Arial"/>
          <w:sz w:val="24"/>
          <w:szCs w:val="24"/>
          <w:lang w:val="en-US"/>
        </w:rPr>
        <w:t xml:space="preserve"> and nor</w:t>
      </w:r>
      <w:r w:rsidR="00074DD6" w:rsidRPr="00FB7D6B">
        <w:rPr>
          <w:rFonts w:ascii="Book Antiqua" w:hAnsi="Book Antiqua" w:cs="Arial"/>
          <w:sz w:val="24"/>
          <w:szCs w:val="24"/>
          <w:lang w:val="en-US"/>
        </w:rPr>
        <w:t>mal immunoglobulin G (IgG)-level</w:t>
      </w:r>
      <w:r w:rsidR="00C238CA" w:rsidRPr="00FB7D6B">
        <w:rPr>
          <w:rFonts w:ascii="Book Antiqua" w:hAnsi="Book Antiqua" w:cs="Arial"/>
          <w:sz w:val="24"/>
          <w:szCs w:val="24"/>
          <w:lang w:val="en-US"/>
        </w:rPr>
        <w:t>s</w:t>
      </w:r>
      <w:r w:rsidR="003B5B71" w:rsidRPr="00FB7D6B">
        <w:rPr>
          <w:rFonts w:ascii="Book Antiqua" w:hAnsi="Book Antiqua" w:cs="Arial"/>
          <w:sz w:val="24"/>
          <w:szCs w:val="24"/>
          <w:lang w:val="en-US"/>
        </w:rPr>
        <w:t xml:space="preserve"> in numerous cases</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{"citationID":"19pfk47mbv","properties":{"formattedCitation":"{\\rtf \\super [15,16]\\nosupersub{}}","plainCitation":"[15,16]"},"citationItems":[{"id":542,"uris":["http://zotero.org/users/local/Cz1JGnYD/items/A7DHWT4D"],"uri":["http://zotero.org/users/local/Cz1JGnYD/items/A7DHWT4D"],"itemData":{"id":542,"type":"article-journal","title":"Autoantibodies as prognostic markers in autoimmune liver disease","container-title":"Digestive Diseases and Sciences","page":"2144-2161","volume":"55","issue":"8","source":"PubMed","abstract":"Certain autoantibodies in autoimmune liver disease have prognostic implications that are under-utilized and under-developed. The goals of this review are to indicate progress in characterizing the autoantibodies with prognostic connotations and to indicate the feasibility and importance of discovering other markers. Prime source and review articles in English were selected by a Medline search through 2010. Antibodies to soluble liver antigen, actin, liver cytosol type 1, asialoglycoprotein receptor, chromatin, cyclic citrullinated peptide, and uridine glucuronosyltransferases have been associated with the occurrence, severity, and progression of autoimmune hepatitis, and antibodies to Sp100, gp210, and centromere have had similar implications in primary biliary cirrhosis. Antibodies to soluble liver antigen have shown the most promise in autoimmune hepatitis as they have been associated with severe histological changes, long durations of treatment, relapse after drug withdrawal, and high frequency of liver failure. Antibodies to the nuclear rim pore protein, gp210, have shown the most promise in primary biliary cirrhosis as they have been associated with severe interface hepatitis, lobular inflammation, and progression to liver failure. The major limitations of the autoantibodies have been their lack of standardized assays, low negative predictabilities, and fluctuating levels. Performance parameters will improve as critical pathogenic pathways, comprehensive testing batteries, and standardized assays through international exchange workshops are developed. Progress has been made in identifying the serological markers of prognosis in autoimmune liver disease, and they promise to reflect critical disease mechanisms and enhance patient management.","DOI":"10.1007/s10620-010-1268-4","ISSN":"1573-2568","note":"PMID: 20464491","journalAbbreviation":"Dig. Dis. Sci.","language":"eng","author":[{"family":"Czaja","given":"Albert J."}],"issued":{"date-parts":[["2010",8]]},"PMID":"20464491"},"label":"page"},{"id":544,"uris":["http://zotero.org/users/local/Cz1JGnYD/items/TPAC3GG2"],"uri":["http://zotero.org/users/local/Cz1JGnYD/items/TPAC3GG2"],"itemData":{"id":544,"type":"article-journal","title":"The significance of autoantibodies and immunoglobulins in acute liver failure: a cohort study","container-title":"Journal of Hepatology","page":"664-670","volume":"47","issue":"5","source":"PubMed","abstract":"BACKGROUND/AIMS: The cause of cryptogenic ('seronegative') acute liver failure (ALF) is unknown; the presence of non-organ specific autoantibodies (NOSA) may indicate an autoimmune pathogenesis. We investigated the prevalence of autoimmune features including antibodies to soluble liver antigen (anti-SLA) determined by Radioligand assay (RLA) in ALF patients.\nMETHODS: The prevalence and relationship to the immunoglobulin (Ig) response of NOSA and anti-SLA were determined in 73 ALF patients of different causes. Patients were scored using the revised system for diagnosis of autoimmune hepatitis (AIH).\nRESULTS: Autoantibodies were present in 23 (32%) patients; 16 had anti-SLA, 6 ANA, 4 ASM and 1 AMA. They were absent in paracetamol-related disease and present in 23 of 53 (43%) of non-paracetamol (NP) cases (p&lt;0.0003). Two of 16 (13%) with NP drug-induced (NPDI), 9 of 21 (43%) viral and 5 of 16 (31%) cryptogenic cases had anti-SLA. NOSA and anti-SLA were not associated with liver injury severity or outcome. IgM was higher in those with viral disease (p&lt;0.00001). AIH scores classified 50% of cryptogenic cases as 'probable autoimmune hepatitis'.\nCONCLUSIONS: Autoantibodies are common in ALF; cryptogenic cases have features suggestive of an autoimmune pathogenesis. IgM is elevated in viral cases but infrequently in ALF of other causes.","DOI":"10.1016/j.jhep.2007.05.011","ISSN":"0168-8278","note":"PMID: 17602781","shortTitle":"The significance of autoantibodies and immunoglobulins in acute liver failure","journalAbbreviation":"J. Hepatol.","language":"eng","author":[{"family":"Bernal","given":"William"},{"family":"Ma","given":"Yun"},{"family":"Smith","given":"Heather M."},{"family":"Portmann","given":"Bernard"},{"family":"Wendon","given":"Julia"},{"family":"Vergani","given":"Diego"}],"issued":{"date-parts":[["2007",11]]},"PMID":"17602781"},"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[15,16]</w:t>
      </w:r>
      <w:r w:rsidR="00CA4090" w:rsidRPr="00FB7D6B">
        <w:rPr>
          <w:rFonts w:ascii="Book Antiqua" w:hAnsi="Book Antiqua" w:cs="Arial"/>
          <w:sz w:val="24"/>
          <w:szCs w:val="24"/>
          <w:vertAlign w:val="superscript"/>
          <w:lang w:val="en-US"/>
        </w:rPr>
        <w:fldChar w:fldCharType="end"/>
      </w:r>
      <w:r w:rsidR="00C238CA" w:rsidRPr="00FB7D6B">
        <w:rPr>
          <w:rFonts w:ascii="Book Antiqua" w:hAnsi="Book Antiqua" w:cs="Arial"/>
          <w:sz w:val="24"/>
          <w:szCs w:val="24"/>
          <w:lang w:val="en-US"/>
        </w:rPr>
        <w:t xml:space="preserve">. </w:t>
      </w:r>
      <w:r w:rsidR="000759C7" w:rsidRPr="00FB7D6B">
        <w:rPr>
          <w:rFonts w:ascii="Book Antiqua" w:hAnsi="Book Antiqua" w:cs="Arial"/>
          <w:sz w:val="24"/>
          <w:szCs w:val="24"/>
          <w:lang w:val="en-US"/>
        </w:rPr>
        <w:t>In this setting</w:t>
      </w:r>
      <w:r w:rsidR="004909FE" w:rsidRPr="00FB7D6B">
        <w:rPr>
          <w:rFonts w:ascii="Book Antiqua" w:hAnsi="Book Antiqua" w:cs="Arial"/>
          <w:sz w:val="24"/>
          <w:szCs w:val="24"/>
          <w:lang w:val="en-US"/>
        </w:rPr>
        <w:t xml:space="preserve">, </w:t>
      </w:r>
      <w:r w:rsidR="003234B2" w:rsidRPr="00FB7D6B">
        <w:rPr>
          <w:rFonts w:ascii="Book Antiqua" w:hAnsi="Book Antiqua" w:cs="Arial"/>
          <w:sz w:val="24"/>
          <w:szCs w:val="24"/>
          <w:lang w:val="en-US"/>
        </w:rPr>
        <w:t>determination</w:t>
      </w:r>
      <w:r w:rsidR="004909FE" w:rsidRPr="00FB7D6B">
        <w:rPr>
          <w:rFonts w:ascii="Book Antiqua" w:hAnsi="Book Antiqua" w:cs="Arial"/>
          <w:sz w:val="24"/>
          <w:szCs w:val="24"/>
          <w:lang w:val="en-US"/>
        </w:rPr>
        <w:t xml:space="preserve"> </w:t>
      </w:r>
      <w:r w:rsidR="003234B2" w:rsidRPr="00FB7D6B">
        <w:rPr>
          <w:rFonts w:ascii="Book Antiqua" w:hAnsi="Book Antiqua" w:cs="Arial"/>
          <w:sz w:val="24"/>
          <w:szCs w:val="24"/>
          <w:lang w:val="en-US"/>
        </w:rPr>
        <w:t xml:space="preserve">of </w:t>
      </w:r>
      <w:r w:rsidR="004909FE" w:rsidRPr="00FB7D6B">
        <w:rPr>
          <w:rFonts w:ascii="Book Antiqua" w:hAnsi="Book Antiqua" w:cs="Arial"/>
          <w:sz w:val="24"/>
          <w:szCs w:val="24"/>
          <w:lang w:val="en-US"/>
        </w:rPr>
        <w:t>major</w:t>
      </w:r>
      <w:r w:rsidR="00074DD6" w:rsidRPr="00FB7D6B">
        <w:rPr>
          <w:rFonts w:ascii="Book Antiqua" w:hAnsi="Book Antiqua" w:cs="Arial"/>
          <w:sz w:val="24"/>
          <w:szCs w:val="24"/>
          <w:lang w:val="en-US"/>
        </w:rPr>
        <w:t xml:space="preserve"> histocompatibility complex HLA-</w:t>
      </w:r>
      <w:r w:rsidR="000759C7" w:rsidRPr="00FB7D6B">
        <w:rPr>
          <w:rFonts w:ascii="Book Antiqua" w:hAnsi="Book Antiqua" w:cs="Arial"/>
          <w:sz w:val="24"/>
          <w:szCs w:val="24"/>
          <w:lang w:val="en-US"/>
        </w:rPr>
        <w:t>loci (</w:t>
      </w:r>
      <w:r w:rsidR="000759C7" w:rsidRPr="00FB7D6B">
        <w:rPr>
          <w:rFonts w:ascii="Book Antiqua" w:hAnsi="Book Antiqua" w:cs="Arial"/>
          <w:i/>
          <w:sz w:val="24"/>
          <w:szCs w:val="24"/>
          <w:lang w:val="en-US"/>
        </w:rPr>
        <w:t>e.g.</w:t>
      </w:r>
      <w:r w:rsidR="00FB7D6B">
        <w:rPr>
          <w:rFonts w:ascii="Book Antiqua" w:hAnsi="Book Antiqua" w:cs="Arial" w:hint="eastAsia"/>
          <w:i/>
          <w:sz w:val="24"/>
          <w:szCs w:val="24"/>
          <w:lang w:val="en-US" w:eastAsia="zh-CN"/>
        </w:rPr>
        <w:t>,</w:t>
      </w:r>
      <w:r w:rsidR="000759C7" w:rsidRPr="00FB7D6B">
        <w:rPr>
          <w:rFonts w:ascii="Book Antiqua" w:hAnsi="Book Antiqua" w:cs="Arial"/>
          <w:sz w:val="24"/>
          <w:szCs w:val="24"/>
          <w:lang w:val="en-US"/>
        </w:rPr>
        <w:t xml:space="preserve"> </w:t>
      </w:r>
      <w:r w:rsidR="004909FE" w:rsidRPr="00FB7D6B">
        <w:rPr>
          <w:rFonts w:ascii="Book Antiqua" w:hAnsi="Book Antiqua" w:cs="Arial"/>
          <w:sz w:val="24"/>
          <w:szCs w:val="24"/>
          <w:lang w:val="en-US"/>
        </w:rPr>
        <w:t>HLA</w:t>
      </w:r>
      <w:r w:rsidR="00021DD0" w:rsidRPr="00FB7D6B">
        <w:rPr>
          <w:rFonts w:ascii="Book Antiqua" w:hAnsi="Book Antiqua" w:cs="Arial"/>
          <w:sz w:val="24"/>
          <w:szCs w:val="24"/>
          <w:lang w:val="en-US"/>
        </w:rPr>
        <w:t>-</w:t>
      </w:r>
      <w:r w:rsidR="000759C7" w:rsidRPr="00FB7D6B">
        <w:rPr>
          <w:rFonts w:ascii="Book Antiqua" w:hAnsi="Book Antiqua" w:cs="Arial"/>
          <w:sz w:val="24"/>
          <w:szCs w:val="24"/>
          <w:lang w:val="en-US"/>
        </w:rPr>
        <w:t xml:space="preserve">DR3 </w:t>
      </w:r>
      <w:r w:rsidR="004909FE" w:rsidRPr="00FB7D6B">
        <w:rPr>
          <w:rFonts w:ascii="Book Antiqua" w:hAnsi="Book Antiqua" w:cs="Arial"/>
          <w:sz w:val="24"/>
          <w:szCs w:val="24"/>
          <w:lang w:val="en-US"/>
        </w:rPr>
        <w:t xml:space="preserve">and -DR4), which are reported to have </w:t>
      </w:r>
      <w:r w:rsidR="00E85D67" w:rsidRPr="00FB7D6B">
        <w:rPr>
          <w:rFonts w:ascii="Book Antiqua" w:hAnsi="Book Antiqua" w:cs="Arial"/>
          <w:sz w:val="24"/>
          <w:szCs w:val="24"/>
          <w:lang w:val="en-US"/>
        </w:rPr>
        <w:t xml:space="preserve">a </w:t>
      </w:r>
      <w:r w:rsidR="004909FE" w:rsidRPr="00FB7D6B">
        <w:rPr>
          <w:rFonts w:ascii="Book Antiqua" w:hAnsi="Book Antiqua" w:cs="Arial"/>
          <w:sz w:val="24"/>
          <w:szCs w:val="24"/>
          <w:lang w:val="en-US"/>
        </w:rPr>
        <w:t xml:space="preserve">strong association with AIH, might be helpful </w:t>
      </w:r>
      <w:r w:rsidR="009B6656" w:rsidRPr="00FB7D6B">
        <w:rPr>
          <w:rFonts w:ascii="Book Antiqua" w:hAnsi="Book Antiqua" w:cs="Arial"/>
          <w:sz w:val="24"/>
          <w:szCs w:val="24"/>
          <w:lang w:val="en-US"/>
        </w:rPr>
        <w:t xml:space="preserve">additional </w:t>
      </w:r>
      <w:r w:rsidR="004909FE" w:rsidRPr="00FB7D6B">
        <w:rPr>
          <w:rFonts w:ascii="Book Antiqua" w:hAnsi="Book Antiqua" w:cs="Arial"/>
          <w:sz w:val="24"/>
          <w:szCs w:val="24"/>
          <w:lang w:val="en-US"/>
        </w:rPr>
        <w:t>diagnostic tool</w:t>
      </w:r>
      <w:r w:rsidR="003234B2" w:rsidRPr="00FB7D6B">
        <w:rPr>
          <w:rFonts w:ascii="Book Antiqua" w:hAnsi="Book Antiqua" w:cs="Arial"/>
          <w:sz w:val="24"/>
          <w:szCs w:val="24"/>
          <w:lang w:val="en-US"/>
        </w:rPr>
        <w:t>s</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{"citationID":"1ssdvuj6nb","properties":{"formattedCitation":"{\\rtf \\super [1,8,17]\\nosupersub{}}","plainCitation":"[1,8,17]"},"citationItems":[{"id":514,"uris":["http://zotero.org/users/local/Cz1JGnYD/items/X8GK9XN6"],"uri":["http://zotero.org/users/local/Cz1JGnYD/items/X8GK9XN6"],"itemData":{"id":514,"type":"article-journal","title":"The clinical phenotypes of autoimmune hepatitis: A comprehensive review","container-title":"Journal of Autoimmunity","page":"98-107","volume":"66","source":"PubMed","abstract":"Autoimmune hepatitis (AIH) fulfills the generally accepted contemporary criteria of an autoimmune liver disease: the presence of autoantibodies and autoreactive T cells, a female gender bias, association with other autoimmune diseases, response to immunosuppressive therapy and strong associations with the major histocompatibility complex HLA loci. It occurs worldwide in both children and adults and is marked by both etiopathogenic and clinical heterogeneity, differing from the other putative autoimmune liver diseases, primary biliary cirrhosis (PBC) and primary sclerosing cholangitis (PSC), albeit occasionally presenting with overlapping features of PBC or PSC. Although diagnostic criteria have been established and validated, there are still major issues to be clarified due to its variability, such as autoantibody-negative AIH, drug-induced AIH, AIH sharing features with PBC or PSC, and post-transplant de novo AIH. In view of the diverse presentations and courses, including classical chronic onset, acute and acute severe onset, cirrhosis and decompensated cirrhosis, individualized management of patients is indicated. Each patient should receive a personalized analysis of the benefits and side effect risks of drugs. Herein we describe a comprehensive review of the clinical phenotypes of AIH underscoring its clinical heterogeneity.","DOI":"10.1016/j.jaut.2015.10.006","ISSN":"1095-9157","note":"PMID: 26614611","shortTitle":"The clinical phenotypes of autoimmune hepatitis","journalAbbreviation":"J. Autoimmun.","language":"eng","author":[{"family":"Wang","given":"Qixia"},{"family":"Yang","given":"Fan"},{"family":"Miao","given":"Qi"},{"family":"Krawitt","given":"Edward L."},{"family":"Gershwin","given":"M. Eric"},{"family":"Ma","given":"Xiong"}],"issued":{"date-parts":[["2016",1]]},"PMID":"26614611"},"label":"page"},{"id":528,"uris":["http://zotero.org/users/local/Cz1JGnYD/items/HUSI8BI2"],"uri":["http://zotero.org/users/local/Cz1JGnYD/items/HUSI8BI2"],"itemData":{"id":528,"type":"article-journal","title":"Autoimmune hepatitis","container-title":"Lancet (London, England)","page":"1433-1444","volume":"382","issue":"9902","source":"PubMed","abstract":"Autoimmune hepatitis is a disease of the hepatic parenchyma that can present in acute or chronic forms. In common with many autoimmune diseases, autoimmune hepatitis is associated with non-organ-specific antibodies in the context of hepatic autoimmunity. This dichotomy has made definition of a unifying hypothesis in the pathophysiology of the disease difficult, although data from the past 8 years have drawn attention to the role of regulatory T cells. Several triggers have been identified, and the disease arises in genetically susceptible individuals. Clinical and biochemical remission is achievable in up to 85% of cases. For the remaining patients, alternative immunosuppression strategies are an option. Liver transplantation provides an excellent outcome for patients with acute liver failure or complications of end-stage liver disease, including hepatocellular carcinoma. Variant or overlapping syndromes are worthy of consideration when unexpected disease features arise.","DOI":"10.1016/S0140-6736(12)62163-1","ISSN":"1474-547X","note":"PMID: 23768844","journalAbbreviation":"Lancet","language":"eng","author":[{"family":"Heneghan","given":"Michael A."},{"family":"Yeoman","given":"Andrew D."},{"family":"Verma","given":"Sumita"},{"family":"Smith","given":"Alastair D."},{"family":"Longhi","given":"Maria Serena"}],"issued":{"date-parts":[["2013",10,26]]},"PMID":"23768844"},"label":"page"},{"id":546,"uris":["http://zotero.org/users/local/Cz1JGnYD/items/NBQ3RI9D"],"uri":["http://zotero.org/users/local/Cz1JGnYD/items/NBQ3RI9D"],"itemData":{"id":546,"type":"article-journal","title":"Review article: autoimmune hepatitis -- current management and challenges","container-title":"Alimentary Pharmacology &amp; Therapeutics","page":"887-913","volume":"38","issue":"8","source":"PubMed","abstract":"BACKGROUND: Autoimmune hepatitis (AIH) is a disease of unknown aetiology characterised by interface hepatitis, hypergammaglobulinaemia, circulating autoantibodies and a favourable response to immunosuppression.\nAIM: To review recent advancements in understanding aetiopathogenesis, clinical, serological and histological features, diagnostic criteria and treatment strategies of AIH.\nMETHODS: Published studies on AIH extracted mainly from PubMed during the last 15 years.\nRESULTS: Autoimmune hepatitis has a global distribution affecting any age, both sexes and all ethnic groups. Clinical manifestations are variable ranging from no symptoms to severe acute hepatitis and only seldom to fulminant hepatic failure. Autoimmune attack is perpetuated, possibly via molecular mimicry mechanisms, and favoured by the impaired control of regulatory T-cells. A typical laboratory finding is hypergammaglobulinaemia with selective elevation of IgG, although in 15-25% of patients - particularly children, elderly and acute cases - IgG levels are normal. Liver histology and autoantibodies, although not pathognomonic, still remain the hallmark for diagnosis. Immunosuppressive treatment is mandatory and life-saving; however, to meet strict response criteria, the conventional therapy with prednisolone with or without azathioprine is far from ideal.\nCONCLUSIONS: Autoimmune hepatitis remains a major diagnostic and therapeutic challenge. The clinician, the hepato-pathologist and the laboratory personnel need to become more familiar with different expressions of the disease, interpretation of liver histology and autoimmune serology. According to the strict definition of treatment response issued by the 2010 AASLD guidelines, many patients are nonresponders to conventional treatment. Newer immunosuppressive agents targeting pathogenetic mechanisms can improve patient management, which needs to be tailored on a case-by-case basis.","DOI":"10.1111/apt.12470","ISSN":"1365-2036","note":"PMID: 24010812","shortTitle":"Review article","journalAbbreviation":"Aliment. Pharmacol. Ther.","language":"eng","author":[{"family":"Zachou","given":"K."},{"family":"Muratori","given":"P."},{"family":"Koukoulis","given":"G. K."},{"family":"Granito","given":"A."},{"family":"Gatselis","given":"N."},{"family":"Fabbri","given":"A."},{"family":"Dalekos","given":"G. N."},{"family":"Muratori","given":"L."}],"issued":{"date-parts":[["2013",10]]},"PMID":"24010812"},"label":"page"}],"schema":"https://github.com/citation-style-language/schema/raw/master/csl-citation.json"}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[1,8,17]</w:t>
      </w:r>
      <w:r w:rsidR="00CA4090" w:rsidRPr="00FB7D6B">
        <w:rPr>
          <w:rFonts w:ascii="Book Antiqua" w:hAnsi="Book Antiqua" w:cs="Arial"/>
          <w:sz w:val="24"/>
          <w:szCs w:val="24"/>
          <w:vertAlign w:val="superscript"/>
          <w:lang w:val="en-US"/>
        </w:rPr>
        <w:fldChar w:fldCharType="end"/>
      </w:r>
      <w:r w:rsidR="004909FE" w:rsidRPr="00FB7D6B">
        <w:rPr>
          <w:rFonts w:ascii="Book Antiqua" w:hAnsi="Book Antiqua" w:cs="Arial"/>
          <w:sz w:val="24"/>
          <w:szCs w:val="24"/>
          <w:lang w:val="en-US"/>
        </w:rPr>
        <w:t>.</w:t>
      </w:r>
    </w:p>
    <w:p w:rsidR="00430E10" w:rsidRPr="00FB7D6B" w:rsidRDefault="005F4415"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lastRenderedPageBreak/>
        <w:t>In t</w:t>
      </w:r>
      <w:r w:rsidR="00DD7B49" w:rsidRPr="00FB7D6B">
        <w:rPr>
          <w:rFonts w:ascii="Book Antiqua" w:hAnsi="Book Antiqua" w:cs="Arial"/>
          <w:sz w:val="24"/>
          <w:szCs w:val="24"/>
          <w:lang w:val="en-US"/>
        </w:rPr>
        <w:t xml:space="preserve">he daily clinical setting, </w:t>
      </w:r>
      <w:r w:rsidR="00456634" w:rsidRPr="00FB7D6B">
        <w:rPr>
          <w:rFonts w:ascii="Book Antiqua" w:hAnsi="Book Antiqua" w:cs="Arial"/>
          <w:sz w:val="24"/>
          <w:szCs w:val="24"/>
          <w:lang w:val="en-US"/>
        </w:rPr>
        <w:t>the h</w:t>
      </w:r>
      <w:r w:rsidRPr="00FB7D6B">
        <w:rPr>
          <w:rFonts w:ascii="Book Antiqua" w:hAnsi="Book Antiqua" w:cs="Arial"/>
          <w:sz w:val="24"/>
          <w:szCs w:val="24"/>
          <w:lang w:val="en-US"/>
        </w:rPr>
        <w:t xml:space="preserve">epatologist is </w:t>
      </w:r>
      <w:r w:rsidR="002E008C" w:rsidRPr="00FB7D6B">
        <w:rPr>
          <w:rFonts w:ascii="Book Antiqua" w:hAnsi="Book Antiqua" w:cs="Arial"/>
          <w:sz w:val="24"/>
          <w:szCs w:val="24"/>
          <w:lang w:val="en-US"/>
        </w:rPr>
        <w:t xml:space="preserve">frequently </w:t>
      </w:r>
      <w:r w:rsidRPr="00FB7D6B">
        <w:rPr>
          <w:rFonts w:ascii="Book Antiqua" w:hAnsi="Book Antiqua" w:cs="Arial"/>
          <w:sz w:val="24"/>
          <w:szCs w:val="24"/>
          <w:lang w:val="en-US"/>
        </w:rPr>
        <w:t xml:space="preserve">faced with patients </w:t>
      </w:r>
      <w:r w:rsidR="00DD7B49" w:rsidRPr="00FB7D6B">
        <w:rPr>
          <w:rFonts w:ascii="Book Antiqua" w:hAnsi="Book Antiqua" w:cs="Arial"/>
          <w:sz w:val="24"/>
          <w:szCs w:val="24"/>
          <w:lang w:val="en-US"/>
        </w:rPr>
        <w:t xml:space="preserve">having </w:t>
      </w:r>
      <w:r w:rsidRPr="00FB7D6B">
        <w:rPr>
          <w:rFonts w:ascii="Book Antiqua" w:hAnsi="Book Antiqua" w:cs="Arial"/>
          <w:sz w:val="24"/>
          <w:szCs w:val="24"/>
          <w:lang w:val="en-US"/>
        </w:rPr>
        <w:t>unknown elevation</w:t>
      </w:r>
      <w:r w:rsidR="00DD7B49" w:rsidRPr="00FB7D6B">
        <w:rPr>
          <w:rFonts w:ascii="Book Antiqua" w:hAnsi="Book Antiqua" w:cs="Arial"/>
          <w:sz w:val="24"/>
          <w:szCs w:val="24"/>
          <w:lang w:val="en-US"/>
        </w:rPr>
        <w:t>s</w:t>
      </w:r>
      <w:r w:rsidRPr="00FB7D6B">
        <w:rPr>
          <w:rFonts w:ascii="Book Antiqua" w:hAnsi="Book Antiqua" w:cs="Arial"/>
          <w:sz w:val="24"/>
          <w:szCs w:val="24"/>
          <w:lang w:val="en-US"/>
        </w:rPr>
        <w:t xml:space="preserve"> of </w:t>
      </w:r>
      <w:r w:rsidR="00DD7B49" w:rsidRPr="00FB7D6B">
        <w:rPr>
          <w:rFonts w:ascii="Book Antiqua" w:hAnsi="Book Antiqua" w:cs="Arial"/>
          <w:sz w:val="24"/>
          <w:szCs w:val="24"/>
          <w:lang w:val="en-US"/>
        </w:rPr>
        <w:t xml:space="preserve">their </w:t>
      </w:r>
      <w:r w:rsidRPr="00FB7D6B">
        <w:rPr>
          <w:rFonts w:ascii="Book Antiqua" w:hAnsi="Book Antiqua" w:cs="Arial"/>
          <w:sz w:val="24"/>
          <w:szCs w:val="24"/>
          <w:lang w:val="en-US"/>
        </w:rPr>
        <w:t xml:space="preserve">liver enzymes for years or </w:t>
      </w:r>
      <w:r w:rsidR="00DD7B49" w:rsidRPr="00FB7D6B">
        <w:rPr>
          <w:rFonts w:ascii="Book Antiqua" w:hAnsi="Book Antiqua" w:cs="Arial"/>
          <w:sz w:val="24"/>
          <w:szCs w:val="24"/>
          <w:lang w:val="en-US"/>
        </w:rPr>
        <w:t xml:space="preserve">even </w:t>
      </w:r>
      <w:r w:rsidRPr="00FB7D6B">
        <w:rPr>
          <w:rFonts w:ascii="Book Antiqua" w:hAnsi="Book Antiqua" w:cs="Arial"/>
          <w:sz w:val="24"/>
          <w:szCs w:val="24"/>
          <w:lang w:val="en-US"/>
        </w:rPr>
        <w:t xml:space="preserve">decades. </w:t>
      </w:r>
      <w:r w:rsidR="00DD7B49" w:rsidRPr="00FB7D6B">
        <w:rPr>
          <w:rFonts w:ascii="Book Antiqua" w:hAnsi="Book Antiqua" w:cs="Arial"/>
          <w:sz w:val="24"/>
          <w:szCs w:val="24"/>
          <w:lang w:val="en-US"/>
        </w:rPr>
        <w:t xml:space="preserve">Most of these asymptomatic patients present only marginal increased liver enzymes with normal liver function. Routine work-up of these cases leads </w:t>
      </w:r>
      <w:r w:rsidR="00456634" w:rsidRPr="00FB7D6B">
        <w:rPr>
          <w:rFonts w:ascii="Book Antiqua" w:hAnsi="Book Antiqua" w:cs="Arial"/>
          <w:sz w:val="24"/>
          <w:szCs w:val="24"/>
          <w:lang w:val="en-US"/>
        </w:rPr>
        <w:t xml:space="preserve">finally </w:t>
      </w:r>
      <w:r w:rsidR="00DD7B49" w:rsidRPr="00FB7D6B">
        <w:rPr>
          <w:rFonts w:ascii="Book Antiqua" w:hAnsi="Book Antiqua" w:cs="Arial"/>
          <w:sz w:val="24"/>
          <w:szCs w:val="24"/>
          <w:lang w:val="en-US"/>
        </w:rPr>
        <w:t>to the diagnosis of underlying AIH and</w:t>
      </w:r>
      <w:r w:rsidR="00FB7D6B">
        <w:rPr>
          <w:rFonts w:ascii="Book Antiqua" w:hAnsi="Book Antiqua" w:cs="Arial" w:hint="eastAsia"/>
          <w:sz w:val="24"/>
          <w:szCs w:val="24"/>
          <w:lang w:val="en-US" w:eastAsia="zh-CN"/>
        </w:rPr>
        <w:t xml:space="preserve"> - </w:t>
      </w:r>
      <w:r w:rsidR="00456634" w:rsidRPr="00FB7D6B">
        <w:rPr>
          <w:rFonts w:ascii="Book Antiqua" w:hAnsi="Book Antiqua" w:cs="Arial"/>
          <w:sz w:val="24"/>
          <w:szCs w:val="24"/>
          <w:lang w:val="en-US"/>
        </w:rPr>
        <w:t>following steroid therapy</w:t>
      </w:r>
      <w:r w:rsidR="002E008C" w:rsidRPr="00FB7D6B">
        <w:rPr>
          <w:rFonts w:ascii="Book Antiqua" w:hAnsi="Book Antiqua" w:cs="Arial"/>
          <w:sz w:val="24"/>
          <w:szCs w:val="24"/>
          <w:lang w:val="en-US"/>
        </w:rPr>
        <w:t xml:space="preserve"> -</w:t>
      </w:r>
      <w:r w:rsidR="00472A70" w:rsidRPr="00FB7D6B">
        <w:rPr>
          <w:rFonts w:ascii="Book Antiqua" w:hAnsi="Book Antiqua" w:cs="Arial"/>
          <w:sz w:val="24"/>
          <w:szCs w:val="24"/>
          <w:lang w:val="en-US" w:eastAsia="zh-CN"/>
        </w:rPr>
        <w:t xml:space="preserve"> </w:t>
      </w:r>
      <w:r w:rsidR="00456634" w:rsidRPr="00FB7D6B">
        <w:rPr>
          <w:rFonts w:ascii="Book Antiqua" w:hAnsi="Book Antiqua" w:cs="Arial"/>
          <w:sz w:val="24"/>
          <w:szCs w:val="24"/>
          <w:lang w:val="en-US"/>
        </w:rPr>
        <w:t xml:space="preserve">transaminases </w:t>
      </w:r>
      <w:r w:rsidR="00315E4E" w:rsidRPr="00FB7D6B">
        <w:rPr>
          <w:rFonts w:ascii="Book Antiqua" w:hAnsi="Book Antiqua" w:cs="Arial"/>
          <w:sz w:val="24"/>
          <w:szCs w:val="24"/>
          <w:lang w:val="en-US"/>
        </w:rPr>
        <w:t xml:space="preserve">often </w:t>
      </w:r>
      <w:r w:rsidR="00456634" w:rsidRPr="00FB7D6B">
        <w:rPr>
          <w:rFonts w:ascii="Book Antiqua" w:hAnsi="Book Antiqua" w:cs="Arial"/>
          <w:sz w:val="24"/>
          <w:szCs w:val="24"/>
          <w:lang w:val="en-US"/>
        </w:rPr>
        <w:t xml:space="preserve">return to normal ranges. However, </w:t>
      </w:r>
      <w:r w:rsidR="002E008C" w:rsidRPr="00FB7D6B">
        <w:rPr>
          <w:rFonts w:ascii="Book Antiqua" w:hAnsi="Book Antiqua" w:cs="Arial"/>
          <w:sz w:val="24"/>
          <w:szCs w:val="24"/>
          <w:lang w:val="en-US"/>
        </w:rPr>
        <w:t xml:space="preserve">in </w:t>
      </w:r>
      <w:r w:rsidR="00456634" w:rsidRPr="00FB7D6B">
        <w:rPr>
          <w:rFonts w:ascii="Book Antiqua" w:hAnsi="Book Antiqua" w:cs="Arial"/>
          <w:sz w:val="24"/>
          <w:szCs w:val="24"/>
          <w:lang w:val="en-US"/>
        </w:rPr>
        <w:t xml:space="preserve">few cases, one is challenged with patients previously being healthy </w:t>
      </w:r>
      <w:r w:rsidR="000759C7" w:rsidRPr="00FB7D6B">
        <w:rPr>
          <w:rFonts w:ascii="Book Antiqua" w:hAnsi="Book Antiqua" w:cs="Arial"/>
          <w:sz w:val="24"/>
          <w:szCs w:val="24"/>
          <w:lang w:val="en-US"/>
        </w:rPr>
        <w:t xml:space="preserve">without any signs of hepatopathy </w:t>
      </w:r>
      <w:r w:rsidR="00456634" w:rsidRPr="00FB7D6B">
        <w:rPr>
          <w:rFonts w:ascii="Book Antiqua" w:hAnsi="Book Antiqua" w:cs="Arial"/>
          <w:sz w:val="24"/>
          <w:szCs w:val="24"/>
          <w:lang w:val="en-US"/>
        </w:rPr>
        <w:t xml:space="preserve">but </w:t>
      </w:r>
      <w:r w:rsidR="0009071E" w:rsidRPr="00FB7D6B">
        <w:rPr>
          <w:rFonts w:ascii="Book Antiqua" w:hAnsi="Book Antiqua" w:cs="Arial"/>
          <w:sz w:val="24"/>
          <w:szCs w:val="24"/>
          <w:lang w:val="en-US"/>
        </w:rPr>
        <w:t xml:space="preserve">rapidly </w:t>
      </w:r>
      <w:r w:rsidR="00456634" w:rsidRPr="00FB7D6B">
        <w:rPr>
          <w:rFonts w:ascii="Book Antiqua" w:hAnsi="Book Antiqua" w:cs="Arial"/>
          <w:sz w:val="24"/>
          <w:szCs w:val="24"/>
          <w:lang w:val="en-US"/>
        </w:rPr>
        <w:t xml:space="preserve">demonstrating </w:t>
      </w:r>
      <w:r w:rsidR="002E008C" w:rsidRPr="00FB7D6B">
        <w:rPr>
          <w:rFonts w:ascii="Book Antiqua" w:hAnsi="Book Antiqua" w:cs="Arial"/>
          <w:sz w:val="24"/>
          <w:szCs w:val="24"/>
          <w:lang w:val="en-US"/>
        </w:rPr>
        <w:t xml:space="preserve">a life-threatening acute liver failure </w:t>
      </w:r>
      <w:r w:rsidR="000759C7" w:rsidRPr="00FB7D6B">
        <w:rPr>
          <w:rFonts w:ascii="Book Antiqua" w:hAnsi="Book Antiqua" w:cs="Arial"/>
          <w:sz w:val="24"/>
          <w:szCs w:val="24"/>
          <w:lang w:val="en-US"/>
        </w:rPr>
        <w:t xml:space="preserve">as their first manifestation </w:t>
      </w:r>
      <w:r w:rsidR="00315E4E" w:rsidRPr="00FB7D6B">
        <w:rPr>
          <w:rFonts w:ascii="Book Antiqua" w:hAnsi="Book Antiqua" w:cs="Arial"/>
          <w:sz w:val="24"/>
          <w:szCs w:val="24"/>
          <w:lang w:val="en-US"/>
        </w:rPr>
        <w:t xml:space="preserve">of AIH </w:t>
      </w:r>
      <w:r w:rsidR="002E008C" w:rsidRPr="00FB7D6B">
        <w:rPr>
          <w:rFonts w:ascii="Book Antiqua" w:hAnsi="Book Antiqua" w:cs="Arial"/>
          <w:sz w:val="24"/>
          <w:szCs w:val="24"/>
          <w:lang w:val="en-US"/>
        </w:rPr>
        <w:t>with</w:t>
      </w:r>
      <w:r w:rsidR="00DE3A6D" w:rsidRPr="00FB7D6B">
        <w:rPr>
          <w:rFonts w:ascii="Book Antiqua" w:hAnsi="Book Antiqua" w:cs="Arial"/>
          <w:sz w:val="24"/>
          <w:szCs w:val="24"/>
          <w:lang w:val="en-US"/>
        </w:rPr>
        <w:t xml:space="preserve"> the</w:t>
      </w:r>
      <w:r w:rsidR="002E008C" w:rsidRPr="00FB7D6B">
        <w:rPr>
          <w:rFonts w:ascii="Book Antiqua" w:hAnsi="Book Antiqua" w:cs="Arial"/>
          <w:sz w:val="24"/>
          <w:szCs w:val="24"/>
          <w:lang w:val="en-US"/>
        </w:rPr>
        <w:t xml:space="preserve"> necessity of </w:t>
      </w:r>
      <w:r w:rsidR="000759C7" w:rsidRPr="00FB7D6B">
        <w:rPr>
          <w:rFonts w:ascii="Book Antiqua" w:hAnsi="Book Antiqua" w:cs="Arial"/>
          <w:sz w:val="24"/>
          <w:szCs w:val="24"/>
          <w:lang w:val="en-US"/>
        </w:rPr>
        <w:t xml:space="preserve">urgent </w:t>
      </w:r>
      <w:r w:rsidR="002E008C" w:rsidRPr="00FB7D6B">
        <w:rPr>
          <w:rFonts w:ascii="Book Antiqua" w:hAnsi="Book Antiqua" w:cs="Arial"/>
          <w:sz w:val="24"/>
          <w:szCs w:val="24"/>
          <w:lang w:val="en-US"/>
        </w:rPr>
        <w:t xml:space="preserve">organ transplantation. </w:t>
      </w:r>
      <w:r w:rsidR="00E85D67" w:rsidRPr="00FB7D6B">
        <w:rPr>
          <w:rFonts w:ascii="Book Antiqua" w:hAnsi="Book Antiqua" w:cs="Arial"/>
          <w:sz w:val="24"/>
          <w:szCs w:val="24"/>
          <w:lang w:val="en-US"/>
        </w:rPr>
        <w:t xml:space="preserve">Therefore, the aim of our study was </w:t>
      </w:r>
      <w:r w:rsidR="00430E10" w:rsidRPr="00FB7D6B">
        <w:rPr>
          <w:rFonts w:ascii="Book Antiqua" w:hAnsi="Book Antiqua" w:cs="Arial"/>
          <w:sz w:val="24"/>
          <w:szCs w:val="24"/>
          <w:lang w:val="en-US"/>
        </w:rPr>
        <w:t xml:space="preserve">to </w:t>
      </w:r>
      <w:r w:rsidR="00E85D67" w:rsidRPr="00FB7D6B">
        <w:rPr>
          <w:rFonts w:ascii="Book Antiqua" w:hAnsi="Book Antiqua" w:cs="Arial"/>
          <w:sz w:val="24"/>
          <w:szCs w:val="24"/>
          <w:lang w:val="en-US"/>
        </w:rPr>
        <w:t>investigate demographic ch</w:t>
      </w:r>
      <w:r w:rsidR="00825C68" w:rsidRPr="00FB7D6B">
        <w:rPr>
          <w:rFonts w:ascii="Book Antiqua" w:hAnsi="Book Antiqua" w:cs="Arial"/>
          <w:sz w:val="24"/>
          <w:szCs w:val="24"/>
          <w:lang w:val="en-US"/>
        </w:rPr>
        <w:t xml:space="preserve">aracteristics and </w:t>
      </w:r>
      <w:r w:rsidR="00C238CA" w:rsidRPr="00FB7D6B">
        <w:rPr>
          <w:rFonts w:ascii="Book Antiqua" w:hAnsi="Book Antiqua" w:cs="Arial"/>
          <w:sz w:val="24"/>
          <w:szCs w:val="24"/>
          <w:lang w:val="en-US"/>
        </w:rPr>
        <w:t xml:space="preserve">clinical course of </w:t>
      </w:r>
      <w:r w:rsidR="002E008C" w:rsidRPr="00FB7D6B">
        <w:rPr>
          <w:rFonts w:ascii="Book Antiqua" w:hAnsi="Book Antiqua" w:cs="Arial"/>
          <w:sz w:val="24"/>
          <w:szCs w:val="24"/>
          <w:lang w:val="en-US"/>
        </w:rPr>
        <w:t>especially these</w:t>
      </w:r>
      <w:r w:rsidR="00E85D67" w:rsidRPr="00FB7D6B">
        <w:rPr>
          <w:rFonts w:ascii="Book Antiqua" w:hAnsi="Book Antiqua" w:cs="Arial"/>
          <w:sz w:val="24"/>
          <w:szCs w:val="24"/>
          <w:lang w:val="en-US"/>
        </w:rPr>
        <w:t xml:space="preserve"> patients </w:t>
      </w:r>
      <w:r w:rsidR="00C238CA" w:rsidRPr="00FB7D6B">
        <w:rPr>
          <w:rFonts w:ascii="Book Antiqua" w:hAnsi="Book Antiqua" w:cs="Arial"/>
          <w:sz w:val="24"/>
          <w:szCs w:val="24"/>
          <w:lang w:val="en-US"/>
        </w:rPr>
        <w:t>present</w:t>
      </w:r>
      <w:r w:rsidR="00E85D67" w:rsidRPr="00FB7D6B">
        <w:rPr>
          <w:rFonts w:ascii="Book Antiqua" w:hAnsi="Book Antiqua" w:cs="Arial"/>
          <w:sz w:val="24"/>
          <w:szCs w:val="24"/>
          <w:lang w:val="en-US"/>
        </w:rPr>
        <w:t>ed</w:t>
      </w:r>
      <w:r w:rsidR="00C238CA" w:rsidRPr="00FB7D6B">
        <w:rPr>
          <w:rFonts w:ascii="Book Antiqua" w:hAnsi="Book Antiqua" w:cs="Arial"/>
          <w:sz w:val="24"/>
          <w:szCs w:val="24"/>
          <w:lang w:val="en-US"/>
        </w:rPr>
        <w:t xml:space="preserve"> with ALF as </w:t>
      </w:r>
      <w:r w:rsidR="00E85D67" w:rsidRPr="00FB7D6B">
        <w:rPr>
          <w:rFonts w:ascii="Book Antiqua" w:hAnsi="Book Antiqua" w:cs="Arial"/>
          <w:sz w:val="24"/>
          <w:szCs w:val="24"/>
          <w:lang w:val="en-US"/>
        </w:rPr>
        <w:t>the</w:t>
      </w:r>
      <w:r w:rsidR="006D534F" w:rsidRPr="00FB7D6B">
        <w:rPr>
          <w:rFonts w:ascii="Book Antiqua" w:hAnsi="Book Antiqua" w:cs="Arial"/>
          <w:sz w:val="24"/>
          <w:szCs w:val="24"/>
          <w:lang w:val="en-US"/>
        </w:rPr>
        <w:t>ir</w:t>
      </w:r>
      <w:r w:rsidR="00E85D67" w:rsidRPr="00FB7D6B">
        <w:rPr>
          <w:rFonts w:ascii="Book Antiqua" w:hAnsi="Book Antiqua" w:cs="Arial"/>
          <w:sz w:val="24"/>
          <w:szCs w:val="24"/>
          <w:lang w:val="en-US"/>
        </w:rPr>
        <w:t xml:space="preserve"> </w:t>
      </w:r>
      <w:r w:rsidR="00C238CA" w:rsidRPr="00FB7D6B">
        <w:rPr>
          <w:rFonts w:ascii="Book Antiqua" w:hAnsi="Book Antiqua" w:cs="Arial"/>
          <w:sz w:val="24"/>
          <w:szCs w:val="24"/>
          <w:lang w:val="en-US"/>
        </w:rPr>
        <w:t xml:space="preserve">initial presentation of AIH with special </w:t>
      </w:r>
      <w:r w:rsidR="00E85D67" w:rsidRPr="00FB7D6B">
        <w:rPr>
          <w:rFonts w:ascii="Book Antiqua" w:hAnsi="Book Antiqua" w:cs="Arial"/>
          <w:sz w:val="24"/>
          <w:szCs w:val="24"/>
          <w:lang w:val="en-US"/>
        </w:rPr>
        <w:t xml:space="preserve">focus on </w:t>
      </w:r>
      <w:r w:rsidR="000759C7" w:rsidRPr="00FB7D6B">
        <w:rPr>
          <w:rFonts w:ascii="Book Antiqua" w:hAnsi="Book Antiqua" w:cs="Arial"/>
          <w:sz w:val="24"/>
          <w:szCs w:val="24"/>
          <w:lang w:val="en-US"/>
        </w:rPr>
        <w:t xml:space="preserve">potential </w:t>
      </w:r>
      <w:r w:rsidR="00C238CA" w:rsidRPr="00FB7D6B">
        <w:rPr>
          <w:rFonts w:ascii="Book Antiqua" w:hAnsi="Book Antiqua" w:cs="Arial"/>
          <w:sz w:val="24"/>
          <w:szCs w:val="24"/>
          <w:lang w:val="en-US"/>
        </w:rPr>
        <w:t>triggering factors</w:t>
      </w:r>
      <w:r w:rsidR="0065194B" w:rsidRPr="00FB7D6B">
        <w:rPr>
          <w:rFonts w:ascii="Book Antiqua" w:hAnsi="Book Antiqua" w:cs="Arial"/>
          <w:sz w:val="24"/>
          <w:szCs w:val="24"/>
          <w:lang w:val="en-US"/>
        </w:rPr>
        <w:t xml:space="preserve"> which may </w:t>
      </w:r>
      <w:r w:rsidR="00E85D67" w:rsidRPr="00FB7D6B">
        <w:rPr>
          <w:rFonts w:ascii="Book Antiqua" w:hAnsi="Book Antiqua" w:cs="Arial"/>
          <w:sz w:val="24"/>
          <w:szCs w:val="24"/>
          <w:lang w:val="en-US"/>
        </w:rPr>
        <w:t>activate</w:t>
      </w:r>
      <w:r w:rsidR="002E008C" w:rsidRPr="00FB7D6B">
        <w:rPr>
          <w:rFonts w:ascii="Book Antiqua" w:hAnsi="Book Antiqua" w:cs="Arial"/>
          <w:sz w:val="24"/>
          <w:szCs w:val="24"/>
          <w:lang w:val="en-US"/>
        </w:rPr>
        <w:t xml:space="preserve"> the “autoimmune machinery” </w:t>
      </w:r>
      <w:r w:rsidR="0065194B" w:rsidRPr="00FB7D6B">
        <w:rPr>
          <w:rFonts w:ascii="Book Antiqua" w:hAnsi="Book Antiqua" w:cs="Arial"/>
          <w:sz w:val="24"/>
          <w:szCs w:val="24"/>
          <w:lang w:val="en-US"/>
        </w:rPr>
        <w:t>lead</w:t>
      </w:r>
      <w:r w:rsidR="002E008C" w:rsidRPr="00FB7D6B">
        <w:rPr>
          <w:rFonts w:ascii="Book Antiqua" w:hAnsi="Book Antiqua" w:cs="Arial"/>
          <w:sz w:val="24"/>
          <w:szCs w:val="24"/>
          <w:lang w:val="en-US"/>
        </w:rPr>
        <w:t>ing</w:t>
      </w:r>
      <w:r w:rsidR="0065194B" w:rsidRPr="00FB7D6B">
        <w:rPr>
          <w:rFonts w:ascii="Book Antiqua" w:hAnsi="Book Antiqua" w:cs="Arial"/>
          <w:sz w:val="24"/>
          <w:szCs w:val="24"/>
          <w:lang w:val="en-US"/>
        </w:rPr>
        <w:t xml:space="preserve"> to onset of the disease</w:t>
      </w:r>
      <w:r w:rsidR="00C238CA" w:rsidRPr="00FB7D6B">
        <w:rPr>
          <w:rFonts w:ascii="Book Antiqua" w:hAnsi="Book Antiqua" w:cs="Arial"/>
          <w:sz w:val="24"/>
          <w:szCs w:val="24"/>
          <w:lang w:val="en-US"/>
        </w:rPr>
        <w:t>.</w:t>
      </w:r>
    </w:p>
    <w:p w:rsidR="00315E4E" w:rsidRPr="00FB7D6B" w:rsidRDefault="00315E4E" w:rsidP="00FB7D6B">
      <w:pPr>
        <w:adjustRightInd w:val="0"/>
        <w:snapToGrid w:val="0"/>
        <w:spacing w:after="0" w:line="360" w:lineRule="auto"/>
        <w:jc w:val="both"/>
        <w:rPr>
          <w:rFonts w:ascii="Book Antiqua" w:hAnsi="Book Antiqua" w:cs="Arial"/>
          <w:b/>
          <w:sz w:val="24"/>
          <w:szCs w:val="24"/>
          <w:lang w:val="en-US"/>
        </w:rPr>
      </w:pPr>
    </w:p>
    <w:p w:rsidR="005B5C31" w:rsidRPr="00FB7D6B" w:rsidRDefault="00315E4E"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 xml:space="preserve">MATERIALS </w:t>
      </w:r>
      <w:r w:rsidR="000C7130" w:rsidRPr="00FB7D6B">
        <w:rPr>
          <w:rFonts w:ascii="Book Antiqua" w:hAnsi="Book Antiqua" w:cs="Arial"/>
          <w:b/>
          <w:sz w:val="24"/>
          <w:szCs w:val="24"/>
          <w:lang w:val="en-US"/>
        </w:rPr>
        <w:t xml:space="preserve">AND </w:t>
      </w:r>
      <w:r w:rsidR="00AC5EBD" w:rsidRPr="00FB7D6B">
        <w:rPr>
          <w:rFonts w:ascii="Book Antiqua" w:hAnsi="Book Antiqua" w:cs="Arial"/>
          <w:b/>
          <w:sz w:val="24"/>
          <w:szCs w:val="24"/>
          <w:lang w:val="en-US"/>
        </w:rPr>
        <w:t>M</w:t>
      </w:r>
      <w:r w:rsidR="00910342" w:rsidRPr="00FB7D6B">
        <w:rPr>
          <w:rFonts w:ascii="Book Antiqua" w:hAnsi="Book Antiqua" w:cs="Arial"/>
          <w:b/>
          <w:sz w:val="24"/>
          <w:szCs w:val="24"/>
          <w:lang w:val="en-US"/>
        </w:rPr>
        <w:t>ETHODS</w:t>
      </w:r>
    </w:p>
    <w:p w:rsidR="000C7130" w:rsidRPr="00FB7D6B" w:rsidRDefault="005820AF"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Patients’ characteristics</w:t>
      </w:r>
      <w:r w:rsidR="009A6AF5" w:rsidRPr="00FB7D6B">
        <w:rPr>
          <w:rFonts w:ascii="Book Antiqua" w:hAnsi="Book Antiqua" w:cs="Arial"/>
          <w:b/>
          <w:i/>
          <w:sz w:val="24"/>
          <w:szCs w:val="24"/>
          <w:lang w:val="en-US"/>
        </w:rPr>
        <w:t>, data collection</w:t>
      </w:r>
      <w:r w:rsidR="003E0D42">
        <w:rPr>
          <w:rFonts w:ascii="Book Antiqua" w:hAnsi="Book Antiqua" w:cs="Arial" w:hint="eastAsia"/>
          <w:b/>
          <w:i/>
          <w:sz w:val="24"/>
          <w:szCs w:val="24"/>
          <w:lang w:val="en-US" w:eastAsia="zh-CN"/>
        </w:rPr>
        <w:t xml:space="preserve"> </w:t>
      </w:r>
      <w:r w:rsidR="009A6AF5" w:rsidRPr="00FB7D6B">
        <w:rPr>
          <w:rFonts w:ascii="Book Antiqua" w:hAnsi="Book Antiqua" w:cs="Arial"/>
          <w:b/>
          <w:i/>
          <w:sz w:val="24"/>
          <w:szCs w:val="24"/>
          <w:lang w:val="en-US"/>
        </w:rPr>
        <w:t>and ethical considerations</w:t>
      </w:r>
    </w:p>
    <w:p w:rsidR="006F4B97" w:rsidRPr="00FB7D6B" w:rsidRDefault="002E72EF"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In t</w:t>
      </w:r>
      <w:r w:rsidR="00C166DE" w:rsidRPr="00FB7D6B">
        <w:rPr>
          <w:rFonts w:ascii="Book Antiqua" w:hAnsi="Book Antiqua" w:cs="Arial"/>
          <w:sz w:val="24"/>
          <w:szCs w:val="24"/>
          <w:lang w:val="en-US"/>
        </w:rPr>
        <w:t>his retrospective study between 01/2005 and 04/2017</w:t>
      </w:r>
      <w:r w:rsidRPr="00FB7D6B">
        <w:rPr>
          <w:rFonts w:ascii="Book Antiqua" w:hAnsi="Book Antiqua" w:cs="Arial"/>
          <w:sz w:val="24"/>
          <w:szCs w:val="24"/>
          <w:lang w:val="en-US"/>
        </w:rPr>
        <w:t xml:space="preserve">, </w:t>
      </w:r>
      <w:r w:rsidR="005820AF" w:rsidRPr="00FB7D6B">
        <w:rPr>
          <w:rFonts w:ascii="Book Antiqua" w:hAnsi="Book Antiqua" w:cs="Arial"/>
          <w:sz w:val="24"/>
          <w:szCs w:val="24"/>
          <w:lang w:val="en-US"/>
        </w:rPr>
        <w:t xml:space="preserve">a total of 565 </w:t>
      </w:r>
      <w:r w:rsidRPr="00FB7D6B">
        <w:rPr>
          <w:rFonts w:ascii="Book Antiqua" w:hAnsi="Book Antiqua" w:cs="Arial"/>
          <w:sz w:val="24"/>
          <w:szCs w:val="24"/>
          <w:lang w:val="en-US"/>
        </w:rPr>
        <w:t xml:space="preserve">patients with </w:t>
      </w:r>
      <w:r w:rsidR="00C166DE" w:rsidRPr="00FB7D6B">
        <w:rPr>
          <w:rFonts w:ascii="Book Antiqua" w:hAnsi="Book Antiqua" w:cs="Arial"/>
          <w:sz w:val="24"/>
          <w:szCs w:val="24"/>
          <w:lang w:val="en-US"/>
        </w:rPr>
        <w:t xml:space="preserve">histologically-proven </w:t>
      </w:r>
      <w:r w:rsidRPr="00FB7D6B">
        <w:rPr>
          <w:rFonts w:ascii="Book Antiqua" w:hAnsi="Book Antiqua" w:cs="Arial"/>
          <w:sz w:val="24"/>
          <w:szCs w:val="24"/>
          <w:lang w:val="en-US"/>
        </w:rPr>
        <w:t xml:space="preserve">AIH were analyzed, from whom 52 </w:t>
      </w:r>
      <w:r w:rsidR="005820AF" w:rsidRPr="00FB7D6B">
        <w:rPr>
          <w:rFonts w:ascii="Book Antiqua" w:hAnsi="Book Antiqua" w:cs="Arial"/>
          <w:sz w:val="24"/>
          <w:szCs w:val="24"/>
          <w:lang w:val="en-US"/>
        </w:rPr>
        <w:t xml:space="preserve">previously healthy </w:t>
      </w:r>
      <w:r w:rsidR="00737065" w:rsidRPr="00FB7D6B">
        <w:rPr>
          <w:rFonts w:ascii="Book Antiqua" w:hAnsi="Book Antiqua" w:cs="Arial"/>
          <w:sz w:val="24"/>
          <w:szCs w:val="24"/>
          <w:lang w:val="en-US"/>
        </w:rPr>
        <w:t xml:space="preserve">patients suffered from </w:t>
      </w:r>
      <w:r w:rsidRPr="00FB7D6B">
        <w:rPr>
          <w:rFonts w:ascii="Book Antiqua" w:hAnsi="Book Antiqua" w:cs="Arial"/>
          <w:sz w:val="24"/>
          <w:szCs w:val="24"/>
          <w:lang w:val="en-US"/>
        </w:rPr>
        <w:t xml:space="preserve">ALF as </w:t>
      </w:r>
      <w:r w:rsidR="00737065" w:rsidRPr="00FB7D6B">
        <w:rPr>
          <w:rFonts w:ascii="Book Antiqua" w:hAnsi="Book Antiqua" w:cs="Arial"/>
          <w:sz w:val="24"/>
          <w:szCs w:val="24"/>
          <w:lang w:val="en-US"/>
        </w:rPr>
        <w:t>the</w:t>
      </w:r>
      <w:r w:rsidR="00813343" w:rsidRPr="00FB7D6B">
        <w:rPr>
          <w:rFonts w:ascii="Book Antiqua" w:hAnsi="Book Antiqua" w:cs="Arial"/>
          <w:sz w:val="24"/>
          <w:szCs w:val="24"/>
          <w:lang w:val="en-US"/>
        </w:rPr>
        <w:t>ir</w:t>
      </w:r>
      <w:r w:rsidR="00737065" w:rsidRPr="00FB7D6B">
        <w:rPr>
          <w:rFonts w:ascii="Book Antiqua" w:hAnsi="Book Antiqua" w:cs="Arial"/>
          <w:sz w:val="24"/>
          <w:szCs w:val="24"/>
          <w:lang w:val="en-US"/>
        </w:rPr>
        <w:t xml:space="preserve"> </w:t>
      </w:r>
      <w:r w:rsidRPr="00FB7D6B">
        <w:rPr>
          <w:rFonts w:ascii="Book Antiqua" w:hAnsi="Book Antiqua" w:cs="Arial"/>
          <w:sz w:val="24"/>
          <w:szCs w:val="24"/>
          <w:lang w:val="en-US"/>
        </w:rPr>
        <w:t>initial presentation</w:t>
      </w:r>
      <w:r w:rsidR="00737065" w:rsidRPr="00FB7D6B">
        <w:rPr>
          <w:rFonts w:ascii="Book Antiqua" w:hAnsi="Book Antiqua" w:cs="Arial"/>
          <w:sz w:val="24"/>
          <w:szCs w:val="24"/>
          <w:lang w:val="en-US"/>
        </w:rPr>
        <w:t xml:space="preserve"> of autoimmune hepatitis</w:t>
      </w:r>
      <w:r w:rsidRPr="00FB7D6B">
        <w:rPr>
          <w:rFonts w:ascii="Book Antiqua" w:hAnsi="Book Antiqua" w:cs="Arial"/>
          <w:sz w:val="24"/>
          <w:szCs w:val="24"/>
          <w:lang w:val="en-US"/>
        </w:rPr>
        <w:t xml:space="preserve">. According to the criteria defined by the </w:t>
      </w:r>
      <w:r w:rsidR="003A5A86" w:rsidRPr="00FB7D6B">
        <w:rPr>
          <w:rFonts w:ascii="Book Antiqua" w:hAnsi="Book Antiqua" w:cs="Arial"/>
          <w:sz w:val="24"/>
          <w:szCs w:val="24"/>
          <w:lang w:val="en-US"/>
        </w:rPr>
        <w:t>“American Association for the Study of the Liver (AASLD)”</w:t>
      </w:r>
      <w:r w:rsidRPr="00FB7D6B">
        <w:rPr>
          <w:rFonts w:ascii="Book Antiqua" w:hAnsi="Book Antiqua" w:cs="Arial"/>
          <w:sz w:val="24"/>
          <w:szCs w:val="24"/>
          <w:lang w:val="en-US"/>
        </w:rPr>
        <w:t xml:space="preserve">, ALF was diagnosed by elevation of liver enzymes in combination with hepatic encephalopathy </w:t>
      </w:r>
      <w:r w:rsidR="00315E4E" w:rsidRPr="00FB7D6B">
        <w:rPr>
          <w:rFonts w:ascii="Book Antiqua" w:hAnsi="Book Antiqua" w:cs="Arial"/>
          <w:sz w:val="24"/>
          <w:szCs w:val="24"/>
          <w:lang w:val="en-US"/>
        </w:rPr>
        <w:t xml:space="preserve">(HE) </w:t>
      </w:r>
      <w:r w:rsidRPr="00FB7D6B">
        <w:rPr>
          <w:rFonts w:ascii="Book Antiqua" w:hAnsi="Book Antiqua" w:cs="Arial"/>
          <w:sz w:val="24"/>
          <w:szCs w:val="24"/>
          <w:lang w:val="en-US"/>
        </w:rPr>
        <w:t xml:space="preserve">and coagulopathy (INR &gt; 1.5) in </w:t>
      </w:r>
      <w:r w:rsidR="00737065" w:rsidRPr="00FB7D6B">
        <w:rPr>
          <w:rFonts w:ascii="Book Antiqua" w:hAnsi="Book Antiqua" w:cs="Arial"/>
          <w:sz w:val="24"/>
          <w:szCs w:val="24"/>
          <w:lang w:val="en-US"/>
        </w:rPr>
        <w:t xml:space="preserve">the </w:t>
      </w:r>
      <w:r w:rsidRPr="00FB7D6B">
        <w:rPr>
          <w:rFonts w:ascii="Book Antiqua" w:hAnsi="Book Antiqua" w:cs="Arial"/>
          <w:sz w:val="24"/>
          <w:szCs w:val="24"/>
          <w:lang w:val="en-US"/>
        </w:rPr>
        <w:t>absence of a pre-existing chronic liver disease</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{"citationID":"J0PHYEBE","properties":{"formattedCitation":"{\\rtf \\super [14]\\nosupersub{}}","plainCitation":"[14]"},"citationItems":[{"id":540,"uris":["http://zotero.org/users/local/Cz1JGnYD/items/92XJHHCN"],"uri":["http://zotero.org/users/local/Cz1JGnYD/items/92XJHHCN"],"itemData":{"id":540,"type":"article-journal","title":"AASLD position paper: the management of acute liver failure","container-title":"Hepatology (Baltimore, Md.)","page":"1179-1197","volume":"41","issue":"5","source":"PubMed","DOI":"10.1002/hep.20703","ISSN":"0270-9139","note":"PMID: 15841455","shortTitle":"AASLD position paper","journalAbbreviation":"Hepatology","language":"eng","author":[{"family":"Polson","given":"Julie"},{"family":"Lee","given":"William M."},{"literal":"American Association for the Study of Liver Disease"}],"issued":{"date-parts":[["2005",5]]},"PMID":"15841455"}}],"schema":"https://github.com/citation-style-language/schema/raw/master/csl-citation.json"}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[14]</w:t>
      </w:r>
      <w:r w:rsidR="00CA4090" w:rsidRPr="00FB7D6B">
        <w:rPr>
          <w:rFonts w:ascii="Book Antiqua" w:hAnsi="Book Antiqua" w:cs="Arial"/>
          <w:sz w:val="24"/>
          <w:szCs w:val="24"/>
          <w:vertAlign w:val="superscript"/>
          <w:lang w:val="en-US"/>
        </w:rPr>
        <w:fldChar w:fldCharType="end"/>
      </w:r>
      <w:r w:rsidRPr="00FB7D6B">
        <w:rPr>
          <w:rFonts w:ascii="Book Antiqua" w:hAnsi="Book Antiqua" w:cs="Arial"/>
          <w:sz w:val="24"/>
          <w:szCs w:val="24"/>
          <w:lang w:val="en-US"/>
        </w:rPr>
        <w:t xml:space="preserve">. </w:t>
      </w:r>
      <w:r w:rsidR="00DC3BDB" w:rsidRPr="00FB7D6B">
        <w:rPr>
          <w:rFonts w:ascii="Book Antiqua" w:hAnsi="Book Antiqua" w:cs="Arial"/>
          <w:sz w:val="24"/>
          <w:szCs w:val="24"/>
          <w:lang w:val="en-US"/>
        </w:rPr>
        <w:t>AIH was diagnosed according to the “Diagnostic Scoring System of the International Autoimmun</w:t>
      </w:r>
      <w:r w:rsidR="00187C2A" w:rsidRPr="00FB7D6B">
        <w:rPr>
          <w:rFonts w:ascii="Book Antiqua" w:hAnsi="Book Antiqua" w:cs="Arial"/>
          <w:sz w:val="24"/>
          <w:szCs w:val="24"/>
          <w:lang w:val="en-US"/>
        </w:rPr>
        <w:t>e Hepatitis Group” including</w:t>
      </w:r>
      <w:r w:rsidR="00DC3BDB" w:rsidRPr="00FB7D6B">
        <w:rPr>
          <w:rFonts w:ascii="Book Antiqua" w:hAnsi="Book Antiqua" w:cs="Arial"/>
          <w:sz w:val="24"/>
          <w:szCs w:val="24"/>
          <w:lang w:val="en-US"/>
        </w:rPr>
        <w:t xml:space="preserve"> analysis of auto</w:t>
      </w:r>
      <w:r w:rsidR="00737065" w:rsidRPr="00FB7D6B">
        <w:rPr>
          <w:rFonts w:ascii="Book Antiqua" w:hAnsi="Book Antiqua" w:cs="Arial"/>
          <w:sz w:val="24"/>
          <w:szCs w:val="24"/>
          <w:lang w:val="en-US"/>
        </w:rPr>
        <w:t>-</w:t>
      </w:r>
      <w:r w:rsidR="005820AF" w:rsidRPr="00FB7D6B">
        <w:rPr>
          <w:rFonts w:ascii="Book Antiqua" w:hAnsi="Book Antiqua" w:cs="Arial"/>
          <w:sz w:val="24"/>
          <w:szCs w:val="24"/>
          <w:lang w:val="en-US"/>
        </w:rPr>
        <w:t>antibodies, IgG-levels, histological feature</w:t>
      </w:r>
      <w:r w:rsidR="00DC3BDB" w:rsidRPr="00FB7D6B">
        <w:rPr>
          <w:rFonts w:ascii="Book Antiqua" w:hAnsi="Book Antiqua" w:cs="Arial"/>
          <w:sz w:val="24"/>
          <w:szCs w:val="24"/>
          <w:lang w:val="en-US"/>
        </w:rPr>
        <w:t>s</w:t>
      </w:r>
      <w:r w:rsidR="00737065" w:rsidRPr="00FB7D6B">
        <w:rPr>
          <w:rFonts w:ascii="Book Antiqua" w:hAnsi="Book Antiqua" w:cs="Arial"/>
          <w:sz w:val="24"/>
          <w:szCs w:val="24"/>
          <w:lang w:val="en-US"/>
        </w:rPr>
        <w:t>,</w:t>
      </w:r>
      <w:r w:rsidR="00DC3BDB" w:rsidRPr="00FB7D6B">
        <w:rPr>
          <w:rFonts w:ascii="Book Antiqua" w:hAnsi="Book Antiqua" w:cs="Arial"/>
          <w:sz w:val="24"/>
          <w:szCs w:val="24"/>
          <w:lang w:val="en-US"/>
        </w:rPr>
        <w:t xml:space="preserve"> and </w:t>
      </w:r>
      <w:r w:rsidR="005820AF" w:rsidRPr="00FB7D6B">
        <w:rPr>
          <w:rFonts w:ascii="Book Antiqua" w:hAnsi="Book Antiqua" w:cs="Arial"/>
          <w:sz w:val="24"/>
          <w:szCs w:val="24"/>
          <w:lang w:val="en-US"/>
        </w:rPr>
        <w:t xml:space="preserve">exclusion of </w:t>
      </w:r>
      <w:r w:rsidR="00DC3BDB" w:rsidRPr="00FB7D6B">
        <w:rPr>
          <w:rFonts w:ascii="Book Antiqua" w:hAnsi="Book Antiqua" w:cs="Arial"/>
          <w:sz w:val="24"/>
          <w:szCs w:val="24"/>
          <w:lang w:val="en-US"/>
        </w:rPr>
        <w:t>viral markers</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{"citationID":"fetomuekf","properties":{"formattedCitation":"{\\rtf \\super [18,19]\\nosupersub{}}","plainCitation":"[18,19]"},"citationItems":[{"id":548,"uris":["http://zotero.org/users/local/Cz1JGnYD/items/KNKEPHIA"],"uri":["http://zotero.org/users/local/Cz1JGnYD/items/KNKEPHIA"],"itemData":{"id":548,"type":"article-journal","title":"Performance parameters of the diagnostic scoring systems for autoimmune hepatitis","container-title":"Hepatology (Baltimore, Md.)","page":"1540-1548","volume":"48","issue":"5","source":"PubMed","abstract":"The diagnostic criteria for autoimmune hepatitis (AIH) have been codified by an international panel, and a revision of the original scoring system based on 12 clinical components has been promulgated. A simplified scoring system has been proposed recently that is based on four clinical components. The goals of this study were to compare the performance parameters of the revised original and the simplified scoring systems and to determine the prowess of each as a diagnostic instrument. Diagnostic scores were determined using each scoring system in 435 patients with diverse chronic liver diseases, including 153 individuals with AIH by codified clinical criteria. The sensitivity, specificity, and predictability of each scoring system for the pretreatment diagnosis of AIH were determined. The revised original scoring system had greater sensitivity for the diagnosis than the simplified scoring system (100% versus 95%), and seven patients diagnosed as AIH using the revised original system were nondiagnostic by the simplified system (5%). The revised original scoring system also ascribed a diagnosis of AIH to 20 of 21 patients with cryptogenic chronic hepatitis, whereas only five patients were similarly classified by the simplified system (95% versus 24%). The simplified system had greater specificity (90% versus 73%) and predictability (92% versus 82%) for AIH than the revised original system, and it more commonly excluded the diagnosis in other diseases with concurrent immune features (83% versus 64%).\nCONCLUSION: The revised original scoring system performs better in patients with few or atypical features of AIH, and the simplified system is better at excluding the diagnosis in diseases with concurrent immune manifestations. Each system has attributes that can be exploited.","DOI":"10.1002/hep.22513","ISSN":"1527-3350","note":"PMID: 18924244","journalAbbreviation":"Hepatology","language":"eng","author":[{"family":"Czaja","given":"Albert J."}],"issued":{"date-parts":[["2008",11]]},"PMID":"18924244"},"label":"page"},{"id":550,"uris":["http://zotero.org/users/local/Cz1JGnYD/items/EZJKXZGN"],"uri":["http://zotero.org/users/local/Cz1JGnYD/items/EZJKXZGN"],"itemData":{"id":550,"type":"article-journal","title":"Simplified criteria for the diagnosis of autoimmune hepatitis","container-title":"Hepatology (Baltimore, Md.)","page":"169-176","volume":"48","issue":"1","source":"PubMed","abstract":"Diagnosis of autoimmune hepatitis (AIH) may be challenging. However, early diagnosis is important because immunosuppression is life-saving. Diagnostic criteria of the International Autoimmune Hepatitis Group (IAIHG) were complex and purely meant for scientific purposes. This study of the IAIHG aims to define simplified diagnostic criteria for routine clinical practice. Candidate criteria included sex, age, autoantibodies, immunoglobulins, absence of viral hepatitis, and histology. The training set included 250 AIH patients and 193 controls from 11 centers worldwide. Scores were built from variables showing predictive ability in univariate analysis. Diagnostic value of each score was assessed by the area under the receiver operating characteristic (ROC) curve. The best score was validated using data of an additional 109 AIH patients and 284 controls. This score included autoantibodies, immunoglobulin G, histology, and exclusion of viral hepatitis. The area under the curve for prediction of AIH was 0.946 in the training set and 0.91 in the validation set. Based on the ROC curves, two cutoff points were chosen. The score was found to have 88% sensitivity and 97% specificity (cutoff &gt; or =6) and 81% sensitivity and 99% specificity (cutoff &gt; or =7) in the validation set.\nCONCLUSION: A reliable diagnosis of AIH can be made using a very simple diagnostic score. We propose the diagnosis of probable AIH at a cutoff point greater than 6 points and definite AIH 7 points or higher.","DOI":"10.1002/hep.22322","ISSN":"1527-3350","note":"PMID: 18537184","journalAbbreviation":"Hepatology","language":"eng","author":[{"family":"Hennes","given":"Elke M."},{"family":"Zeniya","given":"Mikio"},{"family":"Czaja","given":"Albert J."},{"family":"Parés","given":"Albert"},{"family":"Dalekos","given":"George N."},{"family":"Krawitt","given":"Edward L."},{"family":"Bittencourt","given":"Paulo L."},{"family":"Porta","given":"Gilda"},{"family":"Boberg","given":"Kirsten M."},{"family":"Hofer","given":"Harald"},{"family":"Bianchi","given":"Francesco B."},{"family":"Shibata","given":"Minoru"},{"family":"Schramm","given":"Christoph"},{"family":"Eisenmann de Torres","given":"Barbara"},{"family":"Galle","given":"Peter R."},{"family":"McFarlane","given":"Ian"},{"family":"Dienes","given":"Hans-Peter"},{"family":"Lohse","given":"Ansgar W."},{"literal":"International Autoimmune Hepatitis Group"}],"issued":{"date-parts":[["2008",7]]},"PMID":"18537184"},"label":"page"}],"schema":"https://github.com/citation-style-language/schema/raw/master/csl-citation.json"}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[18,19]</w:t>
      </w:r>
      <w:r w:rsidR="00CA4090" w:rsidRPr="00FB7D6B">
        <w:rPr>
          <w:rFonts w:ascii="Book Antiqua" w:hAnsi="Book Antiqua" w:cs="Arial"/>
          <w:sz w:val="24"/>
          <w:szCs w:val="24"/>
          <w:vertAlign w:val="superscript"/>
          <w:lang w:val="en-US"/>
        </w:rPr>
        <w:fldChar w:fldCharType="end"/>
      </w:r>
      <w:r w:rsidR="00DC3BDB" w:rsidRPr="00FB7D6B">
        <w:rPr>
          <w:rFonts w:ascii="Book Antiqua" w:hAnsi="Book Antiqua" w:cs="Arial"/>
          <w:sz w:val="24"/>
          <w:szCs w:val="24"/>
          <w:lang w:val="en-US"/>
        </w:rPr>
        <w:t xml:space="preserve">. </w:t>
      </w:r>
      <w:r w:rsidR="006C4E37" w:rsidRPr="00FB7D6B">
        <w:rPr>
          <w:rFonts w:ascii="Book Antiqua" w:hAnsi="Book Antiqua" w:cs="Arial"/>
          <w:sz w:val="24"/>
          <w:szCs w:val="24"/>
          <w:lang w:val="en-US"/>
        </w:rPr>
        <w:t xml:space="preserve">Liver histology was available for </w:t>
      </w:r>
      <w:r w:rsidR="005820AF" w:rsidRPr="00FB7D6B">
        <w:rPr>
          <w:rFonts w:ascii="Book Antiqua" w:hAnsi="Book Antiqua" w:cs="Arial"/>
          <w:sz w:val="24"/>
          <w:szCs w:val="24"/>
          <w:lang w:val="en-US"/>
        </w:rPr>
        <w:t xml:space="preserve">the whole study population </w:t>
      </w:r>
      <w:r w:rsidR="006C4E37" w:rsidRPr="00FB7D6B">
        <w:rPr>
          <w:rFonts w:ascii="Book Antiqua" w:hAnsi="Book Antiqua" w:cs="Arial"/>
          <w:sz w:val="24"/>
          <w:szCs w:val="24"/>
          <w:lang w:val="en-US"/>
        </w:rPr>
        <w:t>and was obtained</w:t>
      </w:r>
      <w:r w:rsidR="00737065" w:rsidRPr="00FB7D6B">
        <w:rPr>
          <w:rFonts w:ascii="Book Antiqua" w:hAnsi="Book Antiqua" w:cs="Arial"/>
          <w:sz w:val="24"/>
          <w:szCs w:val="24"/>
          <w:lang w:val="en-US"/>
        </w:rPr>
        <w:t xml:space="preserve"> either by percutaneous- or </w:t>
      </w:r>
      <w:r w:rsidR="006C4E37" w:rsidRPr="00FB7D6B">
        <w:rPr>
          <w:rFonts w:ascii="Book Antiqua" w:hAnsi="Book Antiqua" w:cs="Arial"/>
          <w:sz w:val="24"/>
          <w:szCs w:val="24"/>
          <w:lang w:val="en-US"/>
        </w:rPr>
        <w:t>laparoscopy-guided biopsy</w:t>
      </w:r>
      <w:r w:rsidR="009A17A2" w:rsidRPr="00FB7D6B">
        <w:rPr>
          <w:rFonts w:ascii="Book Antiqua" w:hAnsi="Book Antiqua" w:cs="Arial"/>
          <w:sz w:val="24"/>
          <w:szCs w:val="24"/>
          <w:lang w:val="en-US"/>
        </w:rPr>
        <w:t xml:space="preserve"> (Figure 1</w:t>
      </w:r>
      <w:r w:rsidR="005820AF" w:rsidRPr="00FB7D6B">
        <w:rPr>
          <w:rFonts w:ascii="Book Antiqua" w:hAnsi="Book Antiqua" w:cs="Arial"/>
          <w:sz w:val="24"/>
          <w:szCs w:val="24"/>
          <w:lang w:val="en-US"/>
        </w:rPr>
        <w:t xml:space="preserve">A </w:t>
      </w:r>
      <w:r w:rsidR="00F43308" w:rsidRPr="00FB7D6B">
        <w:rPr>
          <w:rFonts w:ascii="Book Antiqua" w:hAnsi="Book Antiqua" w:cs="Arial"/>
          <w:sz w:val="24"/>
          <w:szCs w:val="24"/>
          <w:lang w:val="en-US"/>
        </w:rPr>
        <w:t xml:space="preserve">and </w:t>
      </w:r>
      <w:r w:rsidR="005820AF" w:rsidRPr="00FB7D6B">
        <w:rPr>
          <w:rFonts w:ascii="Book Antiqua" w:hAnsi="Book Antiqua" w:cs="Arial"/>
          <w:sz w:val="24"/>
          <w:szCs w:val="24"/>
          <w:lang w:val="en-US"/>
        </w:rPr>
        <w:t>B</w:t>
      </w:r>
      <w:r w:rsidR="009A17A2" w:rsidRPr="00FB7D6B">
        <w:rPr>
          <w:rFonts w:ascii="Book Antiqua" w:hAnsi="Book Antiqua" w:cs="Arial"/>
          <w:sz w:val="24"/>
          <w:szCs w:val="24"/>
          <w:lang w:val="en-US"/>
        </w:rPr>
        <w:t>)</w:t>
      </w:r>
      <w:r w:rsidR="006C4E37" w:rsidRPr="00FB7D6B">
        <w:rPr>
          <w:rFonts w:ascii="Book Antiqua" w:hAnsi="Book Antiqua" w:cs="Arial"/>
          <w:sz w:val="24"/>
          <w:szCs w:val="24"/>
          <w:lang w:val="en-US"/>
        </w:rPr>
        <w:t xml:space="preserve">. </w:t>
      </w:r>
      <w:r w:rsidR="009F2E13" w:rsidRPr="00FB7D6B">
        <w:rPr>
          <w:rFonts w:ascii="Book Antiqua" w:hAnsi="Book Antiqua" w:cs="Arial"/>
          <w:sz w:val="24"/>
          <w:szCs w:val="24"/>
          <w:lang w:val="en-US"/>
        </w:rPr>
        <w:t xml:space="preserve">Only adult patients </w:t>
      </w:r>
      <w:r w:rsidR="005820AF" w:rsidRPr="00FB7D6B">
        <w:rPr>
          <w:rFonts w:ascii="Book Antiqua" w:hAnsi="Book Antiqua" w:cs="Arial"/>
          <w:sz w:val="24"/>
          <w:szCs w:val="24"/>
          <w:lang w:val="en-US"/>
        </w:rPr>
        <w:t xml:space="preserve">(age ≥ 18 years) </w:t>
      </w:r>
      <w:r w:rsidR="009F2E13" w:rsidRPr="00FB7D6B">
        <w:rPr>
          <w:rFonts w:ascii="Book Antiqua" w:hAnsi="Book Antiqua" w:cs="Arial"/>
          <w:sz w:val="24"/>
          <w:szCs w:val="24"/>
          <w:lang w:val="en-US"/>
        </w:rPr>
        <w:t>were included in the study</w:t>
      </w:r>
      <w:r w:rsidR="005820AF" w:rsidRPr="00FB7D6B">
        <w:rPr>
          <w:rFonts w:ascii="Book Antiqua" w:hAnsi="Book Antiqua" w:cs="Arial"/>
          <w:sz w:val="24"/>
          <w:szCs w:val="24"/>
          <w:lang w:val="en-US"/>
        </w:rPr>
        <w:t>.</w:t>
      </w:r>
      <w:r w:rsidR="009F2E13" w:rsidRPr="00FB7D6B">
        <w:rPr>
          <w:rFonts w:ascii="Book Antiqua" w:hAnsi="Book Antiqua" w:cs="Arial"/>
          <w:sz w:val="24"/>
          <w:szCs w:val="24"/>
          <w:lang w:val="en-US"/>
        </w:rPr>
        <w:t xml:space="preserve"> </w:t>
      </w:r>
      <w:r w:rsidR="005820AF" w:rsidRPr="00FB7D6B">
        <w:rPr>
          <w:rFonts w:ascii="Book Antiqua" w:hAnsi="Book Antiqua" w:cs="Arial"/>
          <w:sz w:val="24"/>
          <w:szCs w:val="24"/>
          <w:lang w:val="en-US"/>
        </w:rPr>
        <w:t>The University Clinic</w:t>
      </w:r>
      <w:r w:rsidR="006F4B97" w:rsidRPr="00FB7D6B">
        <w:rPr>
          <w:rFonts w:ascii="Book Antiqua" w:hAnsi="Book Antiqua" w:cs="Arial"/>
          <w:sz w:val="24"/>
          <w:szCs w:val="24"/>
          <w:lang w:val="en-US"/>
        </w:rPr>
        <w:t xml:space="preserve"> </w:t>
      </w:r>
      <w:r w:rsidR="00E8795A" w:rsidRPr="00FB7D6B">
        <w:rPr>
          <w:rFonts w:ascii="Book Antiqua" w:hAnsi="Book Antiqua" w:cs="Arial"/>
          <w:sz w:val="24"/>
          <w:szCs w:val="24"/>
          <w:lang w:val="en-US"/>
        </w:rPr>
        <w:t xml:space="preserve">of </w:t>
      </w:r>
      <w:r w:rsidR="006F4B97" w:rsidRPr="00FB7D6B">
        <w:rPr>
          <w:rFonts w:ascii="Book Antiqua" w:hAnsi="Book Antiqua" w:cs="Arial"/>
          <w:sz w:val="24"/>
          <w:szCs w:val="24"/>
          <w:lang w:val="en-US"/>
        </w:rPr>
        <w:t xml:space="preserve">Essen ethics committee approved the retrospective, anonymous analysis of </w:t>
      </w:r>
      <w:r w:rsidR="00737065" w:rsidRPr="00FB7D6B">
        <w:rPr>
          <w:rFonts w:ascii="Book Antiqua" w:hAnsi="Book Antiqua" w:cs="Arial"/>
          <w:sz w:val="24"/>
          <w:szCs w:val="24"/>
          <w:lang w:val="en-US"/>
        </w:rPr>
        <w:t xml:space="preserve">the data and the study was </w:t>
      </w:r>
      <w:r w:rsidR="006F4B97" w:rsidRPr="00FB7D6B">
        <w:rPr>
          <w:rFonts w:ascii="Book Antiqua" w:hAnsi="Book Antiqua" w:cs="Arial"/>
          <w:sz w:val="24"/>
          <w:szCs w:val="24"/>
          <w:lang w:val="en-US"/>
        </w:rPr>
        <w:t xml:space="preserve">conducted according to the principles expressed in the Declaration of Helsinki. </w:t>
      </w:r>
      <w:r w:rsidR="00737065" w:rsidRPr="00FB7D6B">
        <w:rPr>
          <w:rFonts w:ascii="Book Antiqua" w:hAnsi="Book Antiqua" w:cs="Arial"/>
          <w:sz w:val="24"/>
          <w:szCs w:val="24"/>
          <w:lang w:val="en-US"/>
        </w:rPr>
        <w:t>All patients gave their written informed consent prior to study inclusion.</w:t>
      </w:r>
    </w:p>
    <w:p w:rsidR="009A6AF5" w:rsidRPr="00FB7D6B" w:rsidRDefault="009A6AF5"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lastRenderedPageBreak/>
        <w:t>Laboratory parameters</w:t>
      </w:r>
    </w:p>
    <w:p w:rsidR="006F4B97" w:rsidRPr="00FB7D6B" w:rsidRDefault="00737065"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At i</w:t>
      </w:r>
      <w:r w:rsidR="0019498F" w:rsidRPr="00FB7D6B">
        <w:rPr>
          <w:rFonts w:ascii="Book Antiqua" w:hAnsi="Book Antiqua" w:cs="Arial"/>
          <w:sz w:val="24"/>
          <w:szCs w:val="24"/>
          <w:lang w:val="en-US"/>
        </w:rPr>
        <w:t xml:space="preserve">nitial </w:t>
      </w:r>
      <w:r w:rsidRPr="00FB7D6B">
        <w:rPr>
          <w:rFonts w:ascii="Book Antiqua" w:hAnsi="Book Antiqua" w:cs="Arial"/>
          <w:sz w:val="24"/>
          <w:szCs w:val="24"/>
          <w:lang w:val="en-US"/>
        </w:rPr>
        <w:t xml:space="preserve">presentation, </w:t>
      </w:r>
      <w:r w:rsidR="0019498F" w:rsidRPr="00FB7D6B">
        <w:rPr>
          <w:rFonts w:ascii="Book Antiqua" w:hAnsi="Book Antiqua" w:cs="Arial"/>
          <w:sz w:val="24"/>
          <w:szCs w:val="24"/>
          <w:lang w:val="en-US"/>
        </w:rPr>
        <w:t>a</w:t>
      </w:r>
      <w:r w:rsidR="006F4B97" w:rsidRPr="00FB7D6B">
        <w:rPr>
          <w:rFonts w:ascii="Book Antiqua" w:hAnsi="Book Antiqua" w:cs="Arial"/>
          <w:sz w:val="24"/>
          <w:szCs w:val="24"/>
          <w:lang w:val="en-US"/>
        </w:rPr>
        <w:t>lanin</w:t>
      </w:r>
      <w:r w:rsidR="00E874AC" w:rsidRPr="00FB7D6B">
        <w:rPr>
          <w:rFonts w:ascii="Book Antiqua" w:hAnsi="Book Antiqua" w:cs="Arial"/>
          <w:sz w:val="24"/>
          <w:szCs w:val="24"/>
          <w:lang w:val="en-US"/>
        </w:rPr>
        <w:t>e</w:t>
      </w:r>
      <w:r w:rsidR="006F4B97" w:rsidRPr="00FB7D6B">
        <w:rPr>
          <w:rFonts w:ascii="Book Antiqua" w:hAnsi="Book Antiqua" w:cs="Arial"/>
          <w:sz w:val="24"/>
          <w:szCs w:val="24"/>
          <w:lang w:val="en-US"/>
        </w:rPr>
        <w:t xml:space="preserve">-aminotransferase (ALT), total bilirubin, </w:t>
      </w:r>
      <w:r w:rsidRPr="00FB7D6B">
        <w:rPr>
          <w:rFonts w:ascii="Book Antiqua" w:hAnsi="Book Antiqua" w:cs="Arial"/>
          <w:sz w:val="24"/>
          <w:szCs w:val="24"/>
          <w:lang w:val="en-US"/>
        </w:rPr>
        <w:t xml:space="preserve">serum </w:t>
      </w:r>
      <w:r w:rsidR="006F4B97" w:rsidRPr="00FB7D6B">
        <w:rPr>
          <w:rFonts w:ascii="Book Antiqua" w:hAnsi="Book Antiqua" w:cs="Arial"/>
          <w:sz w:val="24"/>
          <w:szCs w:val="24"/>
          <w:lang w:val="en-US"/>
        </w:rPr>
        <w:t xml:space="preserve">creatinine, </w:t>
      </w:r>
      <w:r w:rsidR="004474D4" w:rsidRPr="00FB7D6B">
        <w:rPr>
          <w:rFonts w:ascii="Book Antiqua" w:hAnsi="Book Antiqua" w:cs="Arial"/>
          <w:sz w:val="24"/>
          <w:szCs w:val="24"/>
          <w:lang w:val="en-US"/>
        </w:rPr>
        <w:t xml:space="preserve">INR, </w:t>
      </w:r>
      <w:r w:rsidR="0019498F" w:rsidRPr="00FB7D6B">
        <w:rPr>
          <w:rFonts w:ascii="Book Antiqua" w:hAnsi="Book Antiqua" w:cs="Arial"/>
          <w:sz w:val="24"/>
          <w:szCs w:val="24"/>
          <w:lang w:val="en-US"/>
        </w:rPr>
        <w:t>IgG</w:t>
      </w:r>
      <w:r w:rsidR="0046055B" w:rsidRPr="00FB7D6B">
        <w:rPr>
          <w:rFonts w:ascii="Book Antiqua" w:hAnsi="Book Antiqua" w:cs="Arial"/>
          <w:sz w:val="24"/>
          <w:szCs w:val="24"/>
          <w:lang w:val="en-US"/>
        </w:rPr>
        <w:t xml:space="preserve">, IgM, </w:t>
      </w:r>
      <w:r w:rsidR="004474D4" w:rsidRPr="00FB7D6B">
        <w:rPr>
          <w:rFonts w:ascii="Times New Roman" w:hAnsi="Times New Roman"/>
          <w:sz w:val="24"/>
          <w:szCs w:val="24"/>
          <w:lang w:val="en-US"/>
        </w:rPr>
        <w:t>ɣ</w:t>
      </w:r>
      <w:r w:rsidRPr="00FB7D6B">
        <w:rPr>
          <w:rFonts w:ascii="Book Antiqua" w:hAnsi="Book Antiqua" w:cs="Arial"/>
          <w:sz w:val="24"/>
          <w:szCs w:val="24"/>
          <w:lang w:val="en-US"/>
        </w:rPr>
        <w:t>-</w:t>
      </w:r>
      <w:r w:rsidR="0046055B" w:rsidRPr="00FB7D6B">
        <w:rPr>
          <w:rFonts w:ascii="Book Antiqua" w:hAnsi="Book Antiqua" w:cs="Arial"/>
          <w:sz w:val="24"/>
          <w:szCs w:val="24"/>
          <w:lang w:val="en-US"/>
        </w:rPr>
        <w:t>globulins</w:t>
      </w:r>
      <w:r w:rsidRPr="00FB7D6B">
        <w:rPr>
          <w:rFonts w:ascii="Book Antiqua" w:hAnsi="Book Antiqua" w:cs="Arial"/>
          <w:sz w:val="24"/>
          <w:szCs w:val="24"/>
          <w:lang w:val="en-US"/>
        </w:rPr>
        <w:t xml:space="preserve">, antibody profile (ANA, AMA, ANCA, SMA, LKM, SLA), </w:t>
      </w:r>
      <w:r w:rsidR="0019498F" w:rsidRPr="00FB7D6B">
        <w:rPr>
          <w:rFonts w:ascii="Book Antiqua" w:hAnsi="Book Antiqua" w:cs="Arial"/>
          <w:sz w:val="24"/>
          <w:szCs w:val="24"/>
          <w:lang w:val="en-US"/>
        </w:rPr>
        <w:t xml:space="preserve">and </w:t>
      </w:r>
      <w:r w:rsidRPr="00FB7D6B">
        <w:rPr>
          <w:rFonts w:ascii="Book Antiqua" w:hAnsi="Book Antiqua" w:cs="Arial"/>
          <w:sz w:val="24"/>
          <w:szCs w:val="24"/>
          <w:lang w:val="en-US"/>
        </w:rPr>
        <w:t>finally, HLA-</w:t>
      </w:r>
      <w:r w:rsidR="0019498F" w:rsidRPr="00FB7D6B">
        <w:rPr>
          <w:rFonts w:ascii="Book Antiqua" w:hAnsi="Book Antiqua" w:cs="Arial"/>
          <w:sz w:val="24"/>
          <w:szCs w:val="24"/>
          <w:lang w:val="en-US"/>
        </w:rPr>
        <w:t>loci (HLA- A1, -B8, -DR3, and -DR4) were analyzed.</w:t>
      </w:r>
      <w:r w:rsidR="00E8795A" w:rsidRPr="00FB7D6B">
        <w:rPr>
          <w:rFonts w:ascii="Book Antiqua" w:hAnsi="Book Antiqua"/>
          <w:sz w:val="24"/>
          <w:szCs w:val="24"/>
          <w:lang w:val="en-US"/>
        </w:rPr>
        <w:t xml:space="preserve"> </w:t>
      </w:r>
      <w:r w:rsidR="00E8795A" w:rsidRPr="00FB7D6B">
        <w:rPr>
          <w:rFonts w:ascii="Book Antiqua" w:hAnsi="Book Antiqua" w:cs="Arial"/>
          <w:sz w:val="24"/>
          <w:szCs w:val="24"/>
          <w:lang w:val="en-US"/>
        </w:rPr>
        <w:t xml:space="preserve">Each patient was </w:t>
      </w:r>
      <w:r w:rsidR="0046055B" w:rsidRPr="00FB7D6B">
        <w:rPr>
          <w:rFonts w:ascii="Book Antiqua" w:hAnsi="Book Antiqua" w:cs="Arial"/>
          <w:sz w:val="24"/>
          <w:szCs w:val="24"/>
          <w:lang w:val="en-US"/>
        </w:rPr>
        <w:t xml:space="preserve">also </w:t>
      </w:r>
      <w:r w:rsidR="00E8795A" w:rsidRPr="00FB7D6B">
        <w:rPr>
          <w:rFonts w:ascii="Book Antiqua" w:hAnsi="Book Antiqua" w:cs="Arial"/>
          <w:sz w:val="24"/>
          <w:szCs w:val="24"/>
          <w:lang w:val="en-US"/>
        </w:rPr>
        <w:t>tested for</w:t>
      </w:r>
      <w:r w:rsidR="0046055B" w:rsidRPr="00FB7D6B">
        <w:rPr>
          <w:rFonts w:ascii="Book Antiqua" w:hAnsi="Book Antiqua" w:cs="Arial"/>
          <w:sz w:val="24"/>
          <w:szCs w:val="24"/>
          <w:lang w:val="en-US"/>
        </w:rPr>
        <w:t xml:space="preserve"> </w:t>
      </w:r>
      <w:r w:rsidR="00E8795A" w:rsidRPr="00FB7D6B">
        <w:rPr>
          <w:rFonts w:ascii="Book Antiqua" w:hAnsi="Book Antiqua" w:cs="Arial"/>
          <w:sz w:val="24"/>
          <w:szCs w:val="24"/>
          <w:lang w:val="en-US"/>
        </w:rPr>
        <w:t xml:space="preserve">viral markers (anti-HAV IgM, HBs-Ag, anti-HBc IgM, HBeAg, </w:t>
      </w:r>
      <w:r w:rsidR="00741819" w:rsidRPr="00FB7D6B">
        <w:rPr>
          <w:rFonts w:ascii="Book Antiqua" w:hAnsi="Book Antiqua" w:cs="Arial"/>
          <w:sz w:val="24"/>
          <w:szCs w:val="24"/>
          <w:lang w:val="en-US"/>
        </w:rPr>
        <w:t>anti-HBe, anti-HBs</w:t>
      </w:r>
      <w:r w:rsidR="00E8795A" w:rsidRPr="00FB7D6B">
        <w:rPr>
          <w:rFonts w:ascii="Book Antiqua" w:hAnsi="Book Antiqua" w:cs="Arial"/>
          <w:sz w:val="24"/>
          <w:szCs w:val="24"/>
          <w:lang w:val="en-US"/>
        </w:rPr>
        <w:t>, anti-</w:t>
      </w:r>
      <w:r w:rsidR="00741819" w:rsidRPr="00FB7D6B">
        <w:rPr>
          <w:rFonts w:ascii="Book Antiqua" w:hAnsi="Book Antiqua" w:cs="Arial"/>
          <w:sz w:val="24"/>
          <w:szCs w:val="24"/>
          <w:lang w:val="en-US"/>
        </w:rPr>
        <w:t xml:space="preserve">HCV, anti-HDV-EIA, </w:t>
      </w:r>
      <w:r w:rsidR="00E8795A" w:rsidRPr="00FB7D6B">
        <w:rPr>
          <w:rFonts w:ascii="Book Antiqua" w:hAnsi="Book Antiqua" w:cs="Arial"/>
          <w:sz w:val="24"/>
          <w:szCs w:val="24"/>
          <w:lang w:val="en-US"/>
        </w:rPr>
        <w:t xml:space="preserve">anti-HEV IgM, </w:t>
      </w:r>
      <w:r w:rsidR="00741819" w:rsidRPr="00FB7D6B">
        <w:rPr>
          <w:rFonts w:ascii="Book Antiqua" w:hAnsi="Book Antiqua" w:cs="Arial"/>
          <w:sz w:val="24"/>
          <w:szCs w:val="24"/>
          <w:lang w:val="en-US"/>
        </w:rPr>
        <w:t>and PCR’s for HBV, HCV, HEV, HSV, CMV, EBV</w:t>
      </w:r>
      <w:r w:rsidR="00E8795A" w:rsidRPr="00FB7D6B">
        <w:rPr>
          <w:rFonts w:ascii="Book Antiqua" w:hAnsi="Book Antiqua" w:cs="Arial"/>
          <w:sz w:val="24"/>
          <w:szCs w:val="24"/>
          <w:lang w:val="en-US"/>
        </w:rPr>
        <w:t>), transferrin-saturation, ceruloplasmin, copper in serum, soluble interleukin-II receptor, α1</w:t>
      </w:r>
      <w:r w:rsidR="0046055B" w:rsidRPr="00FB7D6B">
        <w:rPr>
          <w:rFonts w:ascii="Book Antiqua" w:hAnsi="Book Antiqua" w:cs="Arial"/>
          <w:sz w:val="24"/>
          <w:szCs w:val="24"/>
          <w:lang w:val="en-US"/>
        </w:rPr>
        <w:t>-antitrypsin, and finally, GLDH. In suspected cases of Wilson’s disease, additional examinations were performed (Kayser-Fleischer ring, copper in urine, parameters of hemolysis, and also determination of cupper in the liver biopsy).</w:t>
      </w:r>
    </w:p>
    <w:p w:rsidR="00472A70" w:rsidRPr="00FB7D6B" w:rsidRDefault="00472A70" w:rsidP="00FB7D6B">
      <w:pPr>
        <w:adjustRightInd w:val="0"/>
        <w:snapToGrid w:val="0"/>
        <w:spacing w:after="0" w:line="360" w:lineRule="auto"/>
        <w:jc w:val="both"/>
        <w:rPr>
          <w:rFonts w:ascii="Book Antiqua" w:hAnsi="Book Antiqua" w:cs="Arial"/>
          <w:sz w:val="24"/>
          <w:szCs w:val="24"/>
          <w:lang w:val="en-US" w:eastAsia="zh-CN"/>
        </w:rPr>
      </w:pPr>
    </w:p>
    <w:p w:rsidR="003B048C" w:rsidRPr="00FB7D6B" w:rsidRDefault="00A212CA"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RUCAM instrument</w:t>
      </w:r>
    </w:p>
    <w:p w:rsidR="00CC3F31" w:rsidRPr="00FB7D6B" w:rsidRDefault="00CC3F31" w:rsidP="00FB7D6B">
      <w:pPr>
        <w:adjustRightInd w:val="0"/>
        <w:snapToGrid w:val="0"/>
        <w:spacing w:after="0" w:line="360" w:lineRule="auto"/>
        <w:jc w:val="both"/>
        <w:rPr>
          <w:rFonts w:ascii="Book Antiqua" w:hAnsi="Book Antiqua" w:cs="Arial"/>
          <w:color w:val="333333"/>
          <w:sz w:val="24"/>
          <w:szCs w:val="24"/>
          <w:lang w:val="en" w:eastAsia="zh-CN"/>
        </w:rPr>
      </w:pPr>
      <w:r w:rsidRPr="00FB7D6B">
        <w:rPr>
          <w:rFonts w:ascii="Book Antiqua" w:hAnsi="Book Antiqua" w:cs="Arial"/>
          <w:sz w:val="24"/>
          <w:szCs w:val="24"/>
          <w:lang w:val="en-US"/>
        </w:rPr>
        <w:t xml:space="preserve">The appropriate diagnosis of </w:t>
      </w:r>
      <w:r w:rsidR="00741819" w:rsidRPr="00FB7D6B">
        <w:rPr>
          <w:rFonts w:ascii="Book Antiqua" w:hAnsi="Book Antiqua" w:cs="Arial"/>
          <w:sz w:val="24"/>
          <w:szCs w:val="24"/>
          <w:lang w:val="en-US"/>
        </w:rPr>
        <w:t>drug-induced liver injury (</w:t>
      </w:r>
      <w:r w:rsidRPr="00FB7D6B">
        <w:rPr>
          <w:rFonts w:ascii="Book Antiqua" w:hAnsi="Book Antiqua" w:cs="Arial"/>
          <w:sz w:val="24"/>
          <w:szCs w:val="24"/>
          <w:lang w:val="en-US"/>
        </w:rPr>
        <w:t>DILI</w:t>
      </w:r>
      <w:r w:rsidR="00741819" w:rsidRPr="00FB7D6B">
        <w:rPr>
          <w:rFonts w:ascii="Book Antiqua" w:hAnsi="Book Antiqua" w:cs="Arial"/>
          <w:sz w:val="24"/>
          <w:szCs w:val="24"/>
          <w:lang w:val="en-US"/>
        </w:rPr>
        <w:t>)</w:t>
      </w:r>
      <w:r w:rsidRPr="00FB7D6B">
        <w:rPr>
          <w:rFonts w:ascii="Book Antiqua" w:hAnsi="Book Antiqua" w:cs="Arial"/>
          <w:sz w:val="24"/>
          <w:szCs w:val="24"/>
          <w:lang w:val="en-US"/>
        </w:rPr>
        <w:t xml:space="preserve"> </w:t>
      </w:r>
      <w:r w:rsidR="00116652" w:rsidRPr="00FB7D6B">
        <w:rPr>
          <w:rFonts w:ascii="Book Antiqua" w:hAnsi="Book Antiqua" w:cs="Arial"/>
          <w:i/>
          <w:sz w:val="24"/>
          <w:szCs w:val="24"/>
          <w:lang w:val="en-US" w:eastAsia="zh-CN"/>
        </w:rPr>
        <w:t>vs</w:t>
      </w:r>
      <w:r w:rsidR="00A212CA" w:rsidRPr="00FB7D6B">
        <w:rPr>
          <w:rFonts w:ascii="Book Antiqua" w:hAnsi="Book Antiqua" w:cs="Arial"/>
          <w:sz w:val="24"/>
          <w:szCs w:val="24"/>
          <w:lang w:val="en-US"/>
        </w:rPr>
        <w:t xml:space="preserve"> DILI-AIH involves the collection of </w:t>
      </w:r>
      <w:r w:rsidRPr="00FB7D6B">
        <w:rPr>
          <w:rFonts w:ascii="Book Antiqua" w:hAnsi="Book Antiqua" w:cs="Arial"/>
          <w:sz w:val="24"/>
          <w:szCs w:val="24"/>
          <w:lang w:val="en-US"/>
        </w:rPr>
        <w:t>historical and laboratory data, inc</w:t>
      </w:r>
      <w:r w:rsidR="00A212CA" w:rsidRPr="00FB7D6B">
        <w:rPr>
          <w:rFonts w:ascii="Book Antiqua" w:hAnsi="Book Antiqua" w:cs="Arial"/>
          <w:sz w:val="24"/>
          <w:szCs w:val="24"/>
          <w:lang w:val="en-US"/>
        </w:rPr>
        <w:t xml:space="preserve">luding the latency in onset, </w:t>
      </w:r>
      <w:r w:rsidRPr="00FB7D6B">
        <w:rPr>
          <w:rFonts w:ascii="Book Antiqua" w:hAnsi="Book Antiqua" w:cs="Arial"/>
          <w:sz w:val="24"/>
          <w:szCs w:val="24"/>
          <w:lang w:val="en-US"/>
        </w:rPr>
        <w:t xml:space="preserve">the rate of resolution after discontinuing treatment, </w:t>
      </w:r>
      <w:r w:rsidR="00A212CA" w:rsidRPr="00FB7D6B">
        <w:rPr>
          <w:rFonts w:ascii="Book Antiqua" w:hAnsi="Book Antiqua" w:cs="Arial"/>
          <w:sz w:val="24"/>
          <w:szCs w:val="24"/>
          <w:lang w:val="en-US"/>
        </w:rPr>
        <w:t xml:space="preserve">and </w:t>
      </w:r>
      <w:r w:rsidRPr="00FB7D6B">
        <w:rPr>
          <w:rFonts w:ascii="Book Antiqua" w:hAnsi="Book Antiqua" w:cs="Arial"/>
          <w:sz w:val="24"/>
          <w:szCs w:val="24"/>
          <w:lang w:val="en-US"/>
        </w:rPr>
        <w:t>exclusion of</w:t>
      </w:r>
      <w:r w:rsidR="00A212CA" w:rsidRPr="00FB7D6B">
        <w:rPr>
          <w:rFonts w:ascii="Book Antiqua" w:hAnsi="Book Antiqua" w:cs="Arial"/>
          <w:sz w:val="24"/>
          <w:szCs w:val="24"/>
          <w:lang w:val="en-US"/>
        </w:rPr>
        <w:t xml:space="preserve"> other reasonable causes of </w:t>
      </w:r>
      <w:r w:rsidRPr="00FB7D6B">
        <w:rPr>
          <w:rFonts w:ascii="Book Antiqua" w:hAnsi="Book Antiqua" w:cs="Arial"/>
          <w:sz w:val="24"/>
          <w:szCs w:val="24"/>
          <w:lang w:val="en-US"/>
        </w:rPr>
        <w:t>liver injury</w:t>
      </w:r>
      <w:r w:rsidR="00A212CA" w:rsidRPr="00FB7D6B">
        <w:rPr>
          <w:rFonts w:ascii="Book Antiqua" w:hAnsi="Book Antiqua" w:cs="Arial"/>
          <w:sz w:val="24"/>
          <w:szCs w:val="24"/>
          <w:lang w:val="en-US"/>
        </w:rPr>
        <w:t>.</w:t>
      </w:r>
      <w:r w:rsidR="00A212CA" w:rsidRPr="00FB7D6B">
        <w:rPr>
          <w:rFonts w:ascii="Book Antiqua" w:hAnsi="Book Antiqua" w:cs="Arial"/>
          <w:color w:val="333333"/>
          <w:sz w:val="24"/>
          <w:szCs w:val="24"/>
          <w:lang w:val="en"/>
        </w:rPr>
        <w:t xml:space="preserve"> The advantage of the RUCAM instrument is that it is systematic, thorough, and objective. We </w:t>
      </w:r>
      <w:r w:rsidR="0018074C" w:rsidRPr="00FB7D6B">
        <w:rPr>
          <w:rFonts w:ascii="Book Antiqua" w:hAnsi="Book Antiqua" w:cs="Arial"/>
          <w:color w:val="333333"/>
          <w:sz w:val="24"/>
          <w:szCs w:val="24"/>
          <w:lang w:val="en"/>
        </w:rPr>
        <w:t xml:space="preserve">therefore </w:t>
      </w:r>
      <w:r w:rsidR="00A212CA" w:rsidRPr="00FB7D6B">
        <w:rPr>
          <w:rFonts w:ascii="Book Antiqua" w:hAnsi="Book Antiqua" w:cs="Arial"/>
          <w:color w:val="333333"/>
          <w:sz w:val="24"/>
          <w:szCs w:val="24"/>
          <w:lang w:val="en"/>
        </w:rPr>
        <w:t xml:space="preserve">used this instrument in </w:t>
      </w:r>
      <w:r w:rsidR="0018074C" w:rsidRPr="00FB7D6B">
        <w:rPr>
          <w:rFonts w:ascii="Book Antiqua" w:hAnsi="Book Antiqua" w:cs="Arial"/>
          <w:color w:val="333333"/>
          <w:sz w:val="24"/>
          <w:szCs w:val="24"/>
          <w:lang w:val="en"/>
        </w:rPr>
        <w:t xml:space="preserve">our </w:t>
      </w:r>
      <w:r w:rsidR="00A212CA" w:rsidRPr="00FB7D6B">
        <w:rPr>
          <w:rFonts w:ascii="Book Antiqua" w:hAnsi="Book Antiqua" w:cs="Arial"/>
          <w:color w:val="333333"/>
          <w:sz w:val="24"/>
          <w:szCs w:val="24"/>
          <w:lang w:val="en"/>
        </w:rPr>
        <w:t>study population as -</w:t>
      </w:r>
      <w:r w:rsidR="00472A70" w:rsidRPr="00FB7D6B">
        <w:rPr>
          <w:rFonts w:ascii="Book Antiqua" w:hAnsi="Book Antiqua" w:cs="Arial"/>
          <w:color w:val="333333"/>
          <w:sz w:val="24"/>
          <w:szCs w:val="24"/>
          <w:lang w:val="en" w:eastAsia="zh-CN"/>
        </w:rPr>
        <w:t xml:space="preserve"> </w:t>
      </w:r>
      <w:r w:rsidR="0018074C" w:rsidRPr="00FB7D6B">
        <w:rPr>
          <w:rFonts w:ascii="Book Antiqua" w:hAnsi="Book Antiqua" w:cs="Arial"/>
          <w:color w:val="333333"/>
          <w:sz w:val="24"/>
          <w:szCs w:val="24"/>
          <w:lang w:val="en"/>
        </w:rPr>
        <w:t>at</w:t>
      </w:r>
      <w:r w:rsidR="00472A70" w:rsidRPr="00FB7D6B">
        <w:rPr>
          <w:rFonts w:ascii="Book Antiqua" w:hAnsi="Book Antiqua" w:cs="Arial"/>
          <w:color w:val="333333"/>
          <w:sz w:val="24"/>
          <w:szCs w:val="24"/>
          <w:lang w:val="en"/>
        </w:rPr>
        <w:t xml:space="preserve"> present</w:t>
      </w:r>
      <w:r w:rsidR="00472A70" w:rsidRPr="00FB7D6B">
        <w:rPr>
          <w:rFonts w:ascii="Book Antiqua" w:hAnsi="Book Antiqua" w:cs="Arial"/>
          <w:color w:val="333333"/>
          <w:sz w:val="24"/>
          <w:szCs w:val="24"/>
          <w:lang w:val="en" w:eastAsia="zh-CN"/>
        </w:rPr>
        <w:t xml:space="preserve"> </w:t>
      </w:r>
      <w:r w:rsidR="00A212CA" w:rsidRPr="00FB7D6B">
        <w:rPr>
          <w:rFonts w:ascii="Book Antiqua" w:hAnsi="Book Antiqua" w:cs="Arial"/>
          <w:color w:val="333333"/>
          <w:sz w:val="24"/>
          <w:szCs w:val="24"/>
          <w:lang w:val="en"/>
        </w:rPr>
        <w:t>- it is considered the best method for assessing causality in DILI.</w:t>
      </w:r>
    </w:p>
    <w:p w:rsidR="00472A70" w:rsidRPr="00FB7D6B" w:rsidRDefault="00472A70" w:rsidP="00FB7D6B">
      <w:pPr>
        <w:adjustRightInd w:val="0"/>
        <w:snapToGrid w:val="0"/>
        <w:spacing w:after="0" w:line="360" w:lineRule="auto"/>
        <w:jc w:val="both"/>
        <w:rPr>
          <w:rFonts w:ascii="Book Antiqua" w:hAnsi="Book Antiqua" w:cs="Arial"/>
          <w:sz w:val="24"/>
          <w:szCs w:val="24"/>
          <w:lang w:val="en-US" w:eastAsia="zh-CN"/>
        </w:rPr>
      </w:pPr>
    </w:p>
    <w:p w:rsidR="000655A8" w:rsidRPr="00FB7D6B" w:rsidRDefault="00A212CA"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Liver histology</w:t>
      </w:r>
    </w:p>
    <w:p w:rsidR="0046055B" w:rsidRPr="00FB7D6B" w:rsidRDefault="000655A8"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Liver biopsy was performed in all patients with evidence of typical histopathological features of AIH, namely presence of interface hepatitis, lymphoplasma</w:t>
      </w:r>
      <w:r w:rsidR="00472A70" w:rsidRPr="00FB7D6B">
        <w:rPr>
          <w:rFonts w:ascii="Book Antiqua" w:hAnsi="Book Antiqua" w:cs="Arial"/>
          <w:sz w:val="24"/>
          <w:szCs w:val="24"/>
          <w:lang w:val="en-US" w:eastAsia="zh-CN"/>
        </w:rPr>
        <w:t>cy</w:t>
      </w:r>
      <w:r w:rsidRPr="00FB7D6B">
        <w:rPr>
          <w:rFonts w:ascii="Book Antiqua" w:hAnsi="Book Antiqua" w:cs="Arial"/>
          <w:sz w:val="24"/>
          <w:szCs w:val="24"/>
          <w:lang w:val="en-US"/>
        </w:rPr>
        <w:t xml:space="preserve">tic cell infiltration exceeding the borders of the portal tract, emperipolesis, and rosette formations, respectively. </w:t>
      </w:r>
      <w:r w:rsidR="0046055B" w:rsidRPr="00FB7D6B">
        <w:rPr>
          <w:rFonts w:ascii="Book Antiqua" w:hAnsi="Book Antiqua" w:cs="Arial"/>
          <w:sz w:val="24"/>
          <w:szCs w:val="24"/>
          <w:lang w:val="en-US"/>
        </w:rPr>
        <w:t>Differentiating between drug-induced ALF and AIH-induced ALF is difficult on the basis of histology alone. In both cases plasma cell rich inflammation with interface hepatitis can be present. In order to differentiate DILI from AIH clinical, historical</w:t>
      </w:r>
      <w:r w:rsidR="00E24996" w:rsidRPr="00FB7D6B">
        <w:rPr>
          <w:rFonts w:ascii="Book Antiqua" w:hAnsi="Book Antiqua" w:cs="Arial"/>
          <w:sz w:val="24"/>
          <w:szCs w:val="24"/>
          <w:lang w:val="en-US"/>
        </w:rPr>
        <w:t>,</w:t>
      </w:r>
      <w:r w:rsidR="0046055B" w:rsidRPr="00FB7D6B">
        <w:rPr>
          <w:rFonts w:ascii="Book Antiqua" w:hAnsi="Book Antiqua" w:cs="Arial"/>
          <w:sz w:val="24"/>
          <w:szCs w:val="24"/>
          <w:lang w:val="en-US"/>
        </w:rPr>
        <w:t xml:space="preserve"> and laboratory data have to be considered. If EBV, CMV or HEV infection was suspected, viral detection by means of immunohistochemistry, in situ hybridization, and PCR was </w:t>
      </w:r>
      <w:r w:rsidR="00E24996" w:rsidRPr="00FB7D6B">
        <w:rPr>
          <w:rFonts w:ascii="Book Antiqua" w:hAnsi="Book Antiqua" w:cs="Arial"/>
          <w:sz w:val="24"/>
          <w:szCs w:val="24"/>
          <w:lang w:val="en-US"/>
        </w:rPr>
        <w:t xml:space="preserve">also </w:t>
      </w:r>
      <w:r w:rsidR="0046055B" w:rsidRPr="00FB7D6B">
        <w:rPr>
          <w:rFonts w:ascii="Book Antiqua" w:hAnsi="Book Antiqua" w:cs="Arial"/>
          <w:sz w:val="24"/>
          <w:szCs w:val="24"/>
          <w:lang w:val="en-US"/>
        </w:rPr>
        <w:t>performed.</w:t>
      </w:r>
    </w:p>
    <w:p w:rsidR="00472A70" w:rsidRPr="00FB7D6B" w:rsidRDefault="00472A70" w:rsidP="00FB7D6B">
      <w:pPr>
        <w:adjustRightInd w:val="0"/>
        <w:snapToGrid w:val="0"/>
        <w:spacing w:after="0" w:line="360" w:lineRule="auto"/>
        <w:jc w:val="both"/>
        <w:rPr>
          <w:rFonts w:ascii="Book Antiqua" w:hAnsi="Book Antiqua" w:cs="Arial"/>
          <w:sz w:val="24"/>
          <w:szCs w:val="24"/>
          <w:lang w:val="en-US" w:eastAsia="zh-CN"/>
        </w:rPr>
      </w:pPr>
    </w:p>
    <w:p w:rsidR="00FA6027" w:rsidRPr="00FB7D6B" w:rsidRDefault="00FA6027"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 xml:space="preserve">Immunosuppressive therapy and </w:t>
      </w:r>
      <w:r w:rsidR="003A3CD9" w:rsidRPr="00FB7D6B">
        <w:rPr>
          <w:rFonts w:ascii="Book Antiqua" w:hAnsi="Book Antiqua" w:cs="Arial"/>
          <w:b/>
          <w:i/>
          <w:sz w:val="24"/>
          <w:szCs w:val="24"/>
          <w:lang w:val="en-US"/>
        </w:rPr>
        <w:t xml:space="preserve">definition of </w:t>
      </w:r>
      <w:r w:rsidR="00737065" w:rsidRPr="00FB7D6B">
        <w:rPr>
          <w:rFonts w:ascii="Book Antiqua" w:hAnsi="Book Antiqua" w:cs="Arial"/>
          <w:b/>
          <w:i/>
          <w:sz w:val="24"/>
          <w:szCs w:val="24"/>
          <w:lang w:val="en-US"/>
        </w:rPr>
        <w:t xml:space="preserve">non-recovery </w:t>
      </w:r>
    </w:p>
    <w:p w:rsidR="00FA6027" w:rsidRPr="00FB7D6B" w:rsidRDefault="00737065"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lastRenderedPageBreak/>
        <w:t xml:space="preserve">After </w:t>
      </w:r>
      <w:r w:rsidR="003A3CD9" w:rsidRPr="00FB7D6B">
        <w:rPr>
          <w:rFonts w:ascii="Book Antiqua" w:hAnsi="Book Antiqua" w:cs="Arial"/>
          <w:sz w:val="24"/>
          <w:szCs w:val="24"/>
          <w:lang w:val="en-US"/>
        </w:rPr>
        <w:t xml:space="preserve">diagnosis of AIH-induced ALF, each patient received </w:t>
      </w:r>
      <w:r w:rsidR="003B048C" w:rsidRPr="00FB7D6B">
        <w:rPr>
          <w:rFonts w:ascii="Book Antiqua" w:hAnsi="Book Antiqua" w:cs="Arial"/>
          <w:sz w:val="24"/>
          <w:szCs w:val="24"/>
          <w:lang w:val="en-US"/>
        </w:rPr>
        <w:t xml:space="preserve">standard </w:t>
      </w:r>
      <w:r w:rsidR="003A3CD9" w:rsidRPr="00FB7D6B">
        <w:rPr>
          <w:rFonts w:ascii="Book Antiqua" w:hAnsi="Book Antiqua" w:cs="Arial"/>
          <w:sz w:val="24"/>
          <w:szCs w:val="24"/>
          <w:lang w:val="en-US"/>
        </w:rPr>
        <w:t>steroid therap</w:t>
      </w:r>
      <w:r w:rsidRPr="00FB7D6B">
        <w:rPr>
          <w:rFonts w:ascii="Book Antiqua" w:hAnsi="Book Antiqua" w:cs="Arial"/>
          <w:sz w:val="24"/>
          <w:szCs w:val="24"/>
          <w:lang w:val="en-US"/>
        </w:rPr>
        <w:t xml:space="preserve">y (1 mg per </w:t>
      </w:r>
      <w:r w:rsidR="00A816A2" w:rsidRPr="00FB7D6B">
        <w:rPr>
          <w:rFonts w:ascii="Book Antiqua" w:hAnsi="Book Antiqua" w:cs="Arial"/>
          <w:sz w:val="24"/>
          <w:szCs w:val="24"/>
          <w:lang w:val="en-US"/>
        </w:rPr>
        <w:t xml:space="preserve">kg </w:t>
      </w:r>
      <w:r w:rsidRPr="00FB7D6B">
        <w:rPr>
          <w:rFonts w:ascii="Book Antiqua" w:hAnsi="Book Antiqua" w:cs="Arial"/>
          <w:sz w:val="24"/>
          <w:szCs w:val="24"/>
          <w:lang w:val="en-US"/>
        </w:rPr>
        <w:t>body weight</w:t>
      </w:r>
      <w:r w:rsidR="003B048C" w:rsidRPr="00FB7D6B">
        <w:rPr>
          <w:rFonts w:ascii="Book Antiqua" w:hAnsi="Book Antiqua" w:cs="Arial"/>
          <w:sz w:val="24"/>
          <w:szCs w:val="24"/>
          <w:lang w:val="en-US"/>
        </w:rPr>
        <w:t>/d</w:t>
      </w:r>
      <w:r w:rsidRPr="00FB7D6B">
        <w:rPr>
          <w:rFonts w:ascii="Book Antiqua" w:hAnsi="Book Antiqua" w:cs="Arial"/>
          <w:sz w:val="24"/>
          <w:szCs w:val="24"/>
          <w:lang w:val="en-US"/>
        </w:rPr>
        <w:t xml:space="preserve">) </w:t>
      </w:r>
      <w:r w:rsidR="00C064F5" w:rsidRPr="00FB7D6B">
        <w:rPr>
          <w:rFonts w:ascii="Book Antiqua" w:hAnsi="Book Antiqua" w:cs="Arial"/>
          <w:sz w:val="24"/>
          <w:szCs w:val="24"/>
          <w:lang w:val="en-US"/>
        </w:rPr>
        <w:t xml:space="preserve">intravenously </w:t>
      </w:r>
      <w:r w:rsidR="003A3CD9" w:rsidRPr="00FB7D6B">
        <w:rPr>
          <w:rFonts w:ascii="Book Antiqua" w:hAnsi="Book Antiqua" w:cs="Arial"/>
          <w:sz w:val="24"/>
          <w:szCs w:val="24"/>
          <w:lang w:val="en-US"/>
        </w:rPr>
        <w:t>with consecutive down-tapering</w:t>
      </w:r>
      <w:r w:rsidR="008040AD" w:rsidRPr="00FB7D6B">
        <w:rPr>
          <w:rFonts w:ascii="Book Antiqua" w:hAnsi="Book Antiqua" w:cs="Arial"/>
          <w:sz w:val="24"/>
          <w:szCs w:val="24"/>
          <w:lang w:val="en-US"/>
        </w:rPr>
        <w:t xml:space="preserve"> to a maintenance dose of 7.5 mg daily</w:t>
      </w:r>
      <w:r w:rsidR="003A3CD9" w:rsidRPr="00FB7D6B">
        <w:rPr>
          <w:rFonts w:ascii="Book Antiqua" w:hAnsi="Book Antiqua" w:cs="Arial"/>
          <w:sz w:val="24"/>
          <w:szCs w:val="24"/>
          <w:lang w:val="en-US"/>
        </w:rPr>
        <w:t xml:space="preserve">. </w:t>
      </w:r>
      <w:r w:rsidR="00077E71" w:rsidRPr="00FB7D6B">
        <w:rPr>
          <w:rFonts w:ascii="Book Antiqua" w:hAnsi="Book Antiqua" w:cs="Arial"/>
          <w:sz w:val="24"/>
          <w:szCs w:val="24"/>
          <w:lang w:val="en-US"/>
        </w:rPr>
        <w:t>Non-</w:t>
      </w:r>
      <w:r w:rsidRPr="00FB7D6B">
        <w:rPr>
          <w:rFonts w:ascii="Book Antiqua" w:hAnsi="Book Antiqua" w:cs="Arial"/>
          <w:sz w:val="24"/>
          <w:szCs w:val="24"/>
          <w:lang w:val="en-US"/>
        </w:rPr>
        <w:t xml:space="preserve">recovery </w:t>
      </w:r>
      <w:r w:rsidR="003A3CD9" w:rsidRPr="00FB7D6B">
        <w:rPr>
          <w:rFonts w:ascii="Book Antiqua" w:hAnsi="Book Antiqua" w:cs="Arial"/>
          <w:sz w:val="24"/>
          <w:szCs w:val="24"/>
          <w:lang w:val="en-US"/>
        </w:rPr>
        <w:t>was defined as death or liver tran</w:t>
      </w:r>
      <w:r w:rsidRPr="00FB7D6B">
        <w:rPr>
          <w:rFonts w:ascii="Book Antiqua" w:hAnsi="Book Antiqua" w:cs="Arial"/>
          <w:sz w:val="24"/>
          <w:szCs w:val="24"/>
          <w:lang w:val="en-US"/>
        </w:rPr>
        <w:t>splantation (LT) within 28 d despite steroid treatment</w:t>
      </w:r>
      <w:r w:rsidR="003B048C" w:rsidRPr="00FB7D6B">
        <w:rPr>
          <w:rFonts w:ascii="Book Antiqua" w:hAnsi="Book Antiqua" w:cs="Arial"/>
          <w:sz w:val="24"/>
          <w:szCs w:val="24"/>
          <w:lang w:val="en-US"/>
        </w:rPr>
        <w:t xml:space="preserve"> and initiation of immunosuppressive therapy with azathioprine</w:t>
      </w:r>
      <w:r w:rsidRPr="00FB7D6B">
        <w:rPr>
          <w:rFonts w:ascii="Book Antiqua" w:hAnsi="Book Antiqua" w:cs="Arial"/>
          <w:sz w:val="24"/>
          <w:szCs w:val="24"/>
          <w:lang w:val="en-US"/>
        </w:rPr>
        <w:t>.</w:t>
      </w:r>
    </w:p>
    <w:p w:rsidR="00472A70" w:rsidRPr="00FB7D6B" w:rsidRDefault="00472A70" w:rsidP="00FB7D6B">
      <w:pPr>
        <w:adjustRightInd w:val="0"/>
        <w:snapToGrid w:val="0"/>
        <w:spacing w:after="0" w:line="360" w:lineRule="auto"/>
        <w:jc w:val="both"/>
        <w:rPr>
          <w:rFonts w:ascii="Book Antiqua" w:hAnsi="Book Antiqua" w:cs="Arial"/>
          <w:sz w:val="24"/>
          <w:szCs w:val="24"/>
          <w:lang w:val="en-US" w:eastAsia="zh-CN"/>
        </w:rPr>
      </w:pPr>
    </w:p>
    <w:p w:rsidR="009A6AF5" w:rsidRPr="00FB7D6B" w:rsidRDefault="009A6AF5"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Statistical analysis</w:t>
      </w:r>
    </w:p>
    <w:p w:rsidR="00DF0599" w:rsidRPr="00FB7D6B" w:rsidRDefault="003B048C"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Statistical analysis was</w:t>
      </w:r>
      <w:r w:rsidR="008F2345" w:rsidRPr="00FB7D6B">
        <w:rPr>
          <w:rFonts w:ascii="Book Antiqua" w:hAnsi="Book Antiqua" w:cs="Arial"/>
          <w:sz w:val="24"/>
          <w:szCs w:val="24"/>
          <w:lang w:val="en-US"/>
        </w:rPr>
        <w:t xml:space="preserve"> performed with Graph</w:t>
      </w:r>
      <w:r w:rsidR="008546A8" w:rsidRPr="00FB7D6B">
        <w:rPr>
          <w:rFonts w:ascii="Book Antiqua" w:hAnsi="Book Antiqua" w:cs="Arial"/>
          <w:sz w:val="24"/>
          <w:szCs w:val="24"/>
          <w:lang w:val="en-US"/>
        </w:rPr>
        <w:t>Pad Prism,</w:t>
      </w:r>
      <w:r w:rsidR="00FA0349" w:rsidRPr="00FB7D6B">
        <w:rPr>
          <w:rFonts w:ascii="Book Antiqua" w:hAnsi="Book Antiqua" w:cs="Arial"/>
          <w:sz w:val="24"/>
          <w:szCs w:val="24"/>
          <w:lang w:val="en-US"/>
        </w:rPr>
        <w:t xml:space="preserve"> version 6.00 for MacOs</w:t>
      </w:r>
      <w:r w:rsidR="008F2345" w:rsidRPr="00FB7D6B">
        <w:rPr>
          <w:rFonts w:ascii="Book Antiqua" w:hAnsi="Book Antiqua" w:cs="Arial"/>
          <w:sz w:val="24"/>
          <w:szCs w:val="24"/>
          <w:lang w:val="en-US"/>
        </w:rPr>
        <w:t>X (GraphPad</w:t>
      </w:r>
      <w:r w:rsidR="00FA0349" w:rsidRPr="00FB7D6B">
        <w:rPr>
          <w:rFonts w:ascii="Book Antiqua" w:hAnsi="Book Antiqua" w:cs="Arial"/>
          <w:sz w:val="24"/>
          <w:szCs w:val="24"/>
          <w:lang w:val="en-US"/>
        </w:rPr>
        <w:t xml:space="preserve"> Software, San Diego, California</w:t>
      </w:r>
      <w:r w:rsidR="008F2345" w:rsidRPr="00FB7D6B">
        <w:rPr>
          <w:rFonts w:ascii="Book Antiqua" w:hAnsi="Book Antiqua" w:cs="Arial"/>
          <w:sz w:val="24"/>
          <w:szCs w:val="24"/>
          <w:lang w:val="en-US"/>
        </w:rPr>
        <w:t xml:space="preserve">, </w:t>
      </w:r>
      <w:r w:rsidR="00472A70" w:rsidRPr="00FB7D6B">
        <w:rPr>
          <w:rFonts w:ascii="Book Antiqua" w:hAnsi="Book Antiqua" w:cs="Arial"/>
          <w:sz w:val="24"/>
          <w:szCs w:val="24"/>
          <w:lang w:val="en-US" w:eastAsia="zh-CN"/>
        </w:rPr>
        <w:t>United States</w:t>
      </w:r>
      <w:r w:rsidR="008F2345" w:rsidRPr="00FB7D6B">
        <w:rPr>
          <w:rFonts w:ascii="Book Antiqua" w:hAnsi="Book Antiqua" w:cs="Arial"/>
          <w:sz w:val="24"/>
          <w:szCs w:val="24"/>
          <w:lang w:val="en-US"/>
        </w:rPr>
        <w:t>). For descriptive statistics medians and IQR were determined. All variables were tested for normal distribution with the Kolmogorov-Smirnov test, the Shapiro-Wilk test</w:t>
      </w:r>
      <w:r w:rsidR="00FA0349" w:rsidRPr="00FB7D6B">
        <w:rPr>
          <w:rFonts w:ascii="Book Antiqua" w:hAnsi="Book Antiqua" w:cs="Arial"/>
          <w:sz w:val="24"/>
          <w:szCs w:val="24"/>
          <w:lang w:val="en-US"/>
        </w:rPr>
        <w:t>,</w:t>
      </w:r>
      <w:r w:rsidR="008F2345" w:rsidRPr="00FB7D6B">
        <w:rPr>
          <w:rFonts w:ascii="Book Antiqua" w:hAnsi="Book Antiqua" w:cs="Arial"/>
          <w:sz w:val="24"/>
          <w:szCs w:val="24"/>
          <w:lang w:val="en-US"/>
        </w:rPr>
        <w:t xml:space="preserve"> and calculation of skew and kurtosis. The Mann-Whitney </w:t>
      </w:r>
      <w:r w:rsidR="008F2345" w:rsidRPr="00BB1637">
        <w:rPr>
          <w:rFonts w:ascii="Book Antiqua" w:hAnsi="Book Antiqua" w:cs="Arial"/>
          <w:i/>
          <w:sz w:val="24"/>
          <w:szCs w:val="24"/>
          <w:lang w:val="en-US"/>
        </w:rPr>
        <w:t>U</w:t>
      </w:r>
      <w:r w:rsidR="008F2345" w:rsidRPr="00FB7D6B">
        <w:rPr>
          <w:rFonts w:ascii="Book Antiqua" w:hAnsi="Book Antiqua" w:cs="Arial"/>
          <w:sz w:val="24"/>
          <w:szCs w:val="24"/>
          <w:lang w:val="en-US"/>
        </w:rPr>
        <w:t xml:space="preserve"> test was used to compare differences between independent groups. Categorical data were t</w:t>
      </w:r>
      <w:r w:rsidR="00FA0349" w:rsidRPr="00FB7D6B">
        <w:rPr>
          <w:rFonts w:ascii="Book Antiqua" w:hAnsi="Book Antiqua" w:cs="Arial"/>
          <w:sz w:val="24"/>
          <w:szCs w:val="24"/>
          <w:lang w:val="en-US"/>
        </w:rPr>
        <w:t xml:space="preserve">ested with the chi-square test </w:t>
      </w:r>
      <w:r w:rsidR="008F2345" w:rsidRPr="00FB7D6B">
        <w:rPr>
          <w:rFonts w:ascii="Book Antiqua" w:hAnsi="Book Antiqua" w:cs="Arial"/>
          <w:sz w:val="24"/>
          <w:szCs w:val="24"/>
          <w:lang w:val="en-US"/>
        </w:rPr>
        <w:t>and the Kruskal-Wallis test was us</w:t>
      </w:r>
      <w:r w:rsidR="00C32716" w:rsidRPr="00FB7D6B">
        <w:rPr>
          <w:rFonts w:ascii="Book Antiqua" w:hAnsi="Book Antiqua" w:cs="Arial"/>
          <w:sz w:val="24"/>
          <w:szCs w:val="24"/>
          <w:lang w:val="en-US"/>
        </w:rPr>
        <w:t xml:space="preserve">ed for multiple comparisons. </w:t>
      </w:r>
      <w:r w:rsidR="00C32716" w:rsidRPr="00FB7D6B">
        <w:rPr>
          <w:rFonts w:ascii="Book Antiqua" w:hAnsi="Book Antiqua" w:cs="Arial"/>
          <w:i/>
          <w:sz w:val="24"/>
          <w:szCs w:val="24"/>
          <w:lang w:val="en-US"/>
        </w:rPr>
        <w:t>P</w:t>
      </w:r>
      <w:r w:rsidR="008F2345" w:rsidRPr="00FB7D6B">
        <w:rPr>
          <w:rFonts w:ascii="Book Antiqua" w:hAnsi="Book Antiqua" w:cs="Arial"/>
          <w:sz w:val="24"/>
          <w:szCs w:val="24"/>
          <w:lang w:val="en-US"/>
        </w:rPr>
        <w:t xml:space="preserve"> &lt;</w:t>
      </w:r>
      <w:r w:rsidRPr="00FB7D6B">
        <w:rPr>
          <w:rFonts w:ascii="Book Antiqua" w:hAnsi="Book Antiqua" w:cs="Arial"/>
          <w:sz w:val="24"/>
          <w:szCs w:val="24"/>
          <w:lang w:val="en-US"/>
        </w:rPr>
        <w:t xml:space="preserve"> </w:t>
      </w:r>
      <w:r w:rsidR="008F2345" w:rsidRPr="00FB7D6B">
        <w:rPr>
          <w:rFonts w:ascii="Book Antiqua" w:hAnsi="Book Antiqua" w:cs="Arial"/>
          <w:sz w:val="24"/>
          <w:szCs w:val="24"/>
          <w:lang w:val="en-US"/>
        </w:rPr>
        <w:t>0.05 was considered statistically significant.</w:t>
      </w:r>
      <w:r w:rsidR="00FE4747" w:rsidRPr="00FB7D6B">
        <w:rPr>
          <w:rFonts w:ascii="Book Antiqua" w:hAnsi="Book Antiqua" w:cs="Arial"/>
          <w:sz w:val="24"/>
          <w:szCs w:val="24"/>
          <w:lang w:val="en-US"/>
        </w:rPr>
        <w:t xml:space="preserve"> The whiskers used in the graphs extend down to the 5</w:t>
      </w:r>
      <w:r w:rsidR="00FE4747" w:rsidRPr="00FB7D6B">
        <w:rPr>
          <w:rFonts w:ascii="Book Antiqua" w:hAnsi="Book Antiqua" w:cs="Arial"/>
          <w:sz w:val="24"/>
          <w:szCs w:val="24"/>
          <w:vertAlign w:val="superscript"/>
          <w:lang w:val="en-US"/>
        </w:rPr>
        <w:t>th</w:t>
      </w:r>
      <w:r w:rsidR="00FE4747" w:rsidRPr="00FB7D6B">
        <w:rPr>
          <w:rFonts w:ascii="Book Antiqua" w:hAnsi="Book Antiqua" w:cs="Arial"/>
          <w:sz w:val="24"/>
          <w:szCs w:val="24"/>
          <w:lang w:val="en-US"/>
        </w:rPr>
        <w:t xml:space="preserve"> percentile and up to the 95</w:t>
      </w:r>
      <w:r w:rsidR="00FE4747" w:rsidRPr="00FB7D6B">
        <w:rPr>
          <w:rFonts w:ascii="Book Antiqua" w:hAnsi="Book Antiqua" w:cs="Arial"/>
          <w:sz w:val="24"/>
          <w:szCs w:val="24"/>
          <w:vertAlign w:val="superscript"/>
          <w:lang w:val="en-US"/>
        </w:rPr>
        <w:t>th</w:t>
      </w:r>
      <w:r w:rsidR="00FE4747" w:rsidRPr="00FB7D6B">
        <w:rPr>
          <w:rFonts w:ascii="Book Antiqua" w:hAnsi="Book Antiqua" w:cs="Arial"/>
          <w:sz w:val="24"/>
          <w:szCs w:val="24"/>
          <w:lang w:val="en-US"/>
        </w:rPr>
        <w:t xml:space="preserve"> percentile.</w:t>
      </w:r>
    </w:p>
    <w:p w:rsidR="003720B9" w:rsidRPr="00FB7D6B" w:rsidRDefault="003720B9" w:rsidP="00FB7D6B">
      <w:pPr>
        <w:adjustRightInd w:val="0"/>
        <w:snapToGrid w:val="0"/>
        <w:spacing w:after="0" w:line="360" w:lineRule="auto"/>
        <w:jc w:val="both"/>
        <w:rPr>
          <w:rFonts w:ascii="Book Antiqua" w:hAnsi="Book Antiqua" w:cs="Arial"/>
          <w:b/>
          <w:sz w:val="24"/>
          <w:szCs w:val="24"/>
          <w:lang w:val="en-US" w:eastAsia="zh-CN"/>
        </w:rPr>
      </w:pPr>
    </w:p>
    <w:p w:rsidR="00907765" w:rsidRPr="00FB7D6B" w:rsidRDefault="00910342"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RESULTS</w:t>
      </w:r>
    </w:p>
    <w:p w:rsidR="002A6F91" w:rsidRPr="00FB7D6B" w:rsidRDefault="009210AA"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Patient</w:t>
      </w:r>
      <w:r w:rsidR="008E6C9E" w:rsidRPr="00FB7D6B">
        <w:rPr>
          <w:rFonts w:ascii="Book Antiqua" w:hAnsi="Book Antiqua" w:cs="Arial"/>
          <w:b/>
          <w:i/>
          <w:sz w:val="24"/>
          <w:szCs w:val="24"/>
          <w:lang w:val="en-US"/>
        </w:rPr>
        <w:t>s’</w:t>
      </w:r>
      <w:r w:rsidRPr="00FB7D6B">
        <w:rPr>
          <w:rFonts w:ascii="Book Antiqua" w:hAnsi="Book Antiqua" w:cs="Arial"/>
          <w:b/>
          <w:i/>
          <w:sz w:val="24"/>
          <w:szCs w:val="24"/>
          <w:lang w:val="en-US"/>
        </w:rPr>
        <w:t xml:space="preserve"> demographics</w:t>
      </w:r>
      <w:r w:rsidR="00CC50A5" w:rsidRPr="00FB7D6B">
        <w:rPr>
          <w:rFonts w:ascii="Book Antiqua" w:hAnsi="Book Antiqua" w:cs="Arial"/>
          <w:b/>
          <w:i/>
          <w:sz w:val="24"/>
          <w:szCs w:val="24"/>
          <w:lang w:val="en-US"/>
        </w:rPr>
        <w:t xml:space="preserve">, </w:t>
      </w:r>
      <w:r w:rsidR="001169B3" w:rsidRPr="00FB7D6B">
        <w:rPr>
          <w:rFonts w:ascii="Book Antiqua" w:hAnsi="Book Antiqua" w:cs="Arial"/>
          <w:b/>
          <w:i/>
          <w:sz w:val="24"/>
          <w:szCs w:val="24"/>
          <w:lang w:val="en-US"/>
        </w:rPr>
        <w:t>laboratory data</w:t>
      </w:r>
      <w:r w:rsidR="00CC50A5" w:rsidRPr="00FB7D6B">
        <w:rPr>
          <w:rFonts w:ascii="Book Antiqua" w:hAnsi="Book Antiqua" w:cs="Arial"/>
          <w:b/>
          <w:i/>
          <w:sz w:val="24"/>
          <w:szCs w:val="24"/>
          <w:lang w:val="en-US"/>
        </w:rPr>
        <w:t>, and immunosuppressive regime</w:t>
      </w:r>
    </w:p>
    <w:p w:rsidR="00D82F9F" w:rsidRPr="00FB7D6B" w:rsidRDefault="00D82F9F"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Fifty-two o</w:t>
      </w:r>
      <w:r w:rsidR="00503462" w:rsidRPr="00FB7D6B">
        <w:rPr>
          <w:rFonts w:ascii="Book Antiqua" w:hAnsi="Book Antiqua" w:cs="Arial"/>
          <w:sz w:val="24"/>
          <w:szCs w:val="24"/>
          <w:lang w:val="en-US"/>
        </w:rPr>
        <w:t xml:space="preserve">ut of 565 patients with AIH suffered from </w:t>
      </w:r>
      <w:r w:rsidRPr="00FB7D6B">
        <w:rPr>
          <w:rFonts w:ascii="Book Antiqua" w:hAnsi="Book Antiqua" w:cs="Arial"/>
          <w:sz w:val="24"/>
          <w:szCs w:val="24"/>
          <w:lang w:val="en-US"/>
        </w:rPr>
        <w:t xml:space="preserve">ALF as </w:t>
      </w:r>
      <w:r w:rsidR="00503462" w:rsidRPr="00FB7D6B">
        <w:rPr>
          <w:rFonts w:ascii="Book Antiqua" w:hAnsi="Book Antiqua" w:cs="Arial"/>
          <w:sz w:val="24"/>
          <w:szCs w:val="24"/>
          <w:lang w:val="en-US"/>
        </w:rPr>
        <w:t>the</w:t>
      </w:r>
      <w:r w:rsidR="008E6C9E" w:rsidRPr="00FB7D6B">
        <w:rPr>
          <w:rFonts w:ascii="Book Antiqua" w:hAnsi="Book Antiqua" w:cs="Arial"/>
          <w:sz w:val="24"/>
          <w:szCs w:val="24"/>
          <w:lang w:val="en-US"/>
        </w:rPr>
        <w:t>ir</w:t>
      </w:r>
      <w:r w:rsidR="00503462" w:rsidRPr="00FB7D6B">
        <w:rPr>
          <w:rFonts w:ascii="Book Antiqua" w:hAnsi="Book Antiqua" w:cs="Arial"/>
          <w:sz w:val="24"/>
          <w:szCs w:val="24"/>
          <w:lang w:val="en-US"/>
        </w:rPr>
        <w:t xml:space="preserve"> </w:t>
      </w:r>
      <w:r w:rsidRPr="00FB7D6B">
        <w:rPr>
          <w:rFonts w:ascii="Book Antiqua" w:hAnsi="Book Antiqua" w:cs="Arial"/>
          <w:sz w:val="24"/>
          <w:szCs w:val="24"/>
          <w:lang w:val="en-US"/>
        </w:rPr>
        <w:t>initial presentation (9.2</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xml:space="preserve">) </w:t>
      </w:r>
      <w:r w:rsidR="00C82A11" w:rsidRPr="00FB7D6B">
        <w:rPr>
          <w:rFonts w:ascii="Book Antiqua" w:hAnsi="Book Antiqua" w:cs="Arial"/>
          <w:sz w:val="24"/>
          <w:szCs w:val="24"/>
          <w:lang w:val="en-US"/>
        </w:rPr>
        <w:t xml:space="preserve">(Figure 1A and B) </w:t>
      </w:r>
      <w:r w:rsidRPr="00FB7D6B">
        <w:rPr>
          <w:rFonts w:ascii="Book Antiqua" w:hAnsi="Book Antiqua" w:cs="Arial"/>
          <w:sz w:val="24"/>
          <w:szCs w:val="24"/>
          <w:lang w:val="en-US"/>
        </w:rPr>
        <w:t>and w</w:t>
      </w:r>
      <w:r w:rsidR="00503462" w:rsidRPr="00FB7D6B">
        <w:rPr>
          <w:rFonts w:ascii="Book Antiqua" w:hAnsi="Book Antiqua" w:cs="Arial"/>
          <w:sz w:val="24"/>
          <w:szCs w:val="24"/>
          <w:lang w:val="en-US"/>
        </w:rPr>
        <w:t>ere included in the study. M</w:t>
      </w:r>
      <w:r w:rsidRPr="00FB7D6B">
        <w:rPr>
          <w:rFonts w:ascii="Book Antiqua" w:hAnsi="Book Antiqua" w:cs="Arial"/>
          <w:sz w:val="24"/>
          <w:szCs w:val="24"/>
          <w:lang w:val="en-US"/>
        </w:rPr>
        <w:t>e</w:t>
      </w:r>
      <w:r w:rsidR="00DB3E03" w:rsidRPr="00FB7D6B">
        <w:rPr>
          <w:rFonts w:ascii="Book Antiqua" w:hAnsi="Book Antiqua" w:cs="Arial"/>
          <w:sz w:val="24"/>
          <w:szCs w:val="24"/>
          <w:lang w:val="en-US"/>
        </w:rPr>
        <w:t>a</w:t>
      </w:r>
      <w:r w:rsidRPr="00FB7D6B">
        <w:rPr>
          <w:rFonts w:ascii="Book Antiqua" w:hAnsi="Book Antiqua" w:cs="Arial"/>
          <w:sz w:val="24"/>
          <w:szCs w:val="24"/>
          <w:lang w:val="en-US"/>
        </w:rPr>
        <w:t>n age of the study population was</w:t>
      </w:r>
      <w:r w:rsidR="008E6C9E" w:rsidRPr="00FB7D6B">
        <w:rPr>
          <w:rFonts w:ascii="Book Antiqua" w:hAnsi="Book Antiqua" w:cs="Arial"/>
          <w:sz w:val="24"/>
          <w:szCs w:val="24"/>
          <w:lang w:val="en-US"/>
        </w:rPr>
        <w:t xml:space="preserve"> 4</w:t>
      </w:r>
      <w:r w:rsidR="00DB3E03" w:rsidRPr="00FB7D6B">
        <w:rPr>
          <w:rFonts w:ascii="Book Antiqua" w:hAnsi="Book Antiqua" w:cs="Arial"/>
          <w:sz w:val="24"/>
          <w:szCs w:val="24"/>
          <w:lang w:val="en-US"/>
        </w:rPr>
        <w:t>3</w:t>
      </w:r>
      <w:r w:rsidR="008E6C9E" w:rsidRPr="00FB7D6B">
        <w:rPr>
          <w:rFonts w:ascii="Book Antiqua" w:hAnsi="Book Antiqua" w:cs="Arial"/>
          <w:sz w:val="24"/>
          <w:szCs w:val="24"/>
          <w:lang w:val="en-US"/>
        </w:rPr>
        <w:t>.</w:t>
      </w:r>
      <w:r w:rsidR="00DB3E03" w:rsidRPr="00FB7D6B">
        <w:rPr>
          <w:rFonts w:ascii="Book Antiqua" w:hAnsi="Book Antiqua" w:cs="Arial"/>
          <w:sz w:val="24"/>
          <w:szCs w:val="24"/>
          <w:lang w:val="en-US"/>
        </w:rPr>
        <w:t>6</w:t>
      </w:r>
      <w:r w:rsidR="008E6C9E" w:rsidRPr="00FB7D6B">
        <w:rPr>
          <w:rFonts w:ascii="Book Antiqua" w:hAnsi="Book Antiqua" w:cs="Arial"/>
          <w:sz w:val="24"/>
          <w:szCs w:val="24"/>
          <w:lang w:val="en-US"/>
        </w:rPr>
        <w:t xml:space="preserve"> ± 14.9</w:t>
      </w:r>
      <w:r w:rsidR="00472A70" w:rsidRPr="00FB7D6B">
        <w:rPr>
          <w:rFonts w:ascii="Book Antiqua" w:hAnsi="Book Antiqua" w:cs="Arial"/>
          <w:sz w:val="24"/>
          <w:szCs w:val="24"/>
          <w:lang w:val="en-US"/>
        </w:rPr>
        <w:t xml:space="preserve"> </w:t>
      </w:r>
      <w:r w:rsidR="00472A70" w:rsidRPr="00FB7D6B">
        <w:rPr>
          <w:rFonts w:ascii="Book Antiqua" w:hAnsi="Book Antiqua" w:cs="Arial"/>
          <w:sz w:val="24"/>
          <w:szCs w:val="24"/>
          <w:lang w:val="en-US" w:eastAsia="zh-CN"/>
        </w:rPr>
        <w:t>(</w:t>
      </w:r>
      <w:r w:rsidR="0002742E" w:rsidRPr="00FB7D6B">
        <w:rPr>
          <w:rFonts w:ascii="Book Antiqua" w:hAnsi="Book Antiqua" w:cs="Arial"/>
          <w:sz w:val="24"/>
          <w:szCs w:val="24"/>
          <w:lang w:val="en-US"/>
        </w:rPr>
        <w:t>19-76</w:t>
      </w:r>
      <w:r w:rsidR="00472A70" w:rsidRPr="00FB7D6B">
        <w:rPr>
          <w:rFonts w:ascii="Book Antiqua" w:hAnsi="Book Antiqua" w:cs="Arial"/>
          <w:sz w:val="24"/>
          <w:szCs w:val="24"/>
          <w:lang w:val="en-US" w:eastAsia="zh-CN"/>
        </w:rPr>
        <w:t>)</w:t>
      </w:r>
      <w:r w:rsidR="00503462" w:rsidRPr="00FB7D6B">
        <w:rPr>
          <w:rFonts w:ascii="Book Antiqua" w:hAnsi="Book Antiqua" w:cs="Arial"/>
          <w:sz w:val="24"/>
          <w:szCs w:val="24"/>
          <w:lang w:val="en-US"/>
        </w:rPr>
        <w:t xml:space="preserve"> years </w:t>
      </w:r>
      <w:r w:rsidRPr="00FB7D6B">
        <w:rPr>
          <w:rFonts w:ascii="Book Antiqua" w:hAnsi="Book Antiqua" w:cs="Arial"/>
          <w:sz w:val="24"/>
          <w:szCs w:val="24"/>
          <w:lang w:val="en-US"/>
        </w:rPr>
        <w:t xml:space="preserve">while the majority </w:t>
      </w:r>
      <w:r w:rsidR="001169B3" w:rsidRPr="00FB7D6B">
        <w:rPr>
          <w:rFonts w:ascii="Book Antiqua" w:hAnsi="Book Antiqua" w:cs="Arial"/>
          <w:sz w:val="24"/>
          <w:szCs w:val="24"/>
          <w:lang w:val="en-US"/>
        </w:rPr>
        <w:t>was</w:t>
      </w:r>
      <w:r w:rsidR="00B47D15" w:rsidRPr="00FB7D6B">
        <w:rPr>
          <w:rFonts w:ascii="Book Antiqua" w:hAnsi="Book Antiqua" w:cs="Arial"/>
          <w:sz w:val="24"/>
          <w:szCs w:val="24"/>
          <w:lang w:val="en-US"/>
        </w:rPr>
        <w:t xml:space="preserve"> of</w:t>
      </w:r>
      <w:r w:rsidRPr="00FB7D6B">
        <w:rPr>
          <w:rFonts w:ascii="Book Antiqua" w:hAnsi="Book Antiqua" w:cs="Arial"/>
          <w:sz w:val="24"/>
          <w:szCs w:val="24"/>
          <w:lang w:val="en-US"/>
        </w:rPr>
        <w:t xml:space="preserve"> female</w:t>
      </w:r>
      <w:r w:rsidR="00B47D15" w:rsidRPr="00FB7D6B">
        <w:rPr>
          <w:rFonts w:ascii="Book Antiqua" w:hAnsi="Book Antiqua" w:cs="Arial"/>
          <w:sz w:val="24"/>
          <w:szCs w:val="24"/>
          <w:lang w:val="en-US"/>
        </w:rPr>
        <w:t xml:space="preserve"> gender</w:t>
      </w:r>
      <w:r w:rsidRPr="00FB7D6B">
        <w:rPr>
          <w:rFonts w:ascii="Book Antiqua" w:hAnsi="Book Antiqua" w:cs="Arial"/>
          <w:sz w:val="24"/>
          <w:szCs w:val="24"/>
          <w:lang w:val="en-US"/>
        </w:rPr>
        <w:t xml:space="preserve"> (</w:t>
      </w:r>
      <w:r w:rsidR="001169B3" w:rsidRPr="00FB7D6B">
        <w:rPr>
          <w:rFonts w:ascii="Book Antiqua" w:hAnsi="Book Antiqua" w:cs="Arial"/>
          <w:sz w:val="24"/>
          <w:szCs w:val="24"/>
          <w:lang w:val="en-US"/>
        </w:rPr>
        <w:t>44</w:t>
      </w:r>
      <w:r w:rsidRPr="00FB7D6B">
        <w:rPr>
          <w:rFonts w:ascii="Book Antiqua" w:hAnsi="Book Antiqua" w:cs="Arial"/>
          <w:sz w:val="24"/>
          <w:szCs w:val="24"/>
          <w:lang w:val="en-US"/>
        </w:rPr>
        <w:t>/52, 8</w:t>
      </w:r>
      <w:r w:rsidR="001169B3" w:rsidRPr="00FB7D6B">
        <w:rPr>
          <w:rFonts w:ascii="Book Antiqua" w:hAnsi="Book Antiqua" w:cs="Arial"/>
          <w:sz w:val="24"/>
          <w:szCs w:val="24"/>
          <w:lang w:val="en-US"/>
        </w:rPr>
        <w:t>4.6</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xml:space="preserve">). </w:t>
      </w:r>
      <w:r w:rsidR="00503462" w:rsidRPr="00FB7D6B">
        <w:rPr>
          <w:rFonts w:ascii="Book Antiqua" w:hAnsi="Book Antiqua" w:cs="Arial"/>
          <w:sz w:val="24"/>
          <w:szCs w:val="24"/>
          <w:lang w:val="en-US"/>
        </w:rPr>
        <w:t>L</w:t>
      </w:r>
      <w:r w:rsidR="001169B3" w:rsidRPr="00FB7D6B">
        <w:rPr>
          <w:rFonts w:ascii="Book Antiqua" w:hAnsi="Book Antiqua" w:cs="Arial"/>
          <w:sz w:val="24"/>
          <w:szCs w:val="24"/>
          <w:lang w:val="en-US"/>
        </w:rPr>
        <w:t xml:space="preserve">aboratory parameters </w:t>
      </w:r>
      <w:r w:rsidR="00503462" w:rsidRPr="00FB7D6B">
        <w:rPr>
          <w:rFonts w:ascii="Book Antiqua" w:hAnsi="Book Antiqua" w:cs="Arial"/>
          <w:sz w:val="24"/>
          <w:szCs w:val="24"/>
          <w:lang w:val="en-US"/>
        </w:rPr>
        <w:t>with median values on admission were as follows</w:t>
      </w:r>
      <w:r w:rsidR="001169B3" w:rsidRPr="00FB7D6B">
        <w:rPr>
          <w:rFonts w:ascii="Book Antiqua" w:hAnsi="Book Antiqua" w:cs="Arial"/>
          <w:sz w:val="24"/>
          <w:szCs w:val="24"/>
          <w:lang w:val="en-US"/>
        </w:rPr>
        <w:t>: ALT: 1391.0</w:t>
      </w:r>
      <w:r w:rsidR="00CC6534" w:rsidRPr="00FB7D6B">
        <w:rPr>
          <w:rFonts w:ascii="Book Antiqua" w:hAnsi="Book Antiqua" w:cs="Arial"/>
          <w:sz w:val="24"/>
          <w:szCs w:val="24"/>
          <w:lang w:val="en-US"/>
        </w:rPr>
        <w:t xml:space="preserve"> </w:t>
      </w:r>
      <w:r w:rsidR="00472A70" w:rsidRPr="00FB7D6B">
        <w:rPr>
          <w:rFonts w:ascii="Book Antiqua" w:hAnsi="Book Antiqua" w:cs="Arial"/>
          <w:sz w:val="24"/>
          <w:szCs w:val="24"/>
          <w:lang w:val="en-US" w:eastAsia="zh-CN"/>
        </w:rPr>
        <w:t>(</w:t>
      </w:r>
      <w:r w:rsidR="00CC6534" w:rsidRPr="00FB7D6B">
        <w:rPr>
          <w:rFonts w:ascii="Book Antiqua" w:hAnsi="Book Antiqua" w:cs="Arial"/>
          <w:sz w:val="24"/>
          <w:szCs w:val="24"/>
          <w:lang w:val="en-US"/>
        </w:rPr>
        <w:t>843.5-2154.5</w:t>
      </w:r>
      <w:r w:rsidR="00472A70" w:rsidRPr="00FB7D6B">
        <w:rPr>
          <w:rFonts w:ascii="Book Antiqua" w:hAnsi="Book Antiqua" w:cs="Arial"/>
          <w:sz w:val="24"/>
          <w:szCs w:val="24"/>
          <w:lang w:val="en-US" w:eastAsia="zh-CN"/>
        </w:rPr>
        <w:t>)</w:t>
      </w:r>
      <w:r w:rsidR="001169B3" w:rsidRPr="00FB7D6B">
        <w:rPr>
          <w:rFonts w:ascii="Book Antiqua" w:hAnsi="Book Antiqua" w:cs="Arial"/>
          <w:sz w:val="24"/>
          <w:szCs w:val="24"/>
          <w:lang w:val="en-US"/>
        </w:rPr>
        <w:t xml:space="preserve"> U/</w:t>
      </w:r>
      <w:r w:rsidR="003E0D42" w:rsidRPr="00FB7D6B">
        <w:rPr>
          <w:rFonts w:ascii="Book Antiqua" w:hAnsi="Book Antiqua" w:cs="Arial"/>
          <w:sz w:val="24"/>
          <w:szCs w:val="24"/>
          <w:lang w:val="en-US"/>
        </w:rPr>
        <w:t>L</w:t>
      </w:r>
      <w:r w:rsidR="001169B3" w:rsidRPr="00FB7D6B">
        <w:rPr>
          <w:rFonts w:ascii="Book Antiqua" w:hAnsi="Book Antiqua" w:cs="Arial"/>
          <w:sz w:val="24"/>
          <w:szCs w:val="24"/>
          <w:lang w:val="en-US"/>
        </w:rPr>
        <w:t xml:space="preserve">, total bilirubin: 14.3 </w:t>
      </w:r>
      <w:r w:rsidR="00472A70" w:rsidRPr="00FB7D6B">
        <w:rPr>
          <w:rFonts w:ascii="Book Antiqua" w:hAnsi="Book Antiqua" w:cs="Arial"/>
          <w:sz w:val="24"/>
          <w:szCs w:val="24"/>
          <w:lang w:val="en-US" w:eastAsia="zh-CN"/>
        </w:rPr>
        <w:t>(</w:t>
      </w:r>
      <w:r w:rsidR="00CC6534" w:rsidRPr="00FB7D6B">
        <w:rPr>
          <w:rFonts w:ascii="Book Antiqua" w:hAnsi="Book Antiqua" w:cs="Arial"/>
          <w:sz w:val="24"/>
          <w:szCs w:val="24"/>
          <w:lang w:val="en-US"/>
        </w:rPr>
        <w:t>1</w:t>
      </w:r>
      <w:r w:rsidR="001169B3" w:rsidRPr="00FB7D6B">
        <w:rPr>
          <w:rFonts w:ascii="Book Antiqua" w:hAnsi="Book Antiqua" w:cs="Arial"/>
          <w:sz w:val="24"/>
          <w:szCs w:val="24"/>
          <w:lang w:val="en-US"/>
        </w:rPr>
        <w:t>1.</w:t>
      </w:r>
      <w:r w:rsidR="00CC6534" w:rsidRPr="00FB7D6B">
        <w:rPr>
          <w:rFonts w:ascii="Book Antiqua" w:hAnsi="Book Antiqua" w:cs="Arial"/>
          <w:sz w:val="24"/>
          <w:szCs w:val="24"/>
          <w:lang w:val="en-US"/>
        </w:rPr>
        <w:t>7</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18.7</w:t>
      </w:r>
      <w:r w:rsidR="00472A70" w:rsidRPr="00FB7D6B">
        <w:rPr>
          <w:rFonts w:ascii="Book Antiqua" w:hAnsi="Book Antiqua" w:cs="Arial"/>
          <w:sz w:val="24"/>
          <w:szCs w:val="24"/>
          <w:lang w:val="en-US" w:eastAsia="zh-CN"/>
        </w:rPr>
        <w:t xml:space="preserve">) </w:t>
      </w:r>
      <w:r w:rsidR="00FC01B7" w:rsidRPr="00FB7D6B">
        <w:rPr>
          <w:rFonts w:ascii="Book Antiqua" w:hAnsi="Book Antiqua" w:cs="Arial"/>
          <w:sz w:val="24"/>
          <w:szCs w:val="24"/>
          <w:lang w:val="en-US"/>
        </w:rPr>
        <w:t>mg/dL</w:t>
      </w:r>
      <w:r w:rsidR="001169B3" w:rsidRPr="00FB7D6B">
        <w:rPr>
          <w:rFonts w:ascii="Book Antiqua" w:hAnsi="Book Antiqua" w:cs="Arial"/>
          <w:sz w:val="24"/>
          <w:szCs w:val="24"/>
          <w:lang w:val="en-US"/>
        </w:rPr>
        <w:t xml:space="preserve">, </w:t>
      </w:r>
      <w:r w:rsidR="00503462" w:rsidRPr="00FB7D6B">
        <w:rPr>
          <w:rFonts w:ascii="Book Antiqua" w:hAnsi="Book Antiqua" w:cs="Arial"/>
          <w:sz w:val="24"/>
          <w:szCs w:val="24"/>
          <w:lang w:val="en-US"/>
        </w:rPr>
        <w:t xml:space="preserve">serum </w:t>
      </w:r>
      <w:r w:rsidR="001169B3" w:rsidRPr="00FB7D6B">
        <w:rPr>
          <w:rFonts w:ascii="Book Antiqua" w:hAnsi="Book Antiqua" w:cs="Arial"/>
          <w:sz w:val="24"/>
          <w:szCs w:val="24"/>
          <w:lang w:val="en-US"/>
        </w:rPr>
        <w:t xml:space="preserve">creatinine: 0.76 </w:t>
      </w:r>
      <w:r w:rsidR="00472A70" w:rsidRPr="00FB7D6B">
        <w:rPr>
          <w:rFonts w:ascii="Book Antiqua" w:hAnsi="Book Antiqua" w:cs="Arial"/>
          <w:sz w:val="24"/>
          <w:szCs w:val="24"/>
          <w:lang w:val="en-US" w:eastAsia="zh-CN"/>
        </w:rPr>
        <w:t>(</w:t>
      </w:r>
      <w:r w:rsidR="001169B3" w:rsidRPr="00FB7D6B">
        <w:rPr>
          <w:rFonts w:ascii="Book Antiqua" w:hAnsi="Book Antiqua" w:cs="Arial"/>
          <w:sz w:val="24"/>
          <w:szCs w:val="24"/>
          <w:lang w:val="en-US"/>
        </w:rPr>
        <w:t>0.</w:t>
      </w:r>
      <w:r w:rsidR="00CC6534" w:rsidRPr="00FB7D6B">
        <w:rPr>
          <w:rFonts w:ascii="Book Antiqua" w:hAnsi="Book Antiqua" w:cs="Arial"/>
          <w:sz w:val="24"/>
          <w:szCs w:val="24"/>
          <w:lang w:val="en-US"/>
        </w:rPr>
        <w:t>55</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0.95</w:t>
      </w:r>
      <w:r w:rsidR="00472A70" w:rsidRPr="00FB7D6B">
        <w:rPr>
          <w:rFonts w:ascii="Book Antiqua" w:hAnsi="Book Antiqua" w:cs="Arial"/>
          <w:sz w:val="24"/>
          <w:szCs w:val="24"/>
          <w:lang w:val="en-US" w:eastAsia="zh-CN"/>
        </w:rPr>
        <w:t>)</w:t>
      </w:r>
      <w:r w:rsidR="00FC01B7" w:rsidRPr="00FB7D6B">
        <w:rPr>
          <w:rFonts w:ascii="Book Antiqua" w:hAnsi="Book Antiqua" w:cs="Arial"/>
          <w:sz w:val="24"/>
          <w:szCs w:val="24"/>
          <w:lang w:val="en-US"/>
        </w:rPr>
        <w:t xml:space="preserve"> mg/dL</w:t>
      </w:r>
      <w:r w:rsidR="001169B3" w:rsidRPr="00FB7D6B">
        <w:rPr>
          <w:rFonts w:ascii="Book Antiqua" w:hAnsi="Book Antiqua" w:cs="Arial"/>
          <w:sz w:val="24"/>
          <w:szCs w:val="24"/>
          <w:lang w:val="en-US"/>
        </w:rPr>
        <w:t xml:space="preserve">, INR: </w:t>
      </w:r>
      <w:r w:rsidR="00503462" w:rsidRPr="00FB7D6B">
        <w:rPr>
          <w:rFonts w:ascii="Book Antiqua" w:hAnsi="Book Antiqua" w:cs="Arial"/>
          <w:sz w:val="24"/>
          <w:szCs w:val="24"/>
          <w:lang w:val="en-US"/>
        </w:rPr>
        <w:t xml:space="preserve">1.78 </w:t>
      </w:r>
      <w:r w:rsidR="00472A70" w:rsidRPr="00FB7D6B">
        <w:rPr>
          <w:rFonts w:ascii="Book Antiqua" w:hAnsi="Book Antiqua" w:cs="Arial"/>
          <w:sz w:val="24"/>
          <w:szCs w:val="24"/>
          <w:lang w:val="en-US" w:eastAsia="zh-CN"/>
        </w:rPr>
        <w:t>(</w:t>
      </w:r>
      <w:r w:rsidR="00503462" w:rsidRPr="00FB7D6B">
        <w:rPr>
          <w:rFonts w:ascii="Book Antiqua" w:hAnsi="Book Antiqua" w:cs="Arial"/>
          <w:sz w:val="24"/>
          <w:szCs w:val="24"/>
          <w:lang w:val="en-US"/>
        </w:rPr>
        <w:t>1.</w:t>
      </w:r>
      <w:r w:rsidR="00CC6534" w:rsidRPr="00FB7D6B">
        <w:rPr>
          <w:rFonts w:ascii="Book Antiqua" w:hAnsi="Book Antiqua" w:cs="Arial"/>
          <w:sz w:val="24"/>
          <w:szCs w:val="24"/>
          <w:lang w:val="en-US"/>
        </w:rPr>
        <w:t>64</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2</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00</w:t>
      </w:r>
      <w:r w:rsidR="00472A70" w:rsidRPr="00FB7D6B">
        <w:rPr>
          <w:rFonts w:ascii="Book Antiqua" w:hAnsi="Book Antiqua" w:cs="Arial"/>
          <w:sz w:val="24"/>
          <w:szCs w:val="24"/>
          <w:lang w:val="en-US" w:eastAsia="zh-CN"/>
        </w:rPr>
        <w:t>)</w:t>
      </w:r>
      <w:r w:rsidR="001169B3" w:rsidRPr="00FB7D6B">
        <w:rPr>
          <w:rFonts w:ascii="Book Antiqua" w:hAnsi="Book Antiqua" w:cs="Arial"/>
          <w:sz w:val="24"/>
          <w:szCs w:val="24"/>
          <w:lang w:val="en-US"/>
        </w:rPr>
        <w:t>,</w:t>
      </w:r>
      <w:r w:rsidR="00493055" w:rsidRPr="00FB7D6B">
        <w:rPr>
          <w:rFonts w:ascii="Book Antiqua" w:hAnsi="Book Antiqua" w:cs="Arial"/>
          <w:sz w:val="24"/>
          <w:szCs w:val="24"/>
          <w:lang w:val="en-US"/>
        </w:rPr>
        <w:t xml:space="preserve"> </w:t>
      </w:r>
      <w:r w:rsidR="001169B3" w:rsidRPr="00FB7D6B">
        <w:rPr>
          <w:rFonts w:ascii="Book Antiqua" w:hAnsi="Book Antiqua" w:cs="Arial"/>
          <w:sz w:val="24"/>
          <w:szCs w:val="24"/>
          <w:lang w:val="en-US"/>
        </w:rPr>
        <w:t xml:space="preserve">immunoglobulin G: 17.2 </w:t>
      </w:r>
      <w:r w:rsidR="00472A70" w:rsidRPr="00FB7D6B">
        <w:rPr>
          <w:rFonts w:ascii="Book Antiqua" w:hAnsi="Book Antiqua" w:cs="Arial"/>
          <w:sz w:val="24"/>
          <w:szCs w:val="24"/>
          <w:lang w:val="en-US" w:eastAsia="zh-CN"/>
        </w:rPr>
        <w:t>(</w:t>
      </w:r>
      <w:r w:rsidR="00CC6534" w:rsidRPr="00FB7D6B">
        <w:rPr>
          <w:rFonts w:ascii="Book Antiqua" w:hAnsi="Book Antiqua" w:cs="Arial"/>
          <w:sz w:val="24"/>
          <w:szCs w:val="24"/>
          <w:lang w:val="en-US"/>
        </w:rPr>
        <w:t>13</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1</w:t>
      </w:r>
      <w:r w:rsidR="001169B3" w:rsidRPr="00FB7D6B">
        <w:rPr>
          <w:rFonts w:ascii="Book Antiqua" w:hAnsi="Book Antiqua" w:cs="Arial"/>
          <w:sz w:val="24"/>
          <w:szCs w:val="24"/>
          <w:lang w:val="en-US"/>
        </w:rPr>
        <w:t>-</w:t>
      </w:r>
      <w:r w:rsidR="00CC6534" w:rsidRPr="00FB7D6B">
        <w:rPr>
          <w:rFonts w:ascii="Book Antiqua" w:hAnsi="Book Antiqua" w:cs="Arial"/>
          <w:sz w:val="24"/>
          <w:szCs w:val="24"/>
          <w:lang w:val="en-US"/>
        </w:rPr>
        <w:t>22.8</w:t>
      </w:r>
      <w:r w:rsidR="00472A70" w:rsidRPr="00FB7D6B">
        <w:rPr>
          <w:rFonts w:ascii="Book Antiqua" w:hAnsi="Book Antiqua" w:cs="Arial"/>
          <w:sz w:val="24"/>
          <w:szCs w:val="24"/>
          <w:lang w:val="en-US" w:eastAsia="zh-CN"/>
        </w:rPr>
        <w:t>)</w:t>
      </w:r>
      <w:r w:rsidR="00AD3D21" w:rsidRPr="00FB7D6B">
        <w:rPr>
          <w:rFonts w:ascii="Book Antiqua" w:hAnsi="Book Antiqua" w:cs="Arial"/>
          <w:sz w:val="24"/>
          <w:szCs w:val="24"/>
          <w:lang w:val="en-US"/>
        </w:rPr>
        <w:t xml:space="preserve"> g/</w:t>
      </w:r>
      <w:r w:rsidR="00472A70" w:rsidRPr="00FB7D6B">
        <w:rPr>
          <w:rFonts w:ascii="Book Antiqua" w:hAnsi="Book Antiqua" w:cs="Arial"/>
          <w:sz w:val="24"/>
          <w:szCs w:val="24"/>
          <w:lang w:val="en-US"/>
        </w:rPr>
        <w:t>L</w:t>
      </w:r>
      <w:r w:rsidR="00493055" w:rsidRPr="00FB7D6B">
        <w:rPr>
          <w:rFonts w:ascii="Book Antiqua" w:hAnsi="Book Antiqua" w:cs="Arial"/>
          <w:sz w:val="24"/>
          <w:szCs w:val="24"/>
          <w:lang w:val="en-US"/>
        </w:rPr>
        <w:t>, and</w:t>
      </w:r>
      <w:r w:rsidR="00503462" w:rsidRPr="00FB7D6B">
        <w:rPr>
          <w:rFonts w:ascii="Book Antiqua" w:hAnsi="Book Antiqua" w:cs="Arial"/>
          <w:sz w:val="24"/>
          <w:szCs w:val="24"/>
          <w:lang w:val="en-US"/>
        </w:rPr>
        <w:t xml:space="preserve"> finally,</w:t>
      </w:r>
      <w:r w:rsidR="00493055" w:rsidRPr="00FB7D6B">
        <w:rPr>
          <w:rFonts w:ascii="Book Antiqua" w:hAnsi="Book Antiqua" w:cs="Arial"/>
          <w:sz w:val="24"/>
          <w:szCs w:val="24"/>
          <w:lang w:val="en-US"/>
        </w:rPr>
        <w:t xml:space="preserve"> </w:t>
      </w:r>
      <w:r w:rsidR="00503462" w:rsidRPr="00FB7D6B">
        <w:rPr>
          <w:rFonts w:ascii="Times New Roman" w:hAnsi="Times New Roman"/>
          <w:sz w:val="24"/>
          <w:szCs w:val="24"/>
          <w:lang w:val="en-US"/>
        </w:rPr>
        <w:t>ɣ</w:t>
      </w:r>
      <w:r w:rsidR="00493055" w:rsidRPr="00FB7D6B">
        <w:rPr>
          <w:rFonts w:ascii="Book Antiqua" w:hAnsi="Book Antiqua" w:cs="Arial"/>
          <w:sz w:val="24"/>
          <w:szCs w:val="24"/>
          <w:lang w:val="en-US"/>
        </w:rPr>
        <w:t>-</w:t>
      </w:r>
      <w:r w:rsidR="00CC50A5" w:rsidRPr="00FB7D6B">
        <w:rPr>
          <w:rFonts w:ascii="Book Antiqua" w:hAnsi="Book Antiqua" w:cs="Arial"/>
          <w:sz w:val="24"/>
          <w:szCs w:val="24"/>
          <w:lang w:val="en-US"/>
        </w:rPr>
        <w:t>globulin</w:t>
      </w:r>
      <w:r w:rsidR="00503462" w:rsidRPr="00FB7D6B">
        <w:rPr>
          <w:rFonts w:ascii="Book Antiqua" w:hAnsi="Book Antiqua" w:cs="Arial"/>
          <w:sz w:val="24"/>
          <w:szCs w:val="24"/>
          <w:lang w:val="en-US"/>
        </w:rPr>
        <w:t>-fraction</w:t>
      </w:r>
      <w:r w:rsidR="00472A70" w:rsidRPr="00FB7D6B">
        <w:rPr>
          <w:rFonts w:ascii="Book Antiqua" w:hAnsi="Book Antiqua" w:cs="Arial"/>
          <w:sz w:val="24"/>
          <w:szCs w:val="24"/>
          <w:lang w:val="en-US"/>
        </w:rPr>
        <w:t>: 24.5</w:t>
      </w:r>
      <w:r w:rsidR="003E0D42" w:rsidRPr="00FB7D6B">
        <w:rPr>
          <w:rFonts w:ascii="Book Antiqua" w:hAnsi="Book Antiqua" w:cs="Arial"/>
          <w:sz w:val="24"/>
          <w:szCs w:val="24"/>
          <w:lang w:val="en-US"/>
        </w:rPr>
        <w:t>%</w:t>
      </w:r>
      <w:r w:rsidR="00472A70" w:rsidRPr="00FB7D6B">
        <w:rPr>
          <w:rFonts w:ascii="Book Antiqua" w:hAnsi="Book Antiqua" w:cs="Arial"/>
          <w:sz w:val="24"/>
          <w:szCs w:val="24"/>
          <w:lang w:val="en-US"/>
        </w:rPr>
        <w:t xml:space="preserve"> </w:t>
      </w:r>
      <w:r w:rsidR="00472A70" w:rsidRPr="00FB7D6B">
        <w:rPr>
          <w:rFonts w:ascii="Book Antiqua" w:hAnsi="Book Antiqua" w:cs="Arial"/>
          <w:sz w:val="24"/>
          <w:szCs w:val="24"/>
          <w:lang w:val="en-US" w:eastAsia="zh-CN"/>
        </w:rPr>
        <w:t>(</w:t>
      </w:r>
      <w:r w:rsidR="00CC6534" w:rsidRPr="00FB7D6B">
        <w:rPr>
          <w:rFonts w:ascii="Book Antiqua" w:hAnsi="Book Antiqua" w:cs="Arial"/>
          <w:sz w:val="24"/>
          <w:szCs w:val="24"/>
          <w:lang w:val="en-US"/>
        </w:rPr>
        <w:t>19.5</w:t>
      </w:r>
      <w:r w:rsidR="003E0D42" w:rsidRPr="00FB7D6B">
        <w:rPr>
          <w:rFonts w:ascii="Book Antiqua" w:hAnsi="Book Antiqua" w:cs="Arial"/>
          <w:sz w:val="24"/>
          <w:szCs w:val="24"/>
          <w:lang w:val="en-US"/>
        </w:rPr>
        <w:t>%</w:t>
      </w:r>
      <w:r w:rsidR="00493055" w:rsidRPr="00FB7D6B">
        <w:rPr>
          <w:rFonts w:ascii="Book Antiqua" w:hAnsi="Book Antiqua" w:cs="Arial"/>
          <w:sz w:val="24"/>
          <w:szCs w:val="24"/>
          <w:lang w:val="en-US"/>
        </w:rPr>
        <w:t>-</w:t>
      </w:r>
      <w:r w:rsidR="00CC6534" w:rsidRPr="00FB7D6B">
        <w:rPr>
          <w:rFonts w:ascii="Book Antiqua" w:hAnsi="Book Antiqua" w:cs="Arial"/>
          <w:sz w:val="24"/>
          <w:szCs w:val="24"/>
          <w:lang w:val="en-US"/>
        </w:rPr>
        <w:t>29.3</w:t>
      </w:r>
      <w:r w:rsidR="003E0D42" w:rsidRPr="00FB7D6B">
        <w:rPr>
          <w:rFonts w:ascii="Book Antiqua" w:hAnsi="Book Antiqua" w:cs="Arial"/>
          <w:sz w:val="24"/>
          <w:szCs w:val="24"/>
          <w:lang w:val="en-US"/>
        </w:rPr>
        <w:t>%</w:t>
      </w:r>
      <w:r w:rsidR="00BB1637">
        <w:rPr>
          <w:rFonts w:ascii="Book Antiqua" w:hAnsi="Book Antiqua" w:cs="Arial"/>
          <w:sz w:val="24"/>
          <w:szCs w:val="24"/>
          <w:lang w:val="en-US" w:eastAsia="zh-CN"/>
        </w:rPr>
        <w:t>)</w:t>
      </w:r>
      <w:r w:rsidR="00503462" w:rsidRPr="00FB7D6B">
        <w:rPr>
          <w:rFonts w:ascii="Book Antiqua" w:hAnsi="Book Antiqua" w:cs="Arial"/>
          <w:sz w:val="24"/>
          <w:szCs w:val="24"/>
          <w:lang w:val="en-US"/>
        </w:rPr>
        <w:t xml:space="preserve">. Calculated </w:t>
      </w:r>
      <w:r w:rsidR="00AD3D21" w:rsidRPr="00FB7D6B">
        <w:rPr>
          <w:rFonts w:ascii="Book Antiqua" w:hAnsi="Book Antiqua" w:cs="Arial"/>
          <w:sz w:val="24"/>
          <w:szCs w:val="24"/>
          <w:lang w:val="en-US"/>
        </w:rPr>
        <w:t xml:space="preserve">median </w:t>
      </w:r>
      <w:r w:rsidR="00503462" w:rsidRPr="00FB7D6B">
        <w:rPr>
          <w:rFonts w:ascii="Book Antiqua" w:hAnsi="Book Antiqua" w:cs="Arial"/>
          <w:sz w:val="24"/>
          <w:szCs w:val="24"/>
          <w:lang w:val="en-US"/>
        </w:rPr>
        <w:t>labMELD-</w:t>
      </w:r>
      <w:r w:rsidR="00AD3D21" w:rsidRPr="00FB7D6B">
        <w:rPr>
          <w:rFonts w:ascii="Book Antiqua" w:hAnsi="Book Antiqua" w:cs="Arial"/>
          <w:sz w:val="24"/>
          <w:szCs w:val="24"/>
          <w:lang w:val="en-US"/>
        </w:rPr>
        <w:t xml:space="preserve">score was 24 </w:t>
      </w:r>
      <w:r w:rsidR="00472A70" w:rsidRPr="00FB7D6B">
        <w:rPr>
          <w:rFonts w:ascii="Book Antiqua" w:hAnsi="Book Antiqua" w:cs="Arial"/>
          <w:sz w:val="24"/>
          <w:szCs w:val="24"/>
          <w:lang w:val="en-US" w:eastAsia="zh-CN"/>
        </w:rPr>
        <w:t>(</w:t>
      </w:r>
      <w:r w:rsidR="00190BC4" w:rsidRPr="00FB7D6B">
        <w:rPr>
          <w:rFonts w:ascii="Book Antiqua" w:hAnsi="Book Antiqua" w:cs="Arial"/>
          <w:sz w:val="24"/>
          <w:szCs w:val="24"/>
          <w:lang w:val="en-US"/>
        </w:rPr>
        <w:t>2</w:t>
      </w:r>
      <w:r w:rsidR="00AD3D21" w:rsidRPr="00FB7D6B">
        <w:rPr>
          <w:rFonts w:ascii="Book Antiqua" w:hAnsi="Book Antiqua" w:cs="Arial"/>
          <w:sz w:val="24"/>
          <w:szCs w:val="24"/>
          <w:lang w:val="en-US"/>
        </w:rPr>
        <w:t>2-</w:t>
      </w:r>
      <w:r w:rsidR="00190BC4" w:rsidRPr="00FB7D6B">
        <w:rPr>
          <w:rFonts w:ascii="Book Antiqua" w:hAnsi="Book Antiqua" w:cs="Arial"/>
          <w:sz w:val="24"/>
          <w:szCs w:val="24"/>
          <w:lang w:val="en-US"/>
        </w:rPr>
        <w:t>26</w:t>
      </w:r>
      <w:r w:rsidR="00472A70" w:rsidRPr="00FB7D6B">
        <w:rPr>
          <w:rFonts w:ascii="Book Antiqua" w:hAnsi="Book Antiqua" w:cs="Arial"/>
          <w:sz w:val="24"/>
          <w:szCs w:val="24"/>
          <w:lang w:val="en-US" w:eastAsia="zh-CN"/>
        </w:rPr>
        <w:t>)</w:t>
      </w:r>
      <w:r w:rsidR="00AD3D21" w:rsidRPr="00FB7D6B">
        <w:rPr>
          <w:rFonts w:ascii="Book Antiqua" w:hAnsi="Book Antiqua" w:cs="Arial"/>
          <w:sz w:val="24"/>
          <w:szCs w:val="24"/>
          <w:lang w:val="en-US"/>
        </w:rPr>
        <w:t xml:space="preserve"> points. </w:t>
      </w:r>
      <w:r w:rsidR="00CC50A5" w:rsidRPr="00FB7D6B">
        <w:rPr>
          <w:rFonts w:ascii="Book Antiqua" w:hAnsi="Book Antiqua" w:cs="Arial"/>
          <w:sz w:val="24"/>
          <w:szCs w:val="24"/>
          <w:lang w:val="en-US"/>
        </w:rPr>
        <w:t>All patients with AIH-induced ALF received a pulse therapy with steroids starting with 1 mg/kg body weight intravenously. A total of 30 patients (57.7</w:t>
      </w:r>
      <w:r w:rsidR="004C43BA" w:rsidRPr="00FB7D6B">
        <w:rPr>
          <w:rFonts w:ascii="Book Antiqua" w:hAnsi="Book Antiqua" w:cs="Arial"/>
          <w:sz w:val="24"/>
          <w:szCs w:val="24"/>
          <w:lang w:val="en-US"/>
        </w:rPr>
        <w:t>%</w:t>
      </w:r>
      <w:r w:rsidR="00CC50A5" w:rsidRPr="00FB7D6B">
        <w:rPr>
          <w:rFonts w:ascii="Book Antiqua" w:hAnsi="Book Antiqua" w:cs="Arial"/>
          <w:sz w:val="24"/>
          <w:szCs w:val="24"/>
          <w:lang w:val="en-US"/>
        </w:rPr>
        <w:t>) continued steroids in a daily dose of 7.5 mg to maintain remission. Azathioprine (in 27 patients, 51.9</w:t>
      </w:r>
      <w:r w:rsidR="004C43BA" w:rsidRPr="00FB7D6B">
        <w:rPr>
          <w:rFonts w:ascii="Book Antiqua" w:hAnsi="Book Antiqua" w:cs="Arial"/>
          <w:sz w:val="24"/>
          <w:szCs w:val="24"/>
          <w:lang w:val="en-US"/>
        </w:rPr>
        <w:t>%</w:t>
      </w:r>
      <w:r w:rsidR="00CC50A5" w:rsidRPr="00FB7D6B">
        <w:rPr>
          <w:rFonts w:ascii="Book Antiqua" w:hAnsi="Book Antiqua" w:cs="Arial"/>
          <w:sz w:val="24"/>
          <w:szCs w:val="24"/>
          <w:lang w:val="en-US"/>
        </w:rPr>
        <w:t>)</w:t>
      </w:r>
      <w:r w:rsidR="00444ACC" w:rsidRPr="00FB7D6B">
        <w:rPr>
          <w:rFonts w:ascii="Book Antiqua" w:hAnsi="Book Antiqua" w:cs="Arial"/>
          <w:sz w:val="24"/>
          <w:szCs w:val="24"/>
          <w:lang w:val="en-US"/>
        </w:rPr>
        <w:t xml:space="preserve"> and also cyclosporine A</w:t>
      </w:r>
      <w:r w:rsidR="00CC50A5" w:rsidRPr="00FB7D6B">
        <w:rPr>
          <w:rFonts w:ascii="Book Antiqua" w:hAnsi="Book Antiqua" w:cs="Arial"/>
          <w:sz w:val="24"/>
          <w:szCs w:val="24"/>
          <w:lang w:val="en-US"/>
        </w:rPr>
        <w:t xml:space="preserve"> (in 7 patients, 13.5</w:t>
      </w:r>
      <w:r w:rsidR="004C43BA" w:rsidRPr="00FB7D6B">
        <w:rPr>
          <w:rFonts w:ascii="Book Antiqua" w:hAnsi="Book Antiqua" w:cs="Arial"/>
          <w:sz w:val="24"/>
          <w:szCs w:val="24"/>
          <w:lang w:val="en-US"/>
        </w:rPr>
        <w:t>%</w:t>
      </w:r>
      <w:r w:rsidR="00CC50A5" w:rsidRPr="00FB7D6B">
        <w:rPr>
          <w:rFonts w:ascii="Book Antiqua" w:hAnsi="Book Antiqua" w:cs="Arial"/>
          <w:sz w:val="24"/>
          <w:szCs w:val="24"/>
          <w:lang w:val="en-US"/>
        </w:rPr>
        <w:t>) were a</w:t>
      </w:r>
      <w:r w:rsidR="005D7771" w:rsidRPr="00FB7D6B">
        <w:rPr>
          <w:rFonts w:ascii="Book Antiqua" w:hAnsi="Book Antiqua" w:cs="Arial"/>
          <w:sz w:val="24"/>
          <w:szCs w:val="24"/>
          <w:lang w:val="en-US"/>
        </w:rPr>
        <w:t>lso used to</w:t>
      </w:r>
      <w:r w:rsidR="00444ACC" w:rsidRPr="00FB7D6B">
        <w:rPr>
          <w:rFonts w:ascii="Book Antiqua" w:hAnsi="Book Antiqua" w:cs="Arial"/>
          <w:sz w:val="24"/>
          <w:szCs w:val="24"/>
          <w:lang w:val="en-US"/>
        </w:rPr>
        <w:t xml:space="preserve"> maintain remission. H</w:t>
      </w:r>
      <w:r w:rsidR="005D7771" w:rsidRPr="00FB7D6B">
        <w:rPr>
          <w:rFonts w:ascii="Book Antiqua" w:hAnsi="Book Antiqua" w:cs="Arial"/>
          <w:sz w:val="24"/>
          <w:szCs w:val="24"/>
          <w:lang w:val="en-US"/>
        </w:rPr>
        <w:t>epatic encephalopathy (HE)</w:t>
      </w:r>
      <w:r w:rsidR="00444ACC" w:rsidRPr="00FB7D6B">
        <w:rPr>
          <w:rFonts w:ascii="Book Antiqua" w:hAnsi="Book Antiqua" w:cs="Arial"/>
          <w:sz w:val="24"/>
          <w:szCs w:val="24"/>
          <w:lang w:val="en-US"/>
        </w:rPr>
        <w:t xml:space="preserve"> was classified using the West Haven criteria. W</w:t>
      </w:r>
      <w:r w:rsidR="005D7771" w:rsidRPr="00FB7D6B">
        <w:rPr>
          <w:rFonts w:ascii="Book Antiqua" w:hAnsi="Book Antiqua" w:cs="Arial"/>
          <w:sz w:val="24"/>
          <w:szCs w:val="24"/>
          <w:lang w:val="en-US"/>
        </w:rPr>
        <w:t xml:space="preserve">e found HE </w:t>
      </w:r>
      <w:r w:rsidR="005D7771" w:rsidRPr="00FB7D6B">
        <w:rPr>
          <w:rFonts w:ascii="Book Antiqua" w:hAnsi="Book Antiqua" w:cs="Arial"/>
          <w:sz w:val="24"/>
          <w:szCs w:val="24"/>
          <w:lang w:val="en-US"/>
        </w:rPr>
        <w:lastRenderedPageBreak/>
        <w:t>grade I in 46 of our 52 patients (88.4</w:t>
      </w:r>
      <w:r w:rsidR="004C43BA" w:rsidRPr="00FB7D6B">
        <w:rPr>
          <w:rFonts w:ascii="Book Antiqua" w:hAnsi="Book Antiqua" w:cs="Arial"/>
          <w:sz w:val="24"/>
          <w:szCs w:val="24"/>
          <w:lang w:val="en-US"/>
        </w:rPr>
        <w:t>%</w:t>
      </w:r>
      <w:r w:rsidR="005D7771" w:rsidRPr="00FB7D6B">
        <w:rPr>
          <w:rFonts w:ascii="Book Antiqua" w:hAnsi="Book Antiqua" w:cs="Arial"/>
          <w:sz w:val="24"/>
          <w:szCs w:val="24"/>
          <w:lang w:val="en-US"/>
        </w:rPr>
        <w:t xml:space="preserve">), HE grade II in 2 patients, HE grade III in 2 patients, and finally, HE grade IV in 2 further patients, respectively. Unfortunately, patients with HE grade IV had poor prognosis and died of acute liver failure. We found no correlation between grade of HE and antibody or HLA-profiles. Moreover, we also did not found a correlation between the triggering factors with severity of HE (data nor shown). </w:t>
      </w:r>
      <w:r w:rsidR="00AD3D21" w:rsidRPr="00FB7D6B">
        <w:rPr>
          <w:rFonts w:ascii="Book Antiqua" w:hAnsi="Book Antiqua" w:cs="Arial"/>
          <w:sz w:val="24"/>
          <w:szCs w:val="24"/>
          <w:lang w:val="en-US"/>
        </w:rPr>
        <w:t>Patients’ demographics and laboratory data</w:t>
      </w:r>
      <w:r w:rsidR="00503462" w:rsidRPr="00FB7D6B">
        <w:rPr>
          <w:rFonts w:ascii="Book Antiqua" w:hAnsi="Book Antiqua" w:cs="Arial"/>
          <w:sz w:val="24"/>
          <w:szCs w:val="24"/>
          <w:lang w:val="en-US"/>
        </w:rPr>
        <w:t xml:space="preserve"> are summariz</w:t>
      </w:r>
      <w:r w:rsidR="00AD3D21" w:rsidRPr="00FB7D6B">
        <w:rPr>
          <w:rFonts w:ascii="Book Antiqua" w:hAnsi="Book Antiqua" w:cs="Arial"/>
          <w:sz w:val="24"/>
          <w:szCs w:val="24"/>
          <w:lang w:val="en-US"/>
        </w:rPr>
        <w:t>ed in Table 1.</w:t>
      </w:r>
    </w:p>
    <w:p w:rsidR="00472A70" w:rsidRPr="00FB7D6B" w:rsidRDefault="00472A70" w:rsidP="00FB7D6B">
      <w:pPr>
        <w:adjustRightInd w:val="0"/>
        <w:snapToGrid w:val="0"/>
        <w:spacing w:after="0" w:line="360" w:lineRule="auto"/>
        <w:jc w:val="both"/>
        <w:rPr>
          <w:rFonts w:ascii="Book Antiqua" w:hAnsi="Book Antiqua" w:cs="Arial"/>
          <w:i/>
          <w:sz w:val="24"/>
          <w:szCs w:val="24"/>
          <w:lang w:val="en-US" w:eastAsia="zh-CN"/>
        </w:rPr>
      </w:pPr>
    </w:p>
    <w:p w:rsidR="009210AA" w:rsidRPr="00FB7D6B" w:rsidRDefault="00503462"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 xml:space="preserve">HLA-typing </w:t>
      </w:r>
      <w:r w:rsidR="009210AA" w:rsidRPr="00FB7D6B">
        <w:rPr>
          <w:rFonts w:ascii="Book Antiqua" w:hAnsi="Book Antiqua" w:cs="Arial"/>
          <w:b/>
          <w:i/>
          <w:sz w:val="24"/>
          <w:szCs w:val="24"/>
          <w:lang w:val="en-US"/>
        </w:rPr>
        <w:t xml:space="preserve">and </w:t>
      </w:r>
      <w:r w:rsidR="00967255" w:rsidRPr="00FB7D6B">
        <w:rPr>
          <w:rFonts w:ascii="Book Antiqua" w:hAnsi="Book Antiqua" w:cs="Arial"/>
          <w:b/>
          <w:i/>
          <w:sz w:val="24"/>
          <w:szCs w:val="24"/>
          <w:lang w:val="en-US"/>
        </w:rPr>
        <w:t>auto-</w:t>
      </w:r>
      <w:r w:rsidR="009210AA" w:rsidRPr="00FB7D6B">
        <w:rPr>
          <w:rFonts w:ascii="Book Antiqua" w:hAnsi="Book Antiqua" w:cs="Arial"/>
          <w:b/>
          <w:i/>
          <w:sz w:val="24"/>
          <w:szCs w:val="24"/>
          <w:lang w:val="en-US"/>
        </w:rPr>
        <w:t>antibody profile</w:t>
      </w:r>
      <w:r w:rsidRPr="00FB7D6B">
        <w:rPr>
          <w:rFonts w:ascii="Book Antiqua" w:hAnsi="Book Antiqua" w:cs="Arial"/>
          <w:b/>
          <w:i/>
          <w:sz w:val="24"/>
          <w:szCs w:val="24"/>
          <w:lang w:val="en-US"/>
        </w:rPr>
        <w:t>s</w:t>
      </w:r>
    </w:p>
    <w:p w:rsidR="00FC0BB5" w:rsidRPr="00FB7D6B" w:rsidRDefault="0023482C"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Thirty-six out of 52 patients were positive for ANA (69.2</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6/52 for AMA (11.5</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4/52 for SMA (7.7</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and 2/5</w:t>
      </w:r>
      <w:r w:rsidR="0018488F" w:rsidRPr="00FB7D6B">
        <w:rPr>
          <w:rFonts w:ascii="Book Antiqua" w:hAnsi="Book Antiqua" w:cs="Arial"/>
          <w:sz w:val="24"/>
          <w:szCs w:val="24"/>
          <w:lang w:val="en-US"/>
        </w:rPr>
        <w:t>2</w:t>
      </w:r>
      <w:r w:rsidRPr="00FB7D6B">
        <w:rPr>
          <w:rFonts w:ascii="Book Antiqua" w:hAnsi="Book Antiqua" w:cs="Arial"/>
          <w:sz w:val="24"/>
          <w:szCs w:val="24"/>
          <w:lang w:val="en-US"/>
        </w:rPr>
        <w:t xml:space="preserve"> for SLA (3.8</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respectively.</w:t>
      </w:r>
      <w:r w:rsidR="00503462" w:rsidRPr="00FB7D6B">
        <w:rPr>
          <w:rFonts w:ascii="Book Antiqua" w:hAnsi="Book Antiqua" w:cs="Arial"/>
          <w:sz w:val="24"/>
          <w:szCs w:val="24"/>
          <w:lang w:val="en-US"/>
        </w:rPr>
        <w:t xml:space="preserve"> Interestingly, n</w:t>
      </w:r>
      <w:r w:rsidRPr="00FB7D6B">
        <w:rPr>
          <w:rFonts w:ascii="Book Antiqua" w:hAnsi="Book Antiqua" w:cs="Arial"/>
          <w:sz w:val="24"/>
          <w:szCs w:val="24"/>
          <w:lang w:val="en-US"/>
        </w:rPr>
        <w:t xml:space="preserve">one of the </w:t>
      </w:r>
      <w:r w:rsidR="008E6C9E" w:rsidRPr="00FB7D6B">
        <w:rPr>
          <w:rFonts w:ascii="Book Antiqua" w:hAnsi="Book Antiqua" w:cs="Arial"/>
          <w:sz w:val="24"/>
          <w:szCs w:val="24"/>
          <w:lang w:val="en-US"/>
        </w:rPr>
        <w:t xml:space="preserve">adult </w:t>
      </w:r>
      <w:r w:rsidRPr="00FB7D6B">
        <w:rPr>
          <w:rFonts w:ascii="Book Antiqua" w:hAnsi="Book Antiqua" w:cs="Arial"/>
          <w:sz w:val="24"/>
          <w:szCs w:val="24"/>
          <w:lang w:val="en-US"/>
        </w:rPr>
        <w:t xml:space="preserve">patients </w:t>
      </w:r>
      <w:r w:rsidR="00503462" w:rsidRPr="00FB7D6B">
        <w:rPr>
          <w:rFonts w:ascii="Book Antiqua" w:hAnsi="Book Antiqua" w:cs="Arial"/>
          <w:sz w:val="24"/>
          <w:szCs w:val="24"/>
          <w:lang w:val="en-US"/>
        </w:rPr>
        <w:t xml:space="preserve">with acute liver failure </w:t>
      </w:r>
      <w:r w:rsidRPr="00FB7D6B">
        <w:rPr>
          <w:rFonts w:ascii="Book Antiqua" w:hAnsi="Book Antiqua" w:cs="Arial"/>
          <w:sz w:val="24"/>
          <w:szCs w:val="24"/>
          <w:lang w:val="en-US"/>
        </w:rPr>
        <w:t>wa</w:t>
      </w:r>
      <w:r w:rsidR="00503462" w:rsidRPr="00FB7D6B">
        <w:rPr>
          <w:rFonts w:ascii="Book Antiqua" w:hAnsi="Book Antiqua" w:cs="Arial"/>
          <w:sz w:val="24"/>
          <w:szCs w:val="24"/>
          <w:lang w:val="en-US"/>
        </w:rPr>
        <w:t xml:space="preserve">s </w:t>
      </w:r>
      <w:r w:rsidR="00A157B4" w:rsidRPr="00FB7D6B">
        <w:rPr>
          <w:rFonts w:ascii="Book Antiqua" w:hAnsi="Book Antiqua" w:cs="Arial"/>
          <w:sz w:val="24"/>
          <w:szCs w:val="24"/>
          <w:lang w:val="en-US"/>
        </w:rPr>
        <w:t xml:space="preserve">either </w:t>
      </w:r>
      <w:r w:rsidR="00503462" w:rsidRPr="00FB7D6B">
        <w:rPr>
          <w:rFonts w:ascii="Book Antiqua" w:hAnsi="Book Antiqua" w:cs="Arial"/>
          <w:sz w:val="24"/>
          <w:szCs w:val="24"/>
          <w:lang w:val="en-US"/>
        </w:rPr>
        <w:t xml:space="preserve">positive for ANCA or LKM. Data on HLA-loci were available for </w:t>
      </w:r>
      <w:r w:rsidRPr="00FB7D6B">
        <w:rPr>
          <w:rFonts w:ascii="Book Antiqua" w:hAnsi="Book Antiqua" w:cs="Arial"/>
          <w:sz w:val="24"/>
          <w:szCs w:val="24"/>
          <w:lang w:val="en-US"/>
        </w:rPr>
        <w:t>34 patients (65.4</w:t>
      </w:r>
      <w:r w:rsidR="004C43BA"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showing </w:t>
      </w:r>
      <w:r w:rsidRPr="00FB7D6B">
        <w:rPr>
          <w:rFonts w:ascii="Book Antiqua" w:hAnsi="Book Antiqua" w:cs="Arial"/>
          <w:sz w:val="24"/>
          <w:szCs w:val="24"/>
          <w:lang w:val="en-US"/>
        </w:rPr>
        <w:t>the following results: HLA-A1 positivity in 15/34 (44.1</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HLA-B8 in 6/34 (17.6</w:t>
      </w:r>
      <w:r w:rsidR="004C43BA" w:rsidRPr="00FB7D6B">
        <w:rPr>
          <w:rFonts w:ascii="Book Antiqua" w:hAnsi="Book Antiqua" w:cs="Arial"/>
          <w:sz w:val="24"/>
          <w:szCs w:val="24"/>
          <w:lang w:val="en-US"/>
        </w:rPr>
        <w:t>%</w:t>
      </w:r>
      <w:r w:rsidRPr="00FB7D6B">
        <w:rPr>
          <w:rFonts w:ascii="Book Antiqua" w:hAnsi="Book Antiqua" w:cs="Arial"/>
          <w:sz w:val="24"/>
          <w:szCs w:val="24"/>
          <w:lang w:val="en-US"/>
        </w:rPr>
        <w:t>), HLA-DR3 in 8/34 (23.5</w:t>
      </w:r>
      <w:r w:rsidR="004C43BA" w:rsidRPr="00FB7D6B">
        <w:rPr>
          <w:rFonts w:ascii="Book Antiqua" w:hAnsi="Book Antiqua" w:cs="Arial"/>
          <w:sz w:val="24"/>
          <w:szCs w:val="24"/>
          <w:lang w:val="en-US"/>
        </w:rPr>
        <w:t>%</w:t>
      </w:r>
      <w:r w:rsidRPr="00FB7D6B">
        <w:rPr>
          <w:rFonts w:ascii="Book Antiqua" w:hAnsi="Book Antiqua" w:cs="Arial"/>
          <w:sz w:val="24"/>
          <w:szCs w:val="24"/>
          <w:lang w:val="en-US"/>
        </w:rPr>
        <w:t>)</w:t>
      </w:r>
      <w:r w:rsidR="00503462" w:rsidRPr="00FB7D6B">
        <w:rPr>
          <w:rFonts w:ascii="Book Antiqua" w:hAnsi="Book Antiqua" w:cs="Arial"/>
          <w:sz w:val="24"/>
          <w:szCs w:val="24"/>
          <w:lang w:val="en-US"/>
        </w:rPr>
        <w:t>,</w:t>
      </w:r>
      <w:r w:rsidRPr="00FB7D6B">
        <w:rPr>
          <w:rFonts w:ascii="Book Antiqua" w:hAnsi="Book Antiqua" w:cs="Arial"/>
          <w:sz w:val="24"/>
          <w:szCs w:val="24"/>
          <w:lang w:val="en-US"/>
        </w:rPr>
        <w:t xml:space="preserve"> and HLA-DR4 in 11/34 </w:t>
      </w:r>
      <w:r w:rsidR="00A157B4" w:rsidRPr="00FB7D6B">
        <w:rPr>
          <w:rFonts w:ascii="Book Antiqua" w:hAnsi="Book Antiqua" w:cs="Arial"/>
          <w:sz w:val="24"/>
          <w:szCs w:val="24"/>
          <w:lang w:val="en-US"/>
        </w:rPr>
        <w:t xml:space="preserve">patients </w:t>
      </w:r>
      <w:r w:rsidRPr="00FB7D6B">
        <w:rPr>
          <w:rFonts w:ascii="Book Antiqua" w:hAnsi="Book Antiqua" w:cs="Arial"/>
          <w:sz w:val="24"/>
          <w:szCs w:val="24"/>
          <w:lang w:val="en-US"/>
        </w:rPr>
        <w:t>(32.4</w:t>
      </w:r>
      <w:r w:rsidR="004C43BA" w:rsidRPr="00FB7D6B">
        <w:rPr>
          <w:rFonts w:ascii="Book Antiqua" w:hAnsi="Book Antiqua" w:cs="Arial"/>
          <w:sz w:val="24"/>
          <w:szCs w:val="24"/>
          <w:lang w:val="en-US"/>
        </w:rPr>
        <w:t>%</w:t>
      </w:r>
      <w:r w:rsidR="00A157B4" w:rsidRPr="00FB7D6B">
        <w:rPr>
          <w:rFonts w:ascii="Book Antiqua" w:hAnsi="Book Antiqua" w:cs="Arial"/>
          <w:sz w:val="24"/>
          <w:szCs w:val="24"/>
          <w:lang w:val="en-US"/>
        </w:rPr>
        <w:t>)</w:t>
      </w:r>
      <w:r w:rsidRPr="00FB7D6B">
        <w:rPr>
          <w:rFonts w:ascii="Book Antiqua" w:hAnsi="Book Antiqua" w:cs="Arial"/>
          <w:sz w:val="24"/>
          <w:szCs w:val="24"/>
          <w:lang w:val="en-US"/>
        </w:rPr>
        <w:t>. HLA- and antibody profile</w:t>
      </w:r>
      <w:r w:rsidR="00503462" w:rsidRPr="00FB7D6B">
        <w:rPr>
          <w:rFonts w:ascii="Book Antiqua" w:hAnsi="Book Antiqua" w:cs="Arial"/>
          <w:sz w:val="24"/>
          <w:szCs w:val="24"/>
          <w:lang w:val="en-US"/>
        </w:rPr>
        <w:t xml:space="preserve">s of our </w:t>
      </w:r>
      <w:r w:rsidRPr="00FB7D6B">
        <w:rPr>
          <w:rFonts w:ascii="Book Antiqua" w:hAnsi="Book Antiqua" w:cs="Arial"/>
          <w:sz w:val="24"/>
          <w:szCs w:val="24"/>
          <w:lang w:val="en-US"/>
        </w:rPr>
        <w:t xml:space="preserve">study population are demonstrated in Figure </w:t>
      </w:r>
      <w:r w:rsidR="00C82A11" w:rsidRPr="00FB7D6B">
        <w:rPr>
          <w:rFonts w:ascii="Book Antiqua" w:hAnsi="Book Antiqua" w:cs="Arial"/>
          <w:sz w:val="24"/>
          <w:szCs w:val="24"/>
          <w:lang w:val="en-US"/>
        </w:rPr>
        <w:t>2</w:t>
      </w:r>
      <w:r w:rsidR="00CE4DDA" w:rsidRPr="00FB7D6B">
        <w:rPr>
          <w:rFonts w:ascii="Book Antiqua" w:hAnsi="Book Antiqua" w:cs="Arial"/>
          <w:sz w:val="24"/>
          <w:szCs w:val="24"/>
          <w:lang w:val="en-US"/>
        </w:rPr>
        <w:t>A</w:t>
      </w:r>
      <w:r w:rsidRPr="00FB7D6B">
        <w:rPr>
          <w:rFonts w:ascii="Book Antiqua" w:hAnsi="Book Antiqua" w:cs="Arial"/>
          <w:sz w:val="24"/>
          <w:szCs w:val="24"/>
          <w:lang w:val="en-US"/>
        </w:rPr>
        <w:t xml:space="preserve"> and </w:t>
      </w:r>
      <w:r w:rsidR="00CE4DDA" w:rsidRPr="00FB7D6B">
        <w:rPr>
          <w:rFonts w:ascii="Book Antiqua" w:hAnsi="Book Antiqua" w:cs="Arial"/>
          <w:sz w:val="24"/>
          <w:szCs w:val="24"/>
          <w:lang w:val="en-US"/>
        </w:rPr>
        <w:t>B</w:t>
      </w:r>
      <w:r w:rsidRPr="00FB7D6B">
        <w:rPr>
          <w:rFonts w:ascii="Book Antiqua" w:hAnsi="Book Antiqua" w:cs="Arial"/>
          <w:sz w:val="24"/>
          <w:szCs w:val="24"/>
          <w:lang w:val="en-US"/>
        </w:rPr>
        <w:t>.</w:t>
      </w:r>
    </w:p>
    <w:p w:rsidR="007C6DFC" w:rsidRPr="00FB7D6B" w:rsidRDefault="007C6DFC" w:rsidP="00FB7D6B">
      <w:pPr>
        <w:adjustRightInd w:val="0"/>
        <w:snapToGrid w:val="0"/>
        <w:spacing w:after="0" w:line="360" w:lineRule="auto"/>
        <w:jc w:val="both"/>
        <w:rPr>
          <w:rFonts w:ascii="Book Antiqua" w:hAnsi="Book Antiqua" w:cs="Arial"/>
          <w:sz w:val="24"/>
          <w:szCs w:val="24"/>
          <w:lang w:val="en-US" w:eastAsia="zh-CN"/>
        </w:rPr>
      </w:pPr>
    </w:p>
    <w:p w:rsidR="009210AA" w:rsidRPr="00FB7D6B" w:rsidRDefault="008E6C9E"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Potential t</w:t>
      </w:r>
      <w:r w:rsidR="009210AA" w:rsidRPr="00FB7D6B">
        <w:rPr>
          <w:rFonts w:ascii="Book Antiqua" w:hAnsi="Book Antiqua" w:cs="Arial"/>
          <w:b/>
          <w:i/>
          <w:sz w:val="24"/>
          <w:szCs w:val="24"/>
          <w:lang w:val="en-US"/>
        </w:rPr>
        <w:t>riggering factors for ALF in patients with first manifestation of AIH</w:t>
      </w:r>
    </w:p>
    <w:p w:rsidR="007C6DFC" w:rsidRPr="00FB7D6B" w:rsidRDefault="00877F98"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We could identify potential t</w:t>
      </w:r>
      <w:r w:rsidR="00875A28" w:rsidRPr="00FB7D6B">
        <w:rPr>
          <w:rFonts w:ascii="Book Antiqua" w:hAnsi="Book Antiqua" w:cs="Arial"/>
          <w:sz w:val="24"/>
          <w:szCs w:val="24"/>
          <w:lang w:val="en-US"/>
        </w:rPr>
        <w:t xml:space="preserve">riggering factors for ALF in patients with </w:t>
      </w:r>
      <w:r w:rsidR="00503462" w:rsidRPr="00FB7D6B">
        <w:rPr>
          <w:rFonts w:ascii="Book Antiqua" w:hAnsi="Book Antiqua" w:cs="Arial"/>
          <w:sz w:val="24"/>
          <w:szCs w:val="24"/>
          <w:lang w:val="en-US"/>
        </w:rPr>
        <w:t xml:space="preserve">their </w:t>
      </w:r>
      <w:r w:rsidR="00875A28" w:rsidRPr="00FB7D6B">
        <w:rPr>
          <w:rFonts w:ascii="Book Antiqua" w:hAnsi="Book Antiqua" w:cs="Arial"/>
          <w:sz w:val="24"/>
          <w:szCs w:val="24"/>
          <w:lang w:val="en-US"/>
        </w:rPr>
        <w:t>first manife</w:t>
      </w:r>
      <w:r w:rsidRPr="00FB7D6B">
        <w:rPr>
          <w:rFonts w:ascii="Book Antiqua" w:hAnsi="Book Antiqua" w:cs="Arial"/>
          <w:sz w:val="24"/>
          <w:szCs w:val="24"/>
          <w:lang w:val="en-US"/>
        </w:rPr>
        <w:t>station of AIH</w:t>
      </w:r>
      <w:r w:rsidR="00875A28" w:rsidRPr="00FB7D6B">
        <w:rPr>
          <w:rFonts w:ascii="Book Antiqua" w:hAnsi="Book Antiqua" w:cs="Arial"/>
          <w:sz w:val="24"/>
          <w:szCs w:val="24"/>
          <w:lang w:val="en-US"/>
        </w:rPr>
        <w:t xml:space="preserve"> in 26/52 patients (50.0</w:t>
      </w:r>
      <w:r w:rsidR="004C43BA" w:rsidRPr="00FB7D6B">
        <w:rPr>
          <w:rFonts w:ascii="Book Antiqua" w:hAnsi="Book Antiqua" w:cs="Arial"/>
          <w:sz w:val="24"/>
          <w:szCs w:val="24"/>
          <w:lang w:val="en-US"/>
        </w:rPr>
        <w:t>%</w:t>
      </w:r>
      <w:r w:rsidR="00875A28" w:rsidRPr="00FB7D6B">
        <w:rPr>
          <w:rFonts w:ascii="Book Antiqua" w:hAnsi="Book Antiqua" w:cs="Arial"/>
          <w:sz w:val="24"/>
          <w:szCs w:val="24"/>
          <w:lang w:val="en-US"/>
        </w:rPr>
        <w:t>). These tri</w:t>
      </w:r>
      <w:r w:rsidR="00A157B4" w:rsidRPr="00FB7D6B">
        <w:rPr>
          <w:rFonts w:ascii="Book Antiqua" w:hAnsi="Book Antiqua" w:cs="Arial"/>
          <w:sz w:val="24"/>
          <w:szCs w:val="24"/>
          <w:lang w:val="en-US"/>
        </w:rPr>
        <w:t>ggers were predominantly drugs [</w:t>
      </w:r>
      <w:r w:rsidR="00875A28" w:rsidRPr="00FB7D6B">
        <w:rPr>
          <w:rFonts w:ascii="Book Antiqua" w:hAnsi="Book Antiqua" w:cs="Arial"/>
          <w:sz w:val="24"/>
          <w:szCs w:val="24"/>
          <w:lang w:val="en-US"/>
        </w:rPr>
        <w:t>15/26 (</w:t>
      </w:r>
      <w:r w:rsidR="00CB19EE" w:rsidRPr="00FB7D6B">
        <w:rPr>
          <w:rFonts w:ascii="Book Antiqua" w:hAnsi="Book Antiqua" w:cs="Arial"/>
          <w:sz w:val="24"/>
          <w:szCs w:val="24"/>
          <w:lang w:val="en-US"/>
        </w:rPr>
        <w:t>57</w:t>
      </w:r>
      <w:r w:rsidR="00875A28" w:rsidRPr="00FB7D6B">
        <w:rPr>
          <w:rFonts w:ascii="Book Antiqua" w:hAnsi="Book Antiqua" w:cs="Arial"/>
          <w:sz w:val="24"/>
          <w:szCs w:val="24"/>
          <w:lang w:val="en-US"/>
        </w:rPr>
        <w:t>.</w:t>
      </w:r>
      <w:r w:rsidR="00CB19EE" w:rsidRPr="00FB7D6B">
        <w:rPr>
          <w:rFonts w:ascii="Book Antiqua" w:hAnsi="Book Antiqua" w:cs="Arial"/>
          <w:sz w:val="24"/>
          <w:szCs w:val="24"/>
          <w:lang w:val="en-US"/>
        </w:rPr>
        <w:t>7</w:t>
      </w:r>
      <w:r w:rsidR="004C43BA" w:rsidRPr="00FB7D6B">
        <w:rPr>
          <w:rFonts w:ascii="Book Antiqua" w:hAnsi="Book Antiqua" w:cs="Arial"/>
          <w:sz w:val="24"/>
          <w:szCs w:val="24"/>
          <w:lang w:val="en-US"/>
        </w:rPr>
        <w:t>%</w:t>
      </w:r>
      <w:r w:rsidR="00875A28" w:rsidRPr="00FB7D6B">
        <w:rPr>
          <w:rFonts w:ascii="Book Antiqua" w:hAnsi="Book Antiqua" w:cs="Arial"/>
          <w:sz w:val="24"/>
          <w:szCs w:val="24"/>
          <w:lang w:val="en-US"/>
        </w:rPr>
        <w:t xml:space="preserve">), </w:t>
      </w:r>
      <w:r w:rsidR="00503462" w:rsidRPr="00FB7D6B">
        <w:rPr>
          <w:rFonts w:ascii="Book Antiqua" w:hAnsi="Book Antiqua" w:cs="Arial"/>
          <w:sz w:val="24"/>
          <w:szCs w:val="24"/>
          <w:lang w:val="en-US"/>
        </w:rPr>
        <w:t xml:space="preserve">namely </w:t>
      </w:r>
      <w:r w:rsidRPr="00FB7D6B">
        <w:rPr>
          <w:rFonts w:ascii="Book Antiqua" w:hAnsi="Book Antiqua" w:cs="Arial"/>
          <w:sz w:val="24"/>
          <w:szCs w:val="24"/>
          <w:lang w:val="en-US"/>
        </w:rPr>
        <w:t xml:space="preserve">non-steroidal anti-inflammatory </w:t>
      </w:r>
      <w:r w:rsidR="00875A28" w:rsidRPr="00FB7D6B">
        <w:rPr>
          <w:rFonts w:ascii="Book Antiqua" w:hAnsi="Book Antiqua" w:cs="Arial"/>
          <w:sz w:val="24"/>
          <w:szCs w:val="24"/>
          <w:lang w:val="en-US"/>
        </w:rPr>
        <w:t>drugs (NSA</w:t>
      </w:r>
      <w:r w:rsidRPr="00FB7D6B">
        <w:rPr>
          <w:rFonts w:ascii="Book Antiqua" w:hAnsi="Book Antiqua" w:cs="Arial"/>
          <w:sz w:val="24"/>
          <w:szCs w:val="24"/>
          <w:lang w:val="en-US"/>
        </w:rPr>
        <w:t>I</w:t>
      </w:r>
      <w:r w:rsidR="00875A28" w:rsidRPr="00FB7D6B">
        <w:rPr>
          <w:rFonts w:ascii="Book Antiqua" w:hAnsi="Book Antiqua" w:cs="Arial"/>
          <w:sz w:val="24"/>
          <w:szCs w:val="24"/>
          <w:lang w:val="en-US"/>
        </w:rPr>
        <w:t>D) (</w:t>
      </w:r>
      <w:r w:rsidR="00875A28" w:rsidRPr="00FB7D6B">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8), antibiotics (</w:t>
      </w:r>
      <w:r w:rsidR="00875A28" w:rsidRPr="00FB7D6B">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5), ipilimumab (</w:t>
      </w:r>
      <w:r w:rsidR="00875A28" w:rsidRPr="00FB7D6B">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1), and rivaroxaban (</w:t>
      </w:r>
      <w:r w:rsidR="00875A28" w:rsidRPr="00FB7D6B">
        <w:rPr>
          <w:rFonts w:ascii="Book Antiqua" w:hAnsi="Book Antiqua" w:cs="Arial"/>
          <w:i/>
          <w:sz w:val="24"/>
          <w:szCs w:val="24"/>
          <w:lang w:val="en-US"/>
        </w:rPr>
        <w:t>n</w:t>
      </w:r>
      <w:r w:rsidR="00503462" w:rsidRPr="00FB7D6B">
        <w:rPr>
          <w:rFonts w:ascii="Book Antiqua" w:hAnsi="Book Antiqua" w:cs="Arial"/>
          <w:i/>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00A157B4" w:rsidRPr="00FB7D6B">
        <w:rPr>
          <w:rFonts w:ascii="Book Antiqua" w:hAnsi="Book Antiqua" w:cs="Arial"/>
          <w:sz w:val="24"/>
          <w:szCs w:val="24"/>
          <w:lang w:val="en-US"/>
        </w:rPr>
        <w:t>1)]</w:t>
      </w:r>
      <w:r w:rsidR="00875A28" w:rsidRPr="00FB7D6B">
        <w:rPr>
          <w:rFonts w:ascii="Book Antiqua" w:hAnsi="Book Antiqua" w:cs="Arial"/>
          <w:sz w:val="24"/>
          <w:szCs w:val="24"/>
          <w:lang w:val="en-US"/>
        </w:rPr>
        <w:t xml:space="preserve"> followed by previous </w:t>
      </w:r>
      <w:r w:rsidR="00503462" w:rsidRPr="00FB7D6B">
        <w:rPr>
          <w:rFonts w:ascii="Book Antiqua" w:hAnsi="Book Antiqua" w:cs="Arial"/>
          <w:sz w:val="24"/>
          <w:szCs w:val="24"/>
          <w:lang w:val="en-US"/>
        </w:rPr>
        <w:t xml:space="preserve">acute </w:t>
      </w:r>
      <w:r w:rsidR="00875A28" w:rsidRPr="00FB7D6B">
        <w:rPr>
          <w:rFonts w:ascii="Book Antiqua" w:hAnsi="Book Antiqua" w:cs="Arial"/>
          <w:sz w:val="24"/>
          <w:szCs w:val="24"/>
          <w:lang w:val="en-US"/>
        </w:rPr>
        <w:t>viral infection</w:t>
      </w:r>
      <w:r w:rsidR="00503462" w:rsidRPr="00FB7D6B">
        <w:rPr>
          <w:rFonts w:ascii="Book Antiqua" w:hAnsi="Book Antiqua" w:cs="Arial"/>
          <w:sz w:val="24"/>
          <w:szCs w:val="24"/>
          <w:lang w:val="en-US"/>
        </w:rPr>
        <w:t>s</w:t>
      </w:r>
      <w:r w:rsidR="00A157B4"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8/26 (</w:t>
      </w:r>
      <w:r w:rsidR="00CB19EE" w:rsidRPr="00FB7D6B">
        <w:rPr>
          <w:rFonts w:ascii="Book Antiqua" w:hAnsi="Book Antiqua" w:cs="Arial"/>
          <w:sz w:val="24"/>
          <w:szCs w:val="24"/>
          <w:lang w:val="en-US"/>
        </w:rPr>
        <w:t>30.8</w:t>
      </w:r>
      <w:r w:rsidR="004C43BA" w:rsidRPr="00FB7D6B">
        <w:rPr>
          <w:rFonts w:ascii="Book Antiqua" w:hAnsi="Book Antiqua" w:cs="Arial"/>
          <w:sz w:val="24"/>
          <w:szCs w:val="24"/>
          <w:lang w:val="en-US"/>
        </w:rPr>
        <w:t>%</w:t>
      </w:r>
      <w:r w:rsidR="00875A28" w:rsidRPr="00FB7D6B">
        <w:rPr>
          <w:rFonts w:ascii="Book Antiqua" w:hAnsi="Book Antiqua" w:cs="Arial"/>
          <w:sz w:val="24"/>
          <w:szCs w:val="24"/>
          <w:lang w:val="en-US"/>
        </w:rPr>
        <w:t xml:space="preserve">), </w:t>
      </w:r>
      <w:r w:rsidR="00503462" w:rsidRPr="00FB7D6B">
        <w:rPr>
          <w:rFonts w:ascii="Book Antiqua" w:hAnsi="Book Antiqua" w:cs="Arial"/>
          <w:sz w:val="24"/>
          <w:szCs w:val="24"/>
          <w:lang w:val="en-US"/>
        </w:rPr>
        <w:t xml:space="preserve">namely </w:t>
      </w:r>
      <w:r w:rsidR="00F32AB2" w:rsidRPr="00FB7D6B">
        <w:rPr>
          <w:rFonts w:ascii="Book Antiqua" w:hAnsi="Book Antiqua" w:cs="Arial"/>
          <w:sz w:val="24"/>
          <w:szCs w:val="24"/>
          <w:lang w:val="en-US"/>
        </w:rPr>
        <w:t>Epstein-B</w:t>
      </w:r>
      <w:r w:rsidR="00875A28" w:rsidRPr="00FB7D6B">
        <w:rPr>
          <w:rFonts w:ascii="Book Antiqua" w:hAnsi="Book Antiqua" w:cs="Arial"/>
          <w:sz w:val="24"/>
          <w:szCs w:val="24"/>
          <w:lang w:val="en-US"/>
        </w:rPr>
        <w:t>arr virus (</w:t>
      </w:r>
      <w:r w:rsidR="00875A28" w:rsidRPr="00BB1637">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Pr="00FB7D6B">
        <w:rPr>
          <w:rFonts w:ascii="Book Antiqua" w:hAnsi="Book Antiqua" w:cs="Arial"/>
          <w:sz w:val="24"/>
          <w:szCs w:val="24"/>
          <w:lang w:val="en-US"/>
        </w:rPr>
        <w:t xml:space="preserve">4), </w:t>
      </w:r>
      <w:r w:rsidR="00F32AB2" w:rsidRPr="00FB7D6B">
        <w:rPr>
          <w:rFonts w:ascii="Book Antiqua" w:hAnsi="Book Antiqua" w:cs="Arial"/>
          <w:sz w:val="24"/>
          <w:szCs w:val="24"/>
          <w:lang w:val="en-US"/>
        </w:rPr>
        <w:t xml:space="preserve">Cytomegalovirus </w:t>
      </w:r>
      <w:r w:rsidR="00875A28" w:rsidRPr="00FB7D6B">
        <w:rPr>
          <w:rFonts w:ascii="Book Antiqua" w:hAnsi="Book Antiqua" w:cs="Arial"/>
          <w:sz w:val="24"/>
          <w:szCs w:val="24"/>
          <w:lang w:val="en-US"/>
        </w:rPr>
        <w:t>(</w:t>
      </w:r>
      <w:r w:rsidR="00875A28" w:rsidRPr="00BB1637">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Pr="00FB7D6B">
        <w:rPr>
          <w:rFonts w:ascii="Book Antiqua" w:hAnsi="Book Antiqua" w:cs="Arial"/>
          <w:sz w:val="24"/>
          <w:szCs w:val="24"/>
          <w:lang w:val="en-US"/>
        </w:rPr>
        <w:t xml:space="preserve"> 3</w:t>
      </w:r>
      <w:r w:rsidR="00503462" w:rsidRPr="00FB7D6B">
        <w:rPr>
          <w:rFonts w:ascii="Book Antiqua" w:hAnsi="Book Antiqua" w:cs="Arial"/>
          <w:sz w:val="24"/>
          <w:szCs w:val="24"/>
          <w:lang w:val="en-US"/>
        </w:rPr>
        <w:t xml:space="preserve">), </w:t>
      </w:r>
      <w:r w:rsidRPr="00FB7D6B">
        <w:rPr>
          <w:rFonts w:ascii="Book Antiqua" w:hAnsi="Book Antiqua" w:cs="Arial"/>
          <w:sz w:val="24"/>
          <w:szCs w:val="24"/>
          <w:lang w:val="en-US"/>
        </w:rPr>
        <w:t xml:space="preserve">and </w:t>
      </w:r>
      <w:r w:rsidR="00503462" w:rsidRPr="00FB7D6B">
        <w:rPr>
          <w:rFonts w:ascii="Book Antiqua" w:hAnsi="Book Antiqua" w:cs="Arial"/>
          <w:sz w:val="24"/>
          <w:szCs w:val="24"/>
          <w:lang w:val="en-US"/>
        </w:rPr>
        <w:t>hepatitis E</w:t>
      </w:r>
      <w:r w:rsidR="00875A28" w:rsidRPr="00FB7D6B">
        <w:rPr>
          <w:rFonts w:ascii="Book Antiqua" w:hAnsi="Book Antiqua" w:cs="Arial"/>
          <w:sz w:val="24"/>
          <w:szCs w:val="24"/>
          <w:lang w:val="en-US"/>
        </w:rPr>
        <w:t xml:space="preserve"> virus (</w:t>
      </w:r>
      <w:r w:rsidR="00875A28" w:rsidRPr="00BB1637">
        <w:rPr>
          <w:rFonts w:ascii="Book Antiqua" w:hAnsi="Book Antiqua" w:cs="Arial"/>
          <w:i/>
          <w:sz w:val="24"/>
          <w:szCs w:val="24"/>
          <w:lang w:val="en-US"/>
        </w:rPr>
        <w:t>n</w:t>
      </w:r>
      <w:r w:rsidR="00503462" w:rsidRPr="00FB7D6B">
        <w:rPr>
          <w:rFonts w:ascii="Book Antiqua" w:hAnsi="Book Antiqua" w:cs="Arial"/>
          <w:sz w:val="24"/>
          <w:szCs w:val="24"/>
          <w:lang w:val="en-US"/>
        </w:rPr>
        <w:t xml:space="preserve"> </w:t>
      </w:r>
      <w:r w:rsidR="00875A28" w:rsidRPr="00FB7D6B">
        <w:rPr>
          <w:rFonts w:ascii="Book Antiqua" w:hAnsi="Book Antiqua" w:cs="Arial"/>
          <w:sz w:val="24"/>
          <w:szCs w:val="24"/>
          <w:lang w:val="en-US"/>
        </w:rPr>
        <w:t>=</w:t>
      </w:r>
      <w:r w:rsidR="00503462" w:rsidRPr="00FB7D6B">
        <w:rPr>
          <w:rFonts w:ascii="Book Antiqua" w:hAnsi="Book Antiqua" w:cs="Arial"/>
          <w:sz w:val="24"/>
          <w:szCs w:val="24"/>
          <w:lang w:val="en-US"/>
        </w:rPr>
        <w:t xml:space="preserve"> </w:t>
      </w:r>
      <w:r w:rsidR="00A157B4" w:rsidRPr="00FB7D6B">
        <w:rPr>
          <w:rFonts w:ascii="Book Antiqua" w:hAnsi="Book Antiqua" w:cs="Arial"/>
          <w:sz w:val="24"/>
          <w:szCs w:val="24"/>
          <w:lang w:val="en-US"/>
        </w:rPr>
        <w:t>1)]</w:t>
      </w:r>
      <w:r w:rsidRPr="00FB7D6B">
        <w:rPr>
          <w:rFonts w:ascii="Book Antiqua" w:hAnsi="Book Antiqua" w:cs="Arial"/>
          <w:sz w:val="24"/>
          <w:szCs w:val="24"/>
          <w:lang w:val="en-US"/>
        </w:rPr>
        <w:t>.</w:t>
      </w:r>
      <w:r w:rsidR="00875A28" w:rsidRPr="00FB7D6B">
        <w:rPr>
          <w:rFonts w:ascii="Book Antiqua" w:hAnsi="Book Antiqua" w:cs="Arial"/>
          <w:sz w:val="24"/>
          <w:szCs w:val="24"/>
          <w:lang w:val="en-US"/>
        </w:rPr>
        <w:t xml:space="preserve"> </w:t>
      </w:r>
      <w:r w:rsidR="00FC01B7" w:rsidRPr="00FB7D6B">
        <w:rPr>
          <w:rFonts w:ascii="Book Antiqua" w:hAnsi="Book Antiqua" w:cs="Arial"/>
          <w:sz w:val="24"/>
          <w:szCs w:val="24"/>
          <w:lang w:val="en-US"/>
        </w:rPr>
        <w:t xml:space="preserve">Finally, the remaining 3 </w:t>
      </w:r>
      <w:r w:rsidR="004F2C03" w:rsidRPr="00FB7D6B">
        <w:rPr>
          <w:rFonts w:ascii="Book Antiqua" w:hAnsi="Book Antiqua" w:cs="Arial"/>
          <w:sz w:val="24"/>
          <w:szCs w:val="24"/>
          <w:lang w:val="en-US"/>
        </w:rPr>
        <w:t>patients underwent previous surgery in general anesthesia (</w:t>
      </w:r>
      <w:r w:rsidR="00CB19EE" w:rsidRPr="00FB7D6B">
        <w:rPr>
          <w:rFonts w:ascii="Book Antiqua" w:hAnsi="Book Antiqua" w:cs="Arial"/>
          <w:sz w:val="24"/>
          <w:szCs w:val="24"/>
          <w:lang w:val="en-US"/>
        </w:rPr>
        <w:t>11</w:t>
      </w:r>
      <w:r w:rsidR="004F2C03" w:rsidRPr="00FB7D6B">
        <w:rPr>
          <w:rFonts w:ascii="Book Antiqua" w:hAnsi="Book Antiqua" w:cs="Arial"/>
          <w:sz w:val="24"/>
          <w:szCs w:val="24"/>
          <w:lang w:val="en-US"/>
        </w:rPr>
        <w:t>.</w:t>
      </w:r>
      <w:r w:rsidR="00CB19EE" w:rsidRPr="00FB7D6B">
        <w:rPr>
          <w:rFonts w:ascii="Book Antiqua" w:hAnsi="Book Antiqua" w:cs="Arial"/>
          <w:sz w:val="24"/>
          <w:szCs w:val="24"/>
          <w:lang w:val="en-US"/>
        </w:rPr>
        <w:t>5</w:t>
      </w:r>
      <w:r w:rsidR="004C43BA" w:rsidRPr="00FB7D6B">
        <w:rPr>
          <w:rFonts w:ascii="Book Antiqua" w:hAnsi="Book Antiqua" w:cs="Arial"/>
          <w:sz w:val="24"/>
          <w:szCs w:val="24"/>
          <w:lang w:val="en-US"/>
        </w:rPr>
        <w:t>%</w:t>
      </w:r>
      <w:r w:rsidR="004F2C03" w:rsidRPr="00FB7D6B">
        <w:rPr>
          <w:rFonts w:ascii="Book Antiqua" w:hAnsi="Book Antiqua" w:cs="Arial"/>
          <w:sz w:val="24"/>
          <w:szCs w:val="24"/>
          <w:lang w:val="en-US"/>
        </w:rPr>
        <w:t>)</w:t>
      </w:r>
      <w:r w:rsidR="004F2C03" w:rsidRPr="00FB7D6B">
        <w:rPr>
          <w:rFonts w:ascii="Book Antiqua" w:hAnsi="Book Antiqua" w:cs="Arial"/>
          <w:b/>
          <w:sz w:val="24"/>
          <w:szCs w:val="24"/>
          <w:lang w:val="en-US"/>
        </w:rPr>
        <w:t xml:space="preserve"> </w:t>
      </w:r>
      <w:r w:rsidR="004F2C03" w:rsidRPr="00FB7D6B">
        <w:rPr>
          <w:rFonts w:ascii="Book Antiqua" w:hAnsi="Book Antiqua" w:cs="Arial"/>
          <w:sz w:val="24"/>
          <w:szCs w:val="24"/>
          <w:lang w:val="en-US"/>
        </w:rPr>
        <w:t xml:space="preserve">(Figure </w:t>
      </w:r>
      <w:r w:rsidR="00C82A11" w:rsidRPr="00FB7D6B">
        <w:rPr>
          <w:rFonts w:ascii="Book Antiqua" w:hAnsi="Book Antiqua" w:cs="Arial"/>
          <w:sz w:val="24"/>
          <w:szCs w:val="24"/>
          <w:lang w:val="en-US"/>
        </w:rPr>
        <w:t>3</w:t>
      </w:r>
      <w:r w:rsidR="004F2C03" w:rsidRPr="00FB7D6B">
        <w:rPr>
          <w:rFonts w:ascii="Book Antiqua" w:hAnsi="Book Antiqua" w:cs="Arial"/>
          <w:sz w:val="24"/>
          <w:szCs w:val="24"/>
          <w:lang w:val="en-US"/>
        </w:rPr>
        <w:t>).</w:t>
      </w:r>
    </w:p>
    <w:p w:rsidR="005E45E2" w:rsidRPr="00FB7D6B" w:rsidRDefault="00875A28"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 xml:space="preserve"> </w:t>
      </w:r>
    </w:p>
    <w:p w:rsidR="009210AA" w:rsidRPr="00FB7D6B" w:rsidRDefault="00503462" w:rsidP="00FB7D6B">
      <w:pPr>
        <w:adjustRightInd w:val="0"/>
        <w:snapToGrid w:val="0"/>
        <w:spacing w:after="0" w:line="360" w:lineRule="auto"/>
        <w:jc w:val="both"/>
        <w:rPr>
          <w:rFonts w:ascii="Book Antiqua" w:hAnsi="Book Antiqua" w:cs="Arial"/>
          <w:b/>
          <w:i/>
          <w:sz w:val="24"/>
          <w:szCs w:val="24"/>
          <w:lang w:val="en-US"/>
        </w:rPr>
      </w:pPr>
      <w:r w:rsidRPr="00FB7D6B">
        <w:rPr>
          <w:rFonts w:ascii="Book Antiqua" w:hAnsi="Book Antiqua" w:cs="Arial"/>
          <w:b/>
          <w:i/>
          <w:sz w:val="24"/>
          <w:szCs w:val="24"/>
          <w:lang w:val="en-US"/>
        </w:rPr>
        <w:t>Higher age, creatinine</w:t>
      </w:r>
      <w:r w:rsidR="0002742E" w:rsidRPr="00FB7D6B">
        <w:rPr>
          <w:rFonts w:ascii="Book Antiqua" w:hAnsi="Book Antiqua" w:cs="Arial"/>
          <w:b/>
          <w:i/>
          <w:sz w:val="24"/>
          <w:szCs w:val="24"/>
          <w:lang w:val="en-US"/>
        </w:rPr>
        <w:t>,</w:t>
      </w:r>
      <w:r w:rsidRPr="00FB7D6B">
        <w:rPr>
          <w:rFonts w:ascii="Book Antiqua" w:hAnsi="Book Antiqua" w:cs="Arial"/>
          <w:b/>
          <w:i/>
          <w:sz w:val="24"/>
          <w:szCs w:val="24"/>
          <w:lang w:val="en-US"/>
        </w:rPr>
        <w:t xml:space="preserve"> and MELD-</w:t>
      </w:r>
      <w:r w:rsidR="009210AA" w:rsidRPr="00FB7D6B">
        <w:rPr>
          <w:rFonts w:ascii="Book Antiqua" w:hAnsi="Book Antiqua" w:cs="Arial"/>
          <w:b/>
          <w:i/>
          <w:sz w:val="24"/>
          <w:szCs w:val="24"/>
          <w:lang w:val="en-US"/>
        </w:rPr>
        <w:t xml:space="preserve">score </w:t>
      </w:r>
      <w:r w:rsidR="007A2F1D" w:rsidRPr="00FB7D6B">
        <w:rPr>
          <w:rFonts w:ascii="Book Antiqua" w:hAnsi="Book Antiqua" w:cs="Arial"/>
          <w:b/>
          <w:i/>
          <w:sz w:val="24"/>
          <w:szCs w:val="24"/>
          <w:lang w:val="en-US"/>
        </w:rPr>
        <w:t>were</w:t>
      </w:r>
      <w:r w:rsidR="009210AA" w:rsidRPr="00FB7D6B">
        <w:rPr>
          <w:rFonts w:ascii="Book Antiqua" w:hAnsi="Book Antiqua" w:cs="Arial"/>
          <w:b/>
          <w:i/>
          <w:sz w:val="24"/>
          <w:szCs w:val="24"/>
          <w:lang w:val="en-US"/>
        </w:rPr>
        <w:t xml:space="preserve"> associated with </w:t>
      </w:r>
      <w:r w:rsidR="003A3CD9" w:rsidRPr="00FB7D6B">
        <w:rPr>
          <w:rFonts w:ascii="Book Antiqua" w:hAnsi="Book Antiqua" w:cs="Arial"/>
          <w:b/>
          <w:i/>
          <w:sz w:val="24"/>
          <w:szCs w:val="24"/>
          <w:lang w:val="en-US"/>
        </w:rPr>
        <w:t>lethal</w:t>
      </w:r>
      <w:r w:rsidR="009210AA" w:rsidRPr="00FB7D6B">
        <w:rPr>
          <w:rFonts w:ascii="Book Antiqua" w:hAnsi="Book Antiqua" w:cs="Arial"/>
          <w:b/>
          <w:i/>
          <w:sz w:val="24"/>
          <w:szCs w:val="24"/>
          <w:lang w:val="en-US"/>
        </w:rPr>
        <w:t xml:space="preserve"> outcome</w:t>
      </w:r>
      <w:r w:rsidRPr="00FB7D6B">
        <w:rPr>
          <w:rFonts w:ascii="Book Antiqua" w:hAnsi="Book Antiqua" w:cs="Arial"/>
          <w:b/>
          <w:i/>
          <w:sz w:val="24"/>
          <w:szCs w:val="24"/>
          <w:lang w:val="en-US"/>
        </w:rPr>
        <w:t xml:space="preserve"> or </w:t>
      </w:r>
      <w:r w:rsidR="007729A9" w:rsidRPr="00FB7D6B">
        <w:rPr>
          <w:rFonts w:ascii="Book Antiqua" w:hAnsi="Book Antiqua" w:cs="Arial"/>
          <w:b/>
          <w:i/>
          <w:sz w:val="24"/>
          <w:szCs w:val="24"/>
          <w:lang w:val="en-US"/>
        </w:rPr>
        <w:t>need for</w:t>
      </w:r>
      <w:r w:rsidR="0085605B" w:rsidRPr="00FB7D6B">
        <w:rPr>
          <w:rFonts w:ascii="Book Antiqua" w:hAnsi="Book Antiqua" w:cs="Arial"/>
          <w:b/>
          <w:i/>
          <w:sz w:val="24"/>
          <w:szCs w:val="24"/>
          <w:lang w:val="en-US"/>
        </w:rPr>
        <w:t xml:space="preserve"> liver transplantation</w:t>
      </w:r>
      <w:r w:rsidR="009210AA" w:rsidRPr="00FB7D6B">
        <w:rPr>
          <w:rFonts w:ascii="Book Antiqua" w:hAnsi="Book Antiqua" w:cs="Arial"/>
          <w:b/>
          <w:i/>
          <w:sz w:val="24"/>
          <w:szCs w:val="24"/>
          <w:lang w:val="en-US"/>
        </w:rPr>
        <w:t>, while elevate</w:t>
      </w:r>
      <w:r w:rsidRPr="00FB7D6B">
        <w:rPr>
          <w:rFonts w:ascii="Book Antiqua" w:hAnsi="Book Antiqua" w:cs="Arial"/>
          <w:b/>
          <w:i/>
          <w:sz w:val="24"/>
          <w:szCs w:val="24"/>
          <w:lang w:val="en-US"/>
        </w:rPr>
        <w:t>d liver enzymes indicate</w:t>
      </w:r>
      <w:r w:rsidR="0002742E" w:rsidRPr="00FB7D6B">
        <w:rPr>
          <w:rFonts w:ascii="Book Antiqua" w:hAnsi="Book Antiqua" w:cs="Arial"/>
          <w:b/>
          <w:i/>
          <w:sz w:val="24"/>
          <w:szCs w:val="24"/>
          <w:lang w:val="en-US"/>
        </w:rPr>
        <w:t>d</w:t>
      </w:r>
      <w:r w:rsidRPr="00FB7D6B">
        <w:rPr>
          <w:rFonts w:ascii="Book Antiqua" w:hAnsi="Book Antiqua" w:cs="Arial"/>
          <w:b/>
          <w:i/>
          <w:sz w:val="24"/>
          <w:szCs w:val="24"/>
          <w:lang w:val="en-US"/>
        </w:rPr>
        <w:t xml:space="preserve"> </w:t>
      </w:r>
      <w:r w:rsidR="009210AA" w:rsidRPr="00FB7D6B">
        <w:rPr>
          <w:rFonts w:ascii="Book Antiqua" w:hAnsi="Book Antiqua" w:cs="Arial"/>
          <w:b/>
          <w:i/>
          <w:sz w:val="24"/>
          <w:szCs w:val="24"/>
          <w:lang w:val="en-US"/>
        </w:rPr>
        <w:t>recovery</w:t>
      </w:r>
    </w:p>
    <w:p w:rsidR="002A6F91" w:rsidRPr="00FB7D6B" w:rsidRDefault="0002742E"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sz w:val="24"/>
          <w:szCs w:val="24"/>
          <w:lang w:val="en-US"/>
        </w:rPr>
        <w:t xml:space="preserve">Unfortunately, 6 </w:t>
      </w:r>
      <w:r w:rsidR="006F7F4D" w:rsidRPr="00FB7D6B">
        <w:rPr>
          <w:rFonts w:ascii="Book Antiqua" w:hAnsi="Book Antiqua" w:cs="Arial"/>
          <w:sz w:val="24"/>
          <w:szCs w:val="24"/>
          <w:lang w:val="en-US"/>
        </w:rPr>
        <w:t>out of 52</w:t>
      </w:r>
      <w:r w:rsidR="009E27DA" w:rsidRPr="00FB7D6B">
        <w:rPr>
          <w:rFonts w:ascii="Book Antiqua" w:hAnsi="Book Antiqua" w:cs="Arial"/>
          <w:sz w:val="24"/>
          <w:szCs w:val="24"/>
          <w:lang w:val="en-US"/>
        </w:rPr>
        <w:t xml:space="preserve"> patients did not </w:t>
      </w:r>
      <w:r w:rsidRPr="00FB7D6B">
        <w:rPr>
          <w:rFonts w:ascii="Book Antiqua" w:hAnsi="Book Antiqua" w:cs="Arial"/>
          <w:sz w:val="24"/>
          <w:szCs w:val="24"/>
          <w:lang w:val="en-US"/>
        </w:rPr>
        <w:t xml:space="preserve">receive an organ offer and died due to ALF while </w:t>
      </w:r>
      <w:r w:rsidR="007468B4" w:rsidRPr="00FB7D6B">
        <w:rPr>
          <w:rFonts w:ascii="Book Antiqua" w:hAnsi="Book Antiqua" w:cs="Arial"/>
          <w:sz w:val="24"/>
          <w:szCs w:val="24"/>
          <w:lang w:val="en-US"/>
        </w:rPr>
        <w:t xml:space="preserve">3 </w:t>
      </w:r>
      <w:r w:rsidR="009E27DA" w:rsidRPr="00FB7D6B">
        <w:rPr>
          <w:rFonts w:ascii="Book Antiqua" w:hAnsi="Book Antiqua" w:cs="Arial"/>
          <w:sz w:val="24"/>
          <w:szCs w:val="24"/>
          <w:lang w:val="en-US"/>
        </w:rPr>
        <w:t>further patients</w:t>
      </w:r>
      <w:r w:rsidRPr="00FB7D6B">
        <w:rPr>
          <w:rFonts w:ascii="Book Antiqua" w:hAnsi="Book Antiqua" w:cs="Arial"/>
          <w:sz w:val="24"/>
          <w:szCs w:val="24"/>
          <w:lang w:val="en-US"/>
        </w:rPr>
        <w:t xml:space="preserve"> underwent </w:t>
      </w:r>
      <w:r w:rsidR="006F7F4D" w:rsidRPr="00FB7D6B">
        <w:rPr>
          <w:rFonts w:ascii="Book Antiqua" w:hAnsi="Book Antiqua" w:cs="Arial"/>
          <w:sz w:val="24"/>
          <w:szCs w:val="24"/>
          <w:lang w:val="en-US"/>
        </w:rPr>
        <w:t>liver transplantation</w:t>
      </w:r>
      <w:r w:rsidR="009E27DA" w:rsidRPr="00FB7D6B">
        <w:rPr>
          <w:rFonts w:ascii="Book Antiqua" w:hAnsi="Book Antiqua" w:cs="Arial"/>
          <w:sz w:val="24"/>
          <w:szCs w:val="24"/>
          <w:lang w:val="en-US"/>
        </w:rPr>
        <w:t xml:space="preserve"> (non-recovery group</w:t>
      </w:r>
      <w:r w:rsidR="00F81702" w:rsidRPr="00FB7D6B">
        <w:rPr>
          <w:rFonts w:ascii="Book Antiqua" w:hAnsi="Book Antiqua" w:cs="Arial"/>
          <w:sz w:val="24"/>
          <w:szCs w:val="24"/>
          <w:lang w:val="en-US"/>
        </w:rPr>
        <w:t>)</w:t>
      </w:r>
      <w:r w:rsidR="009E27DA" w:rsidRPr="00FB7D6B">
        <w:rPr>
          <w:rFonts w:ascii="Book Antiqua" w:hAnsi="Book Antiqua" w:cs="Arial"/>
          <w:sz w:val="24"/>
          <w:szCs w:val="24"/>
          <w:lang w:val="en-US"/>
        </w:rPr>
        <w:t xml:space="preserve">. When comparing </w:t>
      </w:r>
      <w:r w:rsidR="006F7F4D" w:rsidRPr="00FB7D6B">
        <w:rPr>
          <w:rFonts w:ascii="Book Antiqua" w:hAnsi="Book Antiqua" w:cs="Arial"/>
          <w:sz w:val="24"/>
          <w:szCs w:val="24"/>
          <w:lang w:val="en-US"/>
        </w:rPr>
        <w:t xml:space="preserve">data of these patients with patients who </w:t>
      </w:r>
      <w:r w:rsidRPr="00FB7D6B">
        <w:rPr>
          <w:rFonts w:ascii="Book Antiqua" w:hAnsi="Book Antiqua" w:cs="Arial"/>
          <w:sz w:val="24"/>
          <w:szCs w:val="24"/>
          <w:lang w:val="en-US"/>
        </w:rPr>
        <w:t xml:space="preserve">responded to steroids and </w:t>
      </w:r>
      <w:r w:rsidR="006F7F4D" w:rsidRPr="00FB7D6B">
        <w:rPr>
          <w:rFonts w:ascii="Book Antiqua" w:hAnsi="Book Antiqua" w:cs="Arial"/>
          <w:sz w:val="24"/>
          <w:szCs w:val="24"/>
          <w:lang w:val="en-US"/>
        </w:rPr>
        <w:t>survived ALF</w:t>
      </w:r>
      <w:r w:rsidR="009E27DA" w:rsidRPr="00FB7D6B">
        <w:rPr>
          <w:rFonts w:ascii="Book Antiqua" w:hAnsi="Book Antiqua" w:cs="Arial"/>
          <w:sz w:val="24"/>
          <w:szCs w:val="24"/>
          <w:lang w:val="en-US"/>
        </w:rPr>
        <w:t xml:space="preserve"> (recovery group</w:t>
      </w:r>
      <w:r w:rsidR="00863591" w:rsidRPr="00FB7D6B">
        <w:rPr>
          <w:rFonts w:ascii="Book Antiqua" w:hAnsi="Book Antiqua" w:cs="Arial"/>
          <w:sz w:val="24"/>
          <w:szCs w:val="24"/>
          <w:lang w:val="en-US"/>
        </w:rPr>
        <w:t>)</w:t>
      </w:r>
      <w:r w:rsidR="006F7F4D" w:rsidRPr="00FB7D6B">
        <w:rPr>
          <w:rFonts w:ascii="Book Antiqua" w:hAnsi="Book Antiqua" w:cs="Arial"/>
          <w:sz w:val="24"/>
          <w:szCs w:val="24"/>
          <w:lang w:val="en-US"/>
        </w:rPr>
        <w:t xml:space="preserve">, statistical analysis revealed </w:t>
      </w:r>
      <w:r w:rsidR="009E27DA" w:rsidRPr="00FB7D6B">
        <w:rPr>
          <w:rFonts w:ascii="Book Antiqua" w:hAnsi="Book Antiqua" w:cs="Arial"/>
          <w:sz w:val="24"/>
          <w:szCs w:val="24"/>
          <w:lang w:val="en-US"/>
        </w:rPr>
        <w:t xml:space="preserve">significant </w:t>
      </w:r>
      <w:r w:rsidR="006F7F4D" w:rsidRPr="00FB7D6B">
        <w:rPr>
          <w:rFonts w:ascii="Book Antiqua" w:hAnsi="Book Antiqua" w:cs="Arial"/>
          <w:sz w:val="24"/>
          <w:szCs w:val="24"/>
          <w:lang w:val="en-US"/>
        </w:rPr>
        <w:t>diff</w:t>
      </w:r>
      <w:r w:rsidR="009E27DA" w:rsidRPr="00FB7D6B">
        <w:rPr>
          <w:rFonts w:ascii="Book Antiqua" w:hAnsi="Book Antiqua" w:cs="Arial"/>
          <w:sz w:val="24"/>
          <w:szCs w:val="24"/>
          <w:lang w:val="en-US"/>
        </w:rPr>
        <w:t xml:space="preserve">erences in </w:t>
      </w:r>
      <w:r w:rsidR="009E27DA" w:rsidRPr="00FB7D6B">
        <w:rPr>
          <w:rFonts w:ascii="Book Antiqua" w:hAnsi="Book Antiqua" w:cs="Arial"/>
          <w:sz w:val="24"/>
          <w:szCs w:val="24"/>
          <w:lang w:val="en-US"/>
        </w:rPr>
        <w:lastRenderedPageBreak/>
        <w:t xml:space="preserve">terms of age </w:t>
      </w:r>
      <w:r w:rsidR="007C6DFC" w:rsidRPr="00FB7D6B">
        <w:rPr>
          <w:rFonts w:ascii="Book Antiqua" w:hAnsi="Book Antiqua" w:cs="Arial"/>
          <w:sz w:val="24"/>
          <w:szCs w:val="24"/>
          <w:lang w:val="en-US" w:eastAsia="zh-CN"/>
        </w:rPr>
        <w:t>[</w:t>
      </w:r>
      <w:r w:rsidR="009E27DA" w:rsidRPr="00FB7D6B">
        <w:rPr>
          <w:rFonts w:ascii="Book Antiqua" w:hAnsi="Book Antiqua" w:cs="Arial"/>
          <w:sz w:val="24"/>
          <w:szCs w:val="24"/>
          <w:lang w:val="en-US"/>
        </w:rPr>
        <w:t xml:space="preserve">median age: </w:t>
      </w:r>
      <w:r w:rsidR="0003525A" w:rsidRPr="00FB7D6B">
        <w:rPr>
          <w:rFonts w:ascii="Book Antiqua" w:hAnsi="Book Antiqua" w:cs="Arial"/>
          <w:sz w:val="24"/>
          <w:szCs w:val="24"/>
          <w:lang w:val="en-US"/>
        </w:rPr>
        <w:t xml:space="preserve">40.0 </w:t>
      </w:r>
      <w:r w:rsidR="007C6DFC" w:rsidRPr="00FB7D6B">
        <w:rPr>
          <w:rFonts w:ascii="Book Antiqua" w:hAnsi="Book Antiqua" w:cs="Arial"/>
          <w:sz w:val="24"/>
          <w:szCs w:val="24"/>
          <w:lang w:val="en-US" w:eastAsia="zh-CN"/>
        </w:rPr>
        <w:t>(</w:t>
      </w:r>
      <w:r w:rsidR="00E33D49" w:rsidRPr="00FB7D6B">
        <w:rPr>
          <w:rFonts w:ascii="Book Antiqua" w:hAnsi="Book Antiqua" w:cs="Arial"/>
          <w:sz w:val="24"/>
          <w:szCs w:val="24"/>
          <w:lang w:val="en-US"/>
        </w:rPr>
        <w:t>28</w:t>
      </w:r>
      <w:r w:rsidR="008F66E5" w:rsidRPr="00FB7D6B">
        <w:rPr>
          <w:rFonts w:ascii="Book Antiqua" w:hAnsi="Book Antiqua" w:cs="Arial"/>
          <w:sz w:val="24"/>
          <w:szCs w:val="24"/>
          <w:lang w:val="en-US"/>
        </w:rPr>
        <w:t>.0</w:t>
      </w:r>
      <w:r w:rsidR="0003525A" w:rsidRPr="00FB7D6B">
        <w:rPr>
          <w:rFonts w:ascii="Book Antiqua" w:hAnsi="Book Antiqua" w:cs="Arial"/>
          <w:sz w:val="24"/>
          <w:szCs w:val="24"/>
          <w:lang w:val="en-US"/>
        </w:rPr>
        <w:t>-</w:t>
      </w:r>
      <w:r w:rsidR="00E33D49" w:rsidRPr="00FB7D6B">
        <w:rPr>
          <w:rFonts w:ascii="Book Antiqua" w:hAnsi="Book Antiqua" w:cs="Arial"/>
          <w:sz w:val="24"/>
          <w:szCs w:val="24"/>
          <w:lang w:val="en-US"/>
        </w:rPr>
        <w:t>52</w:t>
      </w:r>
      <w:r w:rsidR="008F66E5" w:rsidRPr="00FB7D6B">
        <w:rPr>
          <w:rFonts w:ascii="Book Antiqua" w:hAnsi="Book Antiqua" w:cs="Arial"/>
          <w:sz w:val="24"/>
          <w:szCs w:val="24"/>
          <w:lang w:val="en-US"/>
        </w:rPr>
        <w:t>.0</w:t>
      </w:r>
      <w:r w:rsidR="007C6DFC" w:rsidRPr="00FB7D6B">
        <w:rPr>
          <w:rFonts w:ascii="Book Antiqua" w:hAnsi="Book Antiqua" w:cs="Arial"/>
          <w:sz w:val="24"/>
          <w:szCs w:val="24"/>
          <w:lang w:val="en-US" w:eastAsia="zh-CN"/>
        </w:rPr>
        <w:t>)</w:t>
      </w:r>
      <w:r w:rsidR="006F7F4D" w:rsidRPr="00FB7D6B">
        <w:rPr>
          <w:rFonts w:ascii="Book Antiqua" w:hAnsi="Book Antiqua" w:cs="Arial"/>
          <w:sz w:val="24"/>
          <w:szCs w:val="24"/>
          <w:lang w:val="en-US"/>
        </w:rPr>
        <w:t xml:space="preserve"> years </w:t>
      </w:r>
      <w:r w:rsidR="009E27DA" w:rsidRPr="00FB7D6B">
        <w:rPr>
          <w:rFonts w:ascii="Book Antiqua" w:hAnsi="Book Antiqua" w:cs="Arial"/>
          <w:sz w:val="24"/>
          <w:szCs w:val="24"/>
          <w:lang w:val="en-US"/>
        </w:rPr>
        <w:t xml:space="preserve">for the recovery group </w:t>
      </w:r>
      <w:r w:rsidR="007C6DFC" w:rsidRPr="00FB7D6B">
        <w:rPr>
          <w:rFonts w:ascii="Book Antiqua" w:hAnsi="Book Antiqua" w:cs="Arial"/>
          <w:i/>
          <w:sz w:val="24"/>
          <w:szCs w:val="24"/>
          <w:lang w:val="en-US"/>
        </w:rPr>
        <w:t>vs</w:t>
      </w:r>
      <w:r w:rsidR="009E27DA" w:rsidRPr="00FB7D6B">
        <w:rPr>
          <w:rFonts w:ascii="Book Antiqua" w:hAnsi="Book Antiqua" w:cs="Arial"/>
          <w:sz w:val="24"/>
          <w:szCs w:val="24"/>
          <w:lang w:val="en-US"/>
        </w:rPr>
        <w:t xml:space="preserve"> median age: </w:t>
      </w:r>
      <w:r w:rsidR="0003525A" w:rsidRPr="00FB7D6B">
        <w:rPr>
          <w:rFonts w:ascii="Book Antiqua" w:hAnsi="Book Antiqua" w:cs="Arial"/>
          <w:sz w:val="24"/>
          <w:szCs w:val="24"/>
          <w:lang w:val="en-US"/>
        </w:rPr>
        <w:t xml:space="preserve">49.0 </w:t>
      </w:r>
      <w:r w:rsidR="007C6DFC" w:rsidRPr="00FB7D6B">
        <w:rPr>
          <w:rFonts w:ascii="Book Antiqua" w:hAnsi="Book Antiqua" w:cs="Arial"/>
          <w:sz w:val="24"/>
          <w:szCs w:val="24"/>
          <w:lang w:val="en-US" w:eastAsia="zh-CN"/>
        </w:rPr>
        <w:t>(</w:t>
      </w:r>
      <w:r w:rsidR="008F66E5" w:rsidRPr="00FB7D6B">
        <w:rPr>
          <w:rFonts w:ascii="Book Antiqua" w:hAnsi="Book Antiqua" w:cs="Arial"/>
          <w:sz w:val="24"/>
          <w:szCs w:val="24"/>
          <w:lang w:val="en-US"/>
        </w:rPr>
        <w:t>44.0</w:t>
      </w:r>
      <w:r w:rsidR="0003525A" w:rsidRPr="00FB7D6B">
        <w:rPr>
          <w:rFonts w:ascii="Book Antiqua" w:hAnsi="Book Antiqua" w:cs="Arial"/>
          <w:sz w:val="24"/>
          <w:szCs w:val="24"/>
          <w:lang w:val="en-US"/>
        </w:rPr>
        <w:t>-</w:t>
      </w:r>
      <w:r w:rsidR="008F66E5" w:rsidRPr="00FB7D6B">
        <w:rPr>
          <w:rFonts w:ascii="Book Antiqua" w:hAnsi="Book Antiqua" w:cs="Arial"/>
          <w:sz w:val="24"/>
          <w:szCs w:val="24"/>
          <w:lang w:val="en-US"/>
        </w:rPr>
        <w:t>62.5</w:t>
      </w:r>
      <w:r w:rsidR="007C6DFC" w:rsidRPr="00FB7D6B">
        <w:rPr>
          <w:rFonts w:ascii="Book Antiqua" w:hAnsi="Book Antiqua" w:cs="Arial"/>
          <w:sz w:val="24"/>
          <w:szCs w:val="24"/>
          <w:lang w:val="en-US" w:eastAsia="zh-CN"/>
        </w:rPr>
        <w:t>)</w:t>
      </w:r>
      <w:r w:rsidR="00F67253" w:rsidRPr="00FB7D6B">
        <w:rPr>
          <w:rFonts w:ascii="Book Antiqua" w:hAnsi="Book Antiqua" w:cs="Arial"/>
          <w:sz w:val="24"/>
          <w:szCs w:val="24"/>
          <w:lang w:val="en-US"/>
        </w:rPr>
        <w:t xml:space="preserve"> years</w:t>
      </w:r>
      <w:r w:rsidR="007468B4" w:rsidRPr="00FB7D6B">
        <w:rPr>
          <w:rFonts w:ascii="Book Antiqua" w:hAnsi="Book Antiqua" w:cs="Arial"/>
          <w:sz w:val="24"/>
          <w:szCs w:val="24"/>
          <w:lang w:val="en-US"/>
        </w:rPr>
        <w:t xml:space="preserve">, </w:t>
      </w:r>
      <w:r w:rsidR="009E27DA" w:rsidRPr="00FB7D6B">
        <w:rPr>
          <w:rFonts w:ascii="Book Antiqua" w:hAnsi="Book Antiqua" w:cs="Arial"/>
          <w:sz w:val="24"/>
          <w:szCs w:val="24"/>
          <w:lang w:val="en-US"/>
        </w:rPr>
        <w:t>for the non-recovery group</w:t>
      </w:r>
      <w:r w:rsidR="001F430B" w:rsidRPr="00FB7D6B">
        <w:rPr>
          <w:rFonts w:ascii="Book Antiqua" w:hAnsi="Book Antiqua" w:cs="Arial"/>
          <w:sz w:val="24"/>
          <w:szCs w:val="24"/>
          <w:lang w:val="en-US"/>
        </w:rPr>
        <w:t xml:space="preserve">, </w:t>
      </w:r>
      <w:r w:rsidR="001F430B" w:rsidRPr="00FB7D6B">
        <w:rPr>
          <w:rFonts w:ascii="Book Antiqua" w:hAnsi="Book Antiqua" w:cs="Arial"/>
          <w:i/>
          <w:sz w:val="24"/>
          <w:szCs w:val="24"/>
          <w:lang w:val="en-US"/>
        </w:rPr>
        <w:t>P</w:t>
      </w:r>
      <w:r w:rsidR="001F430B" w:rsidRPr="00FB7D6B">
        <w:rPr>
          <w:rFonts w:ascii="Book Antiqua" w:hAnsi="Book Antiqua" w:cs="Arial"/>
          <w:sz w:val="24"/>
          <w:szCs w:val="24"/>
          <w:lang w:val="en-US"/>
        </w:rPr>
        <w:t xml:space="preserve"> = 0.031</w:t>
      </w:r>
      <w:r w:rsidR="007C6DFC" w:rsidRPr="00FB7D6B">
        <w:rPr>
          <w:rFonts w:ascii="Book Antiqua" w:hAnsi="Book Antiqua" w:cs="Arial"/>
          <w:sz w:val="24"/>
          <w:szCs w:val="24"/>
          <w:lang w:val="en-US" w:eastAsia="zh-CN"/>
        </w:rPr>
        <w:t>]</w:t>
      </w:r>
      <w:r w:rsidR="006F7F4D" w:rsidRPr="00FB7D6B">
        <w:rPr>
          <w:rFonts w:ascii="Book Antiqua" w:hAnsi="Book Antiqua" w:cs="Arial"/>
          <w:sz w:val="24"/>
          <w:szCs w:val="24"/>
          <w:lang w:val="en-US"/>
        </w:rPr>
        <w:t xml:space="preserve">, serum creatinine </w:t>
      </w:r>
      <w:r w:rsidR="007C6DFC" w:rsidRPr="00FB7D6B">
        <w:rPr>
          <w:rFonts w:ascii="Book Antiqua" w:hAnsi="Book Antiqua" w:cs="Arial"/>
          <w:sz w:val="24"/>
          <w:szCs w:val="24"/>
          <w:lang w:val="en-US" w:eastAsia="zh-CN"/>
        </w:rPr>
        <w:t>[</w:t>
      </w:r>
      <w:r w:rsidR="006F7F4D" w:rsidRPr="00FB7D6B">
        <w:rPr>
          <w:rFonts w:ascii="Book Antiqua" w:hAnsi="Book Antiqua" w:cs="Arial"/>
          <w:sz w:val="24"/>
          <w:szCs w:val="24"/>
          <w:lang w:val="en-US"/>
        </w:rPr>
        <w:t xml:space="preserve">median </w:t>
      </w:r>
      <w:r w:rsidR="009E27DA" w:rsidRPr="00FB7D6B">
        <w:rPr>
          <w:rFonts w:ascii="Book Antiqua" w:hAnsi="Book Antiqua" w:cs="Arial"/>
          <w:sz w:val="24"/>
          <w:szCs w:val="24"/>
          <w:lang w:val="en-US"/>
        </w:rPr>
        <w:t>for the recovery group</w:t>
      </w:r>
      <w:r w:rsidR="00E1069A" w:rsidRPr="00FB7D6B">
        <w:rPr>
          <w:rFonts w:ascii="Book Antiqua" w:hAnsi="Book Antiqua" w:cs="Arial"/>
          <w:sz w:val="24"/>
          <w:szCs w:val="24"/>
          <w:lang w:val="en-US"/>
        </w:rPr>
        <w:t>:</w:t>
      </w:r>
      <w:r w:rsidR="009E27DA" w:rsidRPr="00FB7D6B">
        <w:rPr>
          <w:rFonts w:ascii="Book Antiqua" w:hAnsi="Book Antiqua" w:cs="Arial"/>
          <w:sz w:val="24"/>
          <w:szCs w:val="24"/>
          <w:lang w:val="en-US"/>
        </w:rPr>
        <w:t xml:space="preserve"> </w:t>
      </w:r>
      <w:r w:rsidR="00520C77" w:rsidRPr="00FB7D6B">
        <w:rPr>
          <w:rFonts w:ascii="Book Antiqua" w:hAnsi="Book Antiqua" w:cs="Arial"/>
          <w:sz w:val="24"/>
          <w:szCs w:val="24"/>
          <w:lang w:val="en-US"/>
        </w:rPr>
        <w:t xml:space="preserve">0.72 </w:t>
      </w:r>
      <w:r w:rsidR="007C6DFC" w:rsidRPr="00FB7D6B">
        <w:rPr>
          <w:rFonts w:ascii="Book Antiqua" w:hAnsi="Book Antiqua" w:cs="Arial"/>
          <w:sz w:val="24"/>
          <w:szCs w:val="24"/>
          <w:lang w:val="en-US" w:eastAsia="zh-CN"/>
        </w:rPr>
        <w:t>(</w:t>
      </w:r>
      <w:r w:rsidR="00520C77" w:rsidRPr="00FB7D6B">
        <w:rPr>
          <w:rFonts w:ascii="Book Antiqua" w:hAnsi="Book Antiqua" w:cs="Arial"/>
          <w:sz w:val="24"/>
          <w:szCs w:val="24"/>
          <w:lang w:val="en-US"/>
        </w:rPr>
        <w:t>0.</w:t>
      </w:r>
      <w:r w:rsidR="008F66E5" w:rsidRPr="00FB7D6B">
        <w:rPr>
          <w:rFonts w:ascii="Book Antiqua" w:hAnsi="Book Antiqua" w:cs="Arial"/>
          <w:sz w:val="24"/>
          <w:szCs w:val="24"/>
          <w:lang w:val="en-US"/>
        </w:rPr>
        <w:t>51</w:t>
      </w:r>
      <w:r w:rsidR="00520C77" w:rsidRPr="00FB7D6B">
        <w:rPr>
          <w:rFonts w:ascii="Book Antiqua" w:hAnsi="Book Antiqua" w:cs="Arial"/>
          <w:sz w:val="24"/>
          <w:szCs w:val="24"/>
          <w:lang w:val="en-US"/>
        </w:rPr>
        <w:t>-</w:t>
      </w:r>
      <w:r w:rsidR="008F66E5" w:rsidRPr="00FB7D6B">
        <w:rPr>
          <w:rFonts w:ascii="Book Antiqua" w:hAnsi="Book Antiqua" w:cs="Arial"/>
          <w:sz w:val="24"/>
          <w:szCs w:val="24"/>
          <w:lang w:val="en-US"/>
        </w:rPr>
        <w:t>0.92</w:t>
      </w:r>
      <w:r w:rsidR="007C6DFC" w:rsidRPr="00FB7D6B">
        <w:rPr>
          <w:rFonts w:ascii="Book Antiqua" w:hAnsi="Book Antiqua" w:cs="Arial"/>
          <w:sz w:val="24"/>
          <w:szCs w:val="24"/>
          <w:lang w:val="en-US" w:eastAsia="zh-CN"/>
        </w:rPr>
        <w:t>)</w:t>
      </w:r>
      <w:r w:rsidR="007468B4" w:rsidRPr="00FB7D6B">
        <w:rPr>
          <w:rFonts w:ascii="Book Antiqua" w:hAnsi="Book Antiqua" w:cs="Arial"/>
          <w:sz w:val="24"/>
          <w:szCs w:val="24"/>
          <w:lang w:val="en-US"/>
        </w:rPr>
        <w:t xml:space="preserve"> mg/dL</w:t>
      </w:r>
      <w:r w:rsidR="006F7F4D" w:rsidRPr="00FB7D6B">
        <w:rPr>
          <w:rFonts w:ascii="Book Antiqua" w:hAnsi="Book Antiqua" w:cs="Arial"/>
          <w:sz w:val="24"/>
          <w:szCs w:val="24"/>
          <w:lang w:val="en-US"/>
        </w:rPr>
        <w:t xml:space="preserve"> </w:t>
      </w:r>
      <w:r w:rsidR="007C6DFC" w:rsidRPr="00FB7D6B">
        <w:rPr>
          <w:rFonts w:ascii="Book Antiqua" w:hAnsi="Book Antiqua" w:cs="Arial"/>
          <w:i/>
          <w:sz w:val="24"/>
          <w:szCs w:val="24"/>
          <w:lang w:val="en-US"/>
        </w:rPr>
        <w:t>vs</w:t>
      </w:r>
      <w:r w:rsidR="006F7F4D" w:rsidRPr="00FB7D6B">
        <w:rPr>
          <w:rFonts w:ascii="Book Antiqua" w:hAnsi="Book Antiqua" w:cs="Arial"/>
          <w:sz w:val="24"/>
          <w:szCs w:val="24"/>
          <w:lang w:val="en-US"/>
        </w:rPr>
        <w:t xml:space="preserve"> median </w:t>
      </w:r>
      <w:r w:rsidR="009E27DA" w:rsidRPr="00FB7D6B">
        <w:rPr>
          <w:rFonts w:ascii="Book Antiqua" w:hAnsi="Book Antiqua" w:cs="Arial"/>
          <w:sz w:val="24"/>
          <w:szCs w:val="24"/>
          <w:lang w:val="en-US"/>
        </w:rPr>
        <w:t>for the non-recove</w:t>
      </w:r>
      <w:r w:rsidR="00E1069A" w:rsidRPr="00FB7D6B">
        <w:rPr>
          <w:rFonts w:ascii="Book Antiqua" w:hAnsi="Book Antiqua" w:cs="Arial"/>
          <w:sz w:val="24"/>
          <w:szCs w:val="24"/>
          <w:lang w:val="en-US"/>
        </w:rPr>
        <w:t>ry group</w:t>
      </w:r>
      <w:r w:rsidR="006F7F4D" w:rsidRPr="00FB7D6B">
        <w:rPr>
          <w:rFonts w:ascii="Book Antiqua" w:hAnsi="Book Antiqua" w:cs="Arial"/>
          <w:sz w:val="24"/>
          <w:szCs w:val="24"/>
          <w:lang w:val="en-US"/>
        </w:rPr>
        <w:t xml:space="preserve">: </w:t>
      </w:r>
      <w:r w:rsidR="00520C77" w:rsidRPr="00FB7D6B">
        <w:rPr>
          <w:rFonts w:ascii="Book Antiqua" w:hAnsi="Book Antiqua" w:cs="Arial"/>
          <w:sz w:val="24"/>
          <w:szCs w:val="24"/>
          <w:lang w:val="en-US"/>
        </w:rPr>
        <w:t xml:space="preserve">0.98 </w:t>
      </w:r>
      <w:r w:rsidR="007C6DFC" w:rsidRPr="00FB7D6B">
        <w:rPr>
          <w:rFonts w:ascii="Book Antiqua" w:hAnsi="Book Antiqua" w:cs="Arial"/>
          <w:sz w:val="24"/>
          <w:szCs w:val="24"/>
          <w:lang w:val="en-US" w:eastAsia="zh-CN"/>
        </w:rPr>
        <w:t>(</w:t>
      </w:r>
      <w:r w:rsidR="00520C77" w:rsidRPr="00FB7D6B">
        <w:rPr>
          <w:rFonts w:ascii="Book Antiqua" w:hAnsi="Book Antiqua" w:cs="Arial"/>
          <w:sz w:val="24"/>
          <w:szCs w:val="24"/>
          <w:lang w:val="en-US"/>
        </w:rPr>
        <w:t>0.</w:t>
      </w:r>
      <w:r w:rsidR="008F66E5" w:rsidRPr="00FB7D6B">
        <w:rPr>
          <w:rFonts w:ascii="Book Antiqua" w:hAnsi="Book Antiqua" w:cs="Arial"/>
          <w:sz w:val="24"/>
          <w:szCs w:val="24"/>
          <w:lang w:val="en-US"/>
        </w:rPr>
        <w:t>77</w:t>
      </w:r>
      <w:r w:rsidR="00520C77" w:rsidRPr="00FB7D6B">
        <w:rPr>
          <w:rFonts w:ascii="Book Antiqua" w:hAnsi="Book Antiqua" w:cs="Arial"/>
          <w:sz w:val="24"/>
          <w:szCs w:val="24"/>
          <w:lang w:val="en-US"/>
        </w:rPr>
        <w:t>-1</w:t>
      </w:r>
      <w:r w:rsidR="008F66E5" w:rsidRPr="00FB7D6B">
        <w:rPr>
          <w:rFonts w:ascii="Book Antiqua" w:hAnsi="Book Antiqua" w:cs="Arial"/>
          <w:sz w:val="24"/>
          <w:szCs w:val="24"/>
          <w:lang w:val="en-US"/>
        </w:rPr>
        <w:t>.61</w:t>
      </w:r>
      <w:r w:rsidR="007C6DFC" w:rsidRPr="00FB7D6B">
        <w:rPr>
          <w:rFonts w:ascii="Book Antiqua" w:hAnsi="Book Antiqua" w:cs="Arial"/>
          <w:sz w:val="24"/>
          <w:szCs w:val="24"/>
          <w:lang w:val="en-US" w:eastAsia="zh-CN"/>
        </w:rPr>
        <w:t xml:space="preserve">) </w:t>
      </w:r>
      <w:r w:rsidR="007468B4" w:rsidRPr="00FB7D6B">
        <w:rPr>
          <w:rFonts w:ascii="Book Antiqua" w:hAnsi="Book Antiqua" w:cs="Arial"/>
          <w:sz w:val="24"/>
          <w:szCs w:val="24"/>
          <w:lang w:val="en-US"/>
        </w:rPr>
        <w:t xml:space="preserve">mg/dL, </w:t>
      </w:r>
      <w:r w:rsidR="007468B4" w:rsidRPr="00FB7D6B">
        <w:rPr>
          <w:rFonts w:ascii="Book Antiqua" w:hAnsi="Book Antiqua" w:cs="Arial"/>
          <w:i/>
          <w:sz w:val="24"/>
          <w:szCs w:val="24"/>
          <w:lang w:val="en-US"/>
        </w:rPr>
        <w:t>P</w:t>
      </w:r>
      <w:r w:rsidR="006F7F4D" w:rsidRPr="00FB7D6B">
        <w:rPr>
          <w:rFonts w:ascii="Book Antiqua" w:hAnsi="Book Antiqua" w:cs="Arial"/>
          <w:sz w:val="24"/>
          <w:szCs w:val="24"/>
          <w:lang w:val="en-US"/>
        </w:rPr>
        <w:t xml:space="preserve"> </w:t>
      </w:r>
      <w:r w:rsidR="001F430B" w:rsidRPr="00FB7D6B">
        <w:rPr>
          <w:rFonts w:ascii="Book Antiqua" w:hAnsi="Book Antiqua" w:cs="Arial"/>
          <w:sz w:val="24"/>
          <w:szCs w:val="24"/>
          <w:lang w:val="en-US"/>
        </w:rPr>
        <w:t>=</w:t>
      </w:r>
      <w:r w:rsidR="006F7F4D" w:rsidRPr="00FB7D6B">
        <w:rPr>
          <w:rFonts w:ascii="Book Antiqua" w:hAnsi="Book Antiqua" w:cs="Arial"/>
          <w:sz w:val="24"/>
          <w:szCs w:val="24"/>
          <w:lang w:val="en-US"/>
        </w:rPr>
        <w:t xml:space="preserve"> 0.</w:t>
      </w:r>
      <w:r w:rsidR="00F67253" w:rsidRPr="00FB7D6B">
        <w:rPr>
          <w:rFonts w:ascii="Book Antiqua" w:hAnsi="Book Antiqua" w:cs="Arial"/>
          <w:sz w:val="24"/>
          <w:szCs w:val="24"/>
          <w:lang w:val="en-US"/>
        </w:rPr>
        <w:t>0</w:t>
      </w:r>
      <w:r w:rsidR="001F430B" w:rsidRPr="00FB7D6B">
        <w:rPr>
          <w:rFonts w:ascii="Book Antiqua" w:hAnsi="Book Antiqua" w:cs="Arial"/>
          <w:sz w:val="24"/>
          <w:szCs w:val="24"/>
          <w:lang w:val="en-US"/>
        </w:rPr>
        <w:t>069</w:t>
      </w:r>
      <w:r w:rsidR="007C6DFC" w:rsidRPr="00FB7D6B">
        <w:rPr>
          <w:rFonts w:ascii="Book Antiqua" w:hAnsi="Book Antiqua" w:cs="Arial"/>
          <w:sz w:val="24"/>
          <w:szCs w:val="24"/>
          <w:lang w:val="en-US" w:eastAsia="zh-CN"/>
        </w:rPr>
        <w:t>]</w:t>
      </w:r>
      <w:r w:rsidR="006F7F4D" w:rsidRPr="00FB7D6B">
        <w:rPr>
          <w:rFonts w:ascii="Book Antiqua" w:hAnsi="Book Antiqua" w:cs="Arial"/>
          <w:sz w:val="24"/>
          <w:szCs w:val="24"/>
          <w:lang w:val="en-US"/>
        </w:rPr>
        <w:t xml:space="preserve">, </w:t>
      </w:r>
      <w:r w:rsidR="009E27DA" w:rsidRPr="00FB7D6B">
        <w:rPr>
          <w:rFonts w:ascii="Book Antiqua" w:hAnsi="Book Antiqua" w:cs="Arial"/>
          <w:sz w:val="24"/>
          <w:szCs w:val="24"/>
          <w:lang w:val="en-US"/>
        </w:rPr>
        <w:t>labMELD-</w:t>
      </w:r>
      <w:r w:rsidR="006F7F4D" w:rsidRPr="00FB7D6B">
        <w:rPr>
          <w:rFonts w:ascii="Book Antiqua" w:hAnsi="Book Antiqua" w:cs="Arial"/>
          <w:sz w:val="24"/>
          <w:szCs w:val="24"/>
          <w:lang w:val="en-US"/>
        </w:rPr>
        <w:t>score</w:t>
      </w:r>
      <w:r w:rsidR="00F67253" w:rsidRPr="00FB7D6B">
        <w:rPr>
          <w:rFonts w:ascii="Book Antiqua" w:hAnsi="Book Antiqua" w:cs="Arial"/>
          <w:sz w:val="24"/>
          <w:szCs w:val="24"/>
          <w:lang w:val="en-US"/>
        </w:rPr>
        <w:t xml:space="preserve"> </w:t>
      </w:r>
      <w:r w:rsidR="007C6DFC" w:rsidRPr="00FB7D6B">
        <w:rPr>
          <w:rFonts w:ascii="Book Antiqua" w:hAnsi="Book Antiqua" w:cs="Arial"/>
          <w:sz w:val="24"/>
          <w:szCs w:val="24"/>
          <w:lang w:val="en-US" w:eastAsia="zh-CN"/>
        </w:rPr>
        <w:t>[</w:t>
      </w:r>
      <w:r w:rsidR="00F67253" w:rsidRPr="00FB7D6B">
        <w:rPr>
          <w:rFonts w:ascii="Book Antiqua" w:hAnsi="Book Antiqua" w:cs="Arial"/>
          <w:sz w:val="24"/>
          <w:szCs w:val="24"/>
          <w:lang w:val="en-US"/>
        </w:rPr>
        <w:t xml:space="preserve">median </w:t>
      </w:r>
      <w:r w:rsidR="009E27DA" w:rsidRPr="00FB7D6B">
        <w:rPr>
          <w:rFonts w:ascii="Book Antiqua" w:hAnsi="Book Antiqua" w:cs="Arial"/>
          <w:sz w:val="24"/>
          <w:szCs w:val="24"/>
          <w:lang w:val="en-US"/>
        </w:rPr>
        <w:t>for the recovery group</w:t>
      </w:r>
      <w:r w:rsidR="00F67253" w:rsidRPr="00FB7D6B">
        <w:rPr>
          <w:rFonts w:ascii="Book Antiqua" w:hAnsi="Book Antiqua" w:cs="Arial"/>
          <w:sz w:val="24"/>
          <w:szCs w:val="24"/>
          <w:lang w:val="en-US"/>
        </w:rPr>
        <w:t xml:space="preserve">: </w:t>
      </w:r>
      <w:r w:rsidR="00662E55" w:rsidRPr="00FB7D6B">
        <w:rPr>
          <w:rFonts w:ascii="Book Antiqua" w:hAnsi="Book Antiqua" w:cs="Arial"/>
          <w:sz w:val="24"/>
          <w:szCs w:val="24"/>
          <w:lang w:val="en-US"/>
        </w:rPr>
        <w:t xml:space="preserve">23 </w:t>
      </w:r>
      <w:r w:rsidR="007C6DFC" w:rsidRPr="00FB7D6B">
        <w:rPr>
          <w:rFonts w:ascii="Book Antiqua" w:hAnsi="Book Antiqua" w:cs="Arial"/>
          <w:sz w:val="24"/>
          <w:szCs w:val="24"/>
          <w:lang w:val="en-US" w:eastAsia="zh-CN"/>
        </w:rPr>
        <w:t>(</w:t>
      </w:r>
      <w:r w:rsidR="001F430B" w:rsidRPr="00FB7D6B">
        <w:rPr>
          <w:rFonts w:ascii="Book Antiqua" w:hAnsi="Book Antiqua" w:cs="Arial"/>
          <w:sz w:val="24"/>
          <w:szCs w:val="24"/>
          <w:lang w:val="en-US"/>
        </w:rPr>
        <w:t>2</w:t>
      </w:r>
      <w:r w:rsidR="00662E55" w:rsidRPr="00FB7D6B">
        <w:rPr>
          <w:rFonts w:ascii="Book Antiqua" w:hAnsi="Book Antiqua" w:cs="Arial"/>
          <w:sz w:val="24"/>
          <w:szCs w:val="24"/>
          <w:lang w:val="en-US"/>
        </w:rPr>
        <w:t>2-</w:t>
      </w:r>
      <w:r w:rsidR="001F430B" w:rsidRPr="00FB7D6B">
        <w:rPr>
          <w:rFonts w:ascii="Book Antiqua" w:hAnsi="Book Antiqua" w:cs="Arial"/>
          <w:sz w:val="24"/>
          <w:szCs w:val="24"/>
          <w:lang w:val="en-US"/>
        </w:rPr>
        <w:t>25</w:t>
      </w:r>
      <w:r w:rsidR="007C6DFC" w:rsidRPr="00FB7D6B">
        <w:rPr>
          <w:rFonts w:ascii="Book Antiqua" w:hAnsi="Book Antiqua" w:cs="Arial"/>
          <w:sz w:val="24"/>
          <w:szCs w:val="24"/>
          <w:lang w:val="en-US" w:eastAsia="zh-CN"/>
        </w:rPr>
        <w:t>)</w:t>
      </w:r>
      <w:r w:rsidR="00F67253" w:rsidRPr="00FB7D6B">
        <w:rPr>
          <w:rFonts w:ascii="Book Antiqua" w:hAnsi="Book Antiqua" w:cs="Arial"/>
          <w:sz w:val="24"/>
          <w:szCs w:val="24"/>
          <w:lang w:val="en-US"/>
        </w:rPr>
        <w:t xml:space="preserve"> </w:t>
      </w:r>
      <w:r w:rsidR="007C6DFC" w:rsidRPr="00FB7D6B">
        <w:rPr>
          <w:rFonts w:ascii="Book Antiqua" w:hAnsi="Book Antiqua" w:cs="Arial"/>
          <w:i/>
          <w:sz w:val="24"/>
          <w:szCs w:val="24"/>
          <w:lang w:val="en-US"/>
        </w:rPr>
        <w:t>vs</w:t>
      </w:r>
      <w:r w:rsidR="00F67253" w:rsidRPr="00FB7D6B">
        <w:rPr>
          <w:rFonts w:ascii="Book Antiqua" w:hAnsi="Book Antiqua" w:cs="Arial"/>
          <w:sz w:val="24"/>
          <w:szCs w:val="24"/>
          <w:lang w:val="en-US"/>
        </w:rPr>
        <w:t xml:space="preserve"> </w:t>
      </w:r>
      <w:r w:rsidR="009E27DA" w:rsidRPr="00FB7D6B">
        <w:rPr>
          <w:rFonts w:ascii="Book Antiqua" w:hAnsi="Book Antiqua" w:cs="Arial"/>
          <w:sz w:val="24"/>
          <w:szCs w:val="24"/>
          <w:lang w:val="en-US"/>
        </w:rPr>
        <w:t>median for the non-recovery group</w:t>
      </w:r>
      <w:r w:rsidR="00F67253" w:rsidRPr="00FB7D6B">
        <w:rPr>
          <w:rFonts w:ascii="Book Antiqua" w:hAnsi="Book Antiqua" w:cs="Arial"/>
          <w:sz w:val="24"/>
          <w:szCs w:val="24"/>
          <w:lang w:val="en-US"/>
        </w:rPr>
        <w:t xml:space="preserve">: </w:t>
      </w:r>
      <w:r w:rsidR="00662E55" w:rsidRPr="00FB7D6B">
        <w:rPr>
          <w:rFonts w:ascii="Book Antiqua" w:hAnsi="Book Antiqua" w:cs="Arial"/>
          <w:sz w:val="24"/>
          <w:szCs w:val="24"/>
          <w:lang w:val="en-US"/>
        </w:rPr>
        <w:t xml:space="preserve">27 </w:t>
      </w:r>
      <w:r w:rsidR="007C6DFC" w:rsidRPr="00FB7D6B">
        <w:rPr>
          <w:rFonts w:ascii="Book Antiqua" w:hAnsi="Book Antiqua" w:cs="Arial"/>
          <w:sz w:val="24"/>
          <w:szCs w:val="24"/>
          <w:lang w:val="en-US" w:eastAsia="zh-CN"/>
        </w:rPr>
        <w:t>(</w:t>
      </w:r>
      <w:r w:rsidR="00662E55" w:rsidRPr="00FB7D6B">
        <w:rPr>
          <w:rFonts w:ascii="Book Antiqua" w:hAnsi="Book Antiqua" w:cs="Arial"/>
          <w:sz w:val="24"/>
          <w:szCs w:val="24"/>
          <w:lang w:val="en-US"/>
        </w:rPr>
        <w:t>2</w:t>
      </w:r>
      <w:r w:rsidR="001F430B" w:rsidRPr="00FB7D6B">
        <w:rPr>
          <w:rFonts w:ascii="Book Antiqua" w:hAnsi="Book Antiqua" w:cs="Arial"/>
          <w:sz w:val="24"/>
          <w:szCs w:val="24"/>
          <w:lang w:val="en-US"/>
        </w:rPr>
        <w:t>5</w:t>
      </w:r>
      <w:r w:rsidR="00662E55" w:rsidRPr="00FB7D6B">
        <w:rPr>
          <w:rFonts w:ascii="Book Antiqua" w:hAnsi="Book Antiqua" w:cs="Arial"/>
          <w:sz w:val="24"/>
          <w:szCs w:val="24"/>
          <w:lang w:val="en-US"/>
        </w:rPr>
        <w:t>-</w:t>
      </w:r>
      <w:r w:rsidR="001F430B" w:rsidRPr="00FB7D6B">
        <w:rPr>
          <w:rFonts w:ascii="Book Antiqua" w:hAnsi="Book Antiqua" w:cs="Arial"/>
          <w:sz w:val="24"/>
          <w:szCs w:val="24"/>
          <w:lang w:val="en-US"/>
        </w:rPr>
        <w:t>3</w:t>
      </w:r>
      <w:r w:rsidR="00662E55" w:rsidRPr="00FB7D6B">
        <w:rPr>
          <w:rFonts w:ascii="Book Antiqua" w:hAnsi="Book Antiqua" w:cs="Arial"/>
          <w:sz w:val="24"/>
          <w:szCs w:val="24"/>
          <w:lang w:val="en-US"/>
        </w:rPr>
        <w:t>0</w:t>
      </w:r>
      <w:r w:rsidR="007C6DFC" w:rsidRPr="00FB7D6B">
        <w:rPr>
          <w:rFonts w:ascii="Book Antiqua" w:hAnsi="Book Antiqua" w:cs="Arial"/>
          <w:sz w:val="24"/>
          <w:szCs w:val="24"/>
          <w:lang w:val="en-US" w:eastAsia="zh-CN"/>
        </w:rPr>
        <w:t>)</w:t>
      </w:r>
      <w:r w:rsidR="007468B4" w:rsidRPr="00FB7D6B">
        <w:rPr>
          <w:rFonts w:ascii="Book Antiqua" w:hAnsi="Book Antiqua" w:cs="Arial"/>
          <w:sz w:val="24"/>
          <w:szCs w:val="24"/>
          <w:lang w:val="en-US"/>
        </w:rPr>
        <w:t xml:space="preserve">, </w:t>
      </w:r>
      <w:r w:rsidR="007468B4" w:rsidRPr="00FB7D6B">
        <w:rPr>
          <w:rFonts w:ascii="Book Antiqua" w:hAnsi="Book Antiqua" w:cs="Arial"/>
          <w:i/>
          <w:sz w:val="24"/>
          <w:szCs w:val="24"/>
          <w:lang w:val="en-US"/>
        </w:rPr>
        <w:t>P</w:t>
      </w:r>
      <w:r w:rsidR="00F67253" w:rsidRPr="00FB7D6B">
        <w:rPr>
          <w:rFonts w:ascii="Book Antiqua" w:hAnsi="Book Antiqua" w:cs="Arial"/>
          <w:sz w:val="24"/>
          <w:szCs w:val="24"/>
          <w:lang w:val="en-US"/>
        </w:rPr>
        <w:t xml:space="preserve"> </w:t>
      </w:r>
      <w:r w:rsidR="00184103" w:rsidRPr="00FB7D6B">
        <w:rPr>
          <w:rFonts w:ascii="Book Antiqua" w:hAnsi="Book Antiqua" w:cs="Arial"/>
          <w:sz w:val="24"/>
          <w:szCs w:val="24"/>
          <w:lang w:val="en-US"/>
        </w:rPr>
        <w:t>=</w:t>
      </w:r>
      <w:r w:rsidR="00F67253" w:rsidRPr="00FB7D6B">
        <w:rPr>
          <w:rFonts w:ascii="Book Antiqua" w:hAnsi="Book Antiqua" w:cs="Arial"/>
          <w:sz w:val="24"/>
          <w:szCs w:val="24"/>
          <w:lang w:val="en-US"/>
        </w:rPr>
        <w:t xml:space="preserve"> 0.00</w:t>
      </w:r>
      <w:r w:rsidR="00184103" w:rsidRPr="00FB7D6B">
        <w:rPr>
          <w:rFonts w:ascii="Book Antiqua" w:hAnsi="Book Antiqua" w:cs="Arial"/>
          <w:sz w:val="24"/>
          <w:szCs w:val="24"/>
          <w:lang w:val="en-US"/>
        </w:rPr>
        <w:t>07</w:t>
      </w:r>
      <w:r w:rsidR="009E27DA" w:rsidRPr="00FB7D6B">
        <w:rPr>
          <w:rFonts w:ascii="Book Antiqua" w:hAnsi="Book Antiqua" w:cs="Arial"/>
          <w:sz w:val="24"/>
          <w:szCs w:val="24"/>
          <w:lang w:val="en-US"/>
        </w:rPr>
        <w:t>,</w:t>
      </w:r>
      <w:r w:rsidR="00F67253" w:rsidRPr="00FB7D6B">
        <w:rPr>
          <w:rFonts w:ascii="Book Antiqua" w:hAnsi="Book Antiqua" w:cs="Arial"/>
          <w:sz w:val="24"/>
          <w:szCs w:val="24"/>
          <w:lang w:val="en-US"/>
        </w:rPr>
        <w:t xml:space="preserve"> </w:t>
      </w:r>
      <w:r w:rsidR="006F7F4D" w:rsidRPr="00FB7D6B">
        <w:rPr>
          <w:rFonts w:ascii="Book Antiqua" w:hAnsi="Book Antiqua" w:cs="Arial"/>
          <w:sz w:val="24"/>
          <w:szCs w:val="24"/>
          <w:lang w:val="en-US"/>
        </w:rPr>
        <w:t xml:space="preserve">and </w:t>
      </w:r>
      <w:r w:rsidR="009E27DA" w:rsidRPr="00FB7D6B">
        <w:rPr>
          <w:rFonts w:ascii="Book Antiqua" w:hAnsi="Book Antiqua" w:cs="Arial"/>
          <w:sz w:val="24"/>
          <w:szCs w:val="24"/>
          <w:lang w:val="en-US"/>
        </w:rPr>
        <w:t>finally, median ALT-value</w:t>
      </w:r>
      <w:r w:rsidR="006F7F4D" w:rsidRPr="00FB7D6B">
        <w:rPr>
          <w:rFonts w:ascii="Book Antiqua" w:hAnsi="Book Antiqua" w:cs="Arial"/>
          <w:sz w:val="24"/>
          <w:szCs w:val="24"/>
          <w:lang w:val="en-US"/>
        </w:rPr>
        <w:t>s</w:t>
      </w:r>
      <w:r w:rsidR="009E27DA" w:rsidRPr="00FB7D6B">
        <w:rPr>
          <w:rFonts w:ascii="Book Antiqua" w:hAnsi="Book Antiqua" w:cs="Arial"/>
          <w:sz w:val="24"/>
          <w:szCs w:val="24"/>
          <w:lang w:val="en-US"/>
        </w:rPr>
        <w:t xml:space="preserve"> for the recovery group </w:t>
      </w:r>
      <w:r w:rsidR="00662E55" w:rsidRPr="00FB7D6B">
        <w:rPr>
          <w:rFonts w:ascii="Book Antiqua" w:hAnsi="Book Antiqua" w:cs="Arial"/>
          <w:sz w:val="24"/>
          <w:szCs w:val="24"/>
          <w:lang w:val="en-US"/>
        </w:rPr>
        <w:t xml:space="preserve">1512 </w:t>
      </w:r>
      <w:r w:rsidR="007C6DFC" w:rsidRPr="00FB7D6B">
        <w:rPr>
          <w:rFonts w:ascii="Book Antiqua" w:hAnsi="Book Antiqua" w:cs="Arial"/>
          <w:sz w:val="24"/>
          <w:szCs w:val="24"/>
          <w:lang w:val="en-US" w:eastAsia="zh-CN"/>
        </w:rPr>
        <w:t>(</w:t>
      </w:r>
      <w:r w:rsidR="00184103" w:rsidRPr="00FB7D6B">
        <w:rPr>
          <w:rFonts w:ascii="Book Antiqua" w:hAnsi="Book Antiqua" w:cs="Arial"/>
          <w:sz w:val="24"/>
          <w:szCs w:val="24"/>
          <w:lang w:val="en-US"/>
        </w:rPr>
        <w:t>904</w:t>
      </w:r>
      <w:r w:rsidR="00697E97" w:rsidRPr="00FB7D6B">
        <w:rPr>
          <w:rFonts w:ascii="Book Antiqua" w:hAnsi="Book Antiqua" w:cs="Arial"/>
          <w:sz w:val="24"/>
          <w:szCs w:val="24"/>
          <w:lang w:val="en-US"/>
        </w:rPr>
        <w:t>-</w:t>
      </w:r>
      <w:r w:rsidR="00184103" w:rsidRPr="00FB7D6B">
        <w:rPr>
          <w:rFonts w:ascii="Book Antiqua" w:hAnsi="Book Antiqua" w:cs="Arial"/>
          <w:sz w:val="24"/>
          <w:szCs w:val="24"/>
          <w:lang w:val="en-US"/>
        </w:rPr>
        <w:t>2276</w:t>
      </w:r>
      <w:r w:rsidR="007C6DFC" w:rsidRPr="00FB7D6B">
        <w:rPr>
          <w:rFonts w:ascii="Book Antiqua" w:hAnsi="Book Antiqua" w:cs="Arial"/>
          <w:sz w:val="24"/>
          <w:szCs w:val="24"/>
          <w:lang w:val="en-US" w:eastAsia="zh-CN"/>
        </w:rPr>
        <w:t>)</w:t>
      </w:r>
      <w:r w:rsidR="00F67253" w:rsidRPr="00FB7D6B">
        <w:rPr>
          <w:rFonts w:ascii="Book Antiqua" w:hAnsi="Book Antiqua" w:cs="Arial"/>
          <w:sz w:val="24"/>
          <w:szCs w:val="24"/>
          <w:lang w:val="en-US"/>
        </w:rPr>
        <w:t xml:space="preserve"> U/</w:t>
      </w:r>
      <w:r w:rsidR="00BB1637" w:rsidRPr="00FB7D6B">
        <w:rPr>
          <w:rFonts w:ascii="Book Antiqua" w:hAnsi="Book Antiqua" w:cs="Arial"/>
          <w:sz w:val="24"/>
          <w:szCs w:val="24"/>
          <w:lang w:val="en-US"/>
        </w:rPr>
        <w:t>L</w:t>
      </w:r>
      <w:r w:rsidR="00F67253" w:rsidRPr="00FB7D6B">
        <w:rPr>
          <w:rFonts w:ascii="Book Antiqua" w:hAnsi="Book Antiqua" w:cs="Arial"/>
          <w:sz w:val="24"/>
          <w:szCs w:val="24"/>
          <w:lang w:val="en-US"/>
        </w:rPr>
        <w:t xml:space="preserve"> </w:t>
      </w:r>
      <w:r w:rsidR="007C6DFC" w:rsidRPr="00FB7D6B">
        <w:rPr>
          <w:rFonts w:ascii="Book Antiqua" w:hAnsi="Book Antiqua" w:cs="Arial"/>
          <w:i/>
          <w:sz w:val="24"/>
          <w:szCs w:val="24"/>
          <w:lang w:val="en-US"/>
        </w:rPr>
        <w:t>vs</w:t>
      </w:r>
      <w:r w:rsidR="00F67253" w:rsidRPr="00FB7D6B">
        <w:rPr>
          <w:rFonts w:ascii="Book Antiqua" w:hAnsi="Book Antiqua" w:cs="Arial"/>
          <w:sz w:val="24"/>
          <w:szCs w:val="24"/>
          <w:lang w:val="en-US"/>
        </w:rPr>
        <w:t xml:space="preserve"> median </w:t>
      </w:r>
      <w:r w:rsidR="009E27DA" w:rsidRPr="00FB7D6B">
        <w:rPr>
          <w:rFonts w:ascii="Book Antiqua" w:hAnsi="Book Antiqua" w:cs="Arial"/>
          <w:sz w:val="24"/>
          <w:szCs w:val="24"/>
          <w:lang w:val="en-US"/>
        </w:rPr>
        <w:t>for the non-recovery group</w:t>
      </w:r>
      <w:r w:rsidR="00F67253" w:rsidRPr="00FB7D6B">
        <w:rPr>
          <w:rFonts w:ascii="Book Antiqua" w:hAnsi="Book Antiqua" w:cs="Arial"/>
          <w:sz w:val="24"/>
          <w:szCs w:val="24"/>
          <w:lang w:val="en-US"/>
        </w:rPr>
        <w:t xml:space="preserve">: </w:t>
      </w:r>
      <w:r w:rsidR="00662E55" w:rsidRPr="00FB7D6B">
        <w:rPr>
          <w:rFonts w:ascii="Book Antiqua" w:hAnsi="Book Antiqua" w:cs="Arial"/>
          <w:sz w:val="24"/>
          <w:szCs w:val="24"/>
          <w:lang w:val="en-US"/>
        </w:rPr>
        <w:t xml:space="preserve">711 </w:t>
      </w:r>
      <w:r w:rsidR="007C6DFC" w:rsidRPr="00FB7D6B">
        <w:rPr>
          <w:rFonts w:ascii="Book Antiqua" w:hAnsi="Book Antiqua" w:cs="Arial"/>
          <w:sz w:val="24"/>
          <w:szCs w:val="24"/>
          <w:lang w:val="en-US" w:eastAsia="zh-CN"/>
        </w:rPr>
        <w:t>(</w:t>
      </w:r>
      <w:r w:rsidR="00DE443A" w:rsidRPr="00FB7D6B">
        <w:rPr>
          <w:rFonts w:ascii="Book Antiqua" w:hAnsi="Book Antiqua" w:cs="Arial"/>
          <w:sz w:val="24"/>
          <w:szCs w:val="24"/>
          <w:lang w:val="en-US"/>
        </w:rPr>
        <w:t>324</w:t>
      </w:r>
      <w:r w:rsidR="00662E55" w:rsidRPr="00FB7D6B">
        <w:rPr>
          <w:rFonts w:ascii="Book Antiqua" w:hAnsi="Book Antiqua" w:cs="Arial"/>
          <w:sz w:val="24"/>
          <w:szCs w:val="24"/>
          <w:lang w:val="en-US"/>
        </w:rPr>
        <w:t>-</w:t>
      </w:r>
      <w:r w:rsidR="00DE443A" w:rsidRPr="00FB7D6B">
        <w:rPr>
          <w:rFonts w:ascii="Book Antiqua" w:hAnsi="Book Antiqua" w:cs="Arial"/>
          <w:sz w:val="24"/>
          <w:szCs w:val="24"/>
          <w:lang w:val="en-US"/>
        </w:rPr>
        <w:t>1391</w:t>
      </w:r>
      <w:r w:rsidR="007C6DFC" w:rsidRPr="00FB7D6B">
        <w:rPr>
          <w:rFonts w:ascii="Book Antiqua" w:hAnsi="Book Antiqua" w:cs="Arial"/>
          <w:sz w:val="24"/>
          <w:szCs w:val="24"/>
          <w:lang w:val="en-US" w:eastAsia="zh-CN"/>
        </w:rPr>
        <w:t>)</w:t>
      </w:r>
      <w:r w:rsidR="007468B4" w:rsidRPr="00FB7D6B">
        <w:rPr>
          <w:rFonts w:ascii="Book Antiqua" w:hAnsi="Book Antiqua" w:cs="Arial"/>
          <w:sz w:val="24"/>
          <w:szCs w:val="24"/>
          <w:lang w:val="en-US"/>
        </w:rPr>
        <w:t xml:space="preserve"> U/</w:t>
      </w:r>
      <w:r w:rsidR="00BB1637" w:rsidRPr="00FB7D6B">
        <w:rPr>
          <w:rFonts w:ascii="Book Antiqua" w:hAnsi="Book Antiqua" w:cs="Arial"/>
          <w:sz w:val="24"/>
          <w:szCs w:val="24"/>
          <w:lang w:val="en-US"/>
        </w:rPr>
        <w:t>L</w:t>
      </w:r>
      <w:r w:rsidR="007468B4" w:rsidRPr="00FB7D6B">
        <w:rPr>
          <w:rFonts w:ascii="Book Antiqua" w:hAnsi="Book Antiqua" w:cs="Arial"/>
          <w:sz w:val="24"/>
          <w:szCs w:val="24"/>
          <w:lang w:val="en-US"/>
        </w:rPr>
        <w:t xml:space="preserve">, </w:t>
      </w:r>
      <w:r w:rsidR="007468B4" w:rsidRPr="00FB7D6B">
        <w:rPr>
          <w:rFonts w:ascii="Book Antiqua" w:hAnsi="Book Antiqua" w:cs="Arial"/>
          <w:i/>
          <w:sz w:val="24"/>
          <w:szCs w:val="24"/>
          <w:lang w:val="en-US"/>
        </w:rPr>
        <w:t>P</w:t>
      </w:r>
      <w:r w:rsidR="00F67253" w:rsidRPr="00FB7D6B">
        <w:rPr>
          <w:rFonts w:ascii="Book Antiqua" w:hAnsi="Book Antiqua" w:cs="Arial"/>
          <w:sz w:val="24"/>
          <w:szCs w:val="24"/>
          <w:lang w:val="en-US"/>
        </w:rPr>
        <w:t xml:space="preserve"> </w:t>
      </w:r>
      <w:r w:rsidR="00DE443A" w:rsidRPr="00FB7D6B">
        <w:rPr>
          <w:rFonts w:ascii="Book Antiqua" w:hAnsi="Book Antiqua" w:cs="Arial"/>
          <w:sz w:val="24"/>
          <w:szCs w:val="24"/>
          <w:lang w:val="en-US"/>
        </w:rPr>
        <w:t>=</w:t>
      </w:r>
      <w:r w:rsidR="00F67253" w:rsidRPr="00FB7D6B">
        <w:rPr>
          <w:rFonts w:ascii="Book Antiqua" w:hAnsi="Book Antiqua" w:cs="Arial"/>
          <w:sz w:val="24"/>
          <w:szCs w:val="24"/>
          <w:lang w:val="en-US"/>
        </w:rPr>
        <w:t xml:space="preserve"> 0.0</w:t>
      </w:r>
      <w:r w:rsidR="00DE443A" w:rsidRPr="00FB7D6B">
        <w:rPr>
          <w:rFonts w:ascii="Book Antiqua" w:hAnsi="Book Antiqua" w:cs="Arial"/>
          <w:sz w:val="24"/>
          <w:szCs w:val="24"/>
          <w:lang w:val="en-US"/>
        </w:rPr>
        <w:t>157</w:t>
      </w:r>
      <w:r w:rsidR="00F67253" w:rsidRPr="00FB7D6B">
        <w:rPr>
          <w:rFonts w:ascii="Book Antiqua" w:hAnsi="Book Antiqua" w:cs="Arial"/>
          <w:sz w:val="24"/>
          <w:szCs w:val="24"/>
          <w:lang w:val="en-US"/>
        </w:rPr>
        <w:t>)</w:t>
      </w:r>
      <w:r w:rsidR="00737908" w:rsidRPr="00FB7D6B">
        <w:rPr>
          <w:rFonts w:ascii="Book Antiqua" w:hAnsi="Book Antiqua" w:cs="Arial"/>
          <w:sz w:val="24"/>
          <w:szCs w:val="24"/>
          <w:lang w:val="en-US"/>
        </w:rPr>
        <w:t xml:space="preserve"> (</w:t>
      </w:r>
      <w:r w:rsidR="00E1069A" w:rsidRPr="00FB7D6B">
        <w:rPr>
          <w:rFonts w:ascii="Book Antiqua" w:hAnsi="Book Antiqua" w:cs="Arial"/>
          <w:sz w:val="24"/>
          <w:szCs w:val="24"/>
          <w:lang w:val="en-US"/>
        </w:rPr>
        <w:t xml:space="preserve">Table 2 and </w:t>
      </w:r>
      <w:r w:rsidR="00737908" w:rsidRPr="00FB7D6B">
        <w:rPr>
          <w:rFonts w:ascii="Book Antiqua" w:hAnsi="Book Antiqua" w:cs="Arial"/>
          <w:sz w:val="24"/>
          <w:szCs w:val="24"/>
          <w:lang w:val="en-US"/>
        </w:rPr>
        <w:t xml:space="preserve">Figure </w:t>
      </w:r>
      <w:r w:rsidR="00C82A11" w:rsidRPr="00FB7D6B">
        <w:rPr>
          <w:rFonts w:ascii="Book Antiqua" w:hAnsi="Book Antiqua" w:cs="Arial"/>
          <w:sz w:val="24"/>
          <w:szCs w:val="24"/>
          <w:lang w:val="en-US"/>
        </w:rPr>
        <w:t>4</w:t>
      </w:r>
      <w:r w:rsidR="00737908" w:rsidRPr="00FB7D6B">
        <w:rPr>
          <w:rFonts w:ascii="Book Antiqua" w:hAnsi="Book Antiqua" w:cs="Arial"/>
          <w:sz w:val="24"/>
          <w:szCs w:val="24"/>
          <w:lang w:val="en-US"/>
        </w:rPr>
        <w:t>A</w:t>
      </w:r>
      <w:r w:rsidR="003E0D42">
        <w:rPr>
          <w:rFonts w:ascii="Book Antiqua" w:hAnsi="Book Antiqua" w:cs="Arial" w:hint="eastAsia"/>
          <w:sz w:val="24"/>
          <w:szCs w:val="24"/>
          <w:lang w:val="en-US" w:eastAsia="zh-CN"/>
        </w:rPr>
        <w:t>-</w:t>
      </w:r>
      <w:r w:rsidR="00737908" w:rsidRPr="00FB7D6B">
        <w:rPr>
          <w:rFonts w:ascii="Book Antiqua" w:hAnsi="Book Antiqua" w:cs="Arial"/>
          <w:sz w:val="24"/>
          <w:szCs w:val="24"/>
          <w:lang w:val="en-US"/>
        </w:rPr>
        <w:t>D)</w:t>
      </w:r>
      <w:r w:rsidR="00F67253" w:rsidRPr="00FB7D6B">
        <w:rPr>
          <w:rFonts w:ascii="Book Antiqua" w:hAnsi="Book Antiqua" w:cs="Arial"/>
          <w:sz w:val="24"/>
          <w:szCs w:val="24"/>
          <w:lang w:val="en-US"/>
        </w:rPr>
        <w:t xml:space="preserve">. </w:t>
      </w:r>
      <w:r w:rsidR="00A157B4" w:rsidRPr="00FB7D6B">
        <w:rPr>
          <w:rFonts w:ascii="Book Antiqua" w:hAnsi="Book Antiqua" w:cs="Arial"/>
          <w:sz w:val="24"/>
          <w:szCs w:val="24"/>
          <w:lang w:val="en-US"/>
        </w:rPr>
        <w:t xml:space="preserve">None of the remaining </w:t>
      </w:r>
      <w:r w:rsidR="007468B4" w:rsidRPr="00FB7D6B">
        <w:rPr>
          <w:rFonts w:ascii="Book Antiqua" w:hAnsi="Book Antiqua" w:cs="Arial"/>
          <w:sz w:val="24"/>
          <w:szCs w:val="24"/>
          <w:lang w:val="en-US"/>
        </w:rPr>
        <w:t xml:space="preserve">AIH </w:t>
      </w:r>
      <w:r w:rsidR="00A157B4" w:rsidRPr="00FB7D6B">
        <w:rPr>
          <w:rFonts w:ascii="Book Antiqua" w:hAnsi="Book Antiqua" w:cs="Arial"/>
          <w:sz w:val="24"/>
          <w:szCs w:val="24"/>
          <w:lang w:val="en-US"/>
        </w:rPr>
        <w:t>patients of our cohort (</w:t>
      </w:r>
      <w:r w:rsidR="00A157B4" w:rsidRPr="00FB7D6B">
        <w:rPr>
          <w:rFonts w:ascii="Book Antiqua" w:hAnsi="Book Antiqua" w:cs="Arial"/>
          <w:i/>
          <w:sz w:val="24"/>
          <w:szCs w:val="24"/>
          <w:lang w:val="en-US"/>
        </w:rPr>
        <w:t>n</w:t>
      </w:r>
      <w:r w:rsidR="00A157B4" w:rsidRPr="00FB7D6B">
        <w:rPr>
          <w:rFonts w:ascii="Book Antiqua" w:hAnsi="Book Antiqua" w:cs="Arial"/>
          <w:sz w:val="24"/>
          <w:szCs w:val="24"/>
          <w:lang w:val="en-US"/>
        </w:rPr>
        <w:t xml:space="preserve"> = 513 patients) developed acute liver failure under therapy with corticosteroids and/or immunosuppressive therapy. </w:t>
      </w:r>
      <w:r w:rsidR="00A8573D" w:rsidRPr="00FB7D6B">
        <w:rPr>
          <w:rFonts w:ascii="Book Antiqua" w:hAnsi="Book Antiqua" w:cs="Arial"/>
          <w:sz w:val="24"/>
          <w:szCs w:val="24"/>
          <w:lang w:val="en-US"/>
        </w:rPr>
        <w:t>However, no significance was found for markedly increased bilirubin levels comparing both groups.</w:t>
      </w:r>
    </w:p>
    <w:p w:rsidR="00EE0A27" w:rsidRPr="00FB7D6B" w:rsidRDefault="00EE0A27" w:rsidP="00FB7D6B">
      <w:pPr>
        <w:adjustRightInd w:val="0"/>
        <w:snapToGrid w:val="0"/>
        <w:spacing w:after="0" w:line="360" w:lineRule="auto"/>
        <w:jc w:val="both"/>
        <w:rPr>
          <w:rFonts w:ascii="Book Antiqua" w:hAnsi="Book Antiqua" w:cs="Arial"/>
          <w:b/>
          <w:sz w:val="24"/>
          <w:szCs w:val="24"/>
          <w:lang w:val="en-US"/>
        </w:rPr>
      </w:pPr>
    </w:p>
    <w:p w:rsidR="00043625" w:rsidRPr="00FB7D6B" w:rsidRDefault="00043625"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DISCUSSION</w:t>
      </w:r>
    </w:p>
    <w:p w:rsidR="007468B4" w:rsidRPr="00FB7D6B" w:rsidRDefault="00D71330"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 xml:space="preserve">The etiology of autoimmune hepatitis (AIH) is uncertain but </w:t>
      </w:r>
      <w:r w:rsidR="00F32AB2" w:rsidRPr="00FB7D6B">
        <w:rPr>
          <w:rFonts w:ascii="Book Antiqua" w:hAnsi="Book Antiqua" w:cs="Arial"/>
          <w:sz w:val="24"/>
          <w:szCs w:val="24"/>
          <w:lang w:val="en-US"/>
        </w:rPr>
        <w:t xml:space="preserve">- in some cases - </w:t>
      </w:r>
      <w:r w:rsidRPr="00FB7D6B">
        <w:rPr>
          <w:rFonts w:ascii="Book Antiqua" w:hAnsi="Book Antiqua" w:cs="Arial"/>
          <w:sz w:val="24"/>
          <w:szCs w:val="24"/>
          <w:lang w:val="en-US"/>
        </w:rPr>
        <w:t>the disease can be triggered by external factors such as viruses or drugs. AIH usually</w:t>
      </w:r>
      <w:r w:rsidR="007468B4" w:rsidRPr="00FB7D6B">
        <w:rPr>
          <w:rFonts w:ascii="Book Antiqua" w:hAnsi="Book Antiqua" w:cs="Arial"/>
          <w:sz w:val="24"/>
          <w:szCs w:val="24"/>
          <w:lang w:val="en-US"/>
        </w:rPr>
        <w:t xml:space="preserve"> develops in individuals with </w:t>
      </w:r>
      <w:r w:rsidRPr="00FB7D6B">
        <w:rPr>
          <w:rFonts w:ascii="Book Antiqua" w:hAnsi="Book Antiqua" w:cs="Arial"/>
          <w:sz w:val="24"/>
          <w:szCs w:val="24"/>
          <w:lang w:val="en-US"/>
        </w:rPr>
        <w:t>genetic background</w:t>
      </w:r>
      <w:r w:rsidR="00F32AB2" w:rsidRPr="00FB7D6B">
        <w:rPr>
          <w:rFonts w:ascii="Book Antiqua" w:hAnsi="Book Antiqua" w:cs="Arial"/>
          <w:sz w:val="24"/>
          <w:szCs w:val="24"/>
          <w:lang w:val="en-US"/>
        </w:rPr>
        <w:t xml:space="preserve">. </w:t>
      </w:r>
      <w:r w:rsidRPr="00FB7D6B">
        <w:rPr>
          <w:rFonts w:ascii="Book Antiqua" w:hAnsi="Book Antiqua" w:cs="Arial"/>
          <w:sz w:val="24"/>
          <w:szCs w:val="24"/>
          <w:lang w:val="en-US"/>
        </w:rPr>
        <w:t>Many drugs have been linked to AIH phenotypes, which sometimes persist after drug discontinuation, suggesting that they awaken latent autoimmunity.</w:t>
      </w:r>
      <w:r w:rsidR="00EB291D" w:rsidRPr="00FB7D6B">
        <w:rPr>
          <w:rFonts w:ascii="Book Antiqua" w:hAnsi="Book Antiqua" w:cs="Arial"/>
          <w:sz w:val="24"/>
          <w:szCs w:val="24"/>
          <w:lang w:val="en-US"/>
        </w:rPr>
        <w:t xml:space="preserve"> Growing information on the relationship of drugs and AIH is being available, being drugs and biologic agents</w:t>
      </w:r>
      <w:r w:rsidR="00F32AB2" w:rsidRPr="00FB7D6B">
        <w:rPr>
          <w:rFonts w:ascii="Book Antiqua" w:hAnsi="Book Antiqua" w:cs="Arial"/>
          <w:sz w:val="24"/>
          <w:szCs w:val="24"/>
          <w:lang w:val="en-US"/>
        </w:rPr>
        <w:t xml:space="preserve"> </w:t>
      </w:r>
      <w:r w:rsidR="00EB291D" w:rsidRPr="00FB7D6B">
        <w:rPr>
          <w:rFonts w:ascii="Book Antiqua" w:hAnsi="Book Antiqua" w:cs="Arial"/>
          <w:sz w:val="24"/>
          <w:szCs w:val="24"/>
          <w:lang w:val="en-US"/>
        </w:rPr>
        <w:t>more frequently involved in cases</w:t>
      </w:r>
      <w:r w:rsidR="009F6DBE" w:rsidRPr="00FB7D6B">
        <w:rPr>
          <w:rFonts w:ascii="Book Antiqua" w:hAnsi="Book Antiqua" w:cs="Arial"/>
          <w:sz w:val="24"/>
          <w:szCs w:val="24"/>
          <w:lang w:val="en-US"/>
        </w:rPr>
        <w:t xml:space="preserve"> allowing </w:t>
      </w:r>
      <w:r w:rsidR="00AA0A51" w:rsidRPr="00FB7D6B">
        <w:rPr>
          <w:rFonts w:ascii="Book Antiqua" w:hAnsi="Book Antiqua" w:cs="Arial"/>
          <w:sz w:val="24"/>
          <w:szCs w:val="24"/>
          <w:lang w:val="en-US"/>
        </w:rPr>
        <w:t xml:space="preserve">to </w:t>
      </w:r>
      <w:r w:rsidR="007F2596" w:rsidRPr="00FB7D6B">
        <w:rPr>
          <w:rFonts w:ascii="Book Antiqua" w:hAnsi="Book Antiqua" w:cs="Arial"/>
          <w:sz w:val="24"/>
          <w:szCs w:val="24"/>
          <w:lang w:val="en-US"/>
        </w:rPr>
        <w:t>establish a causal relationship</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{"citationID":"297ppf8fjl","properties":{"formattedCitation":"{\\rtf \\super [20\\uc0\\u8211{}23]\\nosupersub{}}","plainCitation":"[20–23]"},"citationItems":[{"id":552,"uris":["http://zotero.org/users/local/Cz1JGnYD/items/K6596G4V"],"uri":["http://zotero.org/users/local/Cz1JGnYD/items/K6596G4V"],"itemData":{"id":552,"type":"article-journal","title":"Drug-induced autoimmune liver disease: A diagnostic dilemma of an increasingly reported disease","container-title":"World Journal of Hepatology","page":"160-168","volume":"6","issue":"4","source":"PubMed","abstract":"The aetiology of autoimmune hepatitis (AIH) is uncertain but the disease can be triggered in susceptible patients by external factors such as viruses or drugs. AIH usually develops in individuals with a genetic background mainly consisting of some risk alleles of the major histocompatibility complex (HLA). Many drugs have been linked to AIH phenotypes, which sometimes persist after drug discontinuation, suggesting that they awaken latent autoimmunity. At least three clinical scenarios have been proposed that refers to drug- induced autoimmune liver disease (DIAILD): AIH with drug-induced liver injury (DILI); drug induced-AIH (DI-AIH); and immune mediated DILI (IM-DILI). In addition, there are instances showing mixed features of DI-AIH and IM-DILI, as well as DILI cases with positive autoantibodies. Histologically distinguishing DILI from AIH remains a challenge. Even more challenging is the differentiation of AIH from DI-AIH mainly relying in histological features; however, a detailed standardised histologic evaluation of large cohorts of AIH and DI-AIH patients would probably render more subtle features that could be of help in the differential diagnosis between both entities. Growing information on the relationship of drugs and AIH is being available, being drugs like statins and biologic agents more frequently involved in cases of DIAILD. In addition, there is some evidence on the fact that patients diagnosed with DIAILD may have had a previous episode of hepatotoxicity. Further collaborative studies in DIAILD will strengthen the knowledge and understanding of this intriguing and complex disorder which might represent different phenotypes across the spectrum of disease.","DOI":"10.4254/wjh.v6.i4.160","ISSN":"1948-5182","note":"PMID: 24799984\nPMCID: PMC4009471","shortTitle":"Drug-induced autoimmune liver disease","journalAbbreviation":"World J Hepatol","language":"eng","author":[{"family":"Castiella","given":"Agustin"},{"family":"Zapata","given":"Eva"},{"family":"Lucena","given":"M. Isabel"},{"family":"Andrade","given":"Raúl J."}],"issued":{"date-parts":[["2014",4,27]]},"PMID":"24799984","PMCID":"PMC4009471"},"label":"page"},{"id":554,"uris":["http://zotero.org/users/local/Cz1JGnYD/items/GX8BJCTG"],"uri":["http://zotero.org/users/local/Cz1JGnYD/items/GX8BJCTG"],"itemData":{"id":554,"type":"article-journal","title":"Drug-induced liver injury: summary of a single topic clinical research conference","container-title":"Hepatology (Baltimore, Md.)","page":"618-631","volume":"43","issue":"3","source":"PubMed","abstract":"Idiosyncratic drug induced liver injury (DILI) remains poorly understood. It is assumed that the affected individuals possess a rare combination of genetic and non genetic factors that, if identified, would greatly improve understanding of the underlying mechanisms. This single topic conference brought together basic scientists, translational investigators, and clinicians with an interest in DILI. The goal was to define high priority areas of investigation that will soon be made possible by The Drug-Induced Liver Injury Network (DILIN). Since 2004 DILIN has been collecting clinical data, genomic DNA and some tissues from patients who have experienced bone fide DILI. The presentations spanned many different areas of DILI, and included novel data concerning mechanisms of hepatotoxicity, new \"omics\" approaches, and the challenges of improving causation assessment.","DOI":"10.1002/hep.21095","ISSN":"0270-9139","note":"PMID: 16496329","shortTitle":"Drug-induced liver injury","journalAbbreviation":"Hepatology","language":"eng","author":[{"family":"Watkins","given":"Paul B."},{"family":"Seeff","given":"Leonard B."}],"issued":{"date-parts":[["2006",3]]},"PMID":"16496329"},"label":"page"},{"id":556,"uris":["http://zotero.org/users/local/Cz1JGnYD/items/3UXBIIIB"],"uri":["http://zotero.org/users/local/Cz1JGnYD/items/3UXBIIIB"],"itemData":{"id":556,"type":"article-journal","title":"Autoimmune hepatitis triggered by statins","container-title":"Journal of Clinical Gastroenterology","page":"757-761","volume":"40","issue":"8","source":"PubMed","abstract":"Although the cause of autoimmune hepatitis (AIH) is unknown, drugs are believed to be potential triggers in some patients. In isolated case reports, statins have been considered such triggers. Here we describe 3 patients in whom it is probable that statins initiated the development of AIH. Two men (aged 47 and 51) and one woman (aged 57) developed AIH after the initiation of statin therapy. They developed positive titers of antinuclear antibodies, antismooth muscle antibodies (1/40 to 1/160), and hypergammaglobulinemia. Features of all 3 patients met the criteria for AIH according to the International Autoimmune Hepatitis Panel. Liver biopsies in all 3 showed varying stages of fibrosis and plasma cell infiltration, compatible with AIH. The woman developed hepatitis due to statins on 2 separate occasions: the first in 1999, due to simvastatin, and the second in 2001 to 2002, due to atorvastatin, which was severe and persisted even after discontinuing medication. Similarly, in the 2 other cases, exposure to statins preceded development of AIH, which persisted despite discontinuing medications. All 3 patients responded well to prednisone and azathioprine or mycophenolate therapy. 3 similar previously reported cases are reviewed. We conclude that the 3 cases reported here and 3 similar previously reported cases, indicate that severe, ongoing AIH on rare occasions can be triggered by statins.","ISSN":"0192-0790","note":"PMID: 16940892","journalAbbreviation":"J. Clin. Gastroenterol.","language":"eng","author":[{"family":"Alla","given":"Vamsee"},{"family":"Abraham","given":"Joseph"},{"family":"Siddiqui","given":"Junaid"},{"family":"Raina","given":"Dimple"},{"family":"Wu","given":"George Y."},{"family":"Chalasani","given":"Naga P."},{"family":"Bonkovsky","given":"Herbert L."}],"issued":{"date-parts":[["2006",9]]},"PMID":"16940892"},"label":"page"},{"id":558,"uris":["http://zotero.org/users/local/Cz1JGnYD/items/MSJG3NEJ"],"uri":["http://zotero.org/users/local/Cz1JGnYD/items/MSJG3NEJ"],"itemData":{"id":558,"type":"article-journal","title":"[Cyclines and acne: pay attention to adverse drug reactions! A recent literature review]","container-title":"La Revue De Medecine Interne","page":"305-316","volume":"24","issue":"5","source":"PubMed","abstract":"PURPOSE: Cyclines are broad-spectrum antibiotics often used in acne. Side effects might occur precociously or more insidiously during long term treatment such in acne. The aim of this study is to review all adverse effects recently reported in this indication.\nCURRENT KNOWLEDGE AND KEY POINTS: A literature review from 1997 to 2001 has been conducted. Seventy-six articles reporting 250 cases have been found. Data analysis indicated that minocycline is the most widely incriminated molecule. Seventy-two cases revealed autoimmune disorders : lupus like syndrome associated or not with autoimmune hepatitis, 5 cases developed vasculitis. These reactions occurred in long term treatment (several weeks to several months). Fifteen cases of hypersensitivity syndromes and 3 cases of serum sickness like illness have been reported. These reactions occurred within the first weeks of exposure. Twenty-four cases of pseudotumor cerebri and 123 cases of abnormal pigmentations (skin, nails, mouth, bones or organs) have also been found. Eight cases presented other diseases.\nFUTURE PROSPECTS AND PROJECTS: Adverse effects of cyclines might be serious and sometimes unknown. Long term treatment by tetracyclines must be researched in patients presenting such symptoms. Moreover, several adverse drug reactions might be avoided by an optimal use of the drug (oesophageal ulcerations, photosensitivity) or by shorter periods of treatment (autoimmune disorders, pigmentations); only DRESS are drug adverse reactions unpredictable and sometimes severe.","ISSN":"0248-8663","note":"PMID: 12763176","shortTitle":"[Cyclines and acne","journalAbbreviation":"Rev Med Interne","language":"fre","author":[{"family":"Grasset","given":"L."},{"family":"Guy","given":"C."},{"family":"Ollagnier","given":"M."}],"issued":{"date-parts":[["2003",5]]},"PMID":"12763176"},"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[20</w:t>
      </w:r>
      <w:r w:rsidR="00B64F70">
        <w:rPr>
          <w:rFonts w:ascii="Book Antiqua" w:hAnsi="Book Antiqua" w:cs="Arial" w:hint="eastAsia"/>
          <w:sz w:val="24"/>
          <w:szCs w:val="24"/>
          <w:vertAlign w:val="superscript"/>
          <w:lang w:val="en-US" w:eastAsia="zh-CN"/>
        </w:rPr>
        <w:t>-</w:t>
      </w:r>
      <w:r w:rsidR="00353C5E" w:rsidRPr="00FB7D6B">
        <w:rPr>
          <w:rFonts w:ascii="Book Antiqua" w:hAnsi="Book Antiqua" w:cs="Arial"/>
          <w:sz w:val="24"/>
          <w:szCs w:val="24"/>
          <w:vertAlign w:val="superscript"/>
          <w:lang w:val="en-US"/>
        </w:rPr>
        <w:t>23]</w:t>
      </w:r>
      <w:r w:rsidR="00CA4090" w:rsidRPr="00FB7D6B">
        <w:rPr>
          <w:rFonts w:ascii="Book Antiqua" w:hAnsi="Book Antiqua" w:cs="Arial"/>
          <w:sz w:val="24"/>
          <w:szCs w:val="24"/>
          <w:vertAlign w:val="superscript"/>
          <w:lang w:val="en-US"/>
        </w:rPr>
        <w:fldChar w:fldCharType="end"/>
      </w:r>
      <w:r w:rsidR="00EB291D" w:rsidRPr="00FB7D6B">
        <w:rPr>
          <w:rFonts w:ascii="Book Antiqua" w:hAnsi="Book Antiqua" w:cs="Arial"/>
          <w:sz w:val="24"/>
          <w:szCs w:val="24"/>
          <w:lang w:val="en-US"/>
        </w:rPr>
        <w:t>.</w:t>
      </w:r>
      <w:r w:rsidR="002F4DFB" w:rsidRPr="00FB7D6B">
        <w:rPr>
          <w:rFonts w:ascii="Book Antiqua" w:hAnsi="Book Antiqua" w:cs="Arial"/>
          <w:sz w:val="24"/>
          <w:szCs w:val="24"/>
          <w:lang w:val="en-US"/>
        </w:rPr>
        <w:t xml:space="preserve"> According to current literature, the frequency of patients with drug-induced AIH </w:t>
      </w:r>
      <w:r w:rsidR="00CE3807" w:rsidRPr="00FB7D6B">
        <w:rPr>
          <w:rFonts w:ascii="Book Antiqua" w:hAnsi="Book Antiqua" w:cs="Arial"/>
          <w:sz w:val="24"/>
          <w:szCs w:val="24"/>
          <w:lang w:val="en-US"/>
        </w:rPr>
        <w:t xml:space="preserve">(DILI-AIH) </w:t>
      </w:r>
      <w:r w:rsidR="002F4DFB" w:rsidRPr="00FB7D6B">
        <w:rPr>
          <w:rFonts w:ascii="Book Antiqua" w:hAnsi="Book Antiqua" w:cs="Arial"/>
          <w:sz w:val="24"/>
          <w:szCs w:val="24"/>
          <w:lang w:val="en-US"/>
        </w:rPr>
        <w:t>is reported to range from 9-17</w:t>
      </w:r>
      <w:r w:rsidR="004C43BA" w:rsidRPr="00FB7D6B">
        <w:rPr>
          <w:rFonts w:ascii="Book Antiqua" w:hAnsi="Book Antiqua" w:cs="Arial"/>
          <w:sz w:val="24"/>
          <w:szCs w:val="24"/>
          <w:lang w:val="en-US"/>
        </w:rPr>
        <w:t>%</w:t>
      </w:r>
      <w:r w:rsidR="002F4DFB" w:rsidRPr="00FB7D6B">
        <w:rPr>
          <w:rFonts w:ascii="Book Antiqua" w:hAnsi="Book Antiqua" w:cs="Arial"/>
          <w:sz w:val="24"/>
          <w:szCs w:val="24"/>
          <w:lang w:val="en-US"/>
        </w:rPr>
        <w:t xml:space="preserve"> in </w:t>
      </w:r>
      <w:r w:rsidR="00B64957" w:rsidRPr="00FB7D6B">
        <w:rPr>
          <w:rFonts w:ascii="Book Antiqua" w:hAnsi="Book Antiqua" w:cs="Arial"/>
          <w:sz w:val="24"/>
          <w:szCs w:val="24"/>
          <w:lang w:val="en-US"/>
        </w:rPr>
        <w:t xml:space="preserve">overall </w:t>
      </w:r>
      <w:r w:rsidR="002F4DFB" w:rsidRPr="00FB7D6B">
        <w:rPr>
          <w:rFonts w:ascii="Book Antiqua" w:hAnsi="Book Antiqua" w:cs="Arial"/>
          <w:sz w:val="24"/>
          <w:szCs w:val="24"/>
          <w:lang w:val="en-US"/>
        </w:rPr>
        <w:t>patients diagnosed with AIH</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{"citationID":"1rcu2q53v2","properties":{"formattedCitation":"{\\rtf \\super [24,25]\\nosupersub{}}","plainCitation":"[24,25]"},"citationItems":[{"id":511,"uris":["http://zotero.org/users/local/Cz1JGnYD/items/TX8A26HK"],"uri":["http://zotero.org/users/local/Cz1JGnYD/items/TX8A26HK"],"itemData":{"id":511,"type":"article-journal","title":"Drug-induced autoimmune hepatitis: clinical characteristics and prognosis","container-title":"Hepatology (Baltimore, Md.)","page":"2040-2048","volume":"51","issue":"6","source":"PubMed","abstract":"Drug-induced autoimmune hepatitis (DIAIH) has been reported to be caused by several drugs. There is a lack of data comparing these patients with other patients with autoimmune hepatitis (AIH). A search was performed using the Mayo Clinic diagnostic medical index for AIH patients and DIAIH patients identified over 10 years. Individuals with overlap syndromes and decompensated liver disease were excluded. Overall, 261 patients (204 females, median age 52) were identified, and 24 (9.2%) were DIAIH cases with a median age of 53 (interquartile range, 24-61). Two drugs, nitrofurantoin (n = 11) and minocycline (n = 11), were the main causes. A similar proportion of DIAIH patients had positive antinuclear antibodies (83% versus 70%) and smooth muscle antibodies (50% versus 45%) as compared with AIH patients. Histological grade and stage were similar in patients with DIAIH versus AIH; however, none of the DIAIH patients had cirrhosis at baseline; this was present in 20% of matched AIH cases. Liver imaging was normal in all minocycline cases. Eight of 11 (73%) nitrofurantoin patients had abnormalities on hepatic imaging (mainly liver atrophy), a finding seen in only 8 of 33 (24%) of a random sample of the rest of the AIH group (P = 0.0089). Corticosteroid responsiveness was similar in DIAIH and the AIH patients. Discontinuation of immunosuppression was tried and successful in 14 DIAIH cases, with no relapses (0%), whereas 65% of the AIH patients had a relapse after discontinuation of immunosuppression (P &lt; 0.0001).\nCONCLUSION: A significant proportion of patients with AIH have drug-induced AIH, mainly because of nitrofurantoin and minocycline. These two groups have similar clinical and histological patterns. However, DIAIH patients do not seem to require long-term immunosuppressive therapy.","DOI":"10.1002/hep.23588","ISSN":"1527-3350","note":"PMID: 20512992","shortTitle":"Drug-induced autoimmune hepatitis","journalAbbreviation":"Hepatology","language":"eng","author":[{"family":"Björnsson","given":"Einar"},{"family":"Talwalkar","given":"Jayant"},{"family":"Treeprasertsuk","given":"Sombat"},{"family":"Kamath","given":"Patrick S."},{"family":"Takahashi","given":"Naoki"},{"family":"Sanderson","given":"Schuyler"},{"family":"Neuhauser","given":"Matthias"},{"family":"Lindor","given":"Keith"}],"issued":{"date-parts":[["2010",6]]},"PMID":"20512992"},"label":"page"},{"id":562,"uris":["http://zotero.org/users/local/Cz1JGnYD/items/JIWBXJ7U"],"uri":["http://zotero.org/users/local/Cz1JGnYD/items/JIWBXJ7U"],"itemData":{"id":562,"type":"article-journal","title":"Drug-induced autoimmune-like hepatitis: a diagnostic challenge","container-title":"Digestive Diseases and Sciences","page":"2501-2502; author reply 2502-2503","volume":"56","issue":"8","source":"PubMed","DOI":"10.1007/s10620-011-1787-7","ISSN":"1573-2568","note":"PMID: 21674172","shortTitle":"Drug-induced autoimmune-like hepatitis","journalAbbreviation":"Dig. Dis. Sci.","language":"eng","author":[{"family":"Castiella","given":"Agustin"},{"family":"Lucena","given":"Maria Isabel"},{"family":"Zapata","given":"Eva Maria"},{"family":"Otazua","given":"Pedro"},{"family":"Andrade","given":"Raul J."}],"issued":{"date-parts":[["2011",8]]},"PMID":"21674172"},"label":"page"}],"schema":"https://github.com/citation-style-language/schema/raw/master/csl-citation.json"}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[24,25]</w:t>
      </w:r>
      <w:r w:rsidR="00CA4090" w:rsidRPr="00FB7D6B">
        <w:rPr>
          <w:rFonts w:ascii="Book Antiqua" w:hAnsi="Book Antiqua" w:cs="Arial"/>
          <w:sz w:val="24"/>
          <w:szCs w:val="24"/>
          <w:vertAlign w:val="superscript"/>
          <w:lang w:val="en-US"/>
        </w:rPr>
        <w:fldChar w:fldCharType="end"/>
      </w:r>
      <w:r w:rsidR="002F4DFB" w:rsidRPr="00FB7D6B">
        <w:rPr>
          <w:rFonts w:ascii="Book Antiqua" w:hAnsi="Book Antiqua" w:cs="Arial"/>
          <w:sz w:val="24"/>
          <w:szCs w:val="24"/>
          <w:lang w:val="en-US"/>
        </w:rPr>
        <w:t xml:space="preserve">. </w:t>
      </w:r>
    </w:p>
    <w:p w:rsidR="007468B4" w:rsidRPr="00FB7D6B" w:rsidRDefault="00A43342" w:rsidP="00FB7D6B">
      <w:pPr>
        <w:adjustRightInd w:val="0"/>
        <w:snapToGrid w:val="0"/>
        <w:spacing w:after="0" w:line="360" w:lineRule="auto"/>
        <w:ind w:firstLineChars="100" w:firstLine="240"/>
        <w:jc w:val="both"/>
        <w:rPr>
          <w:rFonts w:ascii="Book Antiqua" w:hAnsi="Book Antiqua" w:cs="Arial"/>
          <w:sz w:val="24"/>
          <w:szCs w:val="24"/>
          <w:lang w:val="en-US" w:eastAsia="zh-CN"/>
        </w:rPr>
      </w:pPr>
      <w:r w:rsidRPr="00FB7D6B">
        <w:rPr>
          <w:rFonts w:ascii="Book Antiqua" w:hAnsi="Book Antiqua" w:cs="Arial"/>
          <w:sz w:val="24"/>
          <w:szCs w:val="24"/>
          <w:lang w:val="en-US"/>
        </w:rPr>
        <w:t>D</w:t>
      </w:r>
      <w:r w:rsidR="000748A9" w:rsidRPr="00FB7D6B">
        <w:rPr>
          <w:rFonts w:ascii="Book Antiqua" w:hAnsi="Book Antiqua" w:cs="Arial"/>
          <w:sz w:val="24"/>
          <w:szCs w:val="24"/>
          <w:lang w:val="en-US"/>
        </w:rPr>
        <w:t xml:space="preserve">rug-induced liver injury (DILI) is the most common cause of </w:t>
      </w:r>
      <w:r w:rsidRPr="00FB7D6B">
        <w:rPr>
          <w:rFonts w:ascii="Book Antiqua" w:hAnsi="Book Antiqua" w:cs="Arial"/>
          <w:sz w:val="24"/>
          <w:szCs w:val="24"/>
          <w:lang w:val="en-US"/>
        </w:rPr>
        <w:t>acute liver failure (</w:t>
      </w:r>
      <w:r w:rsidR="000748A9" w:rsidRPr="00FB7D6B">
        <w:rPr>
          <w:rFonts w:ascii="Book Antiqua" w:hAnsi="Book Antiqua" w:cs="Arial"/>
          <w:sz w:val="24"/>
          <w:szCs w:val="24"/>
          <w:lang w:val="en-US"/>
        </w:rPr>
        <w:t>ALF</w:t>
      </w:r>
      <w:r w:rsidRPr="00FB7D6B">
        <w:rPr>
          <w:rFonts w:ascii="Book Antiqua" w:hAnsi="Book Antiqua" w:cs="Arial"/>
          <w:sz w:val="24"/>
          <w:szCs w:val="24"/>
          <w:lang w:val="en-US"/>
        </w:rPr>
        <w:t>)</w:t>
      </w:r>
      <w:r w:rsidR="000748A9" w:rsidRPr="00FB7D6B">
        <w:rPr>
          <w:rFonts w:ascii="Book Antiqua" w:hAnsi="Book Antiqua" w:cs="Arial"/>
          <w:sz w:val="24"/>
          <w:szCs w:val="24"/>
          <w:lang w:val="en-US"/>
        </w:rPr>
        <w:t xml:space="preserve"> and responsible for approximately 50</w:t>
      </w:r>
      <w:r w:rsidR="004C43BA" w:rsidRPr="00FB7D6B">
        <w:rPr>
          <w:rFonts w:ascii="Book Antiqua" w:hAnsi="Book Antiqua" w:cs="Arial"/>
          <w:sz w:val="24"/>
          <w:szCs w:val="24"/>
          <w:lang w:val="en-US"/>
        </w:rPr>
        <w:t>%</w:t>
      </w:r>
      <w:r w:rsidR="000748A9" w:rsidRPr="00FB7D6B">
        <w:rPr>
          <w:rFonts w:ascii="Book Antiqua" w:hAnsi="Book Antiqua" w:cs="Arial"/>
          <w:sz w:val="24"/>
          <w:szCs w:val="24"/>
          <w:lang w:val="en-US"/>
        </w:rPr>
        <w:t xml:space="preserve"> of </w:t>
      </w:r>
      <w:r w:rsidR="00321247" w:rsidRPr="00FB7D6B">
        <w:rPr>
          <w:rFonts w:ascii="Book Antiqua" w:hAnsi="Book Antiqua" w:cs="Arial"/>
          <w:sz w:val="24"/>
          <w:szCs w:val="24"/>
          <w:lang w:val="en-US"/>
        </w:rPr>
        <w:t xml:space="preserve">the </w:t>
      </w:r>
      <w:r w:rsidR="000748A9" w:rsidRPr="00FB7D6B">
        <w:rPr>
          <w:rFonts w:ascii="Book Antiqua" w:hAnsi="Book Antiqua" w:cs="Arial"/>
          <w:sz w:val="24"/>
          <w:szCs w:val="24"/>
          <w:lang w:val="en-US"/>
        </w:rPr>
        <w:t>cases</w:t>
      </w:r>
      <w:r w:rsidRPr="00FB7D6B">
        <w:rPr>
          <w:rFonts w:ascii="Book Antiqua" w:hAnsi="Book Antiqua" w:cs="Arial"/>
          <w:sz w:val="24"/>
          <w:szCs w:val="24"/>
          <w:lang w:val="en-US"/>
        </w:rPr>
        <w:t xml:space="preserve"> in the United States and Western Europe</w:t>
      </w:r>
      <w:r w:rsidR="000748A9" w:rsidRPr="00FB7D6B">
        <w:rPr>
          <w:rFonts w:ascii="Book Antiqua" w:hAnsi="Book Antiqua" w:cs="Arial"/>
          <w:sz w:val="24"/>
          <w:szCs w:val="24"/>
          <w:lang w:val="en-US"/>
        </w:rPr>
        <w:t>. DILI may be dose</w:t>
      </w:r>
      <w:r w:rsidR="00C41C29" w:rsidRPr="00FB7D6B">
        <w:rPr>
          <w:rFonts w:ascii="Book Antiqua" w:hAnsi="Book Antiqua" w:cs="Arial"/>
          <w:sz w:val="24"/>
          <w:szCs w:val="24"/>
          <w:lang w:val="en-US"/>
        </w:rPr>
        <w:t>-</w:t>
      </w:r>
      <w:r w:rsidR="00B64328" w:rsidRPr="00FB7D6B">
        <w:rPr>
          <w:rFonts w:ascii="Book Antiqua" w:hAnsi="Book Antiqua" w:cs="Arial"/>
          <w:sz w:val="24"/>
          <w:szCs w:val="24"/>
          <w:lang w:val="en-US"/>
        </w:rPr>
        <w:t>dependent and predictable (</w:t>
      </w:r>
      <w:r w:rsidR="00B64328" w:rsidRPr="00FB7D6B">
        <w:rPr>
          <w:rFonts w:ascii="Book Antiqua" w:hAnsi="Book Antiqua" w:cs="Arial"/>
          <w:i/>
          <w:sz w:val="24"/>
          <w:szCs w:val="24"/>
          <w:lang w:val="en-US"/>
        </w:rPr>
        <w:t>e.g.</w:t>
      </w:r>
      <w:r w:rsidR="00FB7D6B" w:rsidRPr="00FB7D6B">
        <w:rPr>
          <w:rFonts w:ascii="Book Antiqua" w:hAnsi="Book Antiqua" w:cs="Arial"/>
          <w:sz w:val="24"/>
          <w:szCs w:val="24"/>
          <w:lang w:val="en-US" w:eastAsia="zh-CN"/>
        </w:rPr>
        <w:t>,</w:t>
      </w:r>
      <w:r w:rsidR="00C41C29" w:rsidRPr="00FB7D6B">
        <w:rPr>
          <w:rFonts w:ascii="Book Antiqua" w:hAnsi="Book Antiqua" w:cs="Arial"/>
          <w:sz w:val="24"/>
          <w:szCs w:val="24"/>
          <w:lang w:val="en-US"/>
        </w:rPr>
        <w:t xml:space="preserve"> acetaminophen-induced hepatotoxicity) or idiosyncratic, unpredictable, and probably independent of dose</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{"citationID":"da1ra3tf5","properties":{"formattedCitation":"{\\rtf \\super [12,26]\\nosupersub{}}","plainCitation":"[12,26]"},"citationItems":[{"id":536,"uris":["http://zotero.org/users/local/Cz1JGnYD/items/RZ9GSN9I"],"uri":["http://zotero.org/users/local/Cz1JGnYD/items/RZ9GSN9I"],"itemData":{"id":536,"type":"article-journal","title":"Acute liver failure","container-title":"The New England Journal of Medicine","page":"2525-2534","volume":"369","issue":"26","source":"PubMed","DOI":"10.1056/NEJMra1208937","ISSN":"1533-4406","note":"PMID: 24369077","journalAbbreviation":"N. Engl. J. Med.","language":"eng","author":[{"family":"Bernal","given":"William"},{"family":"Wendon","given":"Julia"}],"issued":{"date-parts":[["2013",12,26]]},"PMID":"24369077"},"label":"page"},{"id":564,"uris":["http://zotero.org/users/local/Cz1JGnYD/items/6BEGZP5K"],"uri":["http://zotero.org/users/local/Cz1JGnYD/items/6BEGZP5K"],"itemData":{"id":564,"type":"article-journal","title":"Drug-induced acute liver failure: results of a U.S. multicenter, prospective study","container-title":"Hepatology (Baltimore, Md.)","page":"2065-2076","volume":"52","issue":"6","source":"PubMed","abstract":"Acute liver failure (ALF) due to drug-induced liver injury (DILI), though uncommon, is a concern for both clinicians and patients. The Acute Liver Failure Study Group has prospectively collected cases of all forms of acute liver failure since 1998. We describe here cases of idiosyncratic DILI ALF enrolled during a 10.5-year period. Data were collected prospectively, using detailed case report forms, from 1198 subjects enrolled at 23 sites in the United States, all of which had transplant services. A total of 133 (11.1%) ALF subjects were deemed by expert opinion to have DILI; 81.1% were considered highly likely, 15.0% probable, and 3.8% possible. Subjects were mostly women (70.7%) and there was overrepresentation of minorities for unclear reasons. Over 60 individual agents were implicated, the most common were antimicrobials (46%). Transplant-free (3-week) survival was poor (27.1%), but with highly successful transplantation in 42.1%, overall survival was 66.2%. Transplant-free survival in DILI ALF is determined by the degree of liver dysfunction, specifically baseline levels of bilirubin, prothrombin time/international normalized ratio, and Model for End-Stage Liver Disease scores.\nCONCLUSION: DILI is an uncommon cause of ALF that evolves slowly, affects a disproportionate number of women and minorities, and shows infrequent spontaneous recovery, but transplantation affords excellent survival.","DOI":"10.1002/hep.23937","ISSN":"1527-3350","note":"PMID: 20949552\nPMCID: PMC3992250","shortTitle":"Drug-induced acute liver failure","journalAbbreviation":"Hepatology","language":"eng","author":[{"family":"Reuben","given":"Adrian"},{"family":"Koch","given":"David G."},{"family":"Lee","given":"William M."},{"literal":"Acute Liver Failure Study Group"}],"issued":{"date-parts":[["2010",12]]},"PMID":"20949552","PMCID":"PMC3992250"},"label":"page"}],"schema":"https://github.com/citation-style-language/schema/raw/master/csl-citation.json"}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[12,26]</w:t>
      </w:r>
      <w:r w:rsidR="00CA4090" w:rsidRPr="00FB7D6B">
        <w:rPr>
          <w:rFonts w:ascii="Book Antiqua" w:hAnsi="Book Antiqua" w:cs="Arial"/>
          <w:sz w:val="24"/>
          <w:szCs w:val="24"/>
          <w:vertAlign w:val="superscript"/>
          <w:lang w:val="en-US"/>
        </w:rPr>
        <w:fldChar w:fldCharType="end"/>
      </w:r>
      <w:r w:rsidR="00C41C29" w:rsidRPr="00FB7D6B">
        <w:rPr>
          <w:rFonts w:ascii="Book Antiqua" w:hAnsi="Book Antiqua" w:cs="Arial"/>
          <w:sz w:val="24"/>
          <w:szCs w:val="24"/>
          <w:lang w:val="en-US"/>
        </w:rPr>
        <w:t xml:space="preserve">. </w:t>
      </w:r>
      <w:r w:rsidRPr="00FB7D6B">
        <w:rPr>
          <w:rFonts w:ascii="Book Antiqua" w:hAnsi="Book Antiqua" w:cs="Arial"/>
          <w:sz w:val="24"/>
          <w:szCs w:val="24"/>
          <w:lang w:val="en-US"/>
        </w:rPr>
        <w:t xml:space="preserve">Autoimmune hepatitis </w:t>
      </w:r>
      <w:r w:rsidR="00AA0A51" w:rsidRPr="00FB7D6B">
        <w:rPr>
          <w:rFonts w:ascii="Book Antiqua" w:hAnsi="Book Antiqua" w:cs="Arial"/>
          <w:sz w:val="24"/>
          <w:szCs w:val="24"/>
          <w:lang w:val="en-US"/>
        </w:rPr>
        <w:t xml:space="preserve">- on the contrary - </w:t>
      </w:r>
      <w:r w:rsidRPr="00FB7D6B">
        <w:rPr>
          <w:rFonts w:ascii="Book Antiqua" w:hAnsi="Book Antiqua" w:cs="Arial"/>
          <w:sz w:val="24"/>
          <w:szCs w:val="24"/>
          <w:lang w:val="en-US"/>
        </w:rPr>
        <w:t>is a relatively rare caus</w:t>
      </w:r>
      <w:r w:rsidR="00B64328" w:rsidRPr="00FB7D6B">
        <w:rPr>
          <w:rFonts w:ascii="Book Antiqua" w:hAnsi="Book Antiqua" w:cs="Arial"/>
          <w:sz w:val="24"/>
          <w:szCs w:val="24"/>
          <w:lang w:val="en-US"/>
        </w:rPr>
        <w:t xml:space="preserve">e of ALF in developed countries </w:t>
      </w:r>
      <w:r w:rsidRPr="00FB7D6B">
        <w:rPr>
          <w:rFonts w:ascii="Book Antiqua" w:hAnsi="Book Antiqua" w:cs="Arial"/>
          <w:sz w:val="24"/>
          <w:szCs w:val="24"/>
          <w:lang w:val="en-US"/>
        </w:rPr>
        <w:t>with an incidence of approximately 5</w:t>
      </w:r>
      <w:r w:rsidR="004C43BA" w:rsidRPr="00FB7D6B">
        <w:rPr>
          <w:rFonts w:ascii="Book Antiqua" w:hAnsi="Book Antiqua" w:cs="Arial"/>
          <w:sz w:val="24"/>
          <w:szCs w:val="24"/>
          <w:lang w:val="en-US"/>
        </w:rPr>
        <w:t>%</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{"citationID":"km4O49b9","properties":{"formattedCitation":"{\\rtf \\super [27]\\nosupersub{}}","plainCitation":"[27]"},"citationItems":[{"id":566,"uris":["http://zotero.org/users/local/Cz1JGnYD/items/VB72BCJN"],"uri":["http://zotero.org/users/local/Cz1JGnYD/items/VB72BCJN"],"itemData":{"id":566,"type":"article-journal","title":"Acute liver failure: Summary of a workshop","container-title":"Hepatology (Baltimore, Md.)","page":"1401-1415","volume":"47","issue":"4","source":"PubMed","abstract":"Acute liver failure (ALF) is a rare but challenging clinical syndrome with multiple causes; a specific etiology cannot be identified in 15% of adult and 50% of pediatric cases. The course of ALF is variable and the mortality rate is high. Liver transplantation is the only therapy of proven benefit, but the rapidity of progression and the variable course of ALF limit its use. Currently in the United States, spontaneous survival occurs in approximately 45%, liver transplantation in 25%, and death without transplantation in 30% of adults with ALF. Higher rates of spontaneous recovery (56%) and transplantation (31%) with lower rates of death (13%) occur in children. The outcome of ALF varies by etiology, favorable prognoses being found with acetaminophen overdose, hepatitis A, and ischemia (approximately 60% spontaneous survival), and poor prognoses with drug-induced ALF, hepatitis B, and indeterminate cases (approximately 25% spontaneous survival). Excellent intensive care is critical in management of patients with ALF. Nonspecific therapies are of unproven benefit. Future possible therapeutic approaches include N-acetylcysteine, hypothermia, liver assist devices, and hepatocyte transplantation. Advances in stem cell research may allow provision of cells for bioartificial liver support. ALF presents many challenging opportunities in both clinical and basic research.","DOI":"10.1002/hep.22177","ISSN":"1527-3350","note":"PMID: 18318440\nPMCID: PMC3381946","shortTitle":"Acute liver failure","journalAbbreviation":"Hepatology","language":"eng","author":[{"family":"Lee","given":"William M."},{"family":"Squires","given":"Robert H."},{"family":"Nyberg","given":"Scott L."},{"family":"Doo","given":"Edward"},{"family":"Hoofnagle","given":"Jay H."}],"issued":{"date-parts":[["2008",4]]},"PMID":"18318440","PMCID":"PMC3381946"}}],"schema":"https://github.com/citation-style-language/schema/raw/master/csl-citation.json"}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[27]</w:t>
      </w:r>
      <w:r w:rsidR="00CA4090" w:rsidRPr="00FB7D6B">
        <w:rPr>
          <w:rFonts w:ascii="Book Antiqua" w:hAnsi="Book Antiqua" w:cs="Arial"/>
          <w:sz w:val="24"/>
          <w:szCs w:val="24"/>
          <w:vertAlign w:val="superscript"/>
          <w:lang w:val="en-US"/>
        </w:rPr>
        <w:fldChar w:fldCharType="end"/>
      </w:r>
      <w:r w:rsidRPr="00FB7D6B">
        <w:rPr>
          <w:rFonts w:ascii="Book Antiqua" w:hAnsi="Book Antiqua" w:cs="Arial"/>
          <w:sz w:val="24"/>
          <w:szCs w:val="24"/>
          <w:lang w:val="en-US"/>
        </w:rPr>
        <w:t>.</w:t>
      </w:r>
      <w:r w:rsidR="001071AA" w:rsidRPr="00FB7D6B">
        <w:rPr>
          <w:rFonts w:ascii="Book Antiqua" w:hAnsi="Book Antiqua" w:cs="Arial"/>
          <w:sz w:val="24"/>
          <w:szCs w:val="24"/>
          <w:lang w:val="en-US"/>
        </w:rPr>
        <w:t xml:space="preserve"> According to the “Acute Liver Failure Study Group</w:t>
      </w:r>
      <w:r w:rsidR="00697E97" w:rsidRPr="00FB7D6B">
        <w:rPr>
          <w:rFonts w:ascii="Book Antiqua" w:hAnsi="Book Antiqua" w:cs="Arial"/>
          <w:sz w:val="24"/>
          <w:szCs w:val="24"/>
          <w:lang w:val="en-US"/>
        </w:rPr>
        <w:t xml:space="preserve"> (ALFSG)” registry, including 2</w:t>
      </w:r>
      <w:r w:rsidR="001071AA" w:rsidRPr="00FB7D6B">
        <w:rPr>
          <w:rFonts w:ascii="Book Antiqua" w:hAnsi="Book Antiqua" w:cs="Arial"/>
          <w:sz w:val="24"/>
          <w:szCs w:val="24"/>
          <w:lang w:val="en-US"/>
        </w:rPr>
        <w:t>436 patients between 1998 and 2016 in the U</w:t>
      </w:r>
      <w:r w:rsidR="007F2596" w:rsidRPr="00FB7D6B">
        <w:rPr>
          <w:rFonts w:ascii="Book Antiqua" w:hAnsi="Book Antiqua" w:cs="Arial"/>
          <w:sz w:val="24"/>
          <w:szCs w:val="24"/>
          <w:lang w:val="en-US" w:eastAsia="zh-CN"/>
        </w:rPr>
        <w:t>nited States</w:t>
      </w:r>
      <w:r w:rsidR="001071AA" w:rsidRPr="00FB7D6B">
        <w:rPr>
          <w:rFonts w:ascii="Book Antiqua" w:hAnsi="Book Antiqua" w:cs="Arial"/>
          <w:sz w:val="24"/>
          <w:szCs w:val="24"/>
          <w:lang w:val="en-US"/>
        </w:rPr>
        <w:t>, 163 (6.7</w:t>
      </w:r>
      <w:r w:rsidR="004C43BA" w:rsidRPr="00FB7D6B">
        <w:rPr>
          <w:rFonts w:ascii="Book Antiqua" w:hAnsi="Book Antiqua" w:cs="Arial"/>
          <w:sz w:val="24"/>
          <w:szCs w:val="24"/>
          <w:lang w:val="en-US"/>
        </w:rPr>
        <w:t>%</w:t>
      </w:r>
      <w:r w:rsidR="001071AA" w:rsidRPr="00FB7D6B">
        <w:rPr>
          <w:rFonts w:ascii="Book Antiqua" w:hAnsi="Book Antiqua" w:cs="Arial"/>
          <w:sz w:val="24"/>
          <w:szCs w:val="24"/>
          <w:lang w:val="en-US"/>
        </w:rPr>
        <w:t>) were diagnosed with ALF due to AIH</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{"citationID":"X1Rxvu56","properties":{"formattedCitation":"{\\rtf \\super [28]\\nosupersub{}}","plainCitation":"[28]"},"citationItems":[{"id":568,"uris":["http://zotero.org/users/local/Cz1JGnYD/items/7KHDBWU2"],"uri":["http://zotero.org/users/local/Cz1JGnYD/items/7KHDBWU2"],"itemData":{"id":568,"type":"article-journal","title":"Acute liver failure induced by idiosyncratic reaction to drugs: Challenges in diagnosis and therapy","container-title":"Liver International: Official Journal of the International Association for the Study of the Liver","source":"PubMed","abstract":"Acute liver failure (ALF) requires urgent attention to identify etiology and determine prognosis, in order to assess likelihood of survival or need for transplantation. Identifying idiosyncratic drug-induced liver injury (iDILI) may be particularly difficult, but the illness generally follows a subacute course, allowing time to assess outcome and find a liver graft if needed. Not all drugs that cause iDILI lead to ALF; the most common are antibiotics including anti-tuberculous medications, non-steroidal anti-inflammatory agents and herbal and dietary supplements (HDS). Determining causality remains challenging particularly if altered mentation is present; identifying the causative agent depends in part on knowing the propensity of the drugs that have been taken in the proper time interval, plus excluding other causes. In general, iDILI that reaches the threshold of ALF will more often than not require transplantation, since survival without transplant is around 25%. Treatment consists of withdrawal of the presumed offending medication, consideration of N-acetylcysteine (NAC), as well as intensive care. Corticosteroids have not proven useful except perhaps in instances of apparent autoimmune hepatitis caused by a limited number of agents. Recently developed prognostic scoring systems may also aid in predicting outcome in this setting.","DOI":"10.1111/liv.13535","ISSN":"1478-3231","note":"PMID: 28771932","shortTitle":"Acute liver failure induced by idiosyncratic reaction to drugs","journalAbbreviation":"Liver Int.","language":"eng","author":[{"family":"Tujios","given":"Shannan R."},{"family":"Lee","given":"William M."}],"issued":{"date-parts":[["2017",8,3]]},"PMID":"28771932"}}],"schema":"https://github.com/citation-style-language/schema/raw/master/csl-citation.json"}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[28]</w:t>
      </w:r>
      <w:r w:rsidR="00CA4090" w:rsidRPr="00FB7D6B">
        <w:rPr>
          <w:rFonts w:ascii="Book Antiqua" w:hAnsi="Book Antiqua" w:cs="Arial"/>
          <w:sz w:val="24"/>
          <w:szCs w:val="24"/>
          <w:vertAlign w:val="superscript"/>
          <w:lang w:val="en-US"/>
        </w:rPr>
        <w:fldChar w:fldCharType="end"/>
      </w:r>
      <w:r w:rsidR="001071AA" w:rsidRPr="00FB7D6B">
        <w:rPr>
          <w:rFonts w:ascii="Book Antiqua" w:hAnsi="Book Antiqua" w:cs="Arial"/>
          <w:sz w:val="24"/>
          <w:szCs w:val="24"/>
          <w:lang w:val="en-US"/>
        </w:rPr>
        <w:t xml:space="preserve">. </w:t>
      </w:r>
      <w:r w:rsidR="00AA0A51" w:rsidRPr="00FB7D6B">
        <w:rPr>
          <w:rFonts w:ascii="Book Antiqua" w:hAnsi="Book Antiqua" w:cs="Arial"/>
          <w:sz w:val="24"/>
          <w:szCs w:val="24"/>
          <w:lang w:val="en-US"/>
        </w:rPr>
        <w:t>In our cohort 9.2</w:t>
      </w:r>
      <w:r w:rsidR="004C43BA" w:rsidRPr="00FB7D6B">
        <w:rPr>
          <w:rFonts w:ascii="Book Antiqua" w:hAnsi="Book Antiqua" w:cs="Arial"/>
          <w:sz w:val="24"/>
          <w:szCs w:val="24"/>
          <w:lang w:val="en-US"/>
        </w:rPr>
        <w:t>%</w:t>
      </w:r>
      <w:r w:rsidR="00AA0A51" w:rsidRPr="00FB7D6B">
        <w:rPr>
          <w:rFonts w:ascii="Book Antiqua" w:hAnsi="Book Antiqua" w:cs="Arial"/>
          <w:sz w:val="24"/>
          <w:szCs w:val="24"/>
          <w:lang w:val="en-US"/>
        </w:rPr>
        <w:t xml:space="preserve"> of AIH patients presented ALF. </w:t>
      </w:r>
      <w:r w:rsidR="00D76949" w:rsidRPr="00FB7D6B">
        <w:rPr>
          <w:rFonts w:ascii="Book Antiqua" w:hAnsi="Book Antiqua" w:cs="Arial"/>
          <w:sz w:val="24"/>
          <w:szCs w:val="24"/>
          <w:lang w:val="en-US"/>
        </w:rPr>
        <w:t>DILI is reported to have a phenotype of autoimmunity</w:t>
      </w:r>
      <w:r w:rsidR="00444ACC" w:rsidRPr="00FB7D6B">
        <w:rPr>
          <w:rFonts w:ascii="Book Antiqua" w:hAnsi="Book Antiqua" w:cs="Arial"/>
          <w:sz w:val="24"/>
          <w:szCs w:val="24"/>
          <w:lang w:val="en-US"/>
        </w:rPr>
        <w:t xml:space="preserve"> </w:t>
      </w:r>
      <w:r w:rsidR="00D76949" w:rsidRPr="00FB7D6B">
        <w:rPr>
          <w:rFonts w:ascii="Book Antiqua" w:hAnsi="Book Antiqua" w:cs="Arial"/>
          <w:sz w:val="24"/>
          <w:szCs w:val="24"/>
          <w:lang w:val="en-US"/>
        </w:rPr>
        <w:t>similar to AIH</w:t>
      </w:r>
      <w:r w:rsidR="00AE7CD4" w:rsidRPr="00FB7D6B">
        <w:rPr>
          <w:rFonts w:ascii="Book Antiqua" w:hAnsi="Book Antiqua" w:cs="Arial"/>
          <w:sz w:val="24"/>
          <w:szCs w:val="24"/>
          <w:lang w:val="en-US"/>
        </w:rPr>
        <w:t xml:space="preserve"> and distinguishing these entities </w:t>
      </w:r>
      <w:r w:rsidR="00AA0A51" w:rsidRPr="00FB7D6B">
        <w:rPr>
          <w:rFonts w:ascii="Book Antiqua" w:hAnsi="Book Antiqua" w:cs="Arial"/>
          <w:sz w:val="24"/>
          <w:szCs w:val="24"/>
          <w:lang w:val="en-US"/>
        </w:rPr>
        <w:lastRenderedPageBreak/>
        <w:t xml:space="preserve">still </w:t>
      </w:r>
      <w:r w:rsidR="00AE7CD4" w:rsidRPr="00FB7D6B">
        <w:rPr>
          <w:rFonts w:ascii="Book Antiqua" w:hAnsi="Book Antiqua" w:cs="Arial"/>
          <w:sz w:val="24"/>
          <w:szCs w:val="24"/>
          <w:lang w:val="en-US"/>
        </w:rPr>
        <w:t>remains a challenge</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{"citationID":"IcKtIsus","properties":{"formattedCitation":"{\\rtf \\super [29]\\nosupersub{}}","plainCitation":"[29]"},"citationItems":[{"id":570,"uris":["http://zotero.org/users/local/Cz1JGnYD/items/E9RQPU7X"],"uri":["http://zotero.org/users/local/Cz1JGnYD/items/E9RQPU7X"],"itemData":{"id":570,"type":"article-journal","title":"Features of Autoimmune Hepatitis in Patients With Drug-induced Liver Injury","container-title":"Clinical Gastroenterology and Hepatology: The Official Clinical Practice Journal of the American Gastroenterological Association","page":"103-112.e2","volume":"15","issue":"1","source":"PubMed","abstract":"BACKGROUND &amp; AIMS: Drug-induced liver injury (DILI) has features similar to those of other liver diseases including autoimmune hepatitis (AIH). We aimed to characterize the clinical and autoimmune features of liver injury caused by nitrofurantoin, minocycline, methyldopa, or hydralazine.\nMETHODS: We analyzed data from 88 cases of DILI attributed to nitrofurantoin, minocycline, methyldopa, or hydralazine included in the Drug-Induced Liver Injury Network prospective study from 2004 through 2014. Sera were collected from patients at baseline and follow-up examination and tested for levels of immunoglobulin G (IgG), antibodies to nuclear antigen (ANA), smooth muscle (SMA), and soluble liver antigen (SLA). An autoimmune score was derived on the basis of increases in levels of IgG, ANA, SMA, and SLA (assigned values of 0, 1+, or 2+). AIH-associated HLA-DRB1*03:01 and HLA-DRB1*04:01 allele frequencies were compared with those of the general population (controls).\nRESULTS: Of the 88 cases, 80 were women (91%), 74% had hepatocellular injury, and 25% had severe injury. At the onset of DILI, 39% of cases had increased levels of IgG, 72% had increased levels of ANA, 60% had increased levels of SMA, and none had increases in SLA. A phenotype of autoimmunity (autoimmune score ≥2) was observed in 82% of cases attributed to nitrofurantoin and 73% of cases attributed to minocycline (73%) but only 55% of cases attributed to methyldopa and 43% of cases attributed to hydralazine (P = .16 for nitrofurantoin and minocycline vs methyldopa and hydralazine). We observed a decrease in numbers of serum samples positive for ANA (P = .01) or SMA (P &lt; .001) and in autoimmune scores (P &lt; .001) between DILI onset and follow-up. Similar percentages of patients with DILI had HLA-DRB1*03:01 (15%) and HLA-DRB1*04:01 (9%) as controls (12% and 9%, respectively).\nCONCLUSIONS: In analysis of data from the DILIN prospective study, we found that most cases of DILI attributed to nitrofurantoin or minocycline and about half of cases that were due to methyldopa and hydralazine have a phenotype of autoimmunity similar to AIH. These features decrease with recovery of the injury and are not associated with the typical HLA alleles found in patients with idiopathic AIH.","DOI":"10.1016/j.cgh.2016.05.043","ISSN":"1542-7714","note":"PMID: 27311619\nPMCID: PMC5370577","journalAbbreviation":"Clin. Gastroenterol. Hepatol.","language":"eng","author":[{"family":"Boer","given":"Ynto S.","non-dropping-particle":"de"},{"family":"Kosinski","given":"Andrzej S."},{"family":"Urban","given":"Thomas J."},{"family":"Zhao","given":"Zhen"},{"family":"Long","given":"Nanye"},{"family":"Chalasani","given":"Naga"},{"family":"Kleiner","given":"David E."},{"family":"Hoofnagle","given":"Jay H."},{"literal":"Drug-Induced Liver Injury Network"}],"issued":{"date-parts":[["2017",1]]},"PMID":"27311619","PMCID":"PMC5370577"}}],"schema":"https://github.com/citation-style-language/schema/raw/master/csl-citation.json"}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[29]</w:t>
      </w:r>
      <w:r w:rsidR="00CA4090" w:rsidRPr="00FB7D6B">
        <w:rPr>
          <w:rFonts w:ascii="Book Antiqua" w:hAnsi="Book Antiqua" w:cs="Arial"/>
          <w:sz w:val="24"/>
          <w:szCs w:val="24"/>
          <w:vertAlign w:val="superscript"/>
          <w:lang w:val="en-US"/>
        </w:rPr>
        <w:fldChar w:fldCharType="end"/>
      </w:r>
      <w:r w:rsidR="00D76949" w:rsidRPr="00FB7D6B">
        <w:rPr>
          <w:rFonts w:ascii="Book Antiqua" w:hAnsi="Book Antiqua" w:cs="Arial"/>
          <w:sz w:val="24"/>
          <w:szCs w:val="24"/>
          <w:lang w:val="en-US"/>
        </w:rPr>
        <w:t xml:space="preserve">. </w:t>
      </w:r>
      <w:r w:rsidR="00614400" w:rsidRPr="00FB7D6B">
        <w:rPr>
          <w:rFonts w:ascii="Book Antiqua" w:hAnsi="Book Antiqua" w:cs="Arial"/>
          <w:sz w:val="24"/>
          <w:szCs w:val="24"/>
          <w:lang w:val="en-US"/>
        </w:rPr>
        <w:t>However, immune-mediated DILI nearly always resolves or becomes quiescent when drugs are withdrawn</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{"citationID":"bqsjb6370","properties":{"formattedCitation":"{\\rtf \\super [24,30]\\nosupersub{}}","plainCitation":"[24,30]"},"citationItems":[{"id":511,"uris":["http://zotero.org/users/local/Cz1JGnYD/items/TX8A26HK"],"uri":["http://zotero.org/users/local/Cz1JGnYD/items/TX8A26HK"],"itemData":{"id":511,"type":"article-journal","title":"Drug-induced autoimmune hepatitis: clinical characteristics and prognosis","container-title":"Hepatology (Baltimore, Md.)","page":"2040-2048","volume":"51","issue":"6","source":"PubMed","abstract":"Drug-induced autoimmune hepatitis (DIAIH) has been reported to be caused by several drugs. There is a lack of data comparing these patients with other patients with autoimmune hepatitis (AIH). A search was performed using the Mayo Clinic diagnostic medical index for AIH patients and DIAIH patients identified over 10 years. Individuals with overlap syndromes and decompensated liver disease were excluded. Overall, 261 patients (204 females, median age 52) were identified, and 24 (9.2%) were DIAIH cases with a median age of 53 (interquartile range, 24-61). Two drugs, nitrofurantoin (n = 11) and minocycline (n = 11), were the main causes. A similar proportion of DIAIH patients had positive antinuclear antibodies (83% versus 70%) and smooth muscle antibodies (50% versus 45%) as compared with AIH patients. Histological grade and stage were similar in patients with DIAIH versus AIH; however, none of the DIAIH patients had cirrhosis at baseline; this was present in 20% of matched AIH cases. Liver imaging was normal in all minocycline cases. Eight of 11 (73%) nitrofurantoin patients had abnormalities on hepatic imaging (mainly liver atrophy), a finding seen in only 8 of 33 (24%) of a random sample of the rest of the AIH group (P = 0.0089). Corticosteroid responsiveness was similar in DIAIH and the AIH patients. Discontinuation of immunosuppression was tried and successful in 14 DIAIH cases, with no relapses (0%), whereas 65% of the AIH patients had a relapse after discontinuation of immunosuppression (P &lt; 0.0001).\nCONCLUSION: A significant proportion of patients with AIH have drug-induced AIH, mainly because of nitrofurantoin and minocycline. These two groups have similar clinical and histological patterns. However, DIAIH patients do not seem to require long-term immunosuppressive therapy.","DOI":"10.1002/hep.23588","ISSN":"1527-3350","note":"PMID: 20512992","shortTitle":"Drug-induced autoimmune hepatitis","journalAbbreviation":"Hepatology","language":"eng","author":[{"family":"Björnsson","given":"Einar"},{"family":"Talwalkar","given":"Jayant"},{"family":"Treeprasertsuk","given":"Sombat"},{"family":"Kamath","given":"Patrick S."},{"family":"Takahashi","given":"Naoki"},{"family":"Sanderson","given":"Schuyler"},{"family":"Neuhauser","given":"Matthias"},{"family":"Lindor","given":"Keith"}],"issued":{"date-parts":[["2010",6]]},"PMID":"20512992"},"label":"page"},{"id":572,"uris":["http://zotero.org/users/local/Cz1JGnYD/items/KQ7WN67R"],"uri":["http://zotero.org/users/local/Cz1JGnYD/items/KQ7WN67R"],"itemData":{"id":572,"type":"article-journal","title":"Immune-mediated drug-induced liver disease","container-title":"Clinics in Liver Disease","page":"755-774","volume":"6","issue":"3","source":"PubMed","abstract":"Drug-induced immune-mediated hepatic injury is an adverse immune response against the liver that results in a disease with hepatitic, cholestatic, or mixed clinical features. Drugs such as halothane, tienilic acid, dihydralazine, and anticonvulsants trigger a hepatitic reaction, and drugs such as chlorpromazine, erythromycins, amoxicillin-calvulanic acid, sulfonamides and sulindac trigger a cholestatic or mixed reaction. Unstable metabolites derived from the metabolism of the drug may bind to cellular proteins or macromolecules, leading to a direct toxic effect on hepatocytes. Protein adducts formed in the metabolism of the drug may be recognized by the immune system as neoantigens. Immunocyte activation may then generate autoantibodies and cell-mediated immune responses, which in turn damage the hepatocytes. Cytochromes 450 are the major oxidative catalysts in drug metabolism, and they can form a neoantigen by covalently binding with the drug metabolite that they produce. Autoantibodies that develop are selectively directed against the particular cytochrome isoenzyme that metabolized the parent drug. The hapten hypothesis proposes that the drug metabolite can act as a hapten and can modify the self of the individual by covalently binding to proteins. The danger hypothesis proposes that the immune system only responds to a foreign antigen if the antigen is associated with a danger signal, such as cell stress or cell death. Most clinically overt adverse hepatic events associated with drugs are unpredictable, and they have intermediate (1 to 8 weeks) or long latency (up to 12 months) periods characteristic of hypersensitivity reactions. Immune-mediated drug-induced liver disease nearly always disappears or becomes quiescent when the drug is removed. Methyldopa, minocycline, and nitrofurantoin can produce a chronic hepatitis resembling AIH if the drug is continued.","ISSN":"1089-3261","note":"PMID: 12362579","journalAbbreviation":"Clin Liver Dis","language":"eng","author":[{"family":"Liu","given":"Zhang-Xu"},{"family":"Kaplowitz","given":"Neil"}],"issued":{"date-parts":[["2002",8]]},"PMID":"12362579"},"label":"page"}],"schema":"https://github.com/citation-style-language/schema/raw/master/csl-citation.json"}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[24,30]</w:t>
      </w:r>
      <w:r w:rsidR="00CA4090" w:rsidRPr="00FB7D6B">
        <w:rPr>
          <w:rFonts w:ascii="Book Antiqua" w:hAnsi="Book Antiqua" w:cs="Arial"/>
          <w:sz w:val="24"/>
          <w:szCs w:val="24"/>
          <w:vertAlign w:val="superscript"/>
          <w:lang w:val="en-US"/>
        </w:rPr>
        <w:fldChar w:fldCharType="end"/>
      </w:r>
      <w:r w:rsidR="00614400" w:rsidRPr="00FB7D6B">
        <w:rPr>
          <w:rFonts w:ascii="Book Antiqua" w:hAnsi="Book Antiqua" w:cs="Arial"/>
          <w:sz w:val="24"/>
          <w:szCs w:val="24"/>
          <w:lang w:val="en-US"/>
        </w:rPr>
        <w:t>.</w:t>
      </w:r>
      <w:r w:rsidR="00381317" w:rsidRPr="00FB7D6B">
        <w:rPr>
          <w:rFonts w:ascii="Book Antiqua" w:hAnsi="Book Antiqua" w:cs="Arial"/>
          <w:sz w:val="24"/>
          <w:szCs w:val="24"/>
          <w:lang w:val="en-US"/>
        </w:rPr>
        <w:t xml:space="preserve"> </w:t>
      </w:r>
      <w:r w:rsidR="001048B1" w:rsidRPr="00FB7D6B">
        <w:rPr>
          <w:rFonts w:ascii="Book Antiqua" w:hAnsi="Book Antiqua" w:cs="Arial"/>
          <w:sz w:val="24"/>
          <w:szCs w:val="24"/>
          <w:lang w:val="en-US"/>
        </w:rPr>
        <w:t xml:space="preserve">In contrast, in patients with drug-induced AIH, it can be assumed that </w:t>
      </w:r>
      <w:r w:rsidR="002E647A" w:rsidRPr="00FB7D6B">
        <w:rPr>
          <w:rFonts w:ascii="Book Antiqua" w:hAnsi="Book Antiqua" w:cs="Arial"/>
          <w:sz w:val="24"/>
          <w:szCs w:val="24"/>
          <w:lang w:val="en-US"/>
        </w:rPr>
        <w:t xml:space="preserve">predisposition for </w:t>
      </w:r>
      <w:r w:rsidR="001048B1" w:rsidRPr="00FB7D6B">
        <w:rPr>
          <w:rFonts w:ascii="Book Antiqua" w:hAnsi="Book Antiqua" w:cs="Arial"/>
          <w:sz w:val="24"/>
          <w:szCs w:val="24"/>
          <w:lang w:val="en-US"/>
        </w:rPr>
        <w:t xml:space="preserve">AIH </w:t>
      </w:r>
      <w:r w:rsidR="002E647A" w:rsidRPr="00FB7D6B">
        <w:rPr>
          <w:rFonts w:ascii="Book Antiqua" w:hAnsi="Book Antiqua" w:cs="Arial"/>
          <w:sz w:val="24"/>
          <w:szCs w:val="24"/>
          <w:lang w:val="en-US"/>
        </w:rPr>
        <w:t>existed</w:t>
      </w:r>
      <w:r w:rsidR="00AA0A51" w:rsidRPr="00FB7D6B">
        <w:rPr>
          <w:rFonts w:ascii="Book Antiqua" w:hAnsi="Book Antiqua" w:cs="Arial"/>
          <w:sz w:val="24"/>
          <w:szCs w:val="24"/>
          <w:lang w:val="en-US"/>
        </w:rPr>
        <w:t xml:space="preserve"> before</w:t>
      </w:r>
      <w:r w:rsidR="002E647A" w:rsidRPr="00FB7D6B">
        <w:rPr>
          <w:rFonts w:ascii="Book Antiqua" w:hAnsi="Book Antiqua" w:cs="Arial"/>
          <w:sz w:val="24"/>
          <w:szCs w:val="24"/>
          <w:lang w:val="en-US"/>
        </w:rPr>
        <w:t>, but the disease was</w:t>
      </w:r>
      <w:r w:rsidR="001048B1" w:rsidRPr="00FB7D6B">
        <w:rPr>
          <w:rFonts w:ascii="Book Antiqua" w:hAnsi="Book Antiqua" w:cs="Arial"/>
          <w:sz w:val="24"/>
          <w:szCs w:val="24"/>
          <w:lang w:val="en-US"/>
        </w:rPr>
        <w:t xml:space="preserve"> quiescent </w:t>
      </w:r>
      <w:r w:rsidR="00AA0A51" w:rsidRPr="00FB7D6B">
        <w:rPr>
          <w:rFonts w:ascii="Book Antiqua" w:hAnsi="Book Antiqua" w:cs="Arial"/>
          <w:sz w:val="24"/>
          <w:szCs w:val="24"/>
          <w:lang w:val="en-US"/>
        </w:rPr>
        <w:t>and remained undiagnosed until this</w:t>
      </w:r>
      <w:r w:rsidR="001048B1" w:rsidRPr="00FB7D6B">
        <w:rPr>
          <w:rFonts w:ascii="Book Antiqua" w:hAnsi="Book Antiqua" w:cs="Arial"/>
          <w:sz w:val="24"/>
          <w:szCs w:val="24"/>
          <w:lang w:val="en-US"/>
        </w:rPr>
        <w:t xml:space="preserve"> drug triggered </w:t>
      </w:r>
      <w:r w:rsidR="002E647A" w:rsidRPr="00FB7D6B">
        <w:rPr>
          <w:rFonts w:ascii="Book Antiqua" w:hAnsi="Book Antiqua" w:cs="Arial"/>
          <w:sz w:val="24"/>
          <w:szCs w:val="24"/>
          <w:lang w:val="en-US"/>
        </w:rPr>
        <w:t>the</w:t>
      </w:r>
      <w:r w:rsidR="001048B1" w:rsidRPr="00FB7D6B">
        <w:rPr>
          <w:rFonts w:ascii="Book Antiqua" w:hAnsi="Book Antiqua" w:cs="Arial"/>
          <w:sz w:val="24"/>
          <w:szCs w:val="24"/>
          <w:lang w:val="en-US"/>
        </w:rPr>
        <w:t xml:space="preserve"> autoimmune process. </w:t>
      </w:r>
      <w:r w:rsidR="00E55084" w:rsidRPr="00FB7D6B">
        <w:rPr>
          <w:rFonts w:ascii="Book Antiqua" w:hAnsi="Book Antiqua" w:cs="Arial"/>
          <w:sz w:val="24"/>
          <w:szCs w:val="24"/>
          <w:lang w:val="en-US"/>
        </w:rPr>
        <w:t xml:space="preserve">Recently, Licata and colleagues reported 12 patients from a series of 136 </w:t>
      </w:r>
      <w:r w:rsidR="00AA0A51" w:rsidRPr="00FB7D6B">
        <w:rPr>
          <w:rFonts w:ascii="Book Antiqua" w:hAnsi="Book Antiqua" w:cs="Arial"/>
          <w:sz w:val="24"/>
          <w:szCs w:val="24"/>
          <w:lang w:val="en-US"/>
        </w:rPr>
        <w:t xml:space="preserve">subjects with DILI </w:t>
      </w:r>
      <w:r w:rsidR="00E55084" w:rsidRPr="00FB7D6B">
        <w:rPr>
          <w:rFonts w:ascii="Book Antiqua" w:hAnsi="Book Antiqua" w:cs="Arial"/>
          <w:sz w:val="24"/>
          <w:szCs w:val="24"/>
          <w:lang w:val="en-US"/>
        </w:rPr>
        <w:t>that were di</w:t>
      </w:r>
      <w:r w:rsidR="0082108E" w:rsidRPr="00FB7D6B">
        <w:rPr>
          <w:rFonts w:ascii="Book Antiqua" w:hAnsi="Book Antiqua" w:cs="Arial"/>
          <w:sz w:val="24"/>
          <w:szCs w:val="24"/>
          <w:lang w:val="en-US"/>
        </w:rPr>
        <w:t>agnosed as drug-induced AIH (9</w:t>
      </w:r>
      <w:r w:rsidR="004C43BA" w:rsidRPr="00FB7D6B">
        <w:rPr>
          <w:rFonts w:ascii="Book Antiqua" w:hAnsi="Book Antiqua" w:cs="Arial"/>
          <w:sz w:val="24"/>
          <w:szCs w:val="24"/>
          <w:lang w:val="en-US"/>
        </w:rPr>
        <w:t>%</w:t>
      </w:r>
      <w:r w:rsidR="00E55084" w:rsidRPr="00FB7D6B">
        <w:rPr>
          <w:rFonts w:ascii="Book Antiqua" w:hAnsi="Book Antiqua" w:cs="Arial"/>
          <w:sz w:val="24"/>
          <w:szCs w:val="24"/>
          <w:lang w:val="en-US"/>
        </w:rPr>
        <w:t>)</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{"citationID":"QV8XmikN","properties":{"formattedCitation":"{\\rtf \\super [31]\\nosupersub{}}","plainCitation":"[31]"},"citationItems":[{"id":574,"uris":["http://zotero.org/users/local/Cz1JGnYD/items/9C6NEBWX"],"uri":["http://zotero.org/users/local/Cz1JGnYD/items/9C6NEBWX"],"itemData":{"id":574,"type":"article-journal","title":"Clinical features and outcomes of patients with drug-induced autoimmune hepatitis: a retrospective cohort study","container-title":"Digestive and Liver Disease: Official Journal of the Italian Society of Gastroenterology and the Italian Association for the Study of the Liver","page":"1116-1120","volume":"46","issue":"12","source":"PubMed","abstract":"BACKGROUND: Drugs and herbal products can induce autoimmune hepatitis. We assessed frequency and clinical outcomes of patients suffering from drug-induced autoimmune hepatitis.\nMETHODS: All patients with drug-induced liver injury admitted between 2000 and 2011 were retrospectively studied. Diagnoses of drug-induced autoimmune hepatitis and idiopathic autoimmune hepatitis were made according to simplified criteria. After discharge, all patients had regular follow-up and were contacted to update outcomes.\nRESULTS: Among 10,270 in-hospital patients, 136 (1.3%) were diagnosed with drug-induced liver injury. Among them, 12 (8.8%) were diagnosed as drug-induced autoimmune hepatitis (41.7% males, age range 17-73); 8 (66.7%) were with jaundice at admission. Liver biopsies showed a pattern compatible with drug-induced autoimmune hepatitis, featured by severe portal inflammation and lymphoplasmacytic infiltrate. Drug-induced autoimmune hepatitis group had a shorter duration of drug intake, and higher values of transaminases and gamma globulins. All patients received immunosuppressive therapy with subsequent clinical remission, and five achieved a steroid-free long-term remission.\nCONCLUSIONS: A diagnosis of drug-induced autoimmune hepatitis was quite rare in our cohort, and clinical pattern was similar to idiopathic autoimmune hepatitis. Severe portal inflammation, prominent portal-plasma cells, rosette formation and severe focal necrosis were significantly more frequent in drug-induced autoimmune hepatitis as compared to drug-induced liver injury.","DOI":"10.1016/j.dld.2014.08.040","ISSN":"1878-3562","note":"PMID: 25224696","shortTitle":"Clinical features and outcomes of patients with drug-induced autoimmune hepatitis","journalAbbreviation":"Dig Liver Dis","language":"eng","author":[{"family":"Licata","given":"Anna"},{"family":"Maida","given":"Marcello"},{"family":"Cabibi","given":"Daniela"},{"family":"Butera","given":"Giuseppe"},{"family":"Macaluso","given":"Fabio S."},{"family":"Alessi","given":"Nicola"},{"family":"Caruso","given":"Calogero"},{"family":"Craxì","given":"Antonio"},{"family":"Almasio","given":"Piero L."}],"issued":{"date-parts":[["2014",12]]},"PMID":"25224696"}}],"schema":"https://github.com/citation-style-language/schema/raw/master/csl-citation.json"}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[31]</w:t>
      </w:r>
      <w:r w:rsidR="00CA4090" w:rsidRPr="00FB7D6B">
        <w:rPr>
          <w:rFonts w:ascii="Book Antiqua" w:hAnsi="Book Antiqua" w:cs="Arial"/>
          <w:sz w:val="24"/>
          <w:szCs w:val="24"/>
          <w:vertAlign w:val="superscript"/>
          <w:lang w:val="en-US"/>
        </w:rPr>
        <w:fldChar w:fldCharType="end"/>
      </w:r>
      <w:r w:rsidR="00E55084" w:rsidRPr="00FB7D6B">
        <w:rPr>
          <w:rFonts w:ascii="Book Antiqua" w:hAnsi="Book Antiqua" w:cs="Arial"/>
          <w:sz w:val="24"/>
          <w:szCs w:val="24"/>
          <w:lang w:val="en-US"/>
        </w:rPr>
        <w:t xml:space="preserve">. </w:t>
      </w:r>
      <w:r w:rsidR="00AA0A51" w:rsidRPr="00FB7D6B">
        <w:rPr>
          <w:rFonts w:ascii="Book Antiqua" w:hAnsi="Book Antiqua" w:cs="Arial"/>
          <w:sz w:val="24"/>
          <w:szCs w:val="24"/>
          <w:lang w:val="en-US"/>
        </w:rPr>
        <w:t xml:space="preserve">Accordingly, Kuzu </w:t>
      </w:r>
      <w:r w:rsidR="00AA0A51" w:rsidRPr="00FB7D6B">
        <w:rPr>
          <w:rFonts w:ascii="Book Antiqua" w:hAnsi="Book Antiqua" w:cs="Arial"/>
          <w:i/>
          <w:sz w:val="24"/>
          <w:szCs w:val="24"/>
          <w:lang w:val="en-US"/>
        </w:rPr>
        <w:t>et</w:t>
      </w:r>
      <w:r w:rsidR="0082108E" w:rsidRPr="00FB7D6B">
        <w:rPr>
          <w:rFonts w:ascii="Book Antiqua" w:hAnsi="Book Antiqua" w:cs="Arial"/>
          <w:i/>
          <w:sz w:val="24"/>
          <w:szCs w:val="24"/>
          <w:lang w:val="en-US"/>
        </w:rPr>
        <w:t xml:space="preserve"> al</w:t>
      </w:r>
      <w:r w:rsidR="007F2596" w:rsidRPr="00FB7D6B">
        <w:rPr>
          <w:rFonts w:ascii="Book Antiqua" w:hAnsi="Book Antiqua" w:cs="Arial"/>
          <w:sz w:val="24"/>
          <w:szCs w:val="24"/>
          <w:vertAlign w:val="superscript"/>
          <w:lang w:val="en-US"/>
        </w:rPr>
        <w:fldChar w:fldCharType="begin"/>
      </w:r>
      <w:r w:rsidR="007F2596" w:rsidRPr="00FB7D6B">
        <w:rPr>
          <w:rFonts w:ascii="Book Antiqua" w:hAnsi="Book Antiqua" w:cs="Arial"/>
          <w:sz w:val="24"/>
          <w:szCs w:val="24"/>
          <w:vertAlign w:val="superscript"/>
          <w:lang w:val="en-US"/>
        </w:rPr>
        <w:instrText xml:space="preserve"> ADDIN ZOTERO_ITEM CSL_CITATION {"citationID":"ZBJxqmZL","properties":{"formattedCitation":"{\\rtf \\super [32]\\nosupersub{}}","plainCitation":"[32]"},"citationItems":[{"id":509,"uris":["http://zotero.org/users/local/Cz1JGnYD/items/9IBAPVSW"],"uri":["http://zotero.org/users/local/Cz1JGnYD/items/9IBAPVSW"],"itemData":{"id":509,"type":"article-journal","title":"Clinical and histological features of idiosyncratic liver injury: Dilemma in diagnosis of autoimmune hepatitis","container-title":"Hepatology Research: The Official Journal of the Japan Society of Hepatology","page":"277-291","volume":"46","issue":"4","source":"PubMed","abstract":"AIM: Drug-induced liver injury (DILI) is becoming a worldwide problem with its still unexplained properties.\nMETHODS: The data of patients who were diagnosed with DILI between January 2008 and December 2013 were assessed.\nRESULTS: Five patients had been diagnosed with intrinsic and 82 patients with idiosyncratic DILI. The most common causative agents were antimicrobial drugs. The most common injury pattern was hepatocellular. When patients with bilirubin levels of more than 5</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mg/dL were divided into two groups according to receiving steroid therapy (n</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11) or not (n</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40), there was not any significant difference according to their clinical results (P</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&gt;</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0.05). Five of the idiosyncratic DILI patients were diagnosed with drug-induced autoimmune hepatitis (DI-AIH). In histopathological examination, hepatic rosette formation and emperipolesis were observed to be more common among patients with DI-AIH when compared with ones without (P</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&lt;</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0.05). Interestingly, in the remaining patients with DILI (n</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77), three of them were diagnosed with classic autoimmune hepatitis during long-term follow up (range, 11-51</w:instrText>
      </w:r>
      <w:r w:rsidR="007F2596" w:rsidRPr="00FB7D6B">
        <w:rPr>
          <w:rFonts w:ascii="Times New Roman" w:hAnsi="Times New Roman"/>
          <w:sz w:val="24"/>
          <w:szCs w:val="24"/>
          <w:vertAlign w:val="superscript"/>
          <w:lang w:val="en-US"/>
        </w:rPr>
        <w:instrText> </w:instrText>
      </w:r>
      <w:r w:rsidR="007F2596" w:rsidRPr="00FB7D6B">
        <w:rPr>
          <w:rFonts w:ascii="Book Antiqua" w:hAnsi="Book Antiqua" w:cs="Arial"/>
          <w:sz w:val="24"/>
          <w:szCs w:val="24"/>
          <w:vertAlign w:val="superscript"/>
          <w:lang w:val="en-US"/>
        </w:rPr>
        <w:instrText xml:space="preserve">months).\nCONCLUSION: The most common causes were antimicrobials, but any agents that have not been defined to cause DILI can induce DILI. The efficacy of steroids in DILI has not been observed but all deaths were observed in the steroid-free group. The association of DILI and AIH was observed in two different types in terms of diagnosis in our study. The first association was DI-AIH. The second one is the classical AIH which developed in three patients after a few months following spontaneous recovery of DILI.","DOI":"10.1111/hepr.12530","ISSN":"1386-6346","note":"PMID: 25926402","shortTitle":"Clinical and histological features of idiosyncratic liver injury","journalAbbreviation":"Hepatol. Res.","language":"eng","author":[{"family":"Kuzu","given":"Ufuk Bariş"},{"family":"Öztaş","given":"Erkin"},{"family":"Turhan","given":"Nesrin"},{"family":"Saygili","given":"Fatih"},{"family":"Suna","given":"Nuretdin"},{"family":"Yildiz","given":"Hakan"},{"family":"Kaplan","given":"Mustafa"},{"family":"Akpinar","given":"Muhammet Yener"},{"family":"Akdoğan","given":"Meral"},{"family":"Kaçar","given":"Sabite"},{"family":"Kiliç","given":"Zeki Mesut Yalin"},{"family":"Köksal","given":"Aydin Şeref"},{"family":"Ödemiş","given":"Bülent"},{"family":"Kayaçetin","given":"Ertuğrul"}],"issued":{"date-parts":[["2016",4]]},"PMID":"25926402"}}],"schema":"https://github.com/citation-style-language/schema/raw/master/csl-citation.json"} </w:instrText>
      </w:r>
      <w:r w:rsidR="007F2596" w:rsidRPr="00FB7D6B">
        <w:rPr>
          <w:rFonts w:ascii="Book Antiqua" w:hAnsi="Book Antiqua" w:cs="Arial"/>
          <w:sz w:val="24"/>
          <w:szCs w:val="24"/>
          <w:vertAlign w:val="superscript"/>
          <w:lang w:val="en-US"/>
        </w:rPr>
        <w:fldChar w:fldCharType="separate"/>
      </w:r>
      <w:r w:rsidR="007F2596" w:rsidRPr="00FB7D6B">
        <w:rPr>
          <w:rFonts w:ascii="Book Antiqua" w:hAnsi="Book Antiqua" w:cs="Arial"/>
          <w:sz w:val="24"/>
          <w:szCs w:val="24"/>
          <w:vertAlign w:val="superscript"/>
          <w:lang w:val="en-US"/>
        </w:rPr>
        <w:t>[32]</w:t>
      </w:r>
      <w:r w:rsidR="007F2596" w:rsidRPr="00FB7D6B">
        <w:rPr>
          <w:rFonts w:ascii="Book Antiqua" w:hAnsi="Book Antiqua" w:cs="Arial"/>
          <w:sz w:val="24"/>
          <w:szCs w:val="24"/>
          <w:vertAlign w:val="superscript"/>
          <w:lang w:val="en-US"/>
        </w:rPr>
        <w:fldChar w:fldCharType="end"/>
      </w:r>
      <w:r w:rsidR="0082108E" w:rsidRPr="00FB7D6B">
        <w:rPr>
          <w:rFonts w:ascii="Book Antiqua" w:hAnsi="Book Antiqua" w:cs="Arial"/>
          <w:sz w:val="24"/>
          <w:szCs w:val="24"/>
          <w:lang w:val="en-US"/>
        </w:rPr>
        <w:t xml:space="preserve"> described 82 DILI patients from whom five (6</w:t>
      </w:r>
      <w:r w:rsidR="004C43BA" w:rsidRPr="00FB7D6B">
        <w:rPr>
          <w:rFonts w:ascii="Book Antiqua" w:hAnsi="Book Antiqua" w:cs="Arial"/>
          <w:sz w:val="24"/>
          <w:szCs w:val="24"/>
          <w:lang w:val="en-US"/>
        </w:rPr>
        <w:t>%</w:t>
      </w:r>
      <w:r w:rsidR="0082108E" w:rsidRPr="00FB7D6B">
        <w:rPr>
          <w:rFonts w:ascii="Book Antiqua" w:hAnsi="Book Antiqua" w:cs="Arial"/>
          <w:sz w:val="24"/>
          <w:szCs w:val="24"/>
          <w:lang w:val="en-US"/>
        </w:rPr>
        <w:t>) were diagnosed with DILI-AIH.</w:t>
      </w:r>
    </w:p>
    <w:p w:rsidR="007468B4" w:rsidRPr="00FB7D6B" w:rsidRDefault="008353BD"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 xml:space="preserve">AIH - in its classical perception - </w:t>
      </w:r>
      <w:r w:rsidR="00A43342" w:rsidRPr="00FB7D6B">
        <w:rPr>
          <w:rFonts w:ascii="Book Antiqua" w:hAnsi="Book Antiqua" w:cs="Arial"/>
          <w:sz w:val="24"/>
          <w:szCs w:val="24"/>
          <w:lang w:val="en-US"/>
        </w:rPr>
        <w:t xml:space="preserve">commonly </w:t>
      </w:r>
      <w:r w:rsidRPr="00FB7D6B">
        <w:rPr>
          <w:rFonts w:ascii="Book Antiqua" w:hAnsi="Book Antiqua" w:cs="Arial"/>
          <w:sz w:val="24"/>
          <w:szCs w:val="24"/>
          <w:lang w:val="en-US"/>
        </w:rPr>
        <w:t>presents as a chronic hepatopathy</w:t>
      </w:r>
      <w:r w:rsidR="00BD3CFE" w:rsidRPr="00FB7D6B">
        <w:rPr>
          <w:rFonts w:ascii="Book Antiqua" w:hAnsi="Book Antiqua" w:cs="Arial"/>
          <w:sz w:val="24"/>
          <w:szCs w:val="24"/>
          <w:lang w:val="en-US"/>
        </w:rPr>
        <w:t xml:space="preserve">. On the one hand, the majority of patients with AIH are diagnosed due to accidentally and repeatedly elevated liver enzymes in </w:t>
      </w:r>
      <w:r w:rsidRPr="00FB7D6B">
        <w:rPr>
          <w:rFonts w:ascii="Book Antiqua" w:hAnsi="Book Antiqua" w:cs="Arial"/>
          <w:sz w:val="24"/>
          <w:szCs w:val="24"/>
          <w:lang w:val="en-US"/>
        </w:rPr>
        <w:t xml:space="preserve">routine </w:t>
      </w:r>
      <w:r w:rsidR="00BD3CFE" w:rsidRPr="00FB7D6B">
        <w:rPr>
          <w:rFonts w:ascii="Book Antiqua" w:hAnsi="Book Antiqua" w:cs="Arial"/>
          <w:sz w:val="24"/>
          <w:szCs w:val="24"/>
          <w:lang w:val="en-US"/>
        </w:rPr>
        <w:t xml:space="preserve">check-up examinations without having symptoms. On the other hand, AIH can lead to fulminant </w:t>
      </w:r>
      <w:r w:rsidR="00B64328" w:rsidRPr="00FB7D6B">
        <w:rPr>
          <w:rFonts w:ascii="Book Antiqua" w:hAnsi="Book Antiqua" w:cs="Arial"/>
          <w:sz w:val="24"/>
          <w:szCs w:val="24"/>
          <w:lang w:val="en-US"/>
        </w:rPr>
        <w:t>acute liver failure</w:t>
      </w:r>
      <w:r w:rsidR="00BD3CFE" w:rsidRPr="00FB7D6B">
        <w:rPr>
          <w:rFonts w:ascii="Book Antiqua" w:hAnsi="Book Antiqua" w:cs="Arial"/>
          <w:sz w:val="24"/>
          <w:szCs w:val="24"/>
          <w:lang w:val="en-US"/>
        </w:rPr>
        <w:t xml:space="preserve"> which is associated with high morbidity and mortality.</w:t>
      </w:r>
      <w:r w:rsidR="00E67FD7" w:rsidRPr="00FB7D6B">
        <w:rPr>
          <w:rFonts w:ascii="Book Antiqua" w:hAnsi="Book Antiqua" w:cs="Arial"/>
          <w:sz w:val="24"/>
          <w:szCs w:val="24"/>
          <w:lang w:val="en-US"/>
        </w:rPr>
        <w:t xml:space="preserve"> The most important genetic </w:t>
      </w:r>
      <w:r w:rsidRPr="00FB7D6B">
        <w:rPr>
          <w:rFonts w:ascii="Book Antiqua" w:hAnsi="Book Antiqua" w:cs="Arial"/>
          <w:sz w:val="24"/>
          <w:szCs w:val="24"/>
          <w:lang w:val="en-US"/>
        </w:rPr>
        <w:t xml:space="preserve">risk </w:t>
      </w:r>
      <w:r w:rsidR="00E67FD7" w:rsidRPr="00FB7D6B">
        <w:rPr>
          <w:rFonts w:ascii="Book Antiqua" w:hAnsi="Book Antiqua" w:cs="Arial"/>
          <w:sz w:val="24"/>
          <w:szCs w:val="24"/>
          <w:lang w:val="en-US"/>
        </w:rPr>
        <w:t>fac</w:t>
      </w:r>
      <w:r w:rsidR="00B64328" w:rsidRPr="00FB7D6B">
        <w:rPr>
          <w:rFonts w:ascii="Book Antiqua" w:hAnsi="Book Antiqua" w:cs="Arial"/>
          <w:sz w:val="24"/>
          <w:szCs w:val="24"/>
          <w:lang w:val="en-US"/>
        </w:rPr>
        <w:t xml:space="preserve">tor </w:t>
      </w:r>
      <w:r w:rsidR="00E874AC" w:rsidRPr="00FB7D6B">
        <w:rPr>
          <w:rFonts w:ascii="Book Antiqua" w:hAnsi="Book Antiqua" w:cs="Arial"/>
          <w:sz w:val="24"/>
          <w:szCs w:val="24"/>
          <w:lang w:val="en-US"/>
        </w:rPr>
        <w:t>is</w:t>
      </w:r>
      <w:r w:rsidR="000724DB" w:rsidRPr="00FB7D6B">
        <w:rPr>
          <w:rFonts w:ascii="Book Antiqua" w:hAnsi="Book Antiqua" w:cs="Arial"/>
          <w:sz w:val="24"/>
          <w:szCs w:val="24"/>
          <w:lang w:val="en-US"/>
        </w:rPr>
        <w:t xml:space="preserve"> human leukocyte antigen</w:t>
      </w:r>
      <w:r w:rsidR="00E67FD7" w:rsidRPr="00FB7D6B">
        <w:rPr>
          <w:rFonts w:ascii="Book Antiqua" w:hAnsi="Book Antiqua" w:cs="Arial"/>
          <w:sz w:val="24"/>
          <w:szCs w:val="24"/>
          <w:lang w:val="en-US"/>
        </w:rPr>
        <w:t xml:space="preserve">, especially HLA-DR, whereas the role of environmental factors is not completely understood. Immunologically, disruption of the immune tolerance to autologous liver antigens may be a trigger of AIH. </w:t>
      </w:r>
      <w:r w:rsidR="00B64328" w:rsidRPr="00FB7D6B">
        <w:rPr>
          <w:rFonts w:ascii="Book Antiqua" w:hAnsi="Book Antiqua" w:cs="Arial"/>
          <w:sz w:val="24"/>
          <w:szCs w:val="24"/>
          <w:lang w:val="en-US"/>
        </w:rPr>
        <w:t>According to current</w:t>
      </w:r>
      <w:r w:rsidR="00C279DA" w:rsidRPr="00FB7D6B">
        <w:rPr>
          <w:rFonts w:ascii="Book Antiqua" w:hAnsi="Book Antiqua" w:cs="Arial"/>
          <w:sz w:val="24"/>
          <w:szCs w:val="24"/>
          <w:lang w:val="en-US"/>
        </w:rPr>
        <w:t xml:space="preserve"> data, </w:t>
      </w:r>
      <w:r w:rsidR="00614106" w:rsidRPr="00FB7D6B">
        <w:rPr>
          <w:rFonts w:ascii="Book Antiqua" w:hAnsi="Book Antiqua" w:cs="Arial"/>
          <w:sz w:val="24"/>
          <w:szCs w:val="24"/>
          <w:lang w:val="en-US"/>
        </w:rPr>
        <w:t>t</w:t>
      </w:r>
      <w:r w:rsidR="00C279DA" w:rsidRPr="00FB7D6B">
        <w:rPr>
          <w:rFonts w:ascii="Book Antiqua" w:hAnsi="Book Antiqua" w:cs="Arial"/>
          <w:sz w:val="24"/>
          <w:szCs w:val="24"/>
          <w:lang w:val="en-US"/>
        </w:rPr>
        <w:t xml:space="preserve">riggering agents which may lead to this </w:t>
      </w:r>
      <w:r w:rsidR="00E67FD7" w:rsidRPr="00FB7D6B">
        <w:rPr>
          <w:rFonts w:ascii="Book Antiqua" w:hAnsi="Book Antiqua" w:cs="Arial"/>
          <w:sz w:val="24"/>
          <w:szCs w:val="24"/>
          <w:lang w:val="en-US"/>
        </w:rPr>
        <w:t xml:space="preserve">disruption </w:t>
      </w:r>
      <w:r w:rsidR="00C279DA" w:rsidRPr="00FB7D6B">
        <w:rPr>
          <w:rFonts w:ascii="Book Antiqua" w:hAnsi="Book Antiqua" w:cs="Arial"/>
          <w:sz w:val="24"/>
          <w:szCs w:val="24"/>
          <w:lang w:val="en-US"/>
        </w:rPr>
        <w:t xml:space="preserve">are </w:t>
      </w:r>
      <w:r w:rsidR="00B64328" w:rsidRPr="00FB7D6B">
        <w:rPr>
          <w:rFonts w:ascii="Book Antiqua" w:hAnsi="Book Antiqua" w:cs="Arial"/>
          <w:sz w:val="24"/>
          <w:szCs w:val="24"/>
          <w:lang w:val="en-US"/>
        </w:rPr>
        <w:t xml:space="preserve">mainly </w:t>
      </w:r>
      <w:r w:rsidR="00C279DA" w:rsidRPr="00FB7D6B">
        <w:rPr>
          <w:rFonts w:ascii="Book Antiqua" w:hAnsi="Book Antiqua" w:cs="Arial"/>
          <w:sz w:val="24"/>
          <w:szCs w:val="24"/>
          <w:lang w:val="en-US"/>
        </w:rPr>
        <w:t>unknown, but may include viral infections, environmental toxins, drugs</w:t>
      </w:r>
      <w:r w:rsidR="00B64328" w:rsidRPr="00FB7D6B">
        <w:rPr>
          <w:rFonts w:ascii="Book Antiqua" w:hAnsi="Book Antiqua" w:cs="Arial"/>
          <w:sz w:val="24"/>
          <w:szCs w:val="24"/>
          <w:lang w:val="en-US"/>
        </w:rPr>
        <w:t xml:space="preserve">, </w:t>
      </w:r>
      <w:r w:rsidR="00C279DA" w:rsidRPr="00FB7D6B">
        <w:rPr>
          <w:rFonts w:ascii="Book Antiqua" w:hAnsi="Book Antiqua" w:cs="Arial"/>
          <w:sz w:val="24"/>
          <w:szCs w:val="24"/>
          <w:lang w:val="en-US"/>
        </w:rPr>
        <w:t>and vaccinations</w:t>
      </w:r>
      <w:r w:rsidR="00F72186" w:rsidRPr="00FB7D6B">
        <w:rPr>
          <w:rFonts w:ascii="Book Antiqua" w:hAnsi="Book Antiqua" w:cs="Arial"/>
          <w:sz w:val="24"/>
          <w:szCs w:val="24"/>
          <w:lang w:val="en-US"/>
        </w:rPr>
        <w:t>.</w:t>
      </w:r>
      <w:r w:rsidR="000F522C" w:rsidRPr="00FB7D6B">
        <w:rPr>
          <w:rFonts w:ascii="Book Antiqua" w:hAnsi="Book Antiqua" w:cs="Arial"/>
          <w:sz w:val="24"/>
          <w:szCs w:val="24"/>
          <w:lang w:val="en-US"/>
        </w:rPr>
        <w:t xml:space="preserve"> There is </w:t>
      </w:r>
      <w:r w:rsidR="00B64328" w:rsidRPr="00FB7D6B">
        <w:rPr>
          <w:rFonts w:ascii="Book Antiqua" w:hAnsi="Book Antiqua" w:cs="Arial"/>
          <w:sz w:val="24"/>
          <w:szCs w:val="24"/>
          <w:lang w:val="en-US"/>
        </w:rPr>
        <w:t xml:space="preserve">growing </w:t>
      </w:r>
      <w:r w:rsidR="000F522C" w:rsidRPr="00FB7D6B">
        <w:rPr>
          <w:rFonts w:ascii="Book Antiqua" w:hAnsi="Book Antiqua" w:cs="Arial"/>
          <w:sz w:val="24"/>
          <w:szCs w:val="24"/>
          <w:lang w:val="en-US"/>
        </w:rPr>
        <w:t xml:space="preserve">evidence for a loss of immune tolerance to self-antigens playing a part in the </w:t>
      </w:r>
      <w:r w:rsidRPr="00FB7D6B">
        <w:rPr>
          <w:rFonts w:ascii="Book Antiqua" w:hAnsi="Book Antiqua" w:cs="Arial"/>
          <w:sz w:val="24"/>
          <w:szCs w:val="24"/>
          <w:lang w:val="en-US"/>
        </w:rPr>
        <w:t>development of this condition</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{"citationID":"1pa2ovcg03","properties":{"formattedCitation":"{\\rtf \\super [33\\uc0\\u8211{}38]\\nosupersub{}}","plainCitation":"[33–38]"},"citationItems":[{"id":576,"uris":["http://zotero.org/users/local/Cz1JGnYD/items/NJE9PQC5"],"uri":["http://zotero.org/users/local/Cz1JGnYD/items/NJE9PQC5"],"itemData":{"id":576,"type":"article-journal","title":"Autoimmune hepatitis: current challenges and future prospects","container-title":"Clinical and Experimental Gastroenterology","page":"9-18","volume":"10","source":"PubMed","abstract":"Autoimmune hepatitis (AIH) is a chronic progressive liver disease characterized by high levels of aminotransferases and autoantibodies, hypergammaglobulinemia, and interface hepatitis. AIH affects all races and all ages worldwide, regardless of sex, although a preponderance of females is a constant finding. The etiology of AIH has not been completely elucidated, but immunogenetic background and environmental parameters may contribute to its development. The most important genetic factor is human leukocyte antigens (HLAs), especially HLA-DR, whereas the role of environmental factors is not completely understood. Immunologically, disruption of the immune tolerance to autologous liver antigens may be a trigger of AIH. The diagnosis of classical AIH is fairly easy, though not without pitfalls. In contrast, the diagnosis of atypical AIH poses great challenges. There is confusion as to the definition of the disease entity and its boundaries in the diagnosis of overlap syndrome, drug-induced autoimmune hepatitis, and AIH with concomitant nonalcoholic fatty liver disease (NAFLD) or chronic hepatitis C. Centrilobular zonal necrosis is now included in the histological spectrum of AIH. However, the definition and the significance of AIH presenting with centrilobular zonal necrosis have not been examined extensively. In ~20% of AIH patients who are treated for the first time with standard therapy, remission is not achieved. The development of more effective and better tolerated novel therapies is an urgent need. In this review, we discuss the current challenges and the future prospects in relation to the diagnosis and treatment of AIH, which have been attracting considerable recent attention.","DOI":"10.2147/CEG.S101440","ISSN":"1178-7023","note":"PMID: 28176894\nPMCID: PMC5261603","shortTitle":"Autoimmune hepatitis","journalAbbreviation":"Clin Exp Gastroenterol","language":"eng","author":[{"family":"Aizawa","given":"Yoshio"},{"family":"Hokari","given":"Atsushi"}],"issued":{"date-parts":[["2017"]]},"PMID":"28176894","PMCID":"PMC5261603"},"label":"page"},{"id":578,"uris":["http://zotero.org/users/local/Cz1JGnYD/items/E3MRK43N"],"uri":["http://zotero.org/users/local/Cz1JGnYD/items/E3MRK43N"],"itemData":{"id":578,"type":"article-journal","title":"Juvenile autoimmune hepatitis: Spectrum of the disease","container-title":"World Journal of Hepatology","page":"464-476","volume":"6","issue":"7","source":"PubMed","abstract":"Juvenile autoimmune hepatitis (JAIH) is a progressive inflammatory liver disease, affecting mainly young girls, from infancy to late adolescence, characterized by active liver damage, as shown by high serum activity of aminotransferases, by elevated immunoglobulin G levels, high titers of serum non organ-specific and organ-specific autoantibodies, and by interface hepatitis on liver biopsy. It is a multifactorial disease of unknown etiology in which environmental factors act as a trigger in genetically predisposed individuals. Two types of JAIH are identified according to the autoantibody panel detected at diagnosis: AIH-1, characterized by the presence of anti-smooth muscle antibody and/or antinuclear antibody and AIH-2, by anti-liver-kidney microsomal antibody type 1 and/or by the presence of anti-liver cytosol type 1 antibody. Epidemiological distribution, genetic markers, clinical presentation and pattern of serum cytokines differentiate the two types of AIH suggesting possible pathogenetic mechanisms. The most effective therapy for AIH is pharmacological suppression of the immune response. Treatment should be started as soon as the diagnosis is made to avoid severe liver damage and progression of fibrosis. The aim of this review is to outline the most significant and peculiar features of JAIH, based largely on our own personal database and on a review of current literature.","DOI":"10.4254/wjh.v6.i7.464","ISSN":"1948-5182","note":"PMID: 25067998\nPMCID: PMC4110538","shortTitle":"Juvenile autoimmune hepatitis","journalAbbreviation":"World J Hepatol","language":"eng","author":[{"family":"Maggiore","given":"Giuseppe"},{"family":"Nastasio","given":"Silvia"},{"family":"Sciveres","given":"Marco"}],"issued":{"date-parts":[["2014",7,27]]},"PMID":"25067998","PMCID":"PMC4110538"},"label":"page"},{"id":580,"uris":["http://zotero.org/users/local/Cz1JGnYD/items/R5V9GDS5"],"uri":["http://zotero.org/users/local/Cz1JGnYD/items/R5V9GDS5"],"itemData":{"id":580,"type":"article-journal","title":"[Hepatitis E infections in rheumatology. A previously underestimated infectious disease?]","container-title":"Zeitschrift Fur Rheumatologie","page":"731-736","volume":"74","issue":"8","source":"PubMed","abstract":"BACKGROUND: The detection and estimation of hepatitis E have greatly changed in recent years. An increasing number of hepatitis E virus (HEV) infections, which were acquired in Europe and knowledge on chronic hepatitis E in immunosuppressed patients, give this infectious disease a new significance in industrial nations in contrast to the previous assumption of merely being a tropical disease with an acute course. Rheumatology patients under immunosuppressive therapy generally have an increased risk of infections.\nDIAGNOSTICS: An HEV infection should always be taken into consideration for the differential diagnostics, particularly in cases of increased transaminase levels and/or diarrhea. In contrast to healthy individuals where the course of HEV infections is mostly innocuous, in immunocompromised patients isolated severe and also chronic courses have been described. Testing of these patients should initially also include PCR of HEV-RNA because serological markers are not always reliable. Therapy with ribavirin (cave: off-label) is a possible therapeutic option and should be considered in individual cases in cooperation with a hepatologist and/or specialist for infections. Whether a general screening for HEV before therapy with biologics is recommendable, cannot yet be conclusively assessed. Additionally, an HEV infection should be included in the differential diagnostics of unclear systemic diseases because the disease can have diverse extrahepatic manifestations.\nCONCLUSION: There are serological indications that hepatitis E can act as a trigger for autoimmune diseases, such as autoimmune hepatitis and cryoglobulinemia but this phenomenon and the underlying pathological mechanisms need further clarification.","DOI":"10.1007/s00393-015-1631-0","ISSN":"1435-1250","note":"PMID: 26450437","shortTitle":"[Hepatitis E infections in rheumatology. A previously underestimated infectious disease?","journalAbbreviation":"Z Rheumatol","language":"ger","author":[{"family":"Pischke","given":"S."},{"family":"Iking-Konert","given":"C."}],"issued":{"date-parts":[["2015",10]]},"PMID":"26450437"},"label":"page"},{"id":582,"uris":["http://zotero.org/users/local/Cz1JGnYD/items/6NBXZJJ6"],"uri":["http://zotero.org/users/local/Cz1JGnYD/items/6NBXZJJ6"],"itemData":{"id":582,"type":"article-journal","title":"Autoimmune Hepatitis: Factors Involved in Initiation and Methods of Diagnosis and Treatment","container-title":"Critical Reviews in Immunology","page":"407-428","volume":"36","issue":"5","source":"PubMed","abstract":"Autoimmune hepatitis is an acute or mostly chronic liver disease that can affect both adults and children and has a clear prevalence for the female sex. A definite etiology has not been established, but it is known that genetic predisposing profiles and exogenous trigger factors are involved. The main diagnostic criteria include typical histological features, the occurrence of serum auto-antibodies, and increased levels of transaminases and gamma-globulins. Instances of autoimmune hepatitis sharing features with other autoimmune liver diseases have also been observed. An imbalance of the immune system with persistent activation of effector T cells has been emphasized to account for the sustained liver injury. Clinical manifestations are variable both at presentation and throughout the course of the disease, ranging from an asymptomatic state or the occurrence of non-specific symptoms to the features of end-stage liver disease such as jaundice, ascites, and gastrointestinal bleeding. A clinical and biochemical remission is achieved in at least 80% of patients receiving corticosteroids with or without the addition of azathioprine. Alternative therapeutic schedules have been proposed for unresponsive and intolerant patients. Given that relapse often occurs after therapy withdrawal, maintenance treatment is usually required.","DOI":"10.1615/CritRevImmunol.2017017868","ISSN":"1040-8401","note":"PMID: 28605347","shortTitle":"Autoimmune Hepatitis","journalAbbreviation":"Crit. Rev. Immunol.","language":"eng","author":[{"family":"Lauletta","given":"Gianfranco"},{"family":"Russi","given":"Sabino"},{"family":"Pavone","given":"Fabio"},{"family":"Marzullo","given":"Andrea"},{"family":"Tampoia","given":"Marilina"},{"family":"Sansonno","given":"Domenico"},{"family":"Dammacco","given":"Franco"}],"issued":{"date-parts":[["2016"]]},"PMID":"28605347"},"label":"page"},{"id":584,"uris":["http://zotero.org/users/local/Cz1JGnYD/items/N7DJZZJ4"],"uri":["http://zotero.org/users/local/Cz1JGnYD/items/N7DJZZJ4"],"itemData":{"id":584,"type":"article-journal","title":"Vaccine-related autoimmune hepatitis: the same disease as idiopathic autoimmune hepatitis? Two clinical reports and review","container-title":"Scandinavian Journal of Gastroenterology","page":"18-22","volume":"52","issue":"1","source":"PubMed","abstract":"Autoimmune hepatitis (AIH) develops in genetically predisposed individuals after an inciting or environmental trigger. These factors are unknown but may include viral infections, environmental toxins, drugs and vaccinations. Few reports are written about vaccination as potential trigger of autoimmune hepatitis. In this article, we additionally describe two vaccine-related cases of AIH. In both cases, long-term immune-suppressive therapy is demanded. Moreover, we present the cases of vaccine-related AIH from literature and compare these with idiopathic AIH and our own cases.","DOI":"10.1080/00365521.2016.1224379","ISSN":"1502-7708","note":"PMID: 27565372","shortTitle":"Vaccine-related autoimmune hepatitis","journalAbbreviation":"Scand. J. Gastroenterol.","language":"eng","author":[{"family":"Gemeren","given":"Marline A. J.","non-dropping-particle":"van"},{"family":"Wijngaarden","given":"Peter","non-dropping-particle":"van"},{"family":"Doukas","given":"Michael"},{"family":"Man","given":"Robert A.","non-dropping-particle":"de"}],"issued":{"date-parts":[["2017",1]]},"PMID":"27565372"},"label":"page"},{"id":586,"uris":["http://zotero.org/users/local/Cz1JGnYD/items/KRVG7T7G"],"uri":["http://zotero.org/users/local/Cz1JGnYD/items/KRVG7T7G"],"itemData":{"id":586,"type":"article-journal","title":"The Pathogenesis of Autoimmune Liver Disease","container-title":"Digestive Diseases (Basel, Switzerland)","page":"327-333","volume":"34","issue":"4","source":"PubMed","abstract":"BACKGROUND: Autoimmune liver disease (AILD) encompasses 3 main distinct clinical diseases: autoimmune hepatitis, primary biliary cholangitis (formally known as cirrhosis, PBC) and primary sclerosing cholangitis (PSC). These conditions are an important, yet under-appreciated cause of patient morbidity and mortality with ongoing unmet needs for further research and clinical advances.\nKEY MESSAGES: There is observational evidence for genetic predisposition, with all 3 conditions being more common in first degree relatives. AILD is associated with the presence of auto-antibodies and higher risks of other non-hepatic auto-immune conditions. Genetic risk association studies have identified HLA and non-HLA risk loci for the development of disease, with some HLA loci providing prognostic information. This re-enforces the concept that genetic predisposition to autoimmunity is important, likely in the context of environmental exposures. Such environmental triggers are unclear but relevant risks include smoking, drug and xenobiotic exposure as well as the complexities of the microbiome. There is evidence for a loss of immune tolerance to self-antigens playing a part in the development of these conditions. In particular the IL-2 and IL-12 regulatory pathways have been implicated in pre-disposing to an unopposed inflammatory response within the liver. Main immunological themes revolve around loss of immune tolerance leading to T-cell mediated injury, imbalance in the regulation of immune cells and defective immune response to foreign antigens. For PBC and PSC, there is then the added complexity of the consequences of cholestasis on hepato-biliary injury, immune regulation and liver fibrosis.\nCONCLUSIONS: Whilst specific disease causes and triggers are still lacking, AILD arises on the background of collective genetic and environmental risk, leading to chronic and abnormal hepato-biliary immune responses. Effective and more rational therapy will ultimately be developed when the multiple pathways to liver injury are better understood.","DOI":"10.1159/000444471","ISSN":"1421-9875","note":"PMID: 27170385","journalAbbreviation":"Dig Dis","language":"eng","author":[{"family":"Arndtz","given":"Katherine"},{"family":"Hirschfield","given":"Gideon M."}],"issued":{"date-parts":[["2016"]]},"PMID":"27170385"},"label":"page"}],"schema":"https://github.com/citation-style-language/schema/raw/master/csl-citation.json"}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[33</w:t>
      </w:r>
      <w:r w:rsidR="00BB1637">
        <w:rPr>
          <w:rFonts w:ascii="Book Antiqua" w:hAnsi="Book Antiqua" w:cs="Arial" w:hint="eastAsia"/>
          <w:sz w:val="24"/>
          <w:szCs w:val="24"/>
          <w:vertAlign w:val="superscript"/>
          <w:lang w:val="en-US" w:eastAsia="zh-CN"/>
        </w:rPr>
        <w:t>-</w:t>
      </w:r>
      <w:r w:rsidR="00353C5E" w:rsidRPr="00FB7D6B">
        <w:rPr>
          <w:rFonts w:ascii="Book Antiqua" w:hAnsi="Book Antiqua" w:cs="Arial"/>
          <w:sz w:val="24"/>
          <w:szCs w:val="24"/>
          <w:vertAlign w:val="superscript"/>
          <w:lang w:val="en-US"/>
        </w:rPr>
        <w:t>38]</w:t>
      </w:r>
      <w:r w:rsidR="00CA4090" w:rsidRPr="00FB7D6B">
        <w:rPr>
          <w:rFonts w:ascii="Book Antiqua" w:hAnsi="Book Antiqua" w:cs="Arial"/>
          <w:sz w:val="24"/>
          <w:szCs w:val="24"/>
          <w:vertAlign w:val="superscript"/>
          <w:lang w:val="en-US"/>
        </w:rPr>
        <w:fldChar w:fldCharType="end"/>
      </w:r>
      <w:r w:rsidR="00C279DA" w:rsidRPr="00FB7D6B">
        <w:rPr>
          <w:rFonts w:ascii="Book Antiqua" w:hAnsi="Book Antiqua" w:cs="Arial"/>
          <w:sz w:val="24"/>
          <w:szCs w:val="24"/>
          <w:lang w:val="en-US"/>
        </w:rPr>
        <w:t>.</w:t>
      </w:r>
      <w:r w:rsidR="007B38F6" w:rsidRPr="00FB7D6B">
        <w:rPr>
          <w:rFonts w:ascii="Book Antiqua" w:hAnsi="Book Antiqua" w:cs="Arial"/>
          <w:sz w:val="24"/>
          <w:szCs w:val="24"/>
          <w:lang w:val="en-US"/>
        </w:rPr>
        <w:t xml:space="preserve"> G</w:t>
      </w:r>
      <w:r w:rsidR="00381317" w:rsidRPr="00FB7D6B">
        <w:rPr>
          <w:rFonts w:ascii="Book Antiqua" w:hAnsi="Book Antiqua" w:cs="Arial"/>
          <w:sz w:val="24"/>
          <w:szCs w:val="24"/>
          <w:lang w:val="en-US"/>
        </w:rPr>
        <w:t>enetic risk association s</w:t>
      </w:r>
      <w:r w:rsidR="007B38F6" w:rsidRPr="00FB7D6B">
        <w:rPr>
          <w:rFonts w:ascii="Book Antiqua" w:hAnsi="Book Antiqua" w:cs="Arial"/>
          <w:sz w:val="24"/>
          <w:szCs w:val="24"/>
          <w:lang w:val="en-US"/>
        </w:rPr>
        <w:t xml:space="preserve">tudies have identified HLA </w:t>
      </w:r>
      <w:r w:rsidR="00381317" w:rsidRPr="00FB7D6B">
        <w:rPr>
          <w:rFonts w:ascii="Book Antiqua" w:hAnsi="Book Antiqua" w:cs="Arial"/>
          <w:sz w:val="24"/>
          <w:szCs w:val="24"/>
          <w:lang w:val="en-US"/>
        </w:rPr>
        <w:t>loci for the development of disease and providing prognostic information</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{"citationID":"44rf2LAd","properties":{"formattedCitation":"{\\rtf \\super [38,39]\\nosupersub{}}","plainCitation":"[38,39]"},"citationItems":[{"id":586,"uris":["http://zotero.org/users/local/Cz1JGnYD/items/KRVG7T7G"],"uri":["http://zotero.org/users/local/Cz1JGnYD/items/KRVG7T7G"],"itemData":{"id":586,"type":"article-journal","title":"The Pathogenesis of Autoimmune Liver Disease","container-title":"Digestive Diseases (Basel, Switzerland)","page":"327-333","volume":"34","issue":"4","source":"PubMed","abstract":"BACKGROUND: Autoimmune liver disease (AILD) encompasses 3 main distinct clinical diseases: autoimmune hepatitis, primary biliary cholangitis (formally known as cirrhosis, PBC) and primary sclerosing cholangitis (PSC). These conditions are an important, yet under-appreciated cause of patient morbidity and mortality with ongoing unmet needs for further research and clinical advances.\nKEY MESSAGES: There is observational evidence for genetic predisposition, with all 3 conditions being more common in first degree relatives. AILD is associated with the presence of auto-antibodies and higher risks of other non-hepatic auto-immune conditions. Genetic risk association studies have identified HLA and non-HLA risk loci for the development of disease, with some HLA loci providing prognostic information. This re-enforces the concept that genetic predisposition to autoimmunity is important, likely in the context of environmental exposures. Such environmental triggers are unclear but relevant risks include smoking, drug and xenobiotic exposure as well as the complexities of the microbiome. There is evidence for a loss of immune tolerance to self-antigens playing a part in the development of these conditions. In particular the IL-2 and IL-12 regulatory pathways have been implicated in pre-disposing to an unopposed inflammatory response within the liver. Main immunological themes revolve around loss of immune tolerance leading to T-cell mediated injury, imbalance in the regulation of immune cells and defective immune response to foreign antigens. For PBC and PSC, there is then the added complexity of the consequences of cholestasis on hepato-biliary injury, immune regulation and liver fibrosis.\nCONCLUSIONS: Whilst specific disease causes and triggers are still lacking, AILD arises on the background of collective genetic and environmental risk, leading to chronic and abnormal hepato-biliary immune responses. Effective and more rational therapy will ultimately be developed when the multiple pathways to liver injury are better understood.","DOI":"10.1159/000444471","ISSN":"1421-9875","note":"PMID: 27170385","journalAbbreviation":"Dig Dis","language":"eng","author":[{"family":"Arndtz","given":"Katherine"},{"family":"Hirschfield","given":"Gideon M."}],"issued":{"date-parts":[["2016"]]},"PMID":"27170385"},"label":"page"},{"id":588,"uris":["http://zotero.org/users/local/Cz1JGnYD/items/R4P28PEZ"],"uri":["http://zotero.org/users/local/Cz1JGnYD/items/R4P28PEZ"],"itemData":{"id":588,"type":"article-journal","title":"Using GWAS to identify genetic predisposition in hepatic autoimmunity","container-title":"Journal of Autoimmunity","page":"25-39","volume":"66","source":"PubMed","abstract":"Primary biliary cirrhosis (PBC), primary sclerosing cholangitis (PSC) and autoimmune hepatitis (AIH) represent the three major hepatic autoimmune conditions. Patient morbidity and mortality remain high across these three diseases, and an unmet need for rational therapy exists. Disease understanding has focused on combining clinical and laboratory based science to provide better insights into the joint host and environmental factors necessary for the initiation, and perpetuation, of hepato-biliary inflammation. Twin studies, family studies, population studies and an inter-relationship with other autoimmune phenomena suggest a genetic component to risk for each disease. Until recently, understanding of this genetic risk has been limited to HLA haplotypes. Associations with risk-conferring and protective HLA haplotypes are present in all three diseases. Over the last few years, genome-wide association studies (GWAS), and related genetic association studies, have greatly increased understanding of the genetic risk signature of these three diseases and autoimmunity in general. Here we consider the rationale for GWAS in general and with specific reference to hepatic autoimmunity. We consider the process of GWAS, and highlight major findings to date. Potential functional implications of key findings are discussed including the IL-12/STAT4 pathway in PBC and the CD28/IL-2 pathway in PSC. We describe the marked pleiotropy demonstrated by PBC and PSC, which is consistent with other autoimmune diseases. Further, we focus on specific gene associations including SH2B3, which is common to all three diseases, and FUT2 in PSC, which represents a link between environment and genetics. We review attempts to translate GWAS findings into basic laboratory models including in vivo systems and highlight where clinical observations relate to genetics. Finally we describe deficiencies in GWAS to date and consider future study of genetics in hepatic autoimmunity.","DOI":"10.1016/j.jaut.2015.08.016","ISSN":"1095-9157","note":"PMID: 26347073","journalAbbreviation":"J. Autoimmun.","language":"eng","author":[{"family":"Webb","given":"G. J."},{"family":"Hirschfield","given":"G. M."}],"issued":{"date-parts":[["2016",1]]},"PMID":"26347073"},"label":"page"}],"schema":"https://github.com/citation-style-language/schema/raw/master/csl-citation.json"}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[38,39]</w:t>
      </w:r>
      <w:r w:rsidR="00CA4090" w:rsidRPr="00FB7D6B">
        <w:rPr>
          <w:rFonts w:ascii="Book Antiqua" w:hAnsi="Book Antiqua" w:cs="Arial"/>
          <w:sz w:val="24"/>
          <w:szCs w:val="24"/>
          <w:vertAlign w:val="superscript"/>
          <w:lang w:val="en-US"/>
        </w:rPr>
        <w:fldChar w:fldCharType="end"/>
      </w:r>
      <w:r w:rsidR="00381317" w:rsidRPr="00FB7D6B">
        <w:rPr>
          <w:rFonts w:ascii="Book Antiqua" w:hAnsi="Book Antiqua" w:cs="Arial"/>
          <w:sz w:val="24"/>
          <w:szCs w:val="24"/>
          <w:lang w:val="en-US"/>
        </w:rPr>
        <w:t>. Interestingly, when compared to published allele frequencies in healthy controls, HLA genotype</w:t>
      </w:r>
      <w:r w:rsidR="007B38F6" w:rsidRPr="00FB7D6B">
        <w:rPr>
          <w:rFonts w:ascii="Book Antiqua" w:hAnsi="Book Antiqua" w:cs="Arial"/>
          <w:sz w:val="24"/>
          <w:szCs w:val="24"/>
          <w:lang w:val="en-US"/>
        </w:rPr>
        <w:t xml:space="preserve">s of our cohort </w:t>
      </w:r>
      <w:r w:rsidR="00381317" w:rsidRPr="00FB7D6B">
        <w:rPr>
          <w:rFonts w:ascii="Book Antiqua" w:hAnsi="Book Antiqua" w:cs="Arial"/>
          <w:sz w:val="24"/>
          <w:szCs w:val="24"/>
          <w:lang w:val="en-US"/>
        </w:rPr>
        <w:t>did not reach statistical significance while only HLA-A1 status reve</w:t>
      </w:r>
      <w:r w:rsidR="007B38F6" w:rsidRPr="00FB7D6B">
        <w:rPr>
          <w:rFonts w:ascii="Book Antiqua" w:hAnsi="Book Antiqua" w:cs="Arial"/>
          <w:sz w:val="24"/>
          <w:szCs w:val="24"/>
          <w:lang w:val="en-US"/>
        </w:rPr>
        <w:t>aled a positive trend</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{"citationID":"sXo8zp9M","properties":{"formattedCitation":"{\\rtf \\super [40]\\nosupersub{}}","plainCitation":"[40]"},"citationItems":[{"id":601,"uris":["http://zotero.org/users/local/Cz1JGnYD/items/BQMARCM6"],"uri":["http://zotero.org/users/local/Cz1JGnYD/items/BQMARCM6"],"itemData":{"id":601,"type":"article-journal","title":"16(th) IHIW: global analysis of registry HLA haplotypes from 20 million individuals: report from the IHIW Registry Diversity Group","container-title":"International Journal of Immunogenetics","page":"66-71","volume":"40","issue":"1","source":"PubMed","abstract":"This project has the goal to validate bioinformatics methods and tools for HLA haplotype frequency analysis specifically addressing unique issues of haematopoietic stem cell registry data sets. In addition to generating new methods and tools for the analysis of registry data sets, the intent is to produce a comprehensive analysis of HLA data from 20 million donors from the Bone Marrow Donors Worldwide (BMDW) database. This report summarizes the activity on this project as of the 16IHIW meeting in Liverpool.","DOI":"10.1111/iji.12031","ISSN":"1744-313X","note":"PMID: 23280139\nPMCID: PMC3561701","shortTitle":"16(th) IHIW","journalAbbreviation":"Int. J. Immunogenet.","language":"eng","author":[{"family":"Maiers","given":"M."},{"family":"Gragert","given":"L."},{"family":"Madbouly","given":"A."},{"family":"Steiner","given":"D."},{"family":"Marsh","given":"S. G. E."},{"family":"Gourraud","given":"P.-A."},{"family":"Oudshoorn","given":"M."},{"family":"Zanden","given":"H.","non-dropping-particle":"van der"},{"family":"Schmidt","given":"A. H."},{"family":"Pingel","given":"J."},{"family":"Hofmann","given":"J."},{"family":"Müller","given":"C."},{"family":"Eberhard","given":"H.-P."}],"issued":{"date-parts":[["2013",2]]},"PMID":"23280139","PMCID":"PMC3561701"}}],"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[40]</w:t>
      </w:r>
      <w:r w:rsidR="00CA4090" w:rsidRPr="00FB7D6B">
        <w:rPr>
          <w:rFonts w:ascii="Book Antiqua" w:hAnsi="Book Antiqua" w:cs="Arial"/>
          <w:sz w:val="24"/>
          <w:szCs w:val="24"/>
          <w:vertAlign w:val="superscript"/>
          <w:lang w:val="en-US"/>
        </w:rPr>
        <w:fldChar w:fldCharType="end"/>
      </w:r>
      <w:r w:rsidR="00381317" w:rsidRPr="00FB7D6B">
        <w:rPr>
          <w:rFonts w:ascii="Book Antiqua" w:hAnsi="Book Antiqua" w:cs="Arial"/>
          <w:sz w:val="24"/>
          <w:szCs w:val="24"/>
          <w:lang w:val="en-US"/>
        </w:rPr>
        <w:t xml:space="preserve">. </w:t>
      </w:r>
      <w:r w:rsidR="007B38F6" w:rsidRPr="00FB7D6B">
        <w:rPr>
          <w:rFonts w:ascii="Book Antiqua" w:hAnsi="Book Antiqua" w:cs="Arial"/>
          <w:sz w:val="24"/>
          <w:szCs w:val="24"/>
          <w:lang w:val="en-US"/>
        </w:rPr>
        <w:t>Moreover</w:t>
      </w:r>
      <w:r w:rsidR="00B64328" w:rsidRPr="00FB7D6B">
        <w:rPr>
          <w:rFonts w:ascii="Book Antiqua" w:hAnsi="Book Antiqua" w:cs="Arial"/>
          <w:sz w:val="24"/>
          <w:szCs w:val="24"/>
          <w:lang w:val="en-US"/>
        </w:rPr>
        <w:t xml:space="preserve">, none of our </w:t>
      </w:r>
      <w:r w:rsidR="007B38F6" w:rsidRPr="00FB7D6B">
        <w:rPr>
          <w:rFonts w:ascii="Book Antiqua" w:hAnsi="Book Antiqua" w:cs="Arial"/>
          <w:sz w:val="24"/>
          <w:szCs w:val="24"/>
          <w:lang w:val="en-US"/>
        </w:rPr>
        <w:t xml:space="preserve">adult </w:t>
      </w:r>
      <w:r w:rsidR="003E2A00" w:rsidRPr="00FB7D6B">
        <w:rPr>
          <w:rFonts w:ascii="Book Antiqua" w:hAnsi="Book Antiqua" w:cs="Arial"/>
          <w:sz w:val="24"/>
          <w:szCs w:val="24"/>
          <w:lang w:val="en-US"/>
        </w:rPr>
        <w:t>patients inclu</w:t>
      </w:r>
      <w:r w:rsidR="00B64328" w:rsidRPr="00FB7D6B">
        <w:rPr>
          <w:rFonts w:ascii="Book Antiqua" w:hAnsi="Book Antiqua" w:cs="Arial"/>
          <w:sz w:val="24"/>
          <w:szCs w:val="24"/>
          <w:lang w:val="en-US"/>
        </w:rPr>
        <w:t>ded in the analyse</w:t>
      </w:r>
      <w:r w:rsidR="003E2A00" w:rsidRPr="00FB7D6B">
        <w:rPr>
          <w:rFonts w:ascii="Book Antiqua" w:hAnsi="Book Antiqua" w:cs="Arial"/>
          <w:sz w:val="24"/>
          <w:szCs w:val="24"/>
          <w:lang w:val="en-US"/>
        </w:rPr>
        <w:t>s was</w:t>
      </w:r>
      <w:r w:rsidR="00745AA3" w:rsidRPr="00FB7D6B">
        <w:rPr>
          <w:rFonts w:ascii="Book Antiqua" w:hAnsi="Book Antiqua" w:cs="Arial"/>
          <w:sz w:val="24"/>
          <w:szCs w:val="24"/>
          <w:lang w:val="en-US"/>
        </w:rPr>
        <w:t xml:space="preserve"> diagnosed with </w:t>
      </w:r>
      <w:r w:rsidR="00B64328" w:rsidRPr="00FB7D6B">
        <w:rPr>
          <w:rFonts w:ascii="Book Antiqua" w:hAnsi="Book Antiqua" w:cs="Arial"/>
          <w:sz w:val="24"/>
          <w:szCs w:val="24"/>
          <w:lang w:val="en-US"/>
        </w:rPr>
        <w:t xml:space="preserve">LKM-positive </w:t>
      </w:r>
      <w:r w:rsidR="00F34D35" w:rsidRPr="00FB7D6B">
        <w:rPr>
          <w:rFonts w:ascii="Book Antiqua" w:hAnsi="Book Antiqua" w:cs="Arial"/>
          <w:sz w:val="24"/>
          <w:szCs w:val="24"/>
          <w:lang w:val="en-US"/>
        </w:rPr>
        <w:t>AIH type 2</w:t>
      </w:r>
      <w:r w:rsidR="007B38F6" w:rsidRPr="00FB7D6B">
        <w:rPr>
          <w:rFonts w:ascii="Book Antiqua" w:hAnsi="Book Antiqua" w:cs="Arial"/>
          <w:sz w:val="24"/>
          <w:szCs w:val="24"/>
          <w:lang w:val="en-US"/>
        </w:rPr>
        <w:t xml:space="preserve">. </w:t>
      </w:r>
      <w:r w:rsidR="00F34D35" w:rsidRPr="00FB7D6B">
        <w:rPr>
          <w:rFonts w:ascii="Book Antiqua" w:hAnsi="Book Antiqua" w:cs="Arial"/>
          <w:sz w:val="24"/>
          <w:szCs w:val="24"/>
          <w:lang w:val="en-US"/>
        </w:rPr>
        <w:t>T</w:t>
      </w:r>
      <w:r w:rsidR="00614106" w:rsidRPr="00FB7D6B">
        <w:rPr>
          <w:rFonts w:ascii="Book Antiqua" w:hAnsi="Book Antiqua" w:cs="Arial"/>
          <w:sz w:val="24"/>
          <w:szCs w:val="24"/>
          <w:lang w:val="en-US"/>
        </w:rPr>
        <w:t>his ob</w:t>
      </w:r>
      <w:r w:rsidR="007B38F6" w:rsidRPr="00FB7D6B">
        <w:rPr>
          <w:rFonts w:ascii="Book Antiqua" w:hAnsi="Book Antiqua" w:cs="Arial"/>
          <w:sz w:val="24"/>
          <w:szCs w:val="24"/>
          <w:lang w:val="en-US"/>
        </w:rPr>
        <w:t xml:space="preserve">servation matches </w:t>
      </w:r>
      <w:r w:rsidR="00B64328" w:rsidRPr="00FB7D6B">
        <w:rPr>
          <w:rFonts w:ascii="Book Antiqua" w:hAnsi="Book Antiqua" w:cs="Arial"/>
          <w:sz w:val="24"/>
          <w:szCs w:val="24"/>
          <w:lang w:val="en-US"/>
        </w:rPr>
        <w:t xml:space="preserve">with current </w:t>
      </w:r>
      <w:r w:rsidR="00745AA3" w:rsidRPr="00FB7D6B">
        <w:rPr>
          <w:rFonts w:ascii="Book Antiqua" w:hAnsi="Book Antiqua" w:cs="Arial"/>
          <w:sz w:val="24"/>
          <w:szCs w:val="24"/>
          <w:lang w:val="en-US"/>
        </w:rPr>
        <w:t>literature:</w:t>
      </w:r>
      <w:r w:rsidR="00614106" w:rsidRPr="00FB7D6B">
        <w:rPr>
          <w:rFonts w:ascii="Book Antiqua" w:hAnsi="Book Antiqua" w:cs="Arial"/>
          <w:sz w:val="24"/>
          <w:szCs w:val="24"/>
          <w:lang w:val="en-US"/>
        </w:rPr>
        <w:t xml:space="preserve"> Kessler and colleagues, who analyzed 30 patients with fulminant hepatic failure as the initial presentation of </w:t>
      </w:r>
      <w:r w:rsidR="007B38F6" w:rsidRPr="00FB7D6B">
        <w:rPr>
          <w:rFonts w:ascii="Book Antiqua" w:hAnsi="Book Antiqua" w:cs="Arial"/>
          <w:sz w:val="24"/>
          <w:szCs w:val="24"/>
          <w:lang w:val="en-US"/>
        </w:rPr>
        <w:t xml:space="preserve">acute AIH, found that only </w:t>
      </w:r>
      <w:r w:rsidR="00614106" w:rsidRPr="00FB7D6B">
        <w:rPr>
          <w:rFonts w:ascii="Book Antiqua" w:hAnsi="Book Antiqua" w:cs="Arial"/>
          <w:sz w:val="24"/>
          <w:szCs w:val="24"/>
          <w:lang w:val="en-US"/>
        </w:rPr>
        <w:t>3</w:t>
      </w:r>
      <w:r w:rsidR="004C43BA" w:rsidRPr="00FB7D6B">
        <w:rPr>
          <w:rFonts w:ascii="Book Antiqua" w:hAnsi="Book Antiqua" w:cs="Arial"/>
          <w:sz w:val="24"/>
          <w:szCs w:val="24"/>
          <w:lang w:val="en-US"/>
        </w:rPr>
        <w:t>%</w:t>
      </w:r>
      <w:r w:rsidR="00B64328" w:rsidRPr="00FB7D6B">
        <w:rPr>
          <w:rFonts w:ascii="Book Antiqua" w:hAnsi="Book Antiqua" w:cs="Arial"/>
          <w:sz w:val="24"/>
          <w:szCs w:val="24"/>
          <w:lang w:val="en-US"/>
        </w:rPr>
        <w:t xml:space="preserve"> were LKM-</w:t>
      </w:r>
      <w:r w:rsidR="00614106" w:rsidRPr="00FB7D6B">
        <w:rPr>
          <w:rFonts w:ascii="Book Antiqua" w:hAnsi="Book Antiqua" w:cs="Arial"/>
          <w:sz w:val="24"/>
          <w:szCs w:val="24"/>
          <w:lang w:val="en-US"/>
        </w:rPr>
        <w:t>positive</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{"citationID":"p0n29rh0","properties":{"formattedCitation":"{\\rtf \\super [3]\\nosupersub{}}","plainCitation":"[3]"},"citationItems":[{"id":518,"uris":["http://zotero.org/users/local/Cz1JGnYD/items/7PSKEUCF"],"uri":["http://zotero.org/users/local/Cz1JGnYD/items/7PSKEUCF"],"itemData":{"id":518,"type":"article-journal","title":"Fulminant hepatic failure as the initial presentation of acute autoimmune hepatitis","container-title":"Clinical Gastroenterology and Hepatology: The Official Clinical Practice Journal of the American Gastroenterological Association","page":"625-631","volume":"2","issue":"7","source":"PubMed","abstract":"BACKGROUND &amp; AIMS: Autoimmune hepatitis is a common cause of chronic hepatitis, and acute presentation is thought to be uncommon. The aim of this study was to compare clinical, biochemical, and histological features in patients with autoimmune hepatitis presenting with either acute or chronic hepatitis.\nMETHODS: Retrospective review of all patients with autoimmune hepatitis presenting to a University medical center from 1993 to 2002.\nRESULTS: One hundred fifteen patients with autoimmune hepatitis were identified. Ten patients with autoimmune hepatitis were identified as having acute presentation (group I), and 20 patients with a classic presentation as chronic hepatitis (group II) served as age- and sex-matched controls. All patients met criteria published by the International Autoimmune Hepatitis Group. Patients with acute presentation differed significantly with regard to encephalopathy, albumin levels, and bilirubin levels. Blinded liver biopsy review demonstrated that those with acute presentation had significantly less fibrosis, and significantly greater interface hepatitis, lobular disarray, lobular hepatitis, hepatocyte necrosis, zone III necrosis, and submassive necrosis.\nCONCLUSIONS: In our study, patients with an acute presentation of autoimmune hepatitis differed from patients with a classical presentation clinically, biochemically, and histologically. In our review, a majority of patients with acute autoimmune hepatitis presented with fulminant hepatic failure. The pattern of zone 3 necrosis may be a specific finding in those with acute autoimmune hepatitis.","ISSN":"1542-3565","note":"PMID: 15224287","journalAbbreviation":"Clin. Gastroenterol. Hepatol.","language":"eng","author":[{"family":"Kessler","given":"William R."},{"family":"Cummings","given":"Oscar W."},{"family":"Eckert","given":"George"},{"family":"Chalasani","given":"Naga"},{"family":"Lumeng","given":"Lawrence"},{"family":"Kwo","given":"Paul Y."}],"issued":{"date-parts":[["2004",7]]},"PMID":"15224287"}}],"schema":"https://github.com/citation-style-language/schema/raw/master/csl-citation.json"}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[3]</w:t>
      </w:r>
      <w:r w:rsidR="00CA4090" w:rsidRPr="00FB7D6B">
        <w:rPr>
          <w:rFonts w:ascii="Book Antiqua" w:hAnsi="Book Antiqua" w:cs="Arial"/>
          <w:sz w:val="24"/>
          <w:szCs w:val="24"/>
          <w:vertAlign w:val="superscript"/>
          <w:lang w:val="en-US"/>
        </w:rPr>
        <w:fldChar w:fldCharType="end"/>
      </w:r>
      <w:r w:rsidR="002F166A" w:rsidRPr="00FB7D6B">
        <w:rPr>
          <w:rFonts w:ascii="Book Antiqua" w:hAnsi="Book Antiqua" w:cs="Arial"/>
          <w:sz w:val="24"/>
          <w:szCs w:val="24"/>
          <w:lang w:val="en-US"/>
        </w:rPr>
        <w:t>.</w:t>
      </w:r>
      <w:r w:rsidR="00614106" w:rsidRPr="00FB7D6B">
        <w:rPr>
          <w:rFonts w:ascii="Book Antiqua" w:hAnsi="Book Antiqua" w:cs="Arial"/>
          <w:sz w:val="24"/>
          <w:szCs w:val="24"/>
          <w:lang w:val="en-US"/>
        </w:rPr>
        <w:t xml:space="preserve"> Likewise, </w:t>
      </w:r>
      <w:r w:rsidR="002F166A" w:rsidRPr="00FB7D6B">
        <w:rPr>
          <w:rFonts w:ascii="Book Antiqua" w:hAnsi="Book Antiqua" w:cs="Arial"/>
          <w:sz w:val="24"/>
          <w:szCs w:val="24"/>
          <w:lang w:val="en-US"/>
        </w:rPr>
        <w:t xml:space="preserve">di </w:t>
      </w:r>
      <w:r w:rsidR="0032746B" w:rsidRPr="00FB7D6B">
        <w:rPr>
          <w:rFonts w:ascii="Book Antiqua" w:hAnsi="Book Antiqua" w:cs="Arial"/>
          <w:sz w:val="24"/>
          <w:szCs w:val="24"/>
          <w:lang w:val="en-US"/>
        </w:rPr>
        <w:t xml:space="preserve">Giorgio </w:t>
      </w:r>
      <w:r w:rsidR="0032746B" w:rsidRPr="003E0D42">
        <w:rPr>
          <w:rFonts w:ascii="Book Antiqua" w:hAnsi="Book Antiqua" w:cs="Arial"/>
          <w:i/>
          <w:sz w:val="24"/>
          <w:szCs w:val="24"/>
          <w:lang w:val="en-US"/>
        </w:rPr>
        <w:t>et al</w:t>
      </w:r>
      <w:r w:rsidR="003E0D42" w:rsidRPr="00FB7D6B">
        <w:rPr>
          <w:rFonts w:ascii="Book Antiqua" w:hAnsi="Book Antiqua" w:cs="Arial"/>
          <w:sz w:val="24"/>
          <w:szCs w:val="24"/>
          <w:vertAlign w:val="superscript"/>
          <w:lang w:val="en-US"/>
        </w:rPr>
        <w:fldChar w:fldCharType="begin"/>
      </w:r>
      <w:r w:rsidR="003E0D42" w:rsidRPr="00FB7D6B">
        <w:rPr>
          <w:rFonts w:ascii="Book Antiqua" w:hAnsi="Book Antiqua" w:cs="Arial"/>
          <w:sz w:val="24"/>
          <w:szCs w:val="24"/>
          <w:vertAlign w:val="superscript"/>
          <w:lang w:val="en-US"/>
        </w:rPr>
        <w:instrText xml:space="preserve"> ADDIN ZOTERO_ITEM CSL_CITATION {"citationID":"eWdFJj0I","properties":{"formattedCitation":"{\\rtf \\super [41]\\nosupersub{}}","plainCitation":"[41]"},"citationItems":[{"id":590,"uris":["http://zotero.org/users/local/Cz1JGnYD/items/94AWR6CQ"],"uri":["http://zotero.org/users/local/Cz1JGnYD/items/94AWR6CQ"],"itemData":{"id":590,"type":"article-journal","title":"Fulminant hepatic failure of autoimmune aetiology in children","container-title":"Journal of Pediatric Gastroenterology and Nutrition","page":"159-164","volume":"60","issue":"2","source":"PubMed","abstract":"OBJECTIVE: Autoimmune hepatitis (AIH) is considered an underdiagnosed cause of fulminant hepatic failure (FHF). Autoimmune FHF (AI-FHF) is believed to lead invariably to liver transplantation (LTX) or death. We aimed to describe the autoimmune features of children diagnosed as having AI-FHF and indeterminate FHF (ID-FHF), and describe the outcome of patients with AI-FHF treated with immunosuppressive drugs.\nMETHODS: In this case-control study, the files of patients with AI-FHF and ID-FHF were reviewed and compared. AIH was diagnosed based on positive autoantibodies, raised immunoglobulin G, and histology when available. FHF was defined by raised transaminases, international normalised ratio</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Book Antiqua"/>
          <w:sz w:val="24"/>
          <w:szCs w:val="24"/>
          <w:vertAlign w:val="superscript"/>
          <w:lang w:val="en-US"/>
        </w:rPr>
        <w:instrText>≥</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2.0, presence of encephalopathy, and no previously recognised liver disease.\nRESULTS: A total of 46 children with FHF were managed in the last 15 years: 10/46 (22%) had AI-FHF, 20/46 (43%) ID-FHF, and 16 had other diagnosis. The mean follow-up time was 4.6 years. AI-FHF and ID-FHF differed for the presence of autoantibodies (10/10, 6/10 liver/kidney microsome [LKM]-type, vs 3/20, none LKM, P</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&lt;</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0.0001), immunoglobulin G level (1845 vs 880 mg/dL, P</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&lt;</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0.001), median age at diagnosis (6.4 vs 1.8 years, P</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0.017), and alanine aminotransferase level (1020 vs 2386 IU/L, P</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w:instrText>
      </w:r>
      <w:r w:rsidR="003E0D42" w:rsidRPr="00FB7D6B">
        <w:rPr>
          <w:rFonts w:ascii="Times New Roman" w:hAnsi="Times New Roman"/>
          <w:sz w:val="24"/>
          <w:szCs w:val="24"/>
          <w:vertAlign w:val="superscript"/>
          <w:lang w:val="en-US"/>
        </w:rPr>
        <w:instrText> </w:instrText>
      </w:r>
      <w:r w:rsidR="003E0D42" w:rsidRPr="00FB7D6B">
        <w:rPr>
          <w:rFonts w:ascii="Book Antiqua" w:hAnsi="Book Antiqua" w:cs="Arial"/>
          <w:sz w:val="24"/>
          <w:szCs w:val="24"/>
          <w:vertAlign w:val="superscript"/>
          <w:lang w:val="en-US"/>
        </w:rPr>
        <w:instrText xml:space="preserve">0.029). Liver histology did not allow to differentiate the 2 conditions. Among the patients with AI-FHF, 4/9 who received steroids recovered; 5/9 required LTX and 1 died awaiting treatment.\nCONCLUSIONS: AIH is a much more common cause of FHF than previously suggested, and a complete autoantibody testing including LKM-type is essential in this setting. Autoantibodies are uncommon in ID-FHF, and histology cannot distinguish it from AI-FHF. A cautious steroid trial may avoid LTX in some of the patients with AI-FHF.","DOI":"10.1097/MPG.0000000000000593","ISSN":"1536-4801","note":"PMID: 25304891","journalAbbreviation":"J. Pediatr. Gastroenterol. Nutr.","language":"eng","author":[{"family":"Di Giorgio","given":"A."},{"family":"Bravi","given":"M."},{"family":"Bonanomi","given":"E."},{"family":"Alessio","given":"G."},{"family":"Sonzogni","given":"A."},{"family":"Zen","given":"Y."},{"family":"Colledan","given":"M."},{"family":"D'Antiga","given":"L."}],"issued":{"date-parts":[["2015",2]]},"PMID":"25304891"}}],"schema":"https://github.com/citation-style-language/schema/raw/master/csl-citation.json"} </w:instrText>
      </w:r>
      <w:r w:rsidR="003E0D42" w:rsidRPr="00FB7D6B">
        <w:rPr>
          <w:rFonts w:ascii="Book Antiqua" w:hAnsi="Book Antiqua" w:cs="Arial"/>
          <w:sz w:val="24"/>
          <w:szCs w:val="24"/>
          <w:vertAlign w:val="superscript"/>
          <w:lang w:val="en-US"/>
        </w:rPr>
        <w:fldChar w:fldCharType="separate"/>
      </w:r>
      <w:r w:rsidR="003E0D42" w:rsidRPr="00FB7D6B">
        <w:rPr>
          <w:rFonts w:ascii="Book Antiqua" w:hAnsi="Book Antiqua" w:cs="Arial"/>
          <w:sz w:val="24"/>
          <w:szCs w:val="24"/>
          <w:vertAlign w:val="superscript"/>
          <w:lang w:val="en-US"/>
        </w:rPr>
        <w:t>[41]</w:t>
      </w:r>
      <w:r w:rsidR="003E0D42" w:rsidRPr="00FB7D6B">
        <w:rPr>
          <w:rFonts w:ascii="Book Antiqua" w:hAnsi="Book Antiqua" w:cs="Arial"/>
          <w:sz w:val="24"/>
          <w:szCs w:val="24"/>
          <w:vertAlign w:val="superscript"/>
          <w:lang w:val="en-US"/>
        </w:rPr>
        <w:fldChar w:fldCharType="end"/>
      </w:r>
      <w:r w:rsidR="003E0D42">
        <w:rPr>
          <w:rFonts w:ascii="Book Antiqua" w:hAnsi="Book Antiqua" w:cs="Arial" w:hint="eastAsia"/>
          <w:sz w:val="24"/>
          <w:szCs w:val="24"/>
          <w:lang w:val="en-US" w:eastAsia="zh-CN"/>
        </w:rPr>
        <w:t xml:space="preserve"> </w:t>
      </w:r>
      <w:r w:rsidR="0032746B" w:rsidRPr="00FB7D6B">
        <w:rPr>
          <w:rFonts w:ascii="Book Antiqua" w:hAnsi="Book Antiqua" w:cs="Arial"/>
          <w:sz w:val="24"/>
          <w:szCs w:val="24"/>
          <w:lang w:val="en-US"/>
        </w:rPr>
        <w:t xml:space="preserve">described 46 children with fulminant hepatic failure </w:t>
      </w:r>
      <w:r w:rsidR="003D52E3" w:rsidRPr="00FB7D6B">
        <w:rPr>
          <w:rFonts w:ascii="Book Antiqua" w:hAnsi="Book Antiqua" w:cs="Arial"/>
          <w:sz w:val="24"/>
          <w:szCs w:val="24"/>
          <w:lang w:val="en-US"/>
        </w:rPr>
        <w:t>of au</w:t>
      </w:r>
      <w:r w:rsidR="00B64328" w:rsidRPr="00FB7D6B">
        <w:rPr>
          <w:rFonts w:ascii="Book Antiqua" w:hAnsi="Book Antiqua" w:cs="Arial"/>
          <w:sz w:val="24"/>
          <w:szCs w:val="24"/>
          <w:lang w:val="en-US"/>
        </w:rPr>
        <w:t>toimmune etiology, none was LKM-</w:t>
      </w:r>
      <w:r w:rsidR="003D52E3" w:rsidRPr="00FB7D6B">
        <w:rPr>
          <w:rFonts w:ascii="Book Antiqua" w:hAnsi="Book Antiqua" w:cs="Arial"/>
          <w:sz w:val="24"/>
          <w:szCs w:val="24"/>
          <w:lang w:val="en-US"/>
        </w:rPr>
        <w:t xml:space="preserve">positive. </w:t>
      </w:r>
    </w:p>
    <w:p w:rsidR="00A05A88" w:rsidRPr="00FB7D6B" w:rsidRDefault="00745AA3"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 xml:space="preserve">In this study, we </w:t>
      </w:r>
      <w:r w:rsidR="007B38F6" w:rsidRPr="00FB7D6B">
        <w:rPr>
          <w:rFonts w:ascii="Book Antiqua" w:hAnsi="Book Antiqua" w:cs="Arial"/>
          <w:sz w:val="24"/>
          <w:szCs w:val="24"/>
          <w:lang w:val="en-US"/>
        </w:rPr>
        <w:t>aimed to check potential triggering factors which may lead to ALF as the initial presentation of AIH. However, in 50</w:t>
      </w:r>
      <w:r w:rsidR="004C43BA" w:rsidRPr="00FB7D6B">
        <w:rPr>
          <w:rFonts w:ascii="Book Antiqua" w:hAnsi="Book Antiqua" w:cs="Arial"/>
          <w:sz w:val="24"/>
          <w:szCs w:val="24"/>
          <w:lang w:val="en-US"/>
        </w:rPr>
        <w:t>%</w:t>
      </w:r>
      <w:r w:rsidR="007B38F6" w:rsidRPr="00FB7D6B">
        <w:rPr>
          <w:rFonts w:ascii="Book Antiqua" w:hAnsi="Book Antiqua" w:cs="Arial"/>
          <w:sz w:val="24"/>
          <w:szCs w:val="24"/>
          <w:lang w:val="en-US"/>
        </w:rPr>
        <w:t xml:space="preserve"> of the patients, triggering </w:t>
      </w:r>
      <w:r w:rsidR="007B38F6" w:rsidRPr="00FB7D6B">
        <w:rPr>
          <w:rFonts w:ascii="Book Antiqua" w:hAnsi="Book Antiqua" w:cs="Arial"/>
          <w:sz w:val="24"/>
          <w:szCs w:val="24"/>
          <w:lang w:val="en-US"/>
        </w:rPr>
        <w:lastRenderedPageBreak/>
        <w:t>factors for ALF as the initial presentation of AIH were suspected. These were predominantly drugs (</w:t>
      </w:r>
      <w:r w:rsidR="007B38F6" w:rsidRPr="00FB7D6B">
        <w:rPr>
          <w:rFonts w:ascii="Book Antiqua" w:hAnsi="Book Antiqua" w:cs="Arial"/>
          <w:i/>
          <w:sz w:val="24"/>
          <w:szCs w:val="24"/>
          <w:lang w:val="en-US"/>
        </w:rPr>
        <w:t>e.g.</w:t>
      </w:r>
      <w:r w:rsidR="007F2596" w:rsidRPr="00FB7D6B">
        <w:rPr>
          <w:rFonts w:ascii="Book Antiqua" w:hAnsi="Book Antiqua" w:cs="Arial"/>
          <w:i/>
          <w:sz w:val="24"/>
          <w:szCs w:val="24"/>
          <w:lang w:val="en-US" w:eastAsia="zh-CN"/>
        </w:rPr>
        <w:t>,</w:t>
      </w:r>
      <w:r w:rsidR="007B38F6" w:rsidRPr="00FB7D6B">
        <w:rPr>
          <w:rFonts w:ascii="Book Antiqua" w:hAnsi="Book Antiqua" w:cs="Arial"/>
          <w:sz w:val="24"/>
          <w:szCs w:val="24"/>
          <w:lang w:val="en-US"/>
        </w:rPr>
        <w:t xml:space="preserve"> NSAID and antibiotics), followed by previous viral infections, and surgery in general anesthesia, respectively</w:t>
      </w:r>
      <w:r w:rsidR="00CC3F31" w:rsidRPr="00FB7D6B">
        <w:rPr>
          <w:rFonts w:ascii="Book Antiqua" w:hAnsi="Book Antiqua" w:cs="Arial"/>
          <w:sz w:val="24"/>
          <w:szCs w:val="24"/>
          <w:lang w:val="en-US"/>
        </w:rPr>
        <w:t xml:space="preserve">. </w:t>
      </w:r>
      <w:r w:rsidR="00F20229" w:rsidRPr="00FB7D6B">
        <w:rPr>
          <w:rFonts w:ascii="Book Antiqua" w:hAnsi="Book Antiqua" w:cs="Arial"/>
          <w:sz w:val="24"/>
          <w:szCs w:val="24"/>
          <w:lang w:val="en-US"/>
        </w:rPr>
        <w:t xml:space="preserve">Non-recovery - </w:t>
      </w:r>
      <w:r w:rsidR="001C2417" w:rsidRPr="00FB7D6B">
        <w:rPr>
          <w:rFonts w:ascii="Book Antiqua" w:hAnsi="Book Antiqua" w:cs="Arial"/>
          <w:sz w:val="24"/>
          <w:szCs w:val="24"/>
          <w:lang w:val="en-US"/>
        </w:rPr>
        <w:t>defined as death or liver transplantation within 28 d</w:t>
      </w:r>
      <w:r w:rsidR="00F20229" w:rsidRPr="00FB7D6B">
        <w:rPr>
          <w:rFonts w:ascii="Book Antiqua" w:hAnsi="Book Antiqua" w:cs="Arial"/>
          <w:sz w:val="24"/>
          <w:szCs w:val="24"/>
          <w:lang w:val="en-US"/>
        </w:rPr>
        <w:t xml:space="preserve"> - </w:t>
      </w:r>
      <w:r w:rsidR="001C2417" w:rsidRPr="00FB7D6B">
        <w:rPr>
          <w:rFonts w:ascii="Book Antiqua" w:hAnsi="Book Antiqua" w:cs="Arial"/>
          <w:sz w:val="24"/>
          <w:szCs w:val="24"/>
          <w:lang w:val="en-US"/>
        </w:rPr>
        <w:t>was found among 9/52 patients (17.3</w:t>
      </w:r>
      <w:r w:rsidR="004C43BA" w:rsidRPr="00FB7D6B">
        <w:rPr>
          <w:rFonts w:ascii="Book Antiqua" w:hAnsi="Book Antiqua" w:cs="Arial"/>
          <w:sz w:val="24"/>
          <w:szCs w:val="24"/>
          <w:lang w:val="en-US"/>
        </w:rPr>
        <w:t>%</w:t>
      </w:r>
      <w:r w:rsidR="001C2417" w:rsidRPr="00FB7D6B">
        <w:rPr>
          <w:rFonts w:ascii="Book Antiqua" w:hAnsi="Book Antiqua" w:cs="Arial"/>
          <w:sz w:val="24"/>
          <w:szCs w:val="24"/>
          <w:lang w:val="en-US"/>
        </w:rPr>
        <w:t xml:space="preserve">). </w:t>
      </w:r>
      <w:r w:rsidR="00F20229" w:rsidRPr="00FB7D6B">
        <w:rPr>
          <w:rFonts w:ascii="Book Antiqua" w:hAnsi="Book Antiqua" w:cs="Arial"/>
          <w:sz w:val="24"/>
          <w:szCs w:val="24"/>
          <w:lang w:val="en-US"/>
        </w:rPr>
        <w:t>Reviewing current</w:t>
      </w:r>
      <w:r w:rsidR="00124985" w:rsidRPr="00FB7D6B">
        <w:rPr>
          <w:rFonts w:ascii="Book Antiqua" w:hAnsi="Book Antiqua" w:cs="Arial"/>
          <w:sz w:val="24"/>
          <w:szCs w:val="24"/>
          <w:lang w:val="en-US"/>
        </w:rPr>
        <w:t xml:space="preserve"> literature, </w:t>
      </w:r>
      <w:r w:rsidR="001C2417" w:rsidRPr="00FB7D6B">
        <w:rPr>
          <w:rFonts w:ascii="Book Antiqua" w:hAnsi="Book Antiqua" w:cs="Arial"/>
          <w:sz w:val="24"/>
          <w:szCs w:val="24"/>
          <w:lang w:val="en-US"/>
        </w:rPr>
        <w:t xml:space="preserve">results of </w:t>
      </w:r>
      <w:r w:rsidR="00F20229" w:rsidRPr="00FB7D6B">
        <w:rPr>
          <w:rFonts w:ascii="Book Antiqua" w:hAnsi="Book Antiqua" w:cs="Arial"/>
          <w:sz w:val="24"/>
          <w:szCs w:val="24"/>
          <w:lang w:val="en-US"/>
        </w:rPr>
        <w:t xml:space="preserve">non-recovery </w:t>
      </w:r>
      <w:r w:rsidR="001C2417" w:rsidRPr="00FB7D6B">
        <w:rPr>
          <w:rFonts w:ascii="Book Antiqua" w:hAnsi="Book Antiqua" w:cs="Arial"/>
          <w:sz w:val="24"/>
          <w:szCs w:val="24"/>
          <w:lang w:val="en-US"/>
        </w:rPr>
        <w:t xml:space="preserve">in patients with ALF due to AIH differ significantly and range from </w:t>
      </w:r>
      <w:r w:rsidR="002C3C67" w:rsidRPr="00FB7D6B">
        <w:rPr>
          <w:rFonts w:ascii="Book Antiqua" w:hAnsi="Book Antiqua" w:cs="Arial"/>
          <w:sz w:val="24"/>
          <w:szCs w:val="24"/>
          <w:lang w:val="en-US"/>
        </w:rPr>
        <w:t>10</w:t>
      </w:r>
      <w:r w:rsidR="007F2596" w:rsidRPr="00FB7D6B">
        <w:rPr>
          <w:rFonts w:ascii="Book Antiqua" w:hAnsi="Book Antiqua" w:cs="Arial"/>
          <w:sz w:val="24"/>
          <w:szCs w:val="24"/>
          <w:lang w:val="en-US" w:eastAsia="zh-CN"/>
        </w:rPr>
        <w:t>%</w:t>
      </w:r>
      <w:r w:rsidR="002C3C67" w:rsidRPr="00FB7D6B">
        <w:rPr>
          <w:rFonts w:ascii="Book Antiqua" w:hAnsi="Book Antiqua" w:cs="Arial"/>
          <w:sz w:val="24"/>
          <w:szCs w:val="24"/>
          <w:lang w:val="en-US"/>
        </w:rPr>
        <w:t>-60</w:t>
      </w:r>
      <w:r w:rsidR="004C43BA" w:rsidRPr="00FB7D6B">
        <w:rPr>
          <w:rFonts w:ascii="Book Antiqua" w:hAnsi="Book Antiqua" w:cs="Arial"/>
          <w:sz w:val="24"/>
          <w:szCs w:val="24"/>
          <w:lang w:val="en-US"/>
        </w:rPr>
        <w:t>%</w:t>
      </w:r>
      <w:r w:rsidR="00CA4090" w:rsidRPr="00FB7D6B">
        <w:rPr>
          <w:rFonts w:ascii="Book Antiqua" w:hAnsi="Book Antiqua" w:cs="Arial"/>
          <w:sz w:val="24"/>
          <w:szCs w:val="24"/>
          <w:vertAlign w:val="superscript"/>
          <w:lang w:val="en-US"/>
        </w:rPr>
        <w:fldChar w:fldCharType="begin"/>
      </w:r>
      <w:r w:rsidR="00353C5E" w:rsidRPr="00FB7D6B">
        <w:rPr>
          <w:rFonts w:ascii="Book Antiqua" w:hAnsi="Book Antiqua" w:cs="Arial"/>
          <w:sz w:val="24"/>
          <w:szCs w:val="24"/>
          <w:vertAlign w:val="superscript"/>
          <w:lang w:val="en-US"/>
        </w:rPr>
        <w:instrText xml:space="preserve"> ADDIN ZOTERO_ITEM CSL_CITATION {"citationID":"14imoudqkk","properties":{"formattedCitation":"{\\rtf \\super [3,41,42]\\nosupersub{}}","plainCitation":"[3,41,42]"},"citationItems":[{"id":518,"uris":["http://zotero.org/users/local/Cz1JGnYD/items/7PSKEUCF"],"uri":["http://zotero.org/users/local/Cz1JGnYD/items/7PSKEUCF"],"itemData":{"id":518,"type":"article-journal","title":"Fulminant hepatic failure as the initial presentation of acute autoimmune hepatitis","container-title":"Clinical Gastroenterology and Hepatology: The Official Clinical Practice Journal of the American Gastroenterological Association","page":"625-631","volume":"2","issue":"7","source":"PubMed","abstract":"BACKGROUND &amp; AIMS: Autoimmune hepatitis is a common cause of chronic hepatitis, and acute presentation is thought to be uncommon. The aim of this study was to compare clinical, biochemical, and histological features in patients with autoimmune hepatitis presenting with either acute or chronic hepatitis.\nMETHODS: Retrospective review of all patients with autoimmune hepatitis presenting to a University medical center from 1993 to 2002.\nRESULTS: One hundred fifteen patients with autoimmune hepatitis were identified. Ten patients with autoimmune hepatitis were identified as having acute presentation (group I), and 20 patients with a classic presentation as chronic hepatitis (group II) served as age- and sex-matched controls. All patients met criteria published by the International Autoimmune Hepatitis Group. Patients with acute presentation differed significantly with regard to encephalopathy, albumin levels, and bilirubin levels. Blinded liver biopsy review demonstrated that those with acute presentation had significantly less fibrosis, and significantly greater interface hepatitis, lobular disarray, lobular hepatitis, hepatocyte necrosis, zone III necrosis, and submassive necrosis.\nCONCLUSIONS: In our study, patients with an acute presentation of autoimmune hepatitis differed from patients with a classical presentation clinically, biochemically, and histologically. In our review, a majority of patients with acute autoimmune hepatitis presented with fulminant hepatic failure. The pattern of zone 3 necrosis may be a specific finding in those with acute autoimmune hepatitis.","ISSN":"1542-3565","note":"PMID: 15224287","journalAbbreviation":"Clin. Gastroenterol. Hepatol.","language":"eng","author":[{"family":"Kessler","given":"William R."},{"family":"Cummings","given":"Oscar W."},{"family":"Eckert","given":"George"},{"family":"Chalasani","given":"Naga"},{"family":"Lumeng","given":"Lawrence"},{"family":"Kwo","given":"Paul Y."}],"issued":{"date-parts":[["2004",7]]},"PMID":"15224287"},"label":"page"},{"id":590,"uris":["http://zotero.org/users/local/Cz1JGnYD/items/94AWR6CQ"],"uri":["http://zotero.org/users/local/Cz1JGnYD/items/94AWR6CQ"],"itemData":{"id":590,"type":"article-journal","title":"Fulminant hepatic failure of autoimmune aetiology in children","container-title":"Journal of Pediatric Gastroenterology and Nutrition","page":"159-164","volume":"60","issue":"2","source":"PubMed","abstract":"OBJECTIVE: Autoimmune hepatitis (AIH) is considered an underdiagnosed cause of fulminant hepatic failure (FHF). Autoimmune FHF (AI-FHF) is believed to lead invariably to liver transplantation (LTX) or death. We aimed to describe the autoimmune features of children diagnosed as having AI-FHF and indeterminate FHF (ID-FHF), and describe the outcome of patients with AI-FHF treated with immunosuppressive drugs.\nMETHODS: In this case-control study, the files of patients with AI-FHF and ID-FHF were reviewed and compared. AIH was diagnosed based on positive autoantibodies, raised immunoglobulin G, and histology when available. FHF was defined by raised transaminases, international normalised ratio</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Book Antiqua"/>
          <w:sz w:val="24"/>
          <w:szCs w:val="24"/>
          <w:vertAlign w:val="superscript"/>
          <w:lang w:val="en-US"/>
        </w:rPr>
        <w:instrTex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2.0, presence of encephalopathy, and no previously recognised liver disease.\nRESULTS: A total of 46 children with FHF were managed in the last 15 years: 10/46 (22%) had AI-FHF, 20/46 (43%) ID-FHF, and 16 had other diagnosis. The mean follow-up time was 4.6 years. AI-FHF and ID-FHF differed for the presence of autoantibodies (10/10, 6/10 liver/kidney microsome [LKM]-type, vs 3/20, none LKM, P</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&lt;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0.0001), immunoglobulin G level (1845 vs 880 mg/dL, P</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&lt;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0.001), median age at diagnosis (6.4 vs 1.8 years, P</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0.017), and alanine aminotransferase level (1020 vs 2386 IU/L, P</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w:instrText>
      </w:r>
      <w:r w:rsidR="00353C5E" w:rsidRPr="00FB7D6B">
        <w:rPr>
          <w:rFonts w:ascii="Times New Roman" w:hAnsi="Times New Roman"/>
          <w:sz w:val="24"/>
          <w:szCs w:val="24"/>
          <w:vertAlign w:val="superscript"/>
          <w:lang w:val="en-US"/>
        </w:rPr>
        <w:instrText> </w:instrText>
      </w:r>
      <w:r w:rsidR="00353C5E" w:rsidRPr="00FB7D6B">
        <w:rPr>
          <w:rFonts w:ascii="Book Antiqua" w:hAnsi="Book Antiqua" w:cs="Arial"/>
          <w:sz w:val="24"/>
          <w:szCs w:val="24"/>
          <w:vertAlign w:val="superscript"/>
          <w:lang w:val="en-US"/>
        </w:rPr>
        <w:instrText xml:space="preserve">0.029). Liver histology did not allow to differentiate the 2 conditions. Among the patients with AI-FHF, 4/9 who received steroids recovered; 5/9 required LTX and 1 died awaiting treatment.\nCONCLUSIONS: AIH is a much more common cause of FHF than previously suggested, and a complete autoantibody testing including LKM-type is essential in this setting. Autoantibodies are uncommon in ID-FHF, and histology cannot distinguish it from AI-FHF. A cautious steroid trial may avoid LTX in some of the patients with AI-FHF.","DOI":"10.1097/MPG.0000000000000593","ISSN":"1536-4801","note":"PMID: 25304891","journalAbbreviation":"J. Pediatr. Gastroenterol. Nutr.","language":"eng","author":[{"family":"Di Giorgio","given":"A."},{"family":"Bravi","given":"M."},{"family":"Bonanomi","given":"E."},{"family":"Alessio","given":"G."},{"family":"Sonzogni","given":"A."},{"family":"Zen","given":"Y."},{"family":"Colledan","given":"M."},{"family":"D'Antiga","given":"L."}],"issued":{"date-parts":[["2015",2]]},"PMID":"25304891"},"label":"page"},{"id":592,"uris":["http://zotero.org/users/local/Cz1JGnYD/items/HFEQWMGD"],"uri":["http://zotero.org/users/local/Cz1JGnYD/items/HFEQWMGD"],"itemData":{"id":592,"type":"article-journal","title":"Prognosis of acute severe autoimmune hepatitis (AS-AIH): the role of corticosteroids in modifying outcome","container-title":"Journal of Hepatology","page":"876-882","volume":"61","issue":"4","source":"PubMed","abstract":"BACKGROUND &amp; AIMS: No standardised definition exists for acute, severe AIH (AS-AIH). However, rapid identification of AS-AIH and early corticosteroid therapy may prevent the need for liver transplantation (LT). We set out to determine the clinical outcomes of patients with AS-AIH presenting to our institution with particular focus on the role of corticosteroids.\nMETHODS: Retrospective analysis of a prospectively collated database identified patients presenting with AS-AIH from 1999 to 2009. We defined AS-AIH as an acute presentation with an INR of </w:instrText>
      </w:r>
      <w:r w:rsidR="00353C5E" w:rsidRPr="00FB7D6B">
        <w:rPr>
          <w:rFonts w:ascii="Cambria Math" w:hAnsi="Cambria Math" w:cs="Cambria Math"/>
          <w:sz w:val="24"/>
          <w:szCs w:val="24"/>
          <w:vertAlign w:val="superscript"/>
          <w:lang w:val="en-US"/>
        </w:rPr>
        <w:instrText>⩾</w:instrText>
      </w:r>
      <w:r w:rsidR="00353C5E" w:rsidRPr="00FB7D6B">
        <w:rPr>
          <w:rFonts w:ascii="Book Antiqua" w:hAnsi="Book Antiqua" w:cs="Arial"/>
          <w:sz w:val="24"/>
          <w:szCs w:val="24"/>
          <w:vertAlign w:val="superscript"/>
          <w:lang w:val="en-US"/>
        </w:rPr>
        <w:instrText xml:space="preserve">1.5 at any time without histological evidence of cirrhosis.\nRESULTS: 32 patients were identified with AS-AIH. Among the 32 AS-AIH patients 23 were treated with corticosteroids of whom 10 (48%) required LT, whilst all 9 untreated patients required LT (p = 0.01). Untreated patients demonstrated higher MELD scores at presentation (34 vs. 28 p = 0.01) and a non-significant decrease in episodes of sepsis but no difference in sepsis or mortality was observed between untreated or treated patients (11% vs. 26% p = 0.6 and 22% vs. 17% p = 0.99 respectively). Among treated patients, no difference in MELD scores was observed between responders or failures. Despite 59% undergoing LT, six deaths (19%) occurred.\nCONCLUSION: In a well characterised cohort of patients with AS-AIH, almost 60% required LT and 20% died. There was no difference in prognostic scores between steroid responders and failures and steroid exposure did not appear to jeopardise survival. Patients with AS-AIH should be considered for a trial of corticosteroids expediently whilst a thorough search for sepsis and assessment for LT should occur if clinical deterioration or encephalopathy develops.","DOI":"10.1016/j.jhep.2014.05.021","ISSN":"1600-0641","note":"PMID: 24842305","shortTitle":"Prognosis of acute severe autoimmune hepatitis (AS-AIH)","journalAbbreviation":"J. Hepatol.","language":"eng","author":[{"family":"Yeoman","given":"Andrew D."},{"family":"Westbrook","given":"Rachel H."},{"family":"Zen","given":"Yoh"},{"family":"Bernal","given":"William"},{"family":"Al-Chalabi","given":"Thawab"},{"family":"Wendon","given":"Julia A."},{"family":"O'Grady","given":"John G."},{"family":"Heneghan","given":"Michael A."}],"issued":{"date-parts":[["2014",10]]},"PMID":"24842305"},"label":"page"}],"schema":"https://github.com/citation-style-language/schema/raw/master/csl-citation.json"} </w:instrText>
      </w:r>
      <w:r w:rsidR="00CA4090" w:rsidRPr="00FB7D6B">
        <w:rPr>
          <w:rFonts w:ascii="Book Antiqua" w:hAnsi="Book Antiqua" w:cs="Arial"/>
          <w:sz w:val="24"/>
          <w:szCs w:val="24"/>
          <w:vertAlign w:val="superscript"/>
          <w:lang w:val="en-US"/>
        </w:rPr>
        <w:fldChar w:fldCharType="separate"/>
      </w:r>
      <w:r w:rsidR="00353C5E" w:rsidRPr="00FB7D6B">
        <w:rPr>
          <w:rFonts w:ascii="Book Antiqua" w:hAnsi="Book Antiqua" w:cs="Arial"/>
          <w:sz w:val="24"/>
          <w:szCs w:val="24"/>
          <w:vertAlign w:val="superscript"/>
          <w:lang w:val="en-US"/>
        </w:rPr>
        <w:t>[3,41,42]</w:t>
      </w:r>
      <w:r w:rsidR="00CA4090" w:rsidRPr="00FB7D6B">
        <w:rPr>
          <w:rFonts w:ascii="Book Antiqua" w:hAnsi="Book Antiqua" w:cs="Arial"/>
          <w:sz w:val="24"/>
          <w:szCs w:val="24"/>
          <w:vertAlign w:val="superscript"/>
          <w:lang w:val="en-US"/>
        </w:rPr>
        <w:fldChar w:fldCharType="end"/>
      </w:r>
      <w:r w:rsidR="00F20229" w:rsidRPr="00FB7D6B">
        <w:rPr>
          <w:rFonts w:ascii="Book Antiqua" w:hAnsi="Book Antiqua" w:cs="Arial"/>
          <w:sz w:val="24"/>
          <w:szCs w:val="24"/>
          <w:lang w:val="en-US"/>
        </w:rPr>
        <w:t xml:space="preserve">. Risk factors for non-recovery </w:t>
      </w:r>
      <w:r w:rsidR="002C3C67" w:rsidRPr="00FB7D6B">
        <w:rPr>
          <w:rFonts w:ascii="Book Antiqua" w:hAnsi="Book Antiqua" w:cs="Arial"/>
          <w:sz w:val="24"/>
          <w:szCs w:val="24"/>
          <w:lang w:val="en-US"/>
        </w:rPr>
        <w:t>amo</w:t>
      </w:r>
      <w:r w:rsidR="00F20229" w:rsidRPr="00FB7D6B">
        <w:rPr>
          <w:rFonts w:ascii="Book Antiqua" w:hAnsi="Book Antiqua" w:cs="Arial"/>
          <w:sz w:val="24"/>
          <w:szCs w:val="24"/>
          <w:lang w:val="en-US"/>
        </w:rPr>
        <w:t>ng our patients were increase in age, MELD-</w:t>
      </w:r>
      <w:r w:rsidR="002C3C67" w:rsidRPr="00FB7D6B">
        <w:rPr>
          <w:rFonts w:ascii="Book Antiqua" w:hAnsi="Book Antiqua" w:cs="Arial"/>
          <w:sz w:val="24"/>
          <w:szCs w:val="24"/>
          <w:lang w:val="en-US"/>
        </w:rPr>
        <w:t>score</w:t>
      </w:r>
      <w:r w:rsidR="00F20229" w:rsidRPr="00FB7D6B">
        <w:rPr>
          <w:rFonts w:ascii="Book Antiqua" w:hAnsi="Book Antiqua" w:cs="Arial"/>
          <w:sz w:val="24"/>
          <w:szCs w:val="24"/>
          <w:lang w:val="en-US"/>
        </w:rPr>
        <w:t>,</w:t>
      </w:r>
      <w:r w:rsidR="002C3C67" w:rsidRPr="00FB7D6B">
        <w:rPr>
          <w:rFonts w:ascii="Book Antiqua" w:hAnsi="Book Antiqua" w:cs="Arial"/>
          <w:sz w:val="24"/>
          <w:szCs w:val="24"/>
          <w:lang w:val="en-US"/>
        </w:rPr>
        <w:t xml:space="preserve"> and creatinine levels, while higher liver enzymes </w:t>
      </w:r>
      <w:r w:rsidR="00FA219A" w:rsidRPr="00FB7D6B">
        <w:rPr>
          <w:rFonts w:ascii="Book Antiqua" w:hAnsi="Book Antiqua" w:cs="Arial"/>
          <w:sz w:val="24"/>
          <w:szCs w:val="24"/>
          <w:lang w:val="en-US"/>
        </w:rPr>
        <w:t>(ALT</w:t>
      </w:r>
      <w:r w:rsidR="00F20229" w:rsidRPr="00FB7D6B">
        <w:rPr>
          <w:rFonts w:ascii="Book Antiqua" w:hAnsi="Book Antiqua" w:cs="Arial"/>
          <w:sz w:val="24"/>
          <w:szCs w:val="24"/>
          <w:lang w:val="en-US"/>
        </w:rPr>
        <w:t>-values</w:t>
      </w:r>
      <w:r w:rsidR="00FA219A" w:rsidRPr="00FB7D6B">
        <w:rPr>
          <w:rFonts w:ascii="Book Antiqua" w:hAnsi="Book Antiqua" w:cs="Arial"/>
          <w:sz w:val="24"/>
          <w:szCs w:val="24"/>
          <w:lang w:val="en-US"/>
        </w:rPr>
        <w:t>) were</w:t>
      </w:r>
      <w:r w:rsidR="002C3C67" w:rsidRPr="00FB7D6B">
        <w:rPr>
          <w:rFonts w:ascii="Book Antiqua" w:hAnsi="Book Antiqua" w:cs="Arial"/>
          <w:sz w:val="24"/>
          <w:szCs w:val="24"/>
          <w:lang w:val="en-US"/>
        </w:rPr>
        <w:t xml:space="preserve"> associated with </w:t>
      </w:r>
      <w:r w:rsidR="00CC3F31" w:rsidRPr="00FB7D6B">
        <w:rPr>
          <w:rFonts w:ascii="Book Antiqua" w:hAnsi="Book Antiqua" w:cs="Arial"/>
          <w:sz w:val="24"/>
          <w:szCs w:val="24"/>
          <w:lang w:val="en-US"/>
        </w:rPr>
        <w:t xml:space="preserve">improved </w:t>
      </w:r>
      <w:r w:rsidR="002C3C67" w:rsidRPr="00FB7D6B">
        <w:rPr>
          <w:rFonts w:ascii="Book Antiqua" w:hAnsi="Book Antiqua" w:cs="Arial"/>
          <w:sz w:val="24"/>
          <w:szCs w:val="24"/>
          <w:lang w:val="en-US"/>
        </w:rPr>
        <w:t xml:space="preserve">spontaneous recovery. </w:t>
      </w:r>
      <w:r w:rsidRPr="00FB7D6B">
        <w:rPr>
          <w:rFonts w:ascii="Book Antiqua" w:hAnsi="Book Antiqua" w:cs="Arial"/>
          <w:sz w:val="24"/>
          <w:szCs w:val="24"/>
          <w:lang w:val="en-US"/>
        </w:rPr>
        <w:t>Our center previously demonstrated that high ammonia, low albumin, and low ALT-levels were associated with worse outcome i</w:t>
      </w:r>
      <w:r w:rsidR="00DC7A9A" w:rsidRPr="00FB7D6B">
        <w:rPr>
          <w:rFonts w:ascii="Book Antiqua" w:hAnsi="Book Antiqua" w:cs="Arial"/>
          <w:sz w:val="24"/>
          <w:szCs w:val="24"/>
          <w:lang w:val="en-US"/>
        </w:rPr>
        <w:t>n childhood acute liver failure</w:t>
      </w:r>
      <w:r w:rsidR="00353C5E" w:rsidRPr="00FB7D6B">
        <w:rPr>
          <w:rFonts w:ascii="Book Antiqua" w:hAnsi="Book Antiqua" w:cs="Arial"/>
          <w:sz w:val="24"/>
          <w:szCs w:val="24"/>
          <w:lang w:val="en-US"/>
        </w:rPr>
        <w:fldChar w:fldCharType="begin"/>
      </w:r>
      <w:r w:rsidR="00353C5E" w:rsidRPr="00FB7D6B">
        <w:rPr>
          <w:rFonts w:ascii="Book Antiqua" w:hAnsi="Book Antiqua" w:cs="Arial"/>
          <w:sz w:val="24"/>
          <w:szCs w:val="24"/>
          <w:lang w:val="en-US"/>
        </w:rPr>
        <w:instrText xml:space="preserve"> ADDIN ZOTERO_ITEM CSL_CITATION {"citationID":"4og3EmwK","properties":{"formattedCitation":"{\\rtf \\super [43]\\nosupersub{}}","plainCitation":"[43]"},"citationItems":[{"id":633,"uris":["http://zotero.org/users/local/Cz1JGnYD/items/GUM4P93G"],"uri":["http://zotero.org/users/local/Cz1JGnYD/items/GUM4P93G"],"itemData":{"id":633,"type":"article-journal","title":"Etiology, outcome and prognostic factors of childhood acute liver failure in a German Single Center","container-title":"Annals of Hepatology","page":"722-728","volume":"14","issue":"5","source":"PubMed","abstract":"Pediatric acute liver failure (PALF) is a progressive, potentially fatal clinical syndrome occurring in previously healthy children. Our study aimed to determine the current leading causes of PALF in a single center in Germany, identifying possible prognostic markers. Thirty-seven pediatric patients with PALF were included. Medical records were reviewed for demographic, laboratory and clinical data. Laboratory results on admission and at peak value, PELD and MELD score on admission, and intensive care support were assessed. Fifteen patients recovered spontaneously, 14 died without transplantation, and 8 received a liver transplant. Patients who survived were significantly older than patients who died. Specific causes of PALF could be identified as infectious diseases (16%), metabolic diseases (14%), toxic liver injury (11%), immunologic diseases (8%), or vascular diseases (8%). Causes of PALF remained indeterminate in 43%. High ammonia, low albumin, and low ALT levels on admission were associated with worse outcome. Absence of need of ventilation, hemodialysis, and circulatory support predicted spontaneous recovery. In conclusion, infections are the most common known cause of PALF. However, in a large proportion of patients the cause for PALF remains cryptic. Ammonia and albumin levels may be of prognostic value to predict outcomes.","ISSN":"1665-2681","note":"PMID: 26256901","journalAbbreviation":"Ann Hepatol","language":"eng","author":[{"family":"Kathemann","given":"Simone"},{"family":"Bechmann","given":"Lars P."},{"family":"Sowa","given":"Jan-Peter"},{"family":"Manka","given":"Paul"},{"family":"Dechêne","given":"Alexander"},{"family":"Gerner","given":"Patrick"},{"family":"Lainka","given":"Elke"},{"family":"Hoyer","given":"Peter F."},{"family":"Feldstein","given":"Ariel E."},{"family":"Canbay","given":"Ali"}],"issued":{"date-parts":[["2015",10]]},"PMID":"26256901"}}],"schema":"https://github.com/citation-style-language/schema/raw/master/csl-citation.json"} </w:instrText>
      </w:r>
      <w:r w:rsidR="00353C5E" w:rsidRPr="00FB7D6B">
        <w:rPr>
          <w:rFonts w:ascii="Book Antiqua" w:hAnsi="Book Antiqua" w:cs="Arial"/>
          <w:sz w:val="24"/>
          <w:szCs w:val="24"/>
          <w:lang w:val="en-US"/>
        </w:rPr>
        <w:fldChar w:fldCharType="separate"/>
      </w:r>
      <w:r w:rsidR="00353C5E" w:rsidRPr="00FB7D6B">
        <w:rPr>
          <w:rFonts w:ascii="Book Antiqua" w:hAnsi="Book Antiqua" w:cs="Arial"/>
          <w:sz w:val="24"/>
          <w:szCs w:val="24"/>
          <w:vertAlign w:val="superscript"/>
          <w:lang w:val="en-US"/>
        </w:rPr>
        <w:t>[43]</w:t>
      </w:r>
      <w:r w:rsidR="00353C5E" w:rsidRPr="00FB7D6B">
        <w:rPr>
          <w:rFonts w:ascii="Book Antiqua" w:hAnsi="Book Antiqua" w:cs="Arial"/>
          <w:sz w:val="24"/>
          <w:szCs w:val="24"/>
          <w:lang w:val="en-US"/>
        </w:rPr>
        <w:fldChar w:fldCharType="end"/>
      </w:r>
      <w:r w:rsidR="00DC7A9A" w:rsidRPr="00FB7D6B">
        <w:rPr>
          <w:rFonts w:ascii="Book Antiqua" w:hAnsi="Book Antiqua" w:cs="Arial"/>
          <w:sz w:val="24"/>
          <w:szCs w:val="24"/>
          <w:lang w:val="en-US"/>
        </w:rPr>
        <w:t xml:space="preserve">. </w:t>
      </w:r>
      <w:r w:rsidRPr="00FB7D6B">
        <w:rPr>
          <w:rFonts w:ascii="Book Antiqua" w:hAnsi="Book Antiqua" w:cs="Arial"/>
          <w:sz w:val="24"/>
          <w:szCs w:val="24"/>
          <w:lang w:val="en-US"/>
        </w:rPr>
        <w:t xml:space="preserve">From our long-time clinical experience in patients with acute liver failure, we observed that patients with high ALT-values recovered better than their counterparts with low ALT-values indicating that there is still functioning liver parenchyma despite the fact of acute liver injury. </w:t>
      </w:r>
      <w:r w:rsidR="002C3C67" w:rsidRPr="00FB7D6B">
        <w:rPr>
          <w:rFonts w:ascii="Book Antiqua" w:hAnsi="Book Antiqua" w:cs="Arial"/>
          <w:sz w:val="24"/>
          <w:szCs w:val="24"/>
          <w:lang w:val="en-US"/>
        </w:rPr>
        <w:t xml:space="preserve">On the one hand, extreme inflammation may </w:t>
      </w:r>
      <w:r w:rsidR="00FA219A" w:rsidRPr="00FB7D6B">
        <w:rPr>
          <w:rFonts w:ascii="Book Antiqua" w:hAnsi="Book Antiqua" w:cs="Arial"/>
          <w:sz w:val="24"/>
          <w:szCs w:val="24"/>
          <w:lang w:val="en-US"/>
        </w:rPr>
        <w:t>reflect less grade of already existing hepatic necrosis and higher pr</w:t>
      </w:r>
      <w:r w:rsidR="00CC3F31" w:rsidRPr="00FB7D6B">
        <w:rPr>
          <w:rFonts w:ascii="Book Antiqua" w:hAnsi="Book Antiqua" w:cs="Arial"/>
          <w:sz w:val="24"/>
          <w:szCs w:val="24"/>
          <w:lang w:val="en-US"/>
        </w:rPr>
        <w:t>oportion of vital hepatocytes while o</w:t>
      </w:r>
      <w:r w:rsidR="00FA219A" w:rsidRPr="00FB7D6B">
        <w:rPr>
          <w:rFonts w:ascii="Book Antiqua" w:hAnsi="Book Antiqua" w:cs="Arial"/>
          <w:sz w:val="24"/>
          <w:szCs w:val="24"/>
          <w:lang w:val="en-US"/>
        </w:rPr>
        <w:t xml:space="preserve">n the other hand, inflammation may increase the probability of response to immunosuppressive treatment. </w:t>
      </w:r>
    </w:p>
    <w:p w:rsidR="00FA219A" w:rsidRPr="00FB7D6B" w:rsidRDefault="00FA219A" w:rsidP="00FB7D6B">
      <w:pPr>
        <w:adjustRightInd w:val="0"/>
        <w:snapToGrid w:val="0"/>
        <w:spacing w:after="0" w:line="360" w:lineRule="auto"/>
        <w:ind w:firstLineChars="100" w:firstLine="240"/>
        <w:jc w:val="both"/>
        <w:rPr>
          <w:rFonts w:ascii="Book Antiqua" w:hAnsi="Book Antiqua" w:cs="Arial"/>
          <w:sz w:val="24"/>
          <w:szCs w:val="24"/>
          <w:lang w:val="en-US"/>
        </w:rPr>
      </w:pPr>
      <w:r w:rsidRPr="00FB7D6B">
        <w:rPr>
          <w:rFonts w:ascii="Book Antiqua" w:hAnsi="Book Antiqua" w:cs="Arial"/>
          <w:sz w:val="24"/>
          <w:szCs w:val="24"/>
          <w:lang w:val="en-US"/>
        </w:rPr>
        <w:t>In summary, approximately 9</w:t>
      </w:r>
      <w:r w:rsidR="004C43BA" w:rsidRPr="00FB7D6B">
        <w:rPr>
          <w:rFonts w:ascii="Book Antiqua" w:hAnsi="Book Antiqua" w:cs="Arial"/>
          <w:sz w:val="24"/>
          <w:szCs w:val="24"/>
          <w:lang w:val="en-US"/>
        </w:rPr>
        <w:t>%</w:t>
      </w:r>
      <w:r w:rsidR="00F20229" w:rsidRPr="00FB7D6B">
        <w:rPr>
          <w:rFonts w:ascii="Book Antiqua" w:hAnsi="Book Antiqua" w:cs="Arial"/>
          <w:sz w:val="24"/>
          <w:szCs w:val="24"/>
          <w:lang w:val="en-US"/>
        </w:rPr>
        <w:t xml:space="preserve"> of </w:t>
      </w:r>
      <w:r w:rsidR="00CC3F31" w:rsidRPr="00FB7D6B">
        <w:rPr>
          <w:rFonts w:ascii="Book Antiqua" w:hAnsi="Book Antiqua" w:cs="Arial"/>
          <w:sz w:val="24"/>
          <w:szCs w:val="24"/>
          <w:lang w:val="en-US"/>
        </w:rPr>
        <w:t xml:space="preserve">our </w:t>
      </w:r>
      <w:r w:rsidR="00F20229" w:rsidRPr="00FB7D6B">
        <w:rPr>
          <w:rFonts w:ascii="Book Antiqua" w:hAnsi="Book Antiqua" w:cs="Arial"/>
          <w:sz w:val="24"/>
          <w:szCs w:val="24"/>
          <w:lang w:val="en-US"/>
        </w:rPr>
        <w:t>patients we</w:t>
      </w:r>
      <w:r w:rsidRPr="00FB7D6B">
        <w:rPr>
          <w:rFonts w:ascii="Book Antiqua" w:hAnsi="Book Antiqua" w:cs="Arial"/>
          <w:sz w:val="24"/>
          <w:szCs w:val="24"/>
          <w:lang w:val="en-US"/>
        </w:rPr>
        <w:t xml:space="preserve">re diagnosed with acute liver failure as </w:t>
      </w:r>
      <w:r w:rsidR="00F20229" w:rsidRPr="00FB7D6B">
        <w:rPr>
          <w:rFonts w:ascii="Book Antiqua" w:hAnsi="Book Antiqua" w:cs="Arial"/>
          <w:sz w:val="24"/>
          <w:szCs w:val="24"/>
          <w:lang w:val="en-US"/>
        </w:rPr>
        <w:t xml:space="preserve">their </w:t>
      </w:r>
      <w:r w:rsidRPr="00FB7D6B">
        <w:rPr>
          <w:rFonts w:ascii="Book Antiqua" w:hAnsi="Book Antiqua" w:cs="Arial"/>
          <w:sz w:val="24"/>
          <w:szCs w:val="24"/>
          <w:lang w:val="en-US"/>
        </w:rPr>
        <w:t xml:space="preserve">initial presentation of autoimmune hepatitis which may be </w:t>
      </w:r>
      <w:r w:rsidR="00CC3F31" w:rsidRPr="00FB7D6B">
        <w:rPr>
          <w:rFonts w:ascii="Book Antiqua" w:hAnsi="Book Antiqua" w:cs="Arial"/>
          <w:sz w:val="24"/>
          <w:szCs w:val="24"/>
          <w:lang w:val="en-US"/>
        </w:rPr>
        <w:t xml:space="preserve">potentially </w:t>
      </w:r>
      <w:r w:rsidRPr="00FB7D6B">
        <w:rPr>
          <w:rFonts w:ascii="Book Antiqua" w:hAnsi="Book Antiqua" w:cs="Arial"/>
          <w:sz w:val="24"/>
          <w:szCs w:val="24"/>
          <w:lang w:val="en-US"/>
        </w:rPr>
        <w:t>induced by drugs, viral infection</w:t>
      </w:r>
      <w:r w:rsidR="00F20229" w:rsidRPr="00FB7D6B">
        <w:rPr>
          <w:rFonts w:ascii="Book Antiqua" w:hAnsi="Book Antiqua" w:cs="Arial"/>
          <w:sz w:val="24"/>
          <w:szCs w:val="24"/>
          <w:lang w:val="en-US"/>
        </w:rPr>
        <w:t>s,</w:t>
      </w:r>
      <w:r w:rsidRPr="00FB7D6B">
        <w:rPr>
          <w:rFonts w:ascii="Book Antiqua" w:hAnsi="Book Antiqua" w:cs="Arial"/>
          <w:sz w:val="24"/>
          <w:szCs w:val="24"/>
          <w:lang w:val="en-US"/>
        </w:rPr>
        <w:t xml:space="preserve"> and surgery in general anesthesia. </w:t>
      </w:r>
      <w:r w:rsidR="00F20229" w:rsidRPr="00FB7D6B">
        <w:rPr>
          <w:rFonts w:ascii="Book Antiqua" w:hAnsi="Book Antiqua" w:cs="Arial"/>
          <w:sz w:val="24"/>
          <w:szCs w:val="24"/>
          <w:lang w:val="en-US"/>
        </w:rPr>
        <w:t>Consequently, the clinician would be well-advised to accurately document these underlying conditions. Increase</w:t>
      </w:r>
      <w:r w:rsidR="003F7051" w:rsidRPr="00FB7D6B">
        <w:rPr>
          <w:rFonts w:ascii="Book Antiqua" w:hAnsi="Book Antiqua" w:cs="Arial"/>
          <w:sz w:val="24"/>
          <w:szCs w:val="24"/>
          <w:lang w:val="en-US"/>
        </w:rPr>
        <w:t>s</w:t>
      </w:r>
      <w:r w:rsidR="00F20229" w:rsidRPr="00FB7D6B">
        <w:rPr>
          <w:rFonts w:ascii="Book Antiqua" w:hAnsi="Book Antiqua" w:cs="Arial"/>
          <w:sz w:val="24"/>
          <w:szCs w:val="24"/>
          <w:lang w:val="en-US"/>
        </w:rPr>
        <w:t xml:space="preserve"> of age, MELD-</w:t>
      </w:r>
      <w:r w:rsidRPr="00FB7D6B">
        <w:rPr>
          <w:rFonts w:ascii="Book Antiqua" w:hAnsi="Book Antiqua" w:cs="Arial"/>
          <w:sz w:val="24"/>
          <w:szCs w:val="24"/>
          <w:lang w:val="en-US"/>
        </w:rPr>
        <w:t>score</w:t>
      </w:r>
      <w:r w:rsidR="00F20229" w:rsidRPr="00FB7D6B">
        <w:rPr>
          <w:rFonts w:ascii="Book Antiqua" w:hAnsi="Book Antiqua" w:cs="Arial"/>
          <w:sz w:val="24"/>
          <w:szCs w:val="24"/>
          <w:lang w:val="en-US"/>
        </w:rPr>
        <w:t>,</w:t>
      </w:r>
      <w:r w:rsidR="00CC3F31" w:rsidRPr="00FB7D6B">
        <w:rPr>
          <w:rFonts w:ascii="Book Antiqua" w:hAnsi="Book Antiqua" w:cs="Arial"/>
          <w:sz w:val="24"/>
          <w:szCs w:val="24"/>
          <w:lang w:val="en-US"/>
        </w:rPr>
        <w:t xml:space="preserve"> and creatinine levels may be</w:t>
      </w:r>
      <w:r w:rsidRPr="00FB7D6B">
        <w:rPr>
          <w:rFonts w:ascii="Book Antiqua" w:hAnsi="Book Antiqua" w:cs="Arial"/>
          <w:sz w:val="24"/>
          <w:szCs w:val="24"/>
          <w:lang w:val="en-US"/>
        </w:rPr>
        <w:t xml:space="preserve"> risk factors for lethal outcome</w:t>
      </w:r>
      <w:r w:rsidR="00697E36" w:rsidRPr="00FB7D6B">
        <w:rPr>
          <w:rFonts w:ascii="Book Antiqua" w:hAnsi="Book Antiqua" w:cs="Arial"/>
          <w:sz w:val="24"/>
          <w:szCs w:val="24"/>
          <w:lang w:val="en-US"/>
        </w:rPr>
        <w:t xml:space="preserve"> or need for </w:t>
      </w:r>
      <w:r w:rsidR="00F20229" w:rsidRPr="00FB7D6B">
        <w:rPr>
          <w:rFonts w:ascii="Book Antiqua" w:hAnsi="Book Antiqua" w:cs="Arial"/>
          <w:sz w:val="24"/>
          <w:szCs w:val="24"/>
          <w:lang w:val="en-US"/>
        </w:rPr>
        <w:t xml:space="preserve">urgent </w:t>
      </w:r>
      <w:r w:rsidR="00697E36" w:rsidRPr="00FB7D6B">
        <w:rPr>
          <w:rFonts w:ascii="Book Antiqua" w:hAnsi="Book Antiqua" w:cs="Arial"/>
          <w:sz w:val="24"/>
          <w:szCs w:val="24"/>
          <w:lang w:val="en-US"/>
        </w:rPr>
        <w:t>liver transplantation</w:t>
      </w:r>
      <w:r w:rsidRPr="00FB7D6B">
        <w:rPr>
          <w:rFonts w:ascii="Book Antiqua" w:hAnsi="Book Antiqua" w:cs="Arial"/>
          <w:sz w:val="24"/>
          <w:szCs w:val="24"/>
          <w:lang w:val="en-US"/>
        </w:rPr>
        <w:t xml:space="preserve">, while higher levels of transaminases </w:t>
      </w:r>
      <w:r w:rsidR="00F20229" w:rsidRPr="00FB7D6B">
        <w:rPr>
          <w:rFonts w:ascii="Book Antiqua" w:hAnsi="Book Antiqua" w:cs="Arial"/>
          <w:sz w:val="24"/>
          <w:szCs w:val="24"/>
          <w:lang w:val="en-US"/>
        </w:rPr>
        <w:t xml:space="preserve">come along </w:t>
      </w:r>
      <w:r w:rsidRPr="00FB7D6B">
        <w:rPr>
          <w:rFonts w:ascii="Book Antiqua" w:hAnsi="Book Antiqua" w:cs="Arial"/>
          <w:sz w:val="24"/>
          <w:szCs w:val="24"/>
          <w:lang w:val="en-US"/>
        </w:rPr>
        <w:t xml:space="preserve">with </w:t>
      </w:r>
      <w:r w:rsidR="00CC3F31" w:rsidRPr="00FB7D6B">
        <w:rPr>
          <w:rFonts w:ascii="Book Antiqua" w:hAnsi="Book Antiqua" w:cs="Arial"/>
          <w:sz w:val="24"/>
          <w:szCs w:val="24"/>
          <w:lang w:val="en-US"/>
        </w:rPr>
        <w:t xml:space="preserve">improved </w:t>
      </w:r>
      <w:r w:rsidRPr="00FB7D6B">
        <w:rPr>
          <w:rFonts w:ascii="Book Antiqua" w:hAnsi="Book Antiqua" w:cs="Arial"/>
          <w:sz w:val="24"/>
          <w:szCs w:val="24"/>
          <w:lang w:val="en-US"/>
        </w:rPr>
        <w:t xml:space="preserve">spontaneous recovery. </w:t>
      </w:r>
    </w:p>
    <w:p w:rsidR="00AF4A9F" w:rsidRPr="00FB7D6B" w:rsidRDefault="00AF4A9F" w:rsidP="00FB7D6B">
      <w:pPr>
        <w:adjustRightInd w:val="0"/>
        <w:snapToGrid w:val="0"/>
        <w:spacing w:after="0" w:line="360" w:lineRule="auto"/>
        <w:jc w:val="both"/>
        <w:rPr>
          <w:rFonts w:ascii="Book Antiqua" w:hAnsi="Book Antiqua" w:cs="Arial"/>
          <w:sz w:val="24"/>
          <w:szCs w:val="24"/>
          <w:lang w:val="en-US" w:eastAsia="zh-CN"/>
        </w:rPr>
      </w:pPr>
    </w:p>
    <w:p w:rsidR="007F2596" w:rsidRPr="00FB7D6B" w:rsidRDefault="007F2596"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ARTICLE HIGHLIGHTS</w:t>
      </w: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background</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Autoimmune hepatitis (AIH) is generally considered to manifest as a chronic liver disease. So far, only limited data are available investigating patients presenting a fulminant acute liver failure as a first manifestation of this autoimmune disorder. The significance of our study was therefore to investigate the circumstances leading to acute liver failure and onset of autoimmune hepatitis.</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motivation</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In the daily clinical setting, the hepatologist is frequently faced with patients demonstrating only a mild elevation of their liver enzymes. Routine work-up of these cases leads finally to the diagnosis of underlying AIH. However, in few cases, one is challenged with patients without any signs of hepatopathy but rapidly developing a life-threatening acute liver failure (ALF) as their first manifestation of AIH. We here presented potential triggering factors which may activate the “autoimmune machinery” leading to ALF. </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objectives</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The main objective of the present study was to gather more information with focus on potential triggering factors leading to acute presentation of AIH with consecutive liver failure. The clinician would be well-advised to accurately document these underlying conditions.</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methods</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In our retrospective cohort study we investigated patients with histologically-proven AIH and further analyzed the patients who presented acute liver failure. Patients’ demographics, laboratory data, immunosuppressive regime, histology, and outcome were documented and studied. </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results</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We were able to identify potential triggering factors in 26/52 (50.0%) of our previously healthy patients presenting ALF as their first manifestation of AIH. These were drug-induced (</w:t>
      </w:r>
      <w:r w:rsidRPr="00FB7D6B">
        <w:rPr>
          <w:rFonts w:ascii="Book Antiqua" w:hAnsi="Book Antiqua" w:cs="Arial"/>
          <w:i/>
          <w:sz w:val="24"/>
          <w:szCs w:val="24"/>
          <w:lang w:val="en-US"/>
        </w:rPr>
        <w:t>e.g.</w:t>
      </w:r>
      <w:r w:rsidR="006378F3" w:rsidRPr="00FB7D6B">
        <w:rPr>
          <w:rFonts w:ascii="Book Antiqua" w:hAnsi="Book Antiqua" w:cs="Arial"/>
          <w:i/>
          <w:sz w:val="24"/>
          <w:szCs w:val="24"/>
          <w:lang w:val="en-US" w:eastAsia="zh-CN"/>
        </w:rPr>
        <w:t>,</w:t>
      </w:r>
      <w:r w:rsidRPr="00FB7D6B">
        <w:rPr>
          <w:rFonts w:ascii="Book Antiqua" w:hAnsi="Book Antiqua" w:cs="Arial"/>
          <w:sz w:val="24"/>
          <w:szCs w:val="24"/>
          <w:lang w:val="en-US"/>
        </w:rPr>
        <w:t xml:space="preserve"> </w:t>
      </w:r>
      <w:r w:rsidR="006378F3" w:rsidRPr="00FB7D6B">
        <w:rPr>
          <w:rFonts w:ascii="Book Antiqua" w:hAnsi="Book Antiqua" w:cs="Arial"/>
          <w:sz w:val="24"/>
          <w:szCs w:val="24"/>
          <w:lang w:val="en-US"/>
        </w:rPr>
        <w:t>non-steroidal anti-inflammatory drugs</w:t>
      </w:r>
      <w:r w:rsidRPr="00FB7D6B">
        <w:rPr>
          <w:rFonts w:ascii="Book Antiqua" w:hAnsi="Book Antiqua" w:cs="Arial"/>
          <w:sz w:val="24"/>
          <w:szCs w:val="24"/>
          <w:lang w:val="en-US"/>
        </w:rPr>
        <w:t xml:space="preserve"> and antibiotics) ALF (57.7%), virus-induced (</w:t>
      </w:r>
      <w:r w:rsidR="006378F3" w:rsidRPr="00FB7D6B">
        <w:rPr>
          <w:rFonts w:ascii="Book Antiqua" w:hAnsi="Book Antiqua" w:cs="Arial"/>
          <w:sz w:val="24"/>
          <w:szCs w:val="24"/>
          <w:lang w:val="en-US"/>
        </w:rPr>
        <w:t>Epstein-Barr</w:t>
      </w:r>
      <w:r w:rsidRPr="00FB7D6B">
        <w:rPr>
          <w:rFonts w:ascii="Book Antiqua" w:hAnsi="Book Antiqua" w:cs="Arial"/>
          <w:sz w:val="24"/>
          <w:szCs w:val="24"/>
          <w:lang w:val="en-US"/>
        </w:rPr>
        <w:t xml:space="preserve">, </w:t>
      </w:r>
      <w:r w:rsidR="006378F3" w:rsidRPr="00FB7D6B">
        <w:rPr>
          <w:rFonts w:ascii="Book Antiqua" w:hAnsi="Book Antiqua" w:cs="Arial"/>
          <w:sz w:val="24"/>
          <w:szCs w:val="24"/>
          <w:lang w:val="en-US"/>
        </w:rPr>
        <w:t>Cytomegalovirus</w:t>
      </w:r>
      <w:r w:rsidR="006378F3" w:rsidRPr="00FB7D6B">
        <w:rPr>
          <w:rFonts w:ascii="Book Antiqua" w:hAnsi="Book Antiqua" w:cs="Arial"/>
          <w:sz w:val="24"/>
          <w:szCs w:val="24"/>
          <w:lang w:val="en-US" w:eastAsia="zh-CN"/>
        </w:rPr>
        <w:t xml:space="preserve"> </w:t>
      </w:r>
      <w:r w:rsidRPr="00FB7D6B">
        <w:rPr>
          <w:rFonts w:ascii="Book Antiqua" w:hAnsi="Book Antiqua" w:cs="Arial"/>
          <w:sz w:val="24"/>
          <w:szCs w:val="24"/>
          <w:lang w:val="en-US"/>
        </w:rPr>
        <w:t>and HEV) ALF (30.8%), and surgery in general anesthesia (11.5%), respectively.</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conclusions</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sz w:val="24"/>
          <w:szCs w:val="24"/>
          <w:lang w:val="en-US"/>
        </w:rPr>
        <w:t xml:space="preserve">Approximately 9% of our patients were diagnosed with ALF as their initial presentation of AIH which may be potentially induced by drugs, viral infections, and </w:t>
      </w:r>
      <w:r w:rsidRPr="00FB7D6B">
        <w:rPr>
          <w:rFonts w:ascii="Book Antiqua" w:hAnsi="Book Antiqua" w:cs="Arial"/>
          <w:sz w:val="24"/>
          <w:szCs w:val="24"/>
          <w:lang w:val="en-US"/>
        </w:rPr>
        <w:lastRenderedPageBreak/>
        <w:t>surgery in general anesthesia. Consequently, the clinician would be well-advised to ask his patients for hepato-toxic drugs and accurately document these underlying conditions. Increases of age, MELD-score, and creatinine levels were associated with lethal outcome or need for urgent liver transplantation.</w:t>
      </w:r>
    </w:p>
    <w:p w:rsidR="006378F3" w:rsidRPr="00FB7D6B" w:rsidRDefault="006378F3" w:rsidP="00FB7D6B">
      <w:pPr>
        <w:adjustRightInd w:val="0"/>
        <w:snapToGrid w:val="0"/>
        <w:spacing w:after="0" w:line="360" w:lineRule="auto"/>
        <w:jc w:val="both"/>
        <w:rPr>
          <w:rFonts w:ascii="Book Antiqua" w:hAnsi="Book Antiqua" w:cs="Arial"/>
          <w:sz w:val="24"/>
          <w:szCs w:val="24"/>
          <w:lang w:val="en-US" w:eastAsia="zh-CN"/>
        </w:rPr>
      </w:pPr>
    </w:p>
    <w:p w:rsidR="006378F3" w:rsidRPr="00FB7D6B" w:rsidRDefault="007F2596" w:rsidP="00FB7D6B">
      <w:pPr>
        <w:adjustRightInd w:val="0"/>
        <w:snapToGrid w:val="0"/>
        <w:spacing w:after="0" w:line="360" w:lineRule="auto"/>
        <w:jc w:val="both"/>
        <w:rPr>
          <w:rFonts w:ascii="Book Antiqua" w:hAnsi="Book Antiqua" w:cs="Arial"/>
          <w:b/>
          <w:i/>
          <w:sz w:val="24"/>
          <w:szCs w:val="24"/>
          <w:lang w:val="en-US" w:eastAsia="zh-CN"/>
        </w:rPr>
      </w:pPr>
      <w:r w:rsidRPr="00FB7D6B">
        <w:rPr>
          <w:rFonts w:ascii="Book Antiqua" w:hAnsi="Book Antiqua" w:cs="Arial"/>
          <w:b/>
          <w:i/>
          <w:sz w:val="24"/>
          <w:szCs w:val="24"/>
          <w:lang w:val="en-US"/>
        </w:rPr>
        <w:t>Research perspectives</w:t>
      </w:r>
    </w:p>
    <w:p w:rsidR="007F2596" w:rsidRPr="00FB7D6B" w:rsidRDefault="007F2596"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 xml:space="preserve">With our study and findings we hope to further attract the physician’s attention especially in cases of acute liver failure induced by autoimmune hepatitis. In some cases, these disorders may be triggered by drugs and hepato-tropic viruses. We hope that more studies investigating acute liver failure as a first manifestation of </w:t>
      </w:r>
      <w:r w:rsidR="001A11FF">
        <w:rPr>
          <w:rFonts w:ascii="Book Antiqua" w:hAnsi="Book Antiqua" w:cs="Arial"/>
          <w:sz w:val="24"/>
          <w:szCs w:val="24"/>
          <w:lang w:val="en-US"/>
        </w:rPr>
        <w:t>AIH will be available in future.</w:t>
      </w:r>
    </w:p>
    <w:p w:rsidR="007F2596" w:rsidRPr="00FB7D6B" w:rsidRDefault="007F2596" w:rsidP="00FB7D6B">
      <w:pPr>
        <w:adjustRightInd w:val="0"/>
        <w:snapToGrid w:val="0"/>
        <w:spacing w:after="0" w:line="360" w:lineRule="auto"/>
        <w:jc w:val="both"/>
        <w:rPr>
          <w:rFonts w:ascii="Book Antiqua" w:hAnsi="Book Antiqua" w:cs="Arial"/>
          <w:sz w:val="24"/>
          <w:szCs w:val="24"/>
          <w:lang w:val="en-US" w:eastAsia="zh-CN"/>
        </w:rPr>
      </w:pPr>
    </w:p>
    <w:p w:rsidR="007F2596" w:rsidRPr="00FB7D6B" w:rsidRDefault="007F2596"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cs="Arial"/>
          <w:b/>
          <w:sz w:val="24"/>
          <w:szCs w:val="24"/>
          <w:lang w:val="en-US"/>
        </w:rPr>
        <w:t>ACKOWLEDGEMENTS</w:t>
      </w:r>
    </w:p>
    <w:p w:rsidR="00AF4A9F" w:rsidRPr="00FB7D6B" w:rsidRDefault="00AF4A9F"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sz w:val="24"/>
          <w:szCs w:val="24"/>
          <w:lang w:val="en-US"/>
        </w:rPr>
        <w:t xml:space="preserve">We thank Professor </w:t>
      </w:r>
      <w:r w:rsidR="00A05A88" w:rsidRPr="00FB7D6B">
        <w:rPr>
          <w:rFonts w:ascii="Book Antiqua" w:hAnsi="Book Antiqua" w:cs="Arial"/>
          <w:sz w:val="24"/>
          <w:szCs w:val="24"/>
          <w:lang w:val="en-US"/>
        </w:rPr>
        <w:t xml:space="preserve">Dr. </w:t>
      </w:r>
      <w:r w:rsidRPr="00FB7D6B">
        <w:rPr>
          <w:rFonts w:ascii="Book Antiqua" w:hAnsi="Book Antiqua" w:cs="Arial"/>
          <w:sz w:val="24"/>
          <w:szCs w:val="24"/>
          <w:lang w:val="en-US"/>
        </w:rPr>
        <w:t xml:space="preserve">Gregory Gores from the Division of Gastroenterology and Hepatology, Mayo Clinic Rochester (Minnesota, </w:t>
      </w:r>
      <w:r w:rsidR="006378F3" w:rsidRPr="00FB7D6B">
        <w:rPr>
          <w:rFonts w:ascii="Book Antiqua" w:hAnsi="Book Antiqua" w:cs="Arial"/>
          <w:sz w:val="24"/>
          <w:szCs w:val="24"/>
          <w:lang w:val="en-US" w:eastAsia="zh-CN"/>
        </w:rPr>
        <w:t>United States</w:t>
      </w:r>
      <w:r w:rsidRPr="00FB7D6B">
        <w:rPr>
          <w:rFonts w:ascii="Book Antiqua" w:hAnsi="Book Antiqua" w:cs="Arial"/>
          <w:sz w:val="24"/>
          <w:szCs w:val="24"/>
          <w:lang w:val="en-US"/>
        </w:rPr>
        <w:t xml:space="preserve">) for his valuable contribution and his permanent support. </w:t>
      </w:r>
      <w:r w:rsidR="000A74D5" w:rsidRPr="00FB7D6B">
        <w:rPr>
          <w:rFonts w:ascii="Book Antiqua" w:hAnsi="Book Antiqua" w:cs="Arial"/>
          <w:sz w:val="24"/>
          <w:szCs w:val="24"/>
          <w:lang w:val="en-US"/>
        </w:rPr>
        <w:t xml:space="preserve">We also thank the </w:t>
      </w:r>
      <w:r w:rsidR="00745AA3" w:rsidRPr="00FB7D6B">
        <w:rPr>
          <w:rFonts w:ascii="Book Antiqua" w:hAnsi="Book Antiqua" w:cs="Arial"/>
          <w:sz w:val="24"/>
          <w:szCs w:val="24"/>
          <w:lang w:val="en-US"/>
        </w:rPr>
        <w:t xml:space="preserve">anonymous </w:t>
      </w:r>
      <w:r w:rsidR="000A74D5" w:rsidRPr="00FB7D6B">
        <w:rPr>
          <w:rFonts w:ascii="Book Antiqua" w:hAnsi="Book Antiqua" w:cs="Arial"/>
          <w:sz w:val="24"/>
          <w:szCs w:val="24"/>
          <w:lang w:val="en-US"/>
        </w:rPr>
        <w:t>Reviewers for his/her thoughtful and constructive examination of our manuscr</w:t>
      </w:r>
      <w:bookmarkStart w:id="23" w:name="_GoBack"/>
      <w:bookmarkEnd w:id="23"/>
      <w:r w:rsidR="000A74D5" w:rsidRPr="00FB7D6B">
        <w:rPr>
          <w:rFonts w:ascii="Book Antiqua" w:hAnsi="Book Antiqua" w:cs="Arial"/>
          <w:sz w:val="24"/>
          <w:szCs w:val="24"/>
          <w:lang w:val="en-US"/>
        </w:rPr>
        <w:t>ipt.</w:t>
      </w:r>
    </w:p>
    <w:p w:rsidR="006378F3" w:rsidRPr="00FB7D6B" w:rsidRDefault="006378F3" w:rsidP="00FB7D6B">
      <w:pPr>
        <w:spacing w:after="0" w:line="360" w:lineRule="auto"/>
        <w:rPr>
          <w:rFonts w:ascii="Book Antiqua" w:hAnsi="Book Antiqua" w:cs="Arial"/>
          <w:b/>
          <w:sz w:val="24"/>
          <w:szCs w:val="24"/>
          <w:lang w:val="en-US"/>
        </w:rPr>
      </w:pPr>
      <w:r w:rsidRPr="00FB7D6B">
        <w:rPr>
          <w:rFonts w:ascii="Book Antiqua" w:hAnsi="Book Antiqua" w:cs="Arial"/>
          <w:b/>
          <w:sz w:val="24"/>
          <w:szCs w:val="24"/>
          <w:lang w:val="en-US"/>
        </w:rPr>
        <w:br w:type="page"/>
      </w:r>
    </w:p>
    <w:p w:rsidR="006378F3" w:rsidRPr="00FB7D6B" w:rsidRDefault="006378F3"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lastRenderedPageBreak/>
        <w:t>REFERENCES</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 </w:t>
      </w:r>
      <w:r w:rsidRPr="00FB7D6B">
        <w:rPr>
          <w:rFonts w:ascii="Book Antiqua" w:eastAsia="SimSun" w:hAnsi="Book Antiqua"/>
          <w:b/>
          <w:kern w:val="2"/>
          <w:sz w:val="24"/>
          <w:szCs w:val="24"/>
          <w:lang w:val="en-US" w:eastAsia="zh-CN"/>
        </w:rPr>
        <w:t>Wang Q</w:t>
      </w:r>
      <w:r w:rsidRPr="00FB7D6B">
        <w:rPr>
          <w:rFonts w:ascii="Book Antiqua" w:eastAsia="SimSun" w:hAnsi="Book Antiqua"/>
          <w:kern w:val="2"/>
          <w:sz w:val="24"/>
          <w:szCs w:val="24"/>
          <w:lang w:val="en-US" w:eastAsia="zh-CN"/>
        </w:rPr>
        <w:t xml:space="preserve">, Yang F, Miao Q, Krawitt EL, Gershwin ME, Ma X. The clinical phenotypes of autoimmune hepatitis: A comprehensive review. </w:t>
      </w:r>
      <w:r w:rsidRPr="00FB7D6B">
        <w:rPr>
          <w:rFonts w:ascii="Book Antiqua" w:eastAsia="SimSun" w:hAnsi="Book Antiqua"/>
          <w:i/>
          <w:kern w:val="2"/>
          <w:sz w:val="24"/>
          <w:szCs w:val="24"/>
          <w:lang w:val="en-US" w:eastAsia="zh-CN"/>
        </w:rPr>
        <w:t>J Autoimmun</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66</w:t>
      </w:r>
      <w:r w:rsidRPr="00FB7D6B">
        <w:rPr>
          <w:rFonts w:ascii="Book Antiqua" w:eastAsia="SimSun" w:hAnsi="Book Antiqua"/>
          <w:kern w:val="2"/>
          <w:sz w:val="24"/>
          <w:szCs w:val="24"/>
          <w:lang w:val="en-US" w:eastAsia="zh-CN"/>
        </w:rPr>
        <w:t>: 98-107 [PMID: 26614611 DOI: 10.1016/j.jaut.2015.10.006]</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 </w:t>
      </w:r>
      <w:r w:rsidRPr="00FB7D6B">
        <w:rPr>
          <w:rFonts w:ascii="Book Antiqua" w:eastAsia="SimSun" w:hAnsi="Book Antiqua"/>
          <w:b/>
          <w:kern w:val="2"/>
          <w:sz w:val="24"/>
          <w:szCs w:val="24"/>
          <w:lang w:val="en-US" w:eastAsia="zh-CN"/>
        </w:rPr>
        <w:t>WALDENSTROM J</w:t>
      </w:r>
      <w:r w:rsidR="00BB1637">
        <w:rPr>
          <w:rFonts w:ascii="Book Antiqua" w:eastAsia="SimSun" w:hAnsi="Book Antiqua"/>
          <w:kern w:val="2"/>
          <w:sz w:val="24"/>
          <w:szCs w:val="24"/>
          <w:lang w:val="en-US" w:eastAsia="zh-CN"/>
        </w:rPr>
        <w:t xml:space="preserve">. </w:t>
      </w:r>
      <w:r w:rsidRPr="00FB7D6B">
        <w:rPr>
          <w:rFonts w:ascii="Book Antiqua" w:eastAsia="SimSun" w:hAnsi="Book Antiqua"/>
          <w:kern w:val="2"/>
          <w:sz w:val="24"/>
          <w:szCs w:val="24"/>
          <w:lang w:val="en-US" w:eastAsia="zh-CN"/>
        </w:rPr>
        <w:t>Liver, blood</w:t>
      </w:r>
      <w:r w:rsidR="00BB1637">
        <w:rPr>
          <w:rFonts w:ascii="Book Antiqua" w:eastAsia="SimSun" w:hAnsi="Book Antiqua"/>
          <w:kern w:val="2"/>
          <w:sz w:val="24"/>
          <w:szCs w:val="24"/>
          <w:lang w:val="en-US" w:eastAsia="zh-CN"/>
        </w:rPr>
        <w:t xml:space="preserve"> proteins and nutritive protein</w:t>
      </w:r>
      <w:r w:rsidRPr="00FB7D6B">
        <w:rPr>
          <w:rFonts w:ascii="Book Antiqua" w:eastAsia="SimSun" w:hAnsi="Book Antiqua"/>
          <w:kern w:val="2"/>
          <w:sz w:val="24"/>
          <w:szCs w:val="24"/>
          <w:lang w:val="en-US" w:eastAsia="zh-CN"/>
        </w:rPr>
        <w:t xml:space="preserve">. </w:t>
      </w:r>
      <w:r w:rsidRPr="00FB7D6B">
        <w:rPr>
          <w:rFonts w:ascii="Book Antiqua" w:eastAsia="SimSun" w:hAnsi="Book Antiqua"/>
          <w:i/>
          <w:kern w:val="2"/>
          <w:sz w:val="24"/>
          <w:szCs w:val="24"/>
          <w:lang w:val="en-US" w:eastAsia="zh-CN"/>
        </w:rPr>
        <w:t>Dtsch Z Verdau Stoffwechselkr</w:t>
      </w:r>
      <w:r w:rsidRPr="00FB7D6B">
        <w:rPr>
          <w:rFonts w:ascii="Book Antiqua" w:eastAsia="SimSun" w:hAnsi="Book Antiqua"/>
          <w:kern w:val="2"/>
          <w:sz w:val="24"/>
          <w:szCs w:val="24"/>
          <w:lang w:val="en-US" w:eastAsia="zh-CN"/>
        </w:rPr>
        <w:t xml:space="preserve"> 1953; </w:t>
      </w:r>
      <w:r w:rsidRPr="00FB7D6B">
        <w:rPr>
          <w:rFonts w:ascii="Book Antiqua" w:eastAsia="SimSun" w:hAnsi="Book Antiqua"/>
          <w:b/>
          <w:kern w:val="2"/>
          <w:sz w:val="24"/>
          <w:szCs w:val="24"/>
          <w:lang w:val="en-US" w:eastAsia="zh-CN"/>
        </w:rPr>
        <w:t>9</w:t>
      </w:r>
      <w:r w:rsidRPr="00FB7D6B">
        <w:rPr>
          <w:rFonts w:ascii="Book Antiqua" w:eastAsia="SimSun" w:hAnsi="Book Antiqua"/>
          <w:kern w:val="2"/>
          <w:sz w:val="24"/>
          <w:szCs w:val="24"/>
          <w:lang w:val="en-US" w:eastAsia="zh-CN"/>
        </w:rPr>
        <w:t>: 113-119 [PMID: 13150939]</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 </w:t>
      </w:r>
      <w:r w:rsidRPr="00FB7D6B">
        <w:rPr>
          <w:rFonts w:ascii="Book Antiqua" w:eastAsia="SimSun" w:hAnsi="Book Antiqua"/>
          <w:b/>
          <w:kern w:val="2"/>
          <w:sz w:val="24"/>
          <w:szCs w:val="24"/>
          <w:lang w:val="en-US" w:eastAsia="zh-CN"/>
        </w:rPr>
        <w:t>Kessler WR</w:t>
      </w:r>
      <w:r w:rsidRPr="00FB7D6B">
        <w:rPr>
          <w:rFonts w:ascii="Book Antiqua" w:eastAsia="SimSun" w:hAnsi="Book Antiqua"/>
          <w:kern w:val="2"/>
          <w:sz w:val="24"/>
          <w:szCs w:val="24"/>
          <w:lang w:val="en-US" w:eastAsia="zh-CN"/>
        </w:rPr>
        <w:t xml:space="preserve">, Cummings OW, Eckert G, Chalasani N, Lumeng L, Kwo PY. Fulminant hepatic failure as the initial presentation of acute autoimmune hepatitis. </w:t>
      </w:r>
      <w:r w:rsidRPr="00FB7D6B">
        <w:rPr>
          <w:rFonts w:ascii="Book Antiqua" w:eastAsia="SimSun" w:hAnsi="Book Antiqua"/>
          <w:i/>
          <w:kern w:val="2"/>
          <w:sz w:val="24"/>
          <w:szCs w:val="24"/>
          <w:lang w:val="en-US" w:eastAsia="zh-CN"/>
        </w:rPr>
        <w:t>Clin Gastroenterol Hepatol</w:t>
      </w:r>
      <w:r w:rsidRPr="00FB7D6B">
        <w:rPr>
          <w:rFonts w:ascii="Book Antiqua" w:eastAsia="SimSun" w:hAnsi="Book Antiqua"/>
          <w:kern w:val="2"/>
          <w:sz w:val="24"/>
          <w:szCs w:val="24"/>
          <w:lang w:val="en-US" w:eastAsia="zh-CN"/>
        </w:rPr>
        <w:t xml:space="preserve"> 2004; </w:t>
      </w:r>
      <w:r w:rsidRPr="00FB7D6B">
        <w:rPr>
          <w:rFonts w:ascii="Book Antiqua" w:eastAsia="SimSun" w:hAnsi="Book Antiqua"/>
          <w:b/>
          <w:kern w:val="2"/>
          <w:sz w:val="24"/>
          <w:szCs w:val="24"/>
          <w:lang w:val="en-US" w:eastAsia="zh-CN"/>
        </w:rPr>
        <w:t>2</w:t>
      </w:r>
      <w:r w:rsidRPr="00FB7D6B">
        <w:rPr>
          <w:rFonts w:ascii="Book Antiqua" w:eastAsia="SimSun" w:hAnsi="Book Antiqua"/>
          <w:kern w:val="2"/>
          <w:sz w:val="24"/>
          <w:szCs w:val="24"/>
          <w:lang w:val="en-US" w:eastAsia="zh-CN"/>
        </w:rPr>
        <w:t>: 625-631 [PMID: 15224287]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4 </w:t>
      </w:r>
      <w:r w:rsidRPr="00FB7D6B">
        <w:rPr>
          <w:rFonts w:ascii="Book Antiqua" w:eastAsia="SimSun" w:hAnsi="Book Antiqua"/>
          <w:b/>
          <w:kern w:val="2"/>
          <w:sz w:val="24"/>
          <w:szCs w:val="24"/>
          <w:lang w:val="en-US" w:eastAsia="zh-CN"/>
        </w:rPr>
        <w:t>Mendizabal M</w:t>
      </w:r>
      <w:r w:rsidRPr="00FB7D6B">
        <w:rPr>
          <w:rFonts w:ascii="Book Antiqua" w:eastAsia="SimSun" w:hAnsi="Book Antiqua"/>
          <w:kern w:val="2"/>
          <w:sz w:val="24"/>
          <w:szCs w:val="24"/>
          <w:lang w:val="en-US" w:eastAsia="zh-CN"/>
        </w:rPr>
        <w:t xml:space="preserve">, Marciano S, Videla MG, Anders M, Zerega A, Balderramo DC, Tisi Baña MR, Barrabino M, Gil O, Mastai R, Yantorno S, Gadano A, Silva MO. Fulminant presentation of autoimmune hepatitis: clinical features and early predictors of corticosteroid treatment failure. </w:t>
      </w:r>
      <w:r w:rsidRPr="00FB7D6B">
        <w:rPr>
          <w:rFonts w:ascii="Book Antiqua" w:eastAsia="SimSun" w:hAnsi="Book Antiqua"/>
          <w:i/>
          <w:kern w:val="2"/>
          <w:sz w:val="24"/>
          <w:szCs w:val="24"/>
          <w:lang w:val="en-US" w:eastAsia="zh-CN"/>
        </w:rPr>
        <w:t>Eur J Gastroenterol Hepatol</w:t>
      </w:r>
      <w:r w:rsidRPr="00FB7D6B">
        <w:rPr>
          <w:rFonts w:ascii="Book Antiqua" w:eastAsia="SimSun" w:hAnsi="Book Antiqua"/>
          <w:kern w:val="2"/>
          <w:sz w:val="24"/>
          <w:szCs w:val="24"/>
          <w:lang w:val="en-US" w:eastAsia="zh-CN"/>
        </w:rPr>
        <w:t xml:space="preserve"> 2015; </w:t>
      </w:r>
      <w:r w:rsidRPr="00FB7D6B">
        <w:rPr>
          <w:rFonts w:ascii="Book Antiqua" w:eastAsia="SimSun" w:hAnsi="Book Antiqua"/>
          <w:b/>
          <w:kern w:val="2"/>
          <w:sz w:val="24"/>
          <w:szCs w:val="24"/>
          <w:lang w:val="en-US" w:eastAsia="zh-CN"/>
        </w:rPr>
        <w:t>27</w:t>
      </w:r>
      <w:r w:rsidRPr="00FB7D6B">
        <w:rPr>
          <w:rFonts w:ascii="Book Antiqua" w:eastAsia="SimSun" w:hAnsi="Book Antiqua"/>
          <w:kern w:val="2"/>
          <w:sz w:val="24"/>
          <w:szCs w:val="24"/>
          <w:lang w:val="en-US" w:eastAsia="zh-CN"/>
        </w:rPr>
        <w:t>: 644-648 [PMID: 25923939 DOI: 10.1097/MEG.0000000000000353]</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5 </w:t>
      </w:r>
      <w:r w:rsidRPr="00FB7D6B">
        <w:rPr>
          <w:rFonts w:ascii="Book Antiqua" w:eastAsia="SimSun" w:hAnsi="Book Antiqua"/>
          <w:b/>
          <w:kern w:val="2"/>
          <w:sz w:val="24"/>
          <w:szCs w:val="24"/>
          <w:lang w:val="en-US" w:eastAsia="zh-CN"/>
        </w:rPr>
        <w:t>Czaja AJ</w:t>
      </w:r>
      <w:r w:rsidRPr="003E0D42">
        <w:rPr>
          <w:rFonts w:ascii="Book Antiqua" w:eastAsia="SimSun" w:hAnsi="Book Antiqua"/>
          <w:kern w:val="2"/>
          <w:sz w:val="24"/>
          <w:szCs w:val="24"/>
          <w:lang w:val="en-US" w:eastAsia="zh-CN"/>
        </w:rPr>
        <w:t>.</w:t>
      </w:r>
      <w:r w:rsidRPr="00FB7D6B">
        <w:rPr>
          <w:rFonts w:ascii="Book Antiqua" w:eastAsia="SimSun" w:hAnsi="Book Antiqua"/>
          <w:kern w:val="2"/>
          <w:sz w:val="24"/>
          <w:szCs w:val="24"/>
          <w:lang w:val="en-US" w:eastAsia="zh-CN"/>
        </w:rPr>
        <w:t xml:space="preserve"> Diagnosis and Management of Autoimmune Hepatitis: Current Status and Future Directions. </w:t>
      </w:r>
      <w:r w:rsidRPr="00FB7D6B">
        <w:rPr>
          <w:rFonts w:ascii="Book Antiqua" w:eastAsia="SimSun" w:hAnsi="Book Antiqua"/>
          <w:i/>
          <w:kern w:val="2"/>
          <w:sz w:val="24"/>
          <w:szCs w:val="24"/>
          <w:lang w:val="en-US" w:eastAsia="zh-CN"/>
        </w:rPr>
        <w:t>Gut Liver</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10</w:t>
      </w:r>
      <w:r w:rsidRPr="00FB7D6B">
        <w:rPr>
          <w:rFonts w:ascii="Book Antiqua" w:eastAsia="SimSun" w:hAnsi="Book Antiqua"/>
          <w:kern w:val="2"/>
          <w:sz w:val="24"/>
          <w:szCs w:val="24"/>
          <w:lang w:val="en-US" w:eastAsia="zh-CN"/>
        </w:rPr>
        <w:t>: 177-203 [PMID: 26934884 DOI: 10.5009/gnl15352]</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6 </w:t>
      </w:r>
      <w:r w:rsidRPr="00FB7D6B">
        <w:rPr>
          <w:rFonts w:ascii="Book Antiqua" w:eastAsia="SimSun" w:hAnsi="Book Antiqua"/>
          <w:b/>
          <w:kern w:val="2"/>
          <w:sz w:val="24"/>
          <w:szCs w:val="24"/>
          <w:lang w:val="en-US" w:eastAsia="zh-CN"/>
        </w:rPr>
        <w:t>European Association for the Study of the Liver</w:t>
      </w:r>
      <w:r w:rsidRPr="003E0D42">
        <w:rPr>
          <w:rFonts w:ascii="Book Antiqua" w:eastAsia="SimSun" w:hAnsi="Book Antiqua"/>
          <w:kern w:val="2"/>
          <w:sz w:val="24"/>
          <w:szCs w:val="24"/>
          <w:lang w:val="en-US" w:eastAsia="zh-CN"/>
        </w:rPr>
        <w:t>.</w:t>
      </w:r>
      <w:r w:rsidRPr="00FB7D6B">
        <w:rPr>
          <w:rFonts w:ascii="Book Antiqua" w:eastAsia="SimSun" w:hAnsi="Book Antiqua"/>
          <w:kern w:val="2"/>
          <w:sz w:val="24"/>
          <w:szCs w:val="24"/>
          <w:lang w:val="en-US" w:eastAsia="zh-CN"/>
        </w:rPr>
        <w:t xml:space="preserve"> EASL Clinical Practice Guidelines: Autoimmune hepatitis. </w:t>
      </w:r>
      <w:r w:rsidRPr="00FB7D6B">
        <w:rPr>
          <w:rFonts w:ascii="Book Antiqua" w:eastAsia="SimSun" w:hAnsi="Book Antiqua"/>
          <w:i/>
          <w:kern w:val="2"/>
          <w:sz w:val="24"/>
          <w:szCs w:val="24"/>
          <w:lang w:val="en-US" w:eastAsia="zh-CN"/>
        </w:rPr>
        <w:t>J Hepatol</w:t>
      </w:r>
      <w:r w:rsidRPr="00FB7D6B">
        <w:rPr>
          <w:rFonts w:ascii="Book Antiqua" w:eastAsia="SimSun" w:hAnsi="Book Antiqua"/>
          <w:kern w:val="2"/>
          <w:sz w:val="24"/>
          <w:szCs w:val="24"/>
          <w:lang w:val="en-US" w:eastAsia="zh-CN"/>
        </w:rPr>
        <w:t xml:space="preserve"> 2015; </w:t>
      </w:r>
      <w:r w:rsidRPr="00FB7D6B">
        <w:rPr>
          <w:rFonts w:ascii="Book Antiqua" w:eastAsia="SimSun" w:hAnsi="Book Antiqua"/>
          <w:b/>
          <w:kern w:val="2"/>
          <w:sz w:val="24"/>
          <w:szCs w:val="24"/>
          <w:lang w:val="en-US" w:eastAsia="zh-CN"/>
        </w:rPr>
        <w:t>63</w:t>
      </w:r>
      <w:r w:rsidRPr="00FB7D6B">
        <w:rPr>
          <w:rFonts w:ascii="Book Antiqua" w:eastAsia="SimSun" w:hAnsi="Book Antiqua"/>
          <w:kern w:val="2"/>
          <w:sz w:val="24"/>
          <w:szCs w:val="24"/>
          <w:lang w:val="en-US" w:eastAsia="zh-CN"/>
        </w:rPr>
        <w:t>: 971-1004 [PMID: 26341719 DOI: 10.1016/j.jhep.2015.06.030]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7 </w:t>
      </w:r>
      <w:r w:rsidRPr="00FB7D6B">
        <w:rPr>
          <w:rFonts w:ascii="Book Antiqua" w:eastAsia="SimSun" w:hAnsi="Book Antiqua"/>
          <w:b/>
          <w:kern w:val="2"/>
          <w:sz w:val="24"/>
          <w:szCs w:val="24"/>
          <w:lang w:val="en-US" w:eastAsia="zh-CN"/>
        </w:rPr>
        <w:t>Lammert C</w:t>
      </w:r>
      <w:r w:rsidRPr="00FB7D6B">
        <w:rPr>
          <w:rFonts w:ascii="Book Antiqua" w:eastAsia="SimSun" w:hAnsi="Book Antiqua"/>
          <w:kern w:val="2"/>
          <w:sz w:val="24"/>
          <w:szCs w:val="24"/>
          <w:lang w:val="en-US" w:eastAsia="zh-CN"/>
        </w:rPr>
        <w:t xml:space="preserve">, Loy VM, Oshima K, Gawrieh S. Management of Difficult Cases of Autoimmune Hepatitis. </w:t>
      </w:r>
      <w:r w:rsidRPr="00FB7D6B">
        <w:rPr>
          <w:rFonts w:ascii="Book Antiqua" w:eastAsia="SimSun" w:hAnsi="Book Antiqua"/>
          <w:i/>
          <w:kern w:val="2"/>
          <w:sz w:val="24"/>
          <w:szCs w:val="24"/>
          <w:lang w:val="en-US" w:eastAsia="zh-CN"/>
        </w:rPr>
        <w:t>Curr Gastroenterol Rep</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18</w:t>
      </w:r>
      <w:r w:rsidRPr="00FB7D6B">
        <w:rPr>
          <w:rFonts w:ascii="Book Antiqua" w:eastAsia="SimSun" w:hAnsi="Book Antiqua"/>
          <w:kern w:val="2"/>
          <w:sz w:val="24"/>
          <w:szCs w:val="24"/>
          <w:lang w:val="en-US" w:eastAsia="zh-CN"/>
        </w:rPr>
        <w:t>: 9 [PMID: 26780632 DOI: 10.1007/s11894-015-0484-7]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8 </w:t>
      </w:r>
      <w:r w:rsidRPr="00FB7D6B">
        <w:rPr>
          <w:rFonts w:ascii="Book Antiqua" w:eastAsia="SimSun" w:hAnsi="Book Antiqua"/>
          <w:b/>
          <w:kern w:val="2"/>
          <w:sz w:val="24"/>
          <w:szCs w:val="24"/>
          <w:lang w:val="en-US" w:eastAsia="zh-CN"/>
        </w:rPr>
        <w:t>Heneghan MA</w:t>
      </w:r>
      <w:r w:rsidRPr="00FB7D6B">
        <w:rPr>
          <w:rFonts w:ascii="Book Antiqua" w:eastAsia="SimSun" w:hAnsi="Book Antiqua"/>
          <w:kern w:val="2"/>
          <w:sz w:val="24"/>
          <w:szCs w:val="24"/>
          <w:lang w:val="en-US" w:eastAsia="zh-CN"/>
        </w:rPr>
        <w:t xml:space="preserve">, Yeoman AD, Verma S, Smith AD, Longhi MS. Autoimmune hepatitis. </w:t>
      </w:r>
      <w:r w:rsidRPr="00FB7D6B">
        <w:rPr>
          <w:rFonts w:ascii="Book Antiqua" w:eastAsia="SimSun" w:hAnsi="Book Antiqua"/>
          <w:i/>
          <w:kern w:val="2"/>
          <w:sz w:val="24"/>
          <w:szCs w:val="24"/>
          <w:lang w:val="en-US" w:eastAsia="zh-CN"/>
        </w:rPr>
        <w:t>Lancet</w:t>
      </w:r>
      <w:r w:rsidRPr="00FB7D6B">
        <w:rPr>
          <w:rFonts w:ascii="Book Antiqua" w:eastAsia="SimSun" w:hAnsi="Book Antiqua"/>
          <w:kern w:val="2"/>
          <w:sz w:val="24"/>
          <w:szCs w:val="24"/>
          <w:lang w:val="en-US" w:eastAsia="zh-CN"/>
        </w:rPr>
        <w:t xml:space="preserve"> 2013; </w:t>
      </w:r>
      <w:r w:rsidRPr="00FB7D6B">
        <w:rPr>
          <w:rFonts w:ascii="Book Antiqua" w:eastAsia="SimSun" w:hAnsi="Book Antiqua"/>
          <w:b/>
          <w:kern w:val="2"/>
          <w:sz w:val="24"/>
          <w:szCs w:val="24"/>
          <w:lang w:val="en-US" w:eastAsia="zh-CN"/>
        </w:rPr>
        <w:t>382</w:t>
      </w:r>
      <w:r w:rsidRPr="00FB7D6B">
        <w:rPr>
          <w:rFonts w:ascii="Book Antiqua" w:eastAsia="SimSun" w:hAnsi="Book Antiqua"/>
          <w:kern w:val="2"/>
          <w:sz w:val="24"/>
          <w:szCs w:val="24"/>
          <w:lang w:val="en-US" w:eastAsia="zh-CN"/>
        </w:rPr>
        <w:t>: 1433-1444 [PMID: 23768844 DOI: 10.1016/S0140-6736(12)62163-1]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9 </w:t>
      </w:r>
      <w:r w:rsidRPr="00FB7D6B">
        <w:rPr>
          <w:rFonts w:ascii="Book Antiqua" w:eastAsia="SimSun" w:hAnsi="Book Antiqua"/>
          <w:b/>
          <w:kern w:val="2"/>
          <w:sz w:val="24"/>
          <w:szCs w:val="24"/>
          <w:lang w:val="en-US" w:eastAsia="zh-CN"/>
        </w:rPr>
        <w:t>Rigopoulou EI</w:t>
      </w:r>
      <w:r w:rsidRPr="00FB7D6B">
        <w:rPr>
          <w:rFonts w:ascii="Book Antiqua" w:eastAsia="SimSun" w:hAnsi="Book Antiqua"/>
          <w:kern w:val="2"/>
          <w:sz w:val="24"/>
          <w:szCs w:val="24"/>
          <w:lang w:val="en-US" w:eastAsia="zh-CN"/>
        </w:rPr>
        <w:t xml:space="preserve">, Smyk DS, Matthews CE, Billinis C, Burroughs AK, Lenzi M, Bogdanos DP. Epstein-barr virus as a trigger of autoimmune liver diseases. </w:t>
      </w:r>
      <w:r w:rsidRPr="00FB7D6B">
        <w:rPr>
          <w:rFonts w:ascii="Book Antiqua" w:eastAsia="SimSun" w:hAnsi="Book Antiqua"/>
          <w:i/>
          <w:kern w:val="2"/>
          <w:sz w:val="24"/>
          <w:szCs w:val="24"/>
          <w:lang w:val="en-US" w:eastAsia="zh-CN"/>
        </w:rPr>
        <w:t>Adv Virol</w:t>
      </w:r>
      <w:r w:rsidRPr="00FB7D6B">
        <w:rPr>
          <w:rFonts w:ascii="Book Antiqua" w:eastAsia="SimSun" w:hAnsi="Book Antiqua"/>
          <w:kern w:val="2"/>
          <w:sz w:val="24"/>
          <w:szCs w:val="24"/>
          <w:lang w:val="en-US" w:eastAsia="zh-CN"/>
        </w:rPr>
        <w:t xml:space="preserve"> 2012; </w:t>
      </w:r>
      <w:r w:rsidRPr="00FB7D6B">
        <w:rPr>
          <w:rFonts w:ascii="Book Antiqua" w:eastAsia="SimSun" w:hAnsi="Book Antiqua"/>
          <w:b/>
          <w:kern w:val="2"/>
          <w:sz w:val="24"/>
          <w:szCs w:val="24"/>
          <w:lang w:val="en-US" w:eastAsia="zh-CN"/>
        </w:rPr>
        <w:t>2012</w:t>
      </w:r>
      <w:r w:rsidRPr="00FB7D6B">
        <w:rPr>
          <w:rFonts w:ascii="Book Antiqua" w:eastAsia="SimSun" w:hAnsi="Book Antiqua"/>
          <w:kern w:val="2"/>
          <w:sz w:val="24"/>
          <w:szCs w:val="24"/>
          <w:lang w:val="en-US" w:eastAsia="zh-CN"/>
        </w:rPr>
        <w:t>: 987471 [PMID: 22693505 DOI: 10.1155/2012/987471]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10 </w:t>
      </w:r>
      <w:r w:rsidRPr="00FB7D6B">
        <w:rPr>
          <w:rFonts w:ascii="Book Antiqua" w:eastAsia="SimSun" w:hAnsi="Book Antiqua"/>
          <w:b/>
          <w:kern w:val="2"/>
          <w:sz w:val="24"/>
          <w:szCs w:val="24"/>
          <w:lang w:val="en-US" w:eastAsia="zh-CN"/>
        </w:rPr>
        <w:t>Dhawan A</w:t>
      </w:r>
      <w:r w:rsidRPr="00FB7D6B">
        <w:rPr>
          <w:rFonts w:ascii="Book Antiqua" w:eastAsia="SimSun" w:hAnsi="Book Antiqua"/>
          <w:kern w:val="2"/>
          <w:sz w:val="24"/>
          <w:szCs w:val="24"/>
          <w:lang w:val="en-US" w:eastAsia="zh-CN"/>
        </w:rPr>
        <w:t xml:space="preserve">. Acute liver failure in children and adolescents. </w:t>
      </w:r>
      <w:r w:rsidRPr="00FB7D6B">
        <w:rPr>
          <w:rFonts w:ascii="Book Antiqua" w:eastAsia="SimSun" w:hAnsi="Book Antiqua"/>
          <w:i/>
          <w:kern w:val="2"/>
          <w:sz w:val="24"/>
          <w:szCs w:val="24"/>
          <w:lang w:val="en-US" w:eastAsia="zh-CN"/>
        </w:rPr>
        <w:t>Clin Res Hepatol Gastroenterol</w:t>
      </w:r>
      <w:r w:rsidRPr="00FB7D6B">
        <w:rPr>
          <w:rFonts w:ascii="Book Antiqua" w:eastAsia="SimSun" w:hAnsi="Book Antiqua"/>
          <w:kern w:val="2"/>
          <w:sz w:val="24"/>
          <w:szCs w:val="24"/>
          <w:lang w:val="en-US" w:eastAsia="zh-CN"/>
        </w:rPr>
        <w:t xml:space="preserve"> 2012; </w:t>
      </w:r>
      <w:r w:rsidRPr="00FB7D6B">
        <w:rPr>
          <w:rFonts w:ascii="Book Antiqua" w:eastAsia="SimSun" w:hAnsi="Book Antiqua"/>
          <w:b/>
          <w:kern w:val="2"/>
          <w:sz w:val="24"/>
          <w:szCs w:val="24"/>
          <w:lang w:val="en-US" w:eastAsia="zh-CN"/>
        </w:rPr>
        <w:t>36</w:t>
      </w:r>
      <w:r w:rsidRPr="00FB7D6B">
        <w:rPr>
          <w:rFonts w:ascii="Book Antiqua" w:eastAsia="SimSun" w:hAnsi="Book Antiqua"/>
          <w:kern w:val="2"/>
          <w:sz w:val="24"/>
          <w:szCs w:val="24"/>
          <w:lang w:val="en-US" w:eastAsia="zh-CN"/>
        </w:rPr>
        <w:t>: 278-283 [PMID: 22521555 DOI: 10.1016/j.clinre.2012.03.022]</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11 </w:t>
      </w:r>
      <w:r w:rsidRPr="00FB7D6B">
        <w:rPr>
          <w:rFonts w:ascii="Book Antiqua" w:eastAsia="SimSun" w:hAnsi="Book Antiqua"/>
          <w:b/>
          <w:kern w:val="2"/>
          <w:sz w:val="24"/>
          <w:szCs w:val="24"/>
          <w:lang w:val="en-US" w:eastAsia="zh-CN"/>
        </w:rPr>
        <w:t>Sonthalia N</w:t>
      </w:r>
      <w:r w:rsidRPr="00FB7D6B">
        <w:rPr>
          <w:rFonts w:ascii="Book Antiqua" w:eastAsia="SimSun" w:hAnsi="Book Antiqua"/>
          <w:kern w:val="2"/>
          <w:sz w:val="24"/>
          <w:szCs w:val="24"/>
          <w:lang w:val="en-US" w:eastAsia="zh-CN"/>
        </w:rPr>
        <w:t xml:space="preserve">, Rathi PM, Jain SS, Surude RG, Mohite AR, Pawar SV, Contractor Q. </w:t>
      </w:r>
      <w:r w:rsidRPr="00FB7D6B">
        <w:rPr>
          <w:rFonts w:ascii="Book Antiqua" w:eastAsia="SimSun" w:hAnsi="Book Antiqua"/>
          <w:kern w:val="2"/>
          <w:sz w:val="24"/>
          <w:szCs w:val="24"/>
          <w:lang w:val="en-US" w:eastAsia="zh-CN"/>
        </w:rPr>
        <w:lastRenderedPageBreak/>
        <w:t xml:space="preserve">Natural History and Treatment Outcomes of Severe Autoimmune Hepatitis. </w:t>
      </w:r>
      <w:r w:rsidRPr="00FB7D6B">
        <w:rPr>
          <w:rFonts w:ascii="Book Antiqua" w:eastAsia="SimSun" w:hAnsi="Book Antiqua"/>
          <w:i/>
          <w:kern w:val="2"/>
          <w:sz w:val="24"/>
          <w:szCs w:val="24"/>
          <w:lang w:val="en-US" w:eastAsia="zh-CN"/>
        </w:rPr>
        <w:t>J Clin Gastroenterol</w:t>
      </w:r>
      <w:r w:rsidRPr="00FB7D6B">
        <w:rPr>
          <w:rFonts w:ascii="Book Antiqua" w:eastAsia="SimSun" w:hAnsi="Book Antiqua"/>
          <w:kern w:val="2"/>
          <w:sz w:val="24"/>
          <w:szCs w:val="24"/>
          <w:lang w:val="en-US" w:eastAsia="zh-CN"/>
        </w:rPr>
        <w:t xml:space="preserve"> 2017; </w:t>
      </w:r>
      <w:r w:rsidRPr="00FB7D6B">
        <w:rPr>
          <w:rFonts w:ascii="Book Antiqua" w:eastAsia="SimSun" w:hAnsi="Book Antiqua"/>
          <w:b/>
          <w:kern w:val="2"/>
          <w:sz w:val="24"/>
          <w:szCs w:val="24"/>
          <w:lang w:val="en-US" w:eastAsia="zh-CN"/>
        </w:rPr>
        <w:t>51</w:t>
      </w:r>
      <w:r w:rsidRPr="00FB7D6B">
        <w:rPr>
          <w:rFonts w:ascii="Book Antiqua" w:eastAsia="SimSun" w:hAnsi="Book Antiqua"/>
          <w:kern w:val="2"/>
          <w:sz w:val="24"/>
          <w:szCs w:val="24"/>
          <w:lang w:val="en-US" w:eastAsia="zh-CN"/>
        </w:rPr>
        <w:t>: 548-556 [PMID: 28272079 DOI: 10.1097/MCG.0000000000000805]</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12 </w:t>
      </w:r>
      <w:r w:rsidRPr="00FB7D6B">
        <w:rPr>
          <w:rFonts w:ascii="Book Antiqua" w:eastAsia="SimSun" w:hAnsi="Book Antiqua"/>
          <w:b/>
          <w:kern w:val="2"/>
          <w:sz w:val="24"/>
          <w:szCs w:val="24"/>
          <w:lang w:val="en-US" w:eastAsia="zh-CN"/>
        </w:rPr>
        <w:t>Bernal W</w:t>
      </w:r>
      <w:r w:rsidRPr="00FB7D6B">
        <w:rPr>
          <w:rFonts w:ascii="Book Antiqua" w:eastAsia="SimSun" w:hAnsi="Book Antiqua"/>
          <w:kern w:val="2"/>
          <w:sz w:val="24"/>
          <w:szCs w:val="24"/>
          <w:lang w:val="en-US" w:eastAsia="zh-CN"/>
        </w:rPr>
        <w:t xml:space="preserve">, Wendon J. Acute liver failure. </w:t>
      </w:r>
      <w:r w:rsidRPr="00FB7D6B">
        <w:rPr>
          <w:rFonts w:ascii="Book Antiqua" w:eastAsia="SimSun" w:hAnsi="Book Antiqua"/>
          <w:i/>
          <w:kern w:val="2"/>
          <w:sz w:val="24"/>
          <w:szCs w:val="24"/>
          <w:lang w:val="en-US" w:eastAsia="zh-CN"/>
        </w:rPr>
        <w:t>N Engl J Med</w:t>
      </w:r>
      <w:r w:rsidRPr="00FB7D6B">
        <w:rPr>
          <w:rFonts w:ascii="Book Antiqua" w:eastAsia="SimSun" w:hAnsi="Book Antiqua"/>
          <w:kern w:val="2"/>
          <w:sz w:val="24"/>
          <w:szCs w:val="24"/>
          <w:lang w:val="en-US" w:eastAsia="zh-CN"/>
        </w:rPr>
        <w:t xml:space="preserve"> 2013; </w:t>
      </w:r>
      <w:r w:rsidRPr="00FB7D6B">
        <w:rPr>
          <w:rFonts w:ascii="Book Antiqua" w:eastAsia="SimSun" w:hAnsi="Book Antiqua"/>
          <w:b/>
          <w:kern w:val="2"/>
          <w:sz w:val="24"/>
          <w:szCs w:val="24"/>
          <w:lang w:val="en-US" w:eastAsia="zh-CN"/>
        </w:rPr>
        <w:t>369</w:t>
      </w:r>
      <w:r w:rsidRPr="00FB7D6B">
        <w:rPr>
          <w:rFonts w:ascii="Book Antiqua" w:eastAsia="SimSun" w:hAnsi="Book Antiqua"/>
          <w:kern w:val="2"/>
          <w:sz w:val="24"/>
          <w:szCs w:val="24"/>
          <w:lang w:val="en-US" w:eastAsia="zh-CN"/>
        </w:rPr>
        <w:t>: 2525-2534 [PMID: 24369077 DOI: 10.1056/NEJMra1208937]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13 </w:t>
      </w:r>
      <w:r w:rsidRPr="00FB7D6B">
        <w:rPr>
          <w:rFonts w:ascii="Book Antiqua" w:eastAsia="SimSun" w:hAnsi="Book Antiqua"/>
          <w:b/>
          <w:kern w:val="2"/>
          <w:sz w:val="24"/>
          <w:szCs w:val="24"/>
          <w:lang w:val="en-US" w:eastAsia="zh-CN"/>
        </w:rPr>
        <w:t>Reddy KR</w:t>
      </w:r>
      <w:r w:rsidRPr="00FB7D6B">
        <w:rPr>
          <w:rFonts w:ascii="Book Antiqua" w:eastAsia="SimSun" w:hAnsi="Book Antiqua"/>
          <w:kern w:val="2"/>
          <w:sz w:val="24"/>
          <w:szCs w:val="24"/>
          <w:lang w:val="en-US" w:eastAsia="zh-CN"/>
        </w:rPr>
        <w:t xml:space="preserve">, Ellerbe C, Schilsky M, Stravitz RT, Fontana RJ, Durkalski V, Lee WM; Acute Liver Failure Study Group. Determinants of outcome among patients with acute liver failure listed for liver transplantation in the United States. </w:t>
      </w:r>
      <w:r w:rsidRPr="00FB7D6B">
        <w:rPr>
          <w:rFonts w:ascii="Book Antiqua" w:eastAsia="SimSun" w:hAnsi="Book Antiqua"/>
          <w:i/>
          <w:kern w:val="2"/>
          <w:sz w:val="24"/>
          <w:szCs w:val="24"/>
          <w:lang w:val="en-US" w:eastAsia="zh-CN"/>
        </w:rPr>
        <w:t>Liver Transpl</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22</w:t>
      </w:r>
      <w:r w:rsidRPr="00FB7D6B">
        <w:rPr>
          <w:rFonts w:ascii="Book Antiqua" w:eastAsia="SimSun" w:hAnsi="Book Antiqua"/>
          <w:kern w:val="2"/>
          <w:sz w:val="24"/>
          <w:szCs w:val="24"/>
          <w:lang w:val="en-US" w:eastAsia="zh-CN"/>
        </w:rPr>
        <w:t>: 505-515 [PMID: 26421889 DOI: 10.1002/lt.24347]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14 </w:t>
      </w:r>
      <w:r w:rsidRPr="00FB7D6B">
        <w:rPr>
          <w:rFonts w:ascii="Book Antiqua" w:eastAsia="SimSun" w:hAnsi="Book Antiqua"/>
          <w:b/>
          <w:kern w:val="2"/>
          <w:sz w:val="24"/>
          <w:szCs w:val="24"/>
          <w:lang w:val="en-US" w:eastAsia="zh-CN"/>
        </w:rPr>
        <w:t>Polson J</w:t>
      </w:r>
      <w:r w:rsidRPr="00FB7D6B">
        <w:rPr>
          <w:rFonts w:ascii="Book Antiqua" w:eastAsia="SimSun" w:hAnsi="Book Antiqua"/>
          <w:kern w:val="2"/>
          <w:sz w:val="24"/>
          <w:szCs w:val="24"/>
          <w:lang w:val="en-US" w:eastAsia="zh-CN"/>
        </w:rPr>
        <w:t xml:space="preserve">, Lee WM; American Association for the Study of Liver Disease. AASLD position paper: the management of acute liver failure.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2005; </w:t>
      </w:r>
      <w:r w:rsidRPr="00FB7D6B">
        <w:rPr>
          <w:rFonts w:ascii="Book Antiqua" w:eastAsia="SimSun" w:hAnsi="Book Antiqua"/>
          <w:b/>
          <w:kern w:val="2"/>
          <w:sz w:val="24"/>
          <w:szCs w:val="24"/>
          <w:lang w:val="en-US" w:eastAsia="zh-CN"/>
        </w:rPr>
        <w:t>41</w:t>
      </w:r>
      <w:r w:rsidRPr="00FB7D6B">
        <w:rPr>
          <w:rFonts w:ascii="Book Antiqua" w:eastAsia="SimSun" w:hAnsi="Book Antiqua"/>
          <w:kern w:val="2"/>
          <w:sz w:val="24"/>
          <w:szCs w:val="24"/>
          <w:lang w:val="en-US" w:eastAsia="zh-CN"/>
        </w:rPr>
        <w:t>: 1179-1197 [PMID: 15841455 DOI: 10.1002/hep.20703]</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15 </w:t>
      </w:r>
      <w:r w:rsidRPr="00FB7D6B">
        <w:rPr>
          <w:rFonts w:ascii="Book Antiqua" w:eastAsia="SimSun" w:hAnsi="Book Antiqua"/>
          <w:b/>
          <w:kern w:val="2"/>
          <w:sz w:val="24"/>
          <w:szCs w:val="24"/>
          <w:lang w:val="en-US" w:eastAsia="zh-CN"/>
        </w:rPr>
        <w:t>Czaja AJ</w:t>
      </w:r>
      <w:r w:rsidRPr="00FB7D6B">
        <w:rPr>
          <w:rFonts w:ascii="Book Antiqua" w:eastAsia="SimSun" w:hAnsi="Book Antiqua"/>
          <w:kern w:val="2"/>
          <w:sz w:val="24"/>
          <w:szCs w:val="24"/>
          <w:lang w:val="en-US" w:eastAsia="zh-CN"/>
        </w:rPr>
        <w:t xml:space="preserve">. Autoantibodies as prognostic markers in autoimmune liver disease. </w:t>
      </w:r>
      <w:r w:rsidRPr="00FB7D6B">
        <w:rPr>
          <w:rFonts w:ascii="Book Antiqua" w:eastAsia="SimSun" w:hAnsi="Book Antiqua"/>
          <w:i/>
          <w:kern w:val="2"/>
          <w:sz w:val="24"/>
          <w:szCs w:val="24"/>
          <w:lang w:val="en-US" w:eastAsia="zh-CN"/>
        </w:rPr>
        <w:t>Dig Dis Sci</w:t>
      </w:r>
      <w:r w:rsidRPr="00FB7D6B">
        <w:rPr>
          <w:rFonts w:ascii="Book Antiqua" w:eastAsia="SimSun" w:hAnsi="Book Antiqua"/>
          <w:kern w:val="2"/>
          <w:sz w:val="24"/>
          <w:szCs w:val="24"/>
          <w:lang w:val="en-US" w:eastAsia="zh-CN"/>
        </w:rPr>
        <w:t xml:space="preserve"> 2010; </w:t>
      </w:r>
      <w:r w:rsidRPr="00FB7D6B">
        <w:rPr>
          <w:rFonts w:ascii="Book Antiqua" w:eastAsia="SimSun" w:hAnsi="Book Antiqua"/>
          <w:b/>
          <w:kern w:val="2"/>
          <w:sz w:val="24"/>
          <w:szCs w:val="24"/>
          <w:lang w:val="en-US" w:eastAsia="zh-CN"/>
        </w:rPr>
        <w:t>55</w:t>
      </w:r>
      <w:r w:rsidRPr="00FB7D6B">
        <w:rPr>
          <w:rFonts w:ascii="Book Antiqua" w:eastAsia="SimSun" w:hAnsi="Book Antiqua"/>
          <w:kern w:val="2"/>
          <w:sz w:val="24"/>
          <w:szCs w:val="24"/>
          <w:lang w:val="en-US" w:eastAsia="zh-CN"/>
        </w:rPr>
        <w:t>: 2144-2161 [PMID: 20464491 DOI: 10.1007/s10620-010-1268-4]</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16 </w:t>
      </w:r>
      <w:r w:rsidRPr="00FB7D6B">
        <w:rPr>
          <w:rFonts w:ascii="Book Antiqua" w:eastAsia="SimSun" w:hAnsi="Book Antiqua"/>
          <w:b/>
          <w:kern w:val="2"/>
          <w:sz w:val="24"/>
          <w:szCs w:val="24"/>
          <w:lang w:val="en-US" w:eastAsia="zh-CN"/>
        </w:rPr>
        <w:t>Bernal W</w:t>
      </w:r>
      <w:r w:rsidRPr="00FB7D6B">
        <w:rPr>
          <w:rFonts w:ascii="Book Antiqua" w:eastAsia="SimSun" w:hAnsi="Book Antiqua"/>
          <w:kern w:val="2"/>
          <w:sz w:val="24"/>
          <w:szCs w:val="24"/>
          <w:lang w:val="en-US" w:eastAsia="zh-CN"/>
        </w:rPr>
        <w:t xml:space="preserve">, Ma Y, Smith HM, Portmann B, Wendon J, Vergani D. The significance of autoantibodies and immunoglobulins in acute liver failure: a cohort study. </w:t>
      </w:r>
      <w:r w:rsidRPr="00FB7D6B">
        <w:rPr>
          <w:rFonts w:ascii="Book Antiqua" w:eastAsia="SimSun" w:hAnsi="Book Antiqua"/>
          <w:i/>
          <w:kern w:val="2"/>
          <w:sz w:val="24"/>
          <w:szCs w:val="24"/>
          <w:lang w:val="en-US" w:eastAsia="zh-CN"/>
        </w:rPr>
        <w:t>J Hepatol</w:t>
      </w:r>
      <w:r w:rsidRPr="00FB7D6B">
        <w:rPr>
          <w:rFonts w:ascii="Book Antiqua" w:eastAsia="SimSun" w:hAnsi="Book Antiqua"/>
          <w:kern w:val="2"/>
          <w:sz w:val="24"/>
          <w:szCs w:val="24"/>
          <w:lang w:val="en-US" w:eastAsia="zh-CN"/>
        </w:rPr>
        <w:t xml:space="preserve"> 2007; </w:t>
      </w:r>
      <w:r w:rsidRPr="00FB7D6B">
        <w:rPr>
          <w:rFonts w:ascii="Book Antiqua" w:eastAsia="SimSun" w:hAnsi="Book Antiqua"/>
          <w:b/>
          <w:kern w:val="2"/>
          <w:sz w:val="24"/>
          <w:szCs w:val="24"/>
          <w:lang w:val="en-US" w:eastAsia="zh-CN"/>
        </w:rPr>
        <w:t>47</w:t>
      </w:r>
      <w:r w:rsidRPr="00FB7D6B">
        <w:rPr>
          <w:rFonts w:ascii="Book Antiqua" w:eastAsia="SimSun" w:hAnsi="Book Antiqua"/>
          <w:kern w:val="2"/>
          <w:sz w:val="24"/>
          <w:szCs w:val="24"/>
          <w:lang w:val="en-US" w:eastAsia="zh-CN"/>
        </w:rPr>
        <w:t>: 664-670 [PMID: 17602781 DOI: 10.1016/j.jhep.2007.05.011]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17 </w:t>
      </w:r>
      <w:r w:rsidRPr="00FB7D6B">
        <w:rPr>
          <w:rFonts w:ascii="Book Antiqua" w:eastAsia="SimSun" w:hAnsi="Book Antiqua"/>
          <w:b/>
          <w:kern w:val="2"/>
          <w:sz w:val="24"/>
          <w:szCs w:val="24"/>
          <w:lang w:val="en-US" w:eastAsia="zh-CN"/>
        </w:rPr>
        <w:t>Zachou K</w:t>
      </w:r>
      <w:r w:rsidRPr="00FB7D6B">
        <w:rPr>
          <w:rFonts w:ascii="Book Antiqua" w:eastAsia="SimSun" w:hAnsi="Book Antiqua"/>
          <w:kern w:val="2"/>
          <w:sz w:val="24"/>
          <w:szCs w:val="24"/>
          <w:lang w:val="en-US" w:eastAsia="zh-CN"/>
        </w:rPr>
        <w:t xml:space="preserve">, Muratori P, Koukoulis GK, Granito A, Gatselis N, Fabbri A, Dalekos GN, Muratori L. Review article: autoimmune hepatitis -- current management and challenges. </w:t>
      </w:r>
      <w:r w:rsidRPr="00FB7D6B">
        <w:rPr>
          <w:rFonts w:ascii="Book Antiqua" w:eastAsia="SimSun" w:hAnsi="Book Antiqua"/>
          <w:i/>
          <w:kern w:val="2"/>
          <w:sz w:val="24"/>
          <w:szCs w:val="24"/>
          <w:lang w:val="en-US" w:eastAsia="zh-CN"/>
        </w:rPr>
        <w:t>Aliment Pharmacol Ther</w:t>
      </w:r>
      <w:r w:rsidRPr="00FB7D6B">
        <w:rPr>
          <w:rFonts w:ascii="Book Antiqua" w:eastAsia="SimSun" w:hAnsi="Book Antiqua"/>
          <w:kern w:val="2"/>
          <w:sz w:val="24"/>
          <w:szCs w:val="24"/>
          <w:lang w:val="en-US" w:eastAsia="zh-CN"/>
        </w:rPr>
        <w:t xml:space="preserve"> 2013; </w:t>
      </w:r>
      <w:r w:rsidRPr="00FB7D6B">
        <w:rPr>
          <w:rFonts w:ascii="Book Antiqua" w:eastAsia="SimSun" w:hAnsi="Book Antiqua"/>
          <w:b/>
          <w:kern w:val="2"/>
          <w:sz w:val="24"/>
          <w:szCs w:val="24"/>
          <w:lang w:val="en-US" w:eastAsia="zh-CN"/>
        </w:rPr>
        <w:t>38</w:t>
      </w:r>
      <w:r w:rsidRPr="00FB7D6B">
        <w:rPr>
          <w:rFonts w:ascii="Book Antiqua" w:eastAsia="SimSun" w:hAnsi="Book Antiqua"/>
          <w:kern w:val="2"/>
          <w:sz w:val="24"/>
          <w:szCs w:val="24"/>
          <w:lang w:val="en-US" w:eastAsia="zh-CN"/>
        </w:rPr>
        <w:t>: 887-913 [PMID: 24010812 DOI: 10.1111/apt.12470]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18 </w:t>
      </w:r>
      <w:r w:rsidRPr="00FB7D6B">
        <w:rPr>
          <w:rFonts w:ascii="Book Antiqua" w:eastAsia="SimSun" w:hAnsi="Book Antiqua"/>
          <w:b/>
          <w:kern w:val="2"/>
          <w:sz w:val="24"/>
          <w:szCs w:val="24"/>
          <w:lang w:val="en-US" w:eastAsia="zh-CN"/>
        </w:rPr>
        <w:t>Czaja AJ</w:t>
      </w:r>
      <w:r w:rsidRPr="00FB7D6B">
        <w:rPr>
          <w:rFonts w:ascii="Book Antiqua" w:eastAsia="SimSun" w:hAnsi="Book Antiqua"/>
          <w:kern w:val="2"/>
          <w:sz w:val="24"/>
          <w:szCs w:val="24"/>
          <w:lang w:val="en-US" w:eastAsia="zh-CN"/>
        </w:rPr>
        <w:t xml:space="preserve">. Performance parameters of the diagnostic scoring systems for autoimmune hepatitis.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2008; </w:t>
      </w:r>
      <w:r w:rsidRPr="00FB7D6B">
        <w:rPr>
          <w:rFonts w:ascii="Book Antiqua" w:eastAsia="SimSun" w:hAnsi="Book Antiqua"/>
          <w:b/>
          <w:kern w:val="2"/>
          <w:sz w:val="24"/>
          <w:szCs w:val="24"/>
          <w:lang w:val="en-US" w:eastAsia="zh-CN"/>
        </w:rPr>
        <w:t>48</w:t>
      </w:r>
      <w:r w:rsidRPr="00FB7D6B">
        <w:rPr>
          <w:rFonts w:ascii="Book Antiqua" w:eastAsia="SimSun" w:hAnsi="Book Antiqua"/>
          <w:kern w:val="2"/>
          <w:sz w:val="24"/>
          <w:szCs w:val="24"/>
          <w:lang w:val="en-US" w:eastAsia="zh-CN"/>
        </w:rPr>
        <w:t>: 1540-1548 [PMID: 18924244 DOI: 10.1002/hep.22513]</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19 </w:t>
      </w:r>
      <w:r w:rsidRPr="00FB7D6B">
        <w:rPr>
          <w:rFonts w:ascii="Book Antiqua" w:eastAsia="SimSun" w:hAnsi="Book Antiqua"/>
          <w:b/>
          <w:kern w:val="2"/>
          <w:sz w:val="24"/>
          <w:szCs w:val="24"/>
          <w:lang w:val="en-US" w:eastAsia="zh-CN"/>
        </w:rPr>
        <w:t>Hennes EM</w:t>
      </w:r>
      <w:r w:rsidRPr="00FB7D6B">
        <w:rPr>
          <w:rFonts w:ascii="Book Antiqua" w:eastAsia="SimSun" w:hAnsi="Book Antiqua"/>
          <w:kern w:val="2"/>
          <w:sz w:val="24"/>
          <w:szCs w:val="24"/>
          <w:lang w:val="en-US" w:eastAsia="zh-CN"/>
        </w:rPr>
        <w:t xml:space="preserve">, Zeniya M, Czaja AJ, Parés A, Dalekos GN, Krawitt EL, Bittencourt PL, Porta G, Boberg KM, Hofer H, Bianchi FB, Shibata M, Schramm C, Eisenmann de Torres B, Galle PR, McFarlane I, Dienes HP, Lohse AW; International Autoimmune Hepatitis Group. Simplified criteria for the diagnosis of autoimmune hepatitis.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2008; </w:t>
      </w:r>
      <w:r w:rsidRPr="00FB7D6B">
        <w:rPr>
          <w:rFonts w:ascii="Book Antiqua" w:eastAsia="SimSun" w:hAnsi="Book Antiqua"/>
          <w:b/>
          <w:kern w:val="2"/>
          <w:sz w:val="24"/>
          <w:szCs w:val="24"/>
          <w:lang w:val="en-US" w:eastAsia="zh-CN"/>
        </w:rPr>
        <w:t>48</w:t>
      </w:r>
      <w:r w:rsidRPr="00FB7D6B">
        <w:rPr>
          <w:rFonts w:ascii="Book Antiqua" w:eastAsia="SimSun" w:hAnsi="Book Antiqua"/>
          <w:kern w:val="2"/>
          <w:sz w:val="24"/>
          <w:szCs w:val="24"/>
          <w:lang w:val="en-US" w:eastAsia="zh-CN"/>
        </w:rPr>
        <w:t>: 169-176 [PMID: 18537184 DOI: 10.1002/hep.22322]</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20 </w:t>
      </w:r>
      <w:r w:rsidRPr="00FB7D6B">
        <w:rPr>
          <w:rFonts w:ascii="Book Antiqua" w:eastAsia="SimSun" w:hAnsi="Book Antiqua"/>
          <w:b/>
          <w:kern w:val="2"/>
          <w:sz w:val="24"/>
          <w:szCs w:val="24"/>
          <w:lang w:val="en-US" w:eastAsia="zh-CN"/>
        </w:rPr>
        <w:t>Castiella A</w:t>
      </w:r>
      <w:r w:rsidRPr="00FB7D6B">
        <w:rPr>
          <w:rFonts w:ascii="Book Antiqua" w:eastAsia="SimSun" w:hAnsi="Book Antiqua"/>
          <w:kern w:val="2"/>
          <w:sz w:val="24"/>
          <w:szCs w:val="24"/>
          <w:lang w:val="en-US" w:eastAsia="zh-CN"/>
        </w:rPr>
        <w:t xml:space="preserve">, Zapata E, Lucena MI, Andrade RJ. Drug-induced autoimmune liver disease: A diagnostic dilemma of an increasingly reported disease. </w:t>
      </w:r>
      <w:r w:rsidRPr="00FB7D6B">
        <w:rPr>
          <w:rFonts w:ascii="Book Antiqua" w:eastAsia="SimSun" w:hAnsi="Book Antiqua"/>
          <w:i/>
          <w:kern w:val="2"/>
          <w:sz w:val="24"/>
          <w:szCs w:val="24"/>
          <w:lang w:val="en-US" w:eastAsia="zh-CN"/>
        </w:rPr>
        <w:t>World J Hepatol</w:t>
      </w:r>
      <w:r w:rsidRPr="00FB7D6B">
        <w:rPr>
          <w:rFonts w:ascii="Book Antiqua" w:eastAsia="SimSun" w:hAnsi="Book Antiqua"/>
          <w:kern w:val="2"/>
          <w:sz w:val="24"/>
          <w:szCs w:val="24"/>
          <w:lang w:val="en-US" w:eastAsia="zh-CN"/>
        </w:rPr>
        <w:t xml:space="preserve"> 2014; </w:t>
      </w:r>
      <w:r w:rsidRPr="00FB7D6B">
        <w:rPr>
          <w:rFonts w:ascii="Book Antiqua" w:eastAsia="SimSun" w:hAnsi="Book Antiqua"/>
          <w:b/>
          <w:kern w:val="2"/>
          <w:sz w:val="24"/>
          <w:szCs w:val="24"/>
          <w:lang w:val="en-US" w:eastAsia="zh-CN"/>
        </w:rPr>
        <w:t>6</w:t>
      </w:r>
      <w:r w:rsidRPr="00FB7D6B">
        <w:rPr>
          <w:rFonts w:ascii="Book Antiqua" w:eastAsia="SimSun" w:hAnsi="Book Antiqua"/>
          <w:kern w:val="2"/>
          <w:sz w:val="24"/>
          <w:szCs w:val="24"/>
          <w:lang w:val="en-US" w:eastAsia="zh-CN"/>
        </w:rPr>
        <w:t>: 160-168 [PMID: 24799984 DOI: 10.4254/wjh.v6.i4.160]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lastRenderedPageBreak/>
        <w:t xml:space="preserve">21 </w:t>
      </w:r>
      <w:r w:rsidRPr="00FB7D6B">
        <w:rPr>
          <w:rFonts w:ascii="Book Antiqua" w:eastAsia="SimSun" w:hAnsi="Book Antiqua"/>
          <w:b/>
          <w:kern w:val="2"/>
          <w:sz w:val="24"/>
          <w:szCs w:val="24"/>
          <w:lang w:val="en-US" w:eastAsia="zh-CN"/>
        </w:rPr>
        <w:t>Watkins PB</w:t>
      </w:r>
      <w:r w:rsidRPr="00FB7D6B">
        <w:rPr>
          <w:rFonts w:ascii="Book Antiqua" w:eastAsia="SimSun" w:hAnsi="Book Antiqua"/>
          <w:kern w:val="2"/>
          <w:sz w:val="24"/>
          <w:szCs w:val="24"/>
          <w:lang w:val="en-US" w:eastAsia="zh-CN"/>
        </w:rPr>
        <w:t xml:space="preserve">, Seeff LB. Drug-induced liver injury: summary of a single topic clinical research conference.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2006; </w:t>
      </w:r>
      <w:r w:rsidRPr="00FB7D6B">
        <w:rPr>
          <w:rFonts w:ascii="Book Antiqua" w:eastAsia="SimSun" w:hAnsi="Book Antiqua"/>
          <w:b/>
          <w:kern w:val="2"/>
          <w:sz w:val="24"/>
          <w:szCs w:val="24"/>
          <w:lang w:val="en-US" w:eastAsia="zh-CN"/>
        </w:rPr>
        <w:t>43</w:t>
      </w:r>
      <w:r w:rsidRPr="00FB7D6B">
        <w:rPr>
          <w:rFonts w:ascii="Book Antiqua" w:eastAsia="SimSun" w:hAnsi="Book Antiqua"/>
          <w:kern w:val="2"/>
          <w:sz w:val="24"/>
          <w:szCs w:val="24"/>
          <w:lang w:val="en-US" w:eastAsia="zh-CN"/>
        </w:rPr>
        <w:t>: 618-631 [PMID: 16496329 DOI: 10.1002/hep.21095]</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22 </w:t>
      </w:r>
      <w:r w:rsidRPr="00FB7D6B">
        <w:rPr>
          <w:rFonts w:ascii="Book Antiqua" w:eastAsia="SimSun" w:hAnsi="Book Antiqua"/>
          <w:b/>
          <w:kern w:val="2"/>
          <w:sz w:val="24"/>
          <w:szCs w:val="24"/>
          <w:lang w:val="en-US" w:eastAsia="zh-CN"/>
        </w:rPr>
        <w:t>Alla V</w:t>
      </w:r>
      <w:r w:rsidRPr="00FB7D6B">
        <w:rPr>
          <w:rFonts w:ascii="Book Antiqua" w:eastAsia="SimSun" w:hAnsi="Book Antiqua"/>
          <w:kern w:val="2"/>
          <w:sz w:val="24"/>
          <w:szCs w:val="24"/>
          <w:lang w:val="en-US" w:eastAsia="zh-CN"/>
        </w:rPr>
        <w:t xml:space="preserve">, Abraham J, Siddiqui J, Raina D, Wu GY, Chalasani NP, Bonkovsky HL. Autoimmune hepatitis triggered by statins. </w:t>
      </w:r>
      <w:r w:rsidRPr="00FB7D6B">
        <w:rPr>
          <w:rFonts w:ascii="Book Antiqua" w:eastAsia="SimSun" w:hAnsi="Book Antiqua"/>
          <w:i/>
          <w:kern w:val="2"/>
          <w:sz w:val="24"/>
          <w:szCs w:val="24"/>
          <w:lang w:val="en-US" w:eastAsia="zh-CN"/>
        </w:rPr>
        <w:t>J Clin Gastroenterol</w:t>
      </w:r>
      <w:r w:rsidRPr="00FB7D6B">
        <w:rPr>
          <w:rFonts w:ascii="Book Antiqua" w:eastAsia="SimSun" w:hAnsi="Book Antiqua"/>
          <w:kern w:val="2"/>
          <w:sz w:val="24"/>
          <w:szCs w:val="24"/>
          <w:lang w:val="en-US" w:eastAsia="zh-CN"/>
        </w:rPr>
        <w:t xml:space="preserve"> 2006; </w:t>
      </w:r>
      <w:r w:rsidRPr="00FB7D6B">
        <w:rPr>
          <w:rFonts w:ascii="Book Antiqua" w:eastAsia="SimSun" w:hAnsi="Book Antiqua"/>
          <w:b/>
          <w:kern w:val="2"/>
          <w:sz w:val="24"/>
          <w:szCs w:val="24"/>
          <w:lang w:val="en-US" w:eastAsia="zh-CN"/>
        </w:rPr>
        <w:t>40</w:t>
      </w:r>
      <w:r w:rsidRPr="00FB7D6B">
        <w:rPr>
          <w:rFonts w:ascii="Book Antiqua" w:eastAsia="SimSun" w:hAnsi="Book Antiqua"/>
          <w:kern w:val="2"/>
          <w:sz w:val="24"/>
          <w:szCs w:val="24"/>
          <w:lang w:val="en-US" w:eastAsia="zh-CN"/>
        </w:rPr>
        <w:t>: 757-761 [PMID: 16940892]</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23 </w:t>
      </w:r>
      <w:r w:rsidRPr="00FB7D6B">
        <w:rPr>
          <w:rFonts w:ascii="Book Antiqua" w:eastAsia="SimSun" w:hAnsi="Book Antiqua"/>
          <w:b/>
          <w:kern w:val="2"/>
          <w:sz w:val="24"/>
          <w:szCs w:val="24"/>
          <w:lang w:val="en-US" w:eastAsia="zh-CN"/>
        </w:rPr>
        <w:t>Grasset L</w:t>
      </w:r>
      <w:r w:rsidR="00BB1637">
        <w:rPr>
          <w:rFonts w:ascii="Book Antiqua" w:eastAsia="SimSun" w:hAnsi="Book Antiqua"/>
          <w:kern w:val="2"/>
          <w:sz w:val="24"/>
          <w:szCs w:val="24"/>
          <w:lang w:val="en-US" w:eastAsia="zh-CN"/>
        </w:rPr>
        <w:t xml:space="preserve">, Guy C, Ollagnier M. </w:t>
      </w:r>
      <w:r w:rsidRPr="00FB7D6B">
        <w:rPr>
          <w:rFonts w:ascii="Book Antiqua" w:eastAsia="SimSun" w:hAnsi="Book Antiqua"/>
          <w:kern w:val="2"/>
          <w:sz w:val="24"/>
          <w:szCs w:val="24"/>
          <w:lang w:val="en-US" w:eastAsia="zh-CN"/>
        </w:rPr>
        <w:t>Cyclines and acne: pay attention to adverse drug reactions! A re</w:t>
      </w:r>
      <w:r w:rsidR="00BB1637">
        <w:rPr>
          <w:rFonts w:ascii="Book Antiqua" w:eastAsia="SimSun" w:hAnsi="Book Antiqua"/>
          <w:kern w:val="2"/>
          <w:sz w:val="24"/>
          <w:szCs w:val="24"/>
          <w:lang w:val="en-US" w:eastAsia="zh-CN"/>
        </w:rPr>
        <w:t>cent literature review</w:t>
      </w:r>
      <w:r w:rsidRPr="00FB7D6B">
        <w:rPr>
          <w:rFonts w:ascii="Book Antiqua" w:eastAsia="SimSun" w:hAnsi="Book Antiqua"/>
          <w:kern w:val="2"/>
          <w:sz w:val="24"/>
          <w:szCs w:val="24"/>
          <w:lang w:val="en-US" w:eastAsia="zh-CN"/>
        </w:rPr>
        <w:t xml:space="preserve">. </w:t>
      </w:r>
      <w:r w:rsidRPr="00FB7D6B">
        <w:rPr>
          <w:rFonts w:ascii="Book Antiqua" w:eastAsia="SimSun" w:hAnsi="Book Antiqua"/>
          <w:i/>
          <w:kern w:val="2"/>
          <w:sz w:val="24"/>
          <w:szCs w:val="24"/>
          <w:lang w:val="en-US" w:eastAsia="zh-CN"/>
        </w:rPr>
        <w:t>Rev Med Interne</w:t>
      </w:r>
      <w:r w:rsidRPr="00FB7D6B">
        <w:rPr>
          <w:rFonts w:ascii="Book Antiqua" w:eastAsia="SimSun" w:hAnsi="Book Antiqua"/>
          <w:kern w:val="2"/>
          <w:sz w:val="24"/>
          <w:szCs w:val="24"/>
          <w:lang w:val="en-US" w:eastAsia="zh-CN"/>
        </w:rPr>
        <w:t xml:space="preserve"> 2003; </w:t>
      </w:r>
      <w:r w:rsidRPr="00FB7D6B">
        <w:rPr>
          <w:rFonts w:ascii="Book Antiqua" w:eastAsia="SimSun" w:hAnsi="Book Antiqua"/>
          <w:b/>
          <w:kern w:val="2"/>
          <w:sz w:val="24"/>
          <w:szCs w:val="24"/>
          <w:lang w:val="en-US" w:eastAsia="zh-CN"/>
        </w:rPr>
        <w:t>24</w:t>
      </w:r>
      <w:r w:rsidRPr="00FB7D6B">
        <w:rPr>
          <w:rFonts w:ascii="Book Antiqua" w:eastAsia="SimSun" w:hAnsi="Book Antiqua"/>
          <w:kern w:val="2"/>
          <w:sz w:val="24"/>
          <w:szCs w:val="24"/>
          <w:lang w:val="en-US" w:eastAsia="zh-CN"/>
        </w:rPr>
        <w:t>: 305-316 [PMID: 12763176]</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24 </w:t>
      </w:r>
      <w:r w:rsidRPr="00FB7D6B">
        <w:rPr>
          <w:rFonts w:ascii="Book Antiqua" w:eastAsia="SimSun" w:hAnsi="Book Antiqua"/>
          <w:b/>
          <w:kern w:val="2"/>
          <w:sz w:val="24"/>
          <w:szCs w:val="24"/>
          <w:lang w:val="en-US" w:eastAsia="zh-CN"/>
        </w:rPr>
        <w:t>Björnsson E</w:t>
      </w:r>
      <w:r w:rsidRPr="00FB7D6B">
        <w:rPr>
          <w:rFonts w:ascii="Book Antiqua" w:eastAsia="SimSun" w:hAnsi="Book Antiqua"/>
          <w:kern w:val="2"/>
          <w:sz w:val="24"/>
          <w:szCs w:val="24"/>
          <w:lang w:val="en-US" w:eastAsia="zh-CN"/>
        </w:rPr>
        <w:t xml:space="preserve">, Talwalkar J, Treeprasertsuk S, Kamath PS, Takahashi N, Sanderson S, Neuhauser M, Lindor K. Drug-induced autoimmune hepatitis: clinical characteristics and prognosis.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2010; </w:t>
      </w:r>
      <w:r w:rsidRPr="00FB7D6B">
        <w:rPr>
          <w:rFonts w:ascii="Book Antiqua" w:eastAsia="SimSun" w:hAnsi="Book Antiqua"/>
          <w:b/>
          <w:kern w:val="2"/>
          <w:sz w:val="24"/>
          <w:szCs w:val="24"/>
          <w:lang w:val="en-US" w:eastAsia="zh-CN"/>
        </w:rPr>
        <w:t>51</w:t>
      </w:r>
      <w:r w:rsidRPr="00FB7D6B">
        <w:rPr>
          <w:rFonts w:ascii="Book Antiqua" w:eastAsia="SimSun" w:hAnsi="Book Antiqua"/>
          <w:kern w:val="2"/>
          <w:sz w:val="24"/>
          <w:szCs w:val="24"/>
          <w:lang w:val="en-US" w:eastAsia="zh-CN"/>
        </w:rPr>
        <w:t>: 2040-2048 [PMID: 20512992 DOI: 10.1002/hep.23588]</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25 </w:t>
      </w:r>
      <w:r w:rsidRPr="00FB7D6B">
        <w:rPr>
          <w:rFonts w:ascii="Book Antiqua" w:eastAsia="SimSun" w:hAnsi="Book Antiqua"/>
          <w:b/>
          <w:kern w:val="2"/>
          <w:sz w:val="24"/>
          <w:szCs w:val="24"/>
          <w:lang w:val="en-US" w:eastAsia="zh-CN"/>
        </w:rPr>
        <w:t>Castiella A</w:t>
      </w:r>
      <w:r w:rsidRPr="00FB7D6B">
        <w:rPr>
          <w:rFonts w:ascii="Book Antiqua" w:eastAsia="SimSun" w:hAnsi="Book Antiqua"/>
          <w:kern w:val="2"/>
          <w:sz w:val="24"/>
          <w:szCs w:val="24"/>
          <w:lang w:val="en-US" w:eastAsia="zh-CN"/>
        </w:rPr>
        <w:t xml:space="preserve">, Lucena MI, Zapata EM, Otazua P, Andrade RJ. Drug-induced autoimmune-like hepatitis: a diagnostic challenge. </w:t>
      </w:r>
      <w:r w:rsidRPr="00FB7D6B">
        <w:rPr>
          <w:rFonts w:ascii="Book Antiqua" w:eastAsia="SimSun" w:hAnsi="Book Antiqua"/>
          <w:i/>
          <w:kern w:val="2"/>
          <w:sz w:val="24"/>
          <w:szCs w:val="24"/>
          <w:lang w:val="en-US" w:eastAsia="zh-CN"/>
        </w:rPr>
        <w:t>Dig Dis Sci</w:t>
      </w:r>
      <w:r w:rsidRPr="00FB7D6B">
        <w:rPr>
          <w:rFonts w:ascii="Book Antiqua" w:eastAsia="SimSun" w:hAnsi="Book Antiqua"/>
          <w:kern w:val="2"/>
          <w:sz w:val="24"/>
          <w:szCs w:val="24"/>
          <w:lang w:val="en-US" w:eastAsia="zh-CN"/>
        </w:rPr>
        <w:t xml:space="preserve"> 2011; </w:t>
      </w:r>
      <w:r w:rsidRPr="00FB7D6B">
        <w:rPr>
          <w:rFonts w:ascii="Book Antiqua" w:eastAsia="SimSun" w:hAnsi="Book Antiqua"/>
          <w:b/>
          <w:kern w:val="2"/>
          <w:sz w:val="24"/>
          <w:szCs w:val="24"/>
          <w:lang w:val="en-US" w:eastAsia="zh-CN"/>
        </w:rPr>
        <w:t>56</w:t>
      </w:r>
      <w:r w:rsidRPr="00FB7D6B">
        <w:rPr>
          <w:rFonts w:ascii="Book Antiqua" w:eastAsia="SimSun" w:hAnsi="Book Antiqua"/>
          <w:kern w:val="2"/>
          <w:sz w:val="24"/>
          <w:szCs w:val="24"/>
          <w:lang w:val="en-US" w:eastAsia="zh-CN"/>
        </w:rPr>
        <w:t>: 2501-</w:t>
      </w:r>
      <w:r w:rsidR="00BB1637">
        <w:rPr>
          <w:rFonts w:ascii="Book Antiqua" w:eastAsia="SimSun" w:hAnsi="Book Antiqua" w:hint="eastAsia"/>
          <w:kern w:val="2"/>
          <w:sz w:val="24"/>
          <w:szCs w:val="24"/>
          <w:lang w:val="en-US" w:eastAsia="zh-CN"/>
        </w:rPr>
        <w:t>250</w:t>
      </w:r>
      <w:r w:rsidRPr="00FB7D6B">
        <w:rPr>
          <w:rFonts w:ascii="Book Antiqua" w:eastAsia="SimSun" w:hAnsi="Book Antiqua"/>
          <w:kern w:val="2"/>
          <w:sz w:val="24"/>
          <w:szCs w:val="24"/>
          <w:lang w:val="en-US" w:eastAsia="zh-CN"/>
        </w:rPr>
        <w:t>2; author reply 2502-</w:t>
      </w:r>
      <w:r w:rsidR="00BB1637">
        <w:rPr>
          <w:rFonts w:ascii="Book Antiqua" w:eastAsia="SimSun" w:hAnsi="Book Antiqua" w:hint="eastAsia"/>
          <w:kern w:val="2"/>
          <w:sz w:val="24"/>
          <w:szCs w:val="24"/>
          <w:lang w:val="en-US" w:eastAsia="zh-CN"/>
        </w:rPr>
        <w:t>250</w:t>
      </w:r>
      <w:r w:rsidRPr="00FB7D6B">
        <w:rPr>
          <w:rFonts w:ascii="Book Antiqua" w:eastAsia="SimSun" w:hAnsi="Book Antiqua"/>
          <w:kern w:val="2"/>
          <w:sz w:val="24"/>
          <w:szCs w:val="24"/>
          <w:lang w:val="en-US" w:eastAsia="zh-CN"/>
        </w:rPr>
        <w:t>3 [PMID: 21674172 DOI: 10.1007/s10620-011-1787-7]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26 </w:t>
      </w:r>
      <w:r w:rsidRPr="00FB7D6B">
        <w:rPr>
          <w:rFonts w:ascii="Book Antiqua" w:eastAsia="SimSun" w:hAnsi="Book Antiqua"/>
          <w:b/>
          <w:kern w:val="2"/>
          <w:sz w:val="24"/>
          <w:szCs w:val="24"/>
          <w:lang w:val="en-US" w:eastAsia="zh-CN"/>
        </w:rPr>
        <w:t>Reuben A</w:t>
      </w:r>
      <w:r w:rsidRPr="00FB7D6B">
        <w:rPr>
          <w:rFonts w:ascii="Book Antiqua" w:eastAsia="SimSun" w:hAnsi="Book Antiqua"/>
          <w:kern w:val="2"/>
          <w:sz w:val="24"/>
          <w:szCs w:val="24"/>
          <w:lang w:val="en-US" w:eastAsia="zh-CN"/>
        </w:rPr>
        <w:t xml:space="preserve">, Koch DG, Lee WM; Acute Liver Failure Study Group. Drug-induced acute liver failure: results of a U.S. multicenter, prospective study.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2010; </w:t>
      </w:r>
      <w:r w:rsidRPr="00FB7D6B">
        <w:rPr>
          <w:rFonts w:ascii="Book Antiqua" w:eastAsia="SimSun" w:hAnsi="Book Antiqua"/>
          <w:b/>
          <w:kern w:val="2"/>
          <w:sz w:val="24"/>
          <w:szCs w:val="24"/>
          <w:lang w:val="en-US" w:eastAsia="zh-CN"/>
        </w:rPr>
        <w:t>52</w:t>
      </w:r>
      <w:r w:rsidRPr="00FB7D6B">
        <w:rPr>
          <w:rFonts w:ascii="Book Antiqua" w:eastAsia="SimSun" w:hAnsi="Book Antiqua"/>
          <w:kern w:val="2"/>
          <w:sz w:val="24"/>
          <w:szCs w:val="24"/>
          <w:lang w:val="en-US" w:eastAsia="zh-CN"/>
        </w:rPr>
        <w:t>: 2065-2076 [PMID: 20949552 DOI: 10.1002/hep.23937]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27 </w:t>
      </w:r>
      <w:r w:rsidRPr="00FB7D6B">
        <w:rPr>
          <w:rFonts w:ascii="Book Antiqua" w:eastAsia="SimSun" w:hAnsi="Book Antiqua"/>
          <w:b/>
          <w:kern w:val="2"/>
          <w:sz w:val="24"/>
          <w:szCs w:val="24"/>
          <w:lang w:val="en-US" w:eastAsia="zh-CN"/>
        </w:rPr>
        <w:t>Lee WM</w:t>
      </w:r>
      <w:r w:rsidRPr="00FB7D6B">
        <w:rPr>
          <w:rFonts w:ascii="Book Antiqua" w:eastAsia="SimSun" w:hAnsi="Book Antiqua"/>
          <w:kern w:val="2"/>
          <w:sz w:val="24"/>
          <w:szCs w:val="24"/>
          <w:lang w:val="en-US" w:eastAsia="zh-CN"/>
        </w:rPr>
        <w:t xml:space="preserve">, Squires RH Jr, Nyberg SL, Doo E, Hoofnagle JH. Acute liver failure: Summary of a workshop. </w:t>
      </w:r>
      <w:r w:rsidRPr="00FB7D6B">
        <w:rPr>
          <w:rFonts w:ascii="Book Antiqua" w:eastAsia="SimSun" w:hAnsi="Book Antiqua"/>
          <w:i/>
          <w:kern w:val="2"/>
          <w:sz w:val="24"/>
          <w:szCs w:val="24"/>
          <w:lang w:val="en-US" w:eastAsia="zh-CN"/>
        </w:rPr>
        <w:t>Hepatology</w:t>
      </w:r>
      <w:r w:rsidRPr="00FB7D6B">
        <w:rPr>
          <w:rFonts w:ascii="Book Antiqua" w:eastAsia="SimSun" w:hAnsi="Book Antiqua"/>
          <w:kern w:val="2"/>
          <w:sz w:val="24"/>
          <w:szCs w:val="24"/>
          <w:lang w:val="en-US" w:eastAsia="zh-CN"/>
        </w:rPr>
        <w:t xml:space="preserve"> 2008; </w:t>
      </w:r>
      <w:r w:rsidRPr="00FB7D6B">
        <w:rPr>
          <w:rFonts w:ascii="Book Antiqua" w:eastAsia="SimSun" w:hAnsi="Book Antiqua"/>
          <w:b/>
          <w:kern w:val="2"/>
          <w:sz w:val="24"/>
          <w:szCs w:val="24"/>
          <w:lang w:val="en-US" w:eastAsia="zh-CN"/>
        </w:rPr>
        <w:t>47</w:t>
      </w:r>
      <w:r w:rsidRPr="00FB7D6B">
        <w:rPr>
          <w:rFonts w:ascii="Book Antiqua" w:eastAsia="SimSun" w:hAnsi="Book Antiqua"/>
          <w:kern w:val="2"/>
          <w:sz w:val="24"/>
          <w:szCs w:val="24"/>
          <w:lang w:val="en-US" w:eastAsia="zh-CN"/>
        </w:rPr>
        <w:t>: 1401-1415 [PMID: 18318440 DOI: 10.1002/hep.22177]</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28 </w:t>
      </w:r>
      <w:r w:rsidRPr="00FB7D6B">
        <w:rPr>
          <w:rFonts w:ascii="Book Antiqua" w:eastAsia="SimSun" w:hAnsi="Book Antiqua"/>
          <w:b/>
          <w:kern w:val="2"/>
          <w:sz w:val="24"/>
          <w:szCs w:val="24"/>
          <w:lang w:val="en-US" w:eastAsia="zh-CN"/>
        </w:rPr>
        <w:t>Tujios SR</w:t>
      </w:r>
      <w:r w:rsidRPr="00FB7D6B">
        <w:rPr>
          <w:rFonts w:ascii="Book Antiqua" w:eastAsia="SimSun" w:hAnsi="Book Antiqua"/>
          <w:kern w:val="2"/>
          <w:sz w:val="24"/>
          <w:szCs w:val="24"/>
          <w:lang w:val="en-US" w:eastAsia="zh-CN"/>
        </w:rPr>
        <w:t xml:space="preserve">, Lee WM. Acute liver failure induced by idiosyncratic reaction to drugs: Challenges in diagnosis and therapy. </w:t>
      </w:r>
      <w:r w:rsidRPr="00FB7D6B">
        <w:rPr>
          <w:rFonts w:ascii="Book Antiqua" w:eastAsia="SimSun" w:hAnsi="Book Antiqua"/>
          <w:i/>
          <w:kern w:val="2"/>
          <w:sz w:val="24"/>
          <w:szCs w:val="24"/>
          <w:lang w:val="en-US" w:eastAsia="zh-CN"/>
        </w:rPr>
        <w:t>Liver Int</w:t>
      </w:r>
      <w:r w:rsidRPr="00FB7D6B">
        <w:rPr>
          <w:rFonts w:ascii="Book Antiqua" w:eastAsia="SimSun" w:hAnsi="Book Antiqua"/>
          <w:kern w:val="2"/>
          <w:sz w:val="24"/>
          <w:szCs w:val="24"/>
          <w:lang w:val="en-US" w:eastAsia="zh-CN"/>
        </w:rPr>
        <w:t xml:space="preserve"> 2018; </w:t>
      </w:r>
      <w:r w:rsidRPr="00FB7D6B">
        <w:rPr>
          <w:rFonts w:ascii="Book Antiqua" w:eastAsia="SimSun" w:hAnsi="Book Antiqua"/>
          <w:b/>
          <w:kern w:val="2"/>
          <w:sz w:val="24"/>
          <w:szCs w:val="24"/>
          <w:lang w:val="en-US" w:eastAsia="zh-CN"/>
        </w:rPr>
        <w:t>38</w:t>
      </w:r>
      <w:r w:rsidRPr="00FB7D6B">
        <w:rPr>
          <w:rFonts w:ascii="Book Antiqua" w:eastAsia="SimSun" w:hAnsi="Book Antiqua"/>
          <w:kern w:val="2"/>
          <w:sz w:val="24"/>
          <w:szCs w:val="24"/>
          <w:lang w:val="en-US" w:eastAsia="zh-CN"/>
        </w:rPr>
        <w:t>: 6-14 [PMID: 28771932 DOI: 10.1111/liv.13535]</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29 </w:t>
      </w:r>
      <w:r w:rsidRPr="00FB7D6B">
        <w:rPr>
          <w:rFonts w:ascii="Book Antiqua" w:eastAsia="SimSun" w:hAnsi="Book Antiqua"/>
          <w:b/>
          <w:kern w:val="2"/>
          <w:sz w:val="24"/>
          <w:szCs w:val="24"/>
          <w:lang w:val="en-US" w:eastAsia="zh-CN"/>
        </w:rPr>
        <w:t>de Boer YS</w:t>
      </w:r>
      <w:r w:rsidRPr="00FB7D6B">
        <w:rPr>
          <w:rFonts w:ascii="Book Antiqua" w:eastAsia="SimSun" w:hAnsi="Book Antiqua"/>
          <w:kern w:val="2"/>
          <w:sz w:val="24"/>
          <w:szCs w:val="24"/>
          <w:lang w:val="en-US" w:eastAsia="zh-CN"/>
        </w:rPr>
        <w:t xml:space="preserve">, Kosinski AS, Urban TJ, Zhao Z, Long N, Chalasani N, Kleiner DE, Hoofnagle JH; Drug-Induced Liver Injury Network. Features of Autoimmune Hepatitis in Patients With Drug-induced Liver Injury. </w:t>
      </w:r>
      <w:r w:rsidRPr="00FB7D6B">
        <w:rPr>
          <w:rFonts w:ascii="Book Antiqua" w:eastAsia="SimSun" w:hAnsi="Book Antiqua"/>
          <w:i/>
          <w:kern w:val="2"/>
          <w:sz w:val="24"/>
          <w:szCs w:val="24"/>
          <w:lang w:val="en-US" w:eastAsia="zh-CN"/>
        </w:rPr>
        <w:t>Clin Gastroenterol Hepatol</w:t>
      </w:r>
      <w:r w:rsidRPr="00FB7D6B">
        <w:rPr>
          <w:rFonts w:ascii="Book Antiqua" w:eastAsia="SimSun" w:hAnsi="Book Antiqua"/>
          <w:kern w:val="2"/>
          <w:sz w:val="24"/>
          <w:szCs w:val="24"/>
          <w:lang w:val="en-US" w:eastAsia="zh-CN"/>
        </w:rPr>
        <w:t xml:space="preserve"> 2017; </w:t>
      </w:r>
      <w:r w:rsidRPr="00FB7D6B">
        <w:rPr>
          <w:rFonts w:ascii="Book Antiqua" w:eastAsia="SimSun" w:hAnsi="Book Antiqua"/>
          <w:b/>
          <w:kern w:val="2"/>
          <w:sz w:val="24"/>
          <w:szCs w:val="24"/>
          <w:lang w:val="en-US" w:eastAsia="zh-CN"/>
        </w:rPr>
        <w:t>15</w:t>
      </w:r>
      <w:r w:rsidRPr="00FB7D6B">
        <w:rPr>
          <w:rFonts w:ascii="Book Antiqua" w:eastAsia="SimSun" w:hAnsi="Book Antiqua"/>
          <w:kern w:val="2"/>
          <w:sz w:val="24"/>
          <w:szCs w:val="24"/>
          <w:lang w:val="en-US" w:eastAsia="zh-CN"/>
        </w:rPr>
        <w:t>: 103-112.e2 [PMID: 27311619 DOI: 10.1016/j.cgh.2016.05.043]</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30 </w:t>
      </w:r>
      <w:r w:rsidRPr="00FB7D6B">
        <w:rPr>
          <w:rFonts w:ascii="Book Antiqua" w:eastAsia="SimSun" w:hAnsi="Book Antiqua"/>
          <w:b/>
          <w:kern w:val="2"/>
          <w:sz w:val="24"/>
          <w:szCs w:val="24"/>
          <w:lang w:val="en-US" w:eastAsia="zh-CN"/>
        </w:rPr>
        <w:t>Liu ZX</w:t>
      </w:r>
      <w:r w:rsidRPr="00FB7D6B">
        <w:rPr>
          <w:rFonts w:ascii="Book Antiqua" w:eastAsia="SimSun" w:hAnsi="Book Antiqua"/>
          <w:kern w:val="2"/>
          <w:sz w:val="24"/>
          <w:szCs w:val="24"/>
          <w:lang w:val="en-US" w:eastAsia="zh-CN"/>
        </w:rPr>
        <w:t xml:space="preserve">, Kaplowitz N. Immune-mediated drug-induced liver disease. </w:t>
      </w:r>
      <w:r w:rsidRPr="00FB7D6B">
        <w:rPr>
          <w:rFonts w:ascii="Book Antiqua" w:eastAsia="SimSun" w:hAnsi="Book Antiqua"/>
          <w:i/>
          <w:kern w:val="2"/>
          <w:sz w:val="24"/>
          <w:szCs w:val="24"/>
          <w:lang w:val="en-US" w:eastAsia="zh-CN"/>
        </w:rPr>
        <w:t>Clin Liver Dis</w:t>
      </w:r>
      <w:r w:rsidRPr="00FB7D6B">
        <w:rPr>
          <w:rFonts w:ascii="Book Antiqua" w:eastAsia="SimSun" w:hAnsi="Book Antiqua"/>
          <w:kern w:val="2"/>
          <w:sz w:val="24"/>
          <w:szCs w:val="24"/>
          <w:lang w:val="en-US" w:eastAsia="zh-CN"/>
        </w:rPr>
        <w:t xml:space="preserve"> 2002; </w:t>
      </w:r>
      <w:r w:rsidRPr="00FB7D6B">
        <w:rPr>
          <w:rFonts w:ascii="Book Antiqua" w:eastAsia="SimSun" w:hAnsi="Book Antiqua"/>
          <w:b/>
          <w:kern w:val="2"/>
          <w:sz w:val="24"/>
          <w:szCs w:val="24"/>
          <w:lang w:val="en-US" w:eastAsia="zh-CN"/>
        </w:rPr>
        <w:t>6</w:t>
      </w:r>
      <w:r w:rsidRPr="00FB7D6B">
        <w:rPr>
          <w:rFonts w:ascii="Book Antiqua" w:eastAsia="SimSun" w:hAnsi="Book Antiqua"/>
          <w:kern w:val="2"/>
          <w:sz w:val="24"/>
          <w:szCs w:val="24"/>
          <w:lang w:val="en-US" w:eastAsia="zh-CN"/>
        </w:rPr>
        <w:t>: 755-774 [PMID: 12362579]</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31 </w:t>
      </w:r>
      <w:r w:rsidRPr="00FB7D6B">
        <w:rPr>
          <w:rFonts w:ascii="Book Antiqua" w:eastAsia="SimSun" w:hAnsi="Book Antiqua"/>
          <w:b/>
          <w:kern w:val="2"/>
          <w:sz w:val="24"/>
          <w:szCs w:val="24"/>
          <w:lang w:val="en-US" w:eastAsia="zh-CN"/>
        </w:rPr>
        <w:t>Licata A</w:t>
      </w:r>
      <w:r w:rsidRPr="00FB7D6B">
        <w:rPr>
          <w:rFonts w:ascii="Book Antiqua" w:eastAsia="SimSun" w:hAnsi="Book Antiqua"/>
          <w:kern w:val="2"/>
          <w:sz w:val="24"/>
          <w:szCs w:val="24"/>
          <w:lang w:val="en-US" w:eastAsia="zh-CN"/>
        </w:rPr>
        <w:t xml:space="preserve">, Maida M, Cabibi D, Butera G, Macaluso FS, Alessi N, Caruso C, Craxì A, </w:t>
      </w:r>
      <w:r w:rsidRPr="00FB7D6B">
        <w:rPr>
          <w:rFonts w:ascii="Book Antiqua" w:eastAsia="SimSun" w:hAnsi="Book Antiqua"/>
          <w:kern w:val="2"/>
          <w:sz w:val="24"/>
          <w:szCs w:val="24"/>
          <w:lang w:val="en-US" w:eastAsia="zh-CN"/>
        </w:rPr>
        <w:lastRenderedPageBreak/>
        <w:t xml:space="preserve">Almasio PL. Clinical features and outcomes of patients with drug-induced autoimmune hepatitis: a retrospective cohort study. </w:t>
      </w:r>
      <w:r w:rsidRPr="00FB7D6B">
        <w:rPr>
          <w:rFonts w:ascii="Book Antiqua" w:eastAsia="SimSun" w:hAnsi="Book Antiqua"/>
          <w:i/>
          <w:kern w:val="2"/>
          <w:sz w:val="24"/>
          <w:szCs w:val="24"/>
          <w:lang w:val="en-US" w:eastAsia="zh-CN"/>
        </w:rPr>
        <w:t>Dig Liver Dis</w:t>
      </w:r>
      <w:r w:rsidRPr="00FB7D6B">
        <w:rPr>
          <w:rFonts w:ascii="Book Antiqua" w:eastAsia="SimSun" w:hAnsi="Book Antiqua"/>
          <w:kern w:val="2"/>
          <w:sz w:val="24"/>
          <w:szCs w:val="24"/>
          <w:lang w:val="en-US" w:eastAsia="zh-CN"/>
        </w:rPr>
        <w:t xml:space="preserve"> 2014; </w:t>
      </w:r>
      <w:r w:rsidRPr="00FB7D6B">
        <w:rPr>
          <w:rFonts w:ascii="Book Antiqua" w:eastAsia="SimSun" w:hAnsi="Book Antiqua"/>
          <w:b/>
          <w:kern w:val="2"/>
          <w:sz w:val="24"/>
          <w:szCs w:val="24"/>
          <w:lang w:val="en-US" w:eastAsia="zh-CN"/>
        </w:rPr>
        <w:t>46</w:t>
      </w:r>
      <w:r w:rsidRPr="00FB7D6B">
        <w:rPr>
          <w:rFonts w:ascii="Book Antiqua" w:eastAsia="SimSun" w:hAnsi="Book Antiqua"/>
          <w:kern w:val="2"/>
          <w:sz w:val="24"/>
          <w:szCs w:val="24"/>
          <w:lang w:val="en-US" w:eastAsia="zh-CN"/>
        </w:rPr>
        <w:t>: 1116-1120 [PMID: 25224696 DOI: 10.1016/j.dld.2014.08.040]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32 </w:t>
      </w:r>
      <w:r w:rsidRPr="00FB7D6B">
        <w:rPr>
          <w:rFonts w:ascii="Book Antiqua" w:eastAsia="SimSun" w:hAnsi="Book Antiqua"/>
          <w:b/>
          <w:kern w:val="2"/>
          <w:sz w:val="24"/>
          <w:szCs w:val="24"/>
          <w:lang w:val="en-US" w:eastAsia="zh-CN"/>
        </w:rPr>
        <w:t>Kuzu UB</w:t>
      </w:r>
      <w:r w:rsidRPr="00FB7D6B">
        <w:rPr>
          <w:rFonts w:ascii="Book Antiqua" w:eastAsia="SimSun" w:hAnsi="Book Antiqua"/>
          <w:kern w:val="2"/>
          <w:sz w:val="24"/>
          <w:szCs w:val="24"/>
          <w:lang w:val="en-US" w:eastAsia="zh-CN"/>
        </w:rPr>
        <w:t xml:space="preserve">, Öztaş E, Turhan N, Saygili F, Suna N, Yildiz H, Kaplan M, Akpinar MY, Akdoğan M, Kaçar S, Kiliç ZM, Köksal AŞ, Ödemiş B, Kayaçetin E. Clinical and histological features of idiosyncratic liver injury: Dilemma in diagnosis of autoimmune hepatitis. </w:t>
      </w:r>
      <w:r w:rsidRPr="00FB7D6B">
        <w:rPr>
          <w:rFonts w:ascii="Book Antiqua" w:eastAsia="SimSun" w:hAnsi="Book Antiqua"/>
          <w:i/>
          <w:kern w:val="2"/>
          <w:sz w:val="24"/>
          <w:szCs w:val="24"/>
          <w:lang w:val="en-US" w:eastAsia="zh-CN"/>
        </w:rPr>
        <w:t>Hepatol Res</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46</w:t>
      </w:r>
      <w:r w:rsidRPr="00FB7D6B">
        <w:rPr>
          <w:rFonts w:ascii="Book Antiqua" w:eastAsia="SimSun" w:hAnsi="Book Antiqua"/>
          <w:kern w:val="2"/>
          <w:sz w:val="24"/>
          <w:szCs w:val="24"/>
          <w:lang w:val="en-US" w:eastAsia="zh-CN"/>
        </w:rPr>
        <w:t>: 277-291 [PMID: 25926402 DOI: 10.1111/hepr.12530]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33 </w:t>
      </w:r>
      <w:r w:rsidRPr="00FB7D6B">
        <w:rPr>
          <w:rFonts w:ascii="Book Antiqua" w:eastAsia="SimSun" w:hAnsi="Book Antiqua"/>
          <w:b/>
          <w:kern w:val="2"/>
          <w:sz w:val="24"/>
          <w:szCs w:val="24"/>
          <w:lang w:val="en-US" w:eastAsia="zh-CN"/>
        </w:rPr>
        <w:t>Aizawa Y</w:t>
      </w:r>
      <w:r w:rsidRPr="00FB7D6B">
        <w:rPr>
          <w:rFonts w:ascii="Book Antiqua" w:eastAsia="SimSun" w:hAnsi="Book Antiqua"/>
          <w:kern w:val="2"/>
          <w:sz w:val="24"/>
          <w:szCs w:val="24"/>
          <w:lang w:val="en-US" w:eastAsia="zh-CN"/>
        </w:rPr>
        <w:t xml:space="preserve">, Hokari A. Autoimmune hepatitis: current challenges and future prospects. </w:t>
      </w:r>
      <w:r w:rsidRPr="00FB7D6B">
        <w:rPr>
          <w:rFonts w:ascii="Book Antiqua" w:eastAsia="SimSun" w:hAnsi="Book Antiqua"/>
          <w:i/>
          <w:kern w:val="2"/>
          <w:sz w:val="24"/>
          <w:szCs w:val="24"/>
          <w:lang w:val="en-US" w:eastAsia="zh-CN"/>
        </w:rPr>
        <w:t>Clin Exp Gastroenterol</w:t>
      </w:r>
      <w:r w:rsidRPr="00FB7D6B">
        <w:rPr>
          <w:rFonts w:ascii="Book Antiqua" w:eastAsia="SimSun" w:hAnsi="Book Antiqua"/>
          <w:kern w:val="2"/>
          <w:sz w:val="24"/>
          <w:szCs w:val="24"/>
          <w:lang w:val="en-US" w:eastAsia="zh-CN"/>
        </w:rPr>
        <w:t xml:space="preserve"> 2017; </w:t>
      </w:r>
      <w:r w:rsidRPr="00FB7D6B">
        <w:rPr>
          <w:rFonts w:ascii="Book Antiqua" w:eastAsia="SimSun" w:hAnsi="Book Antiqua"/>
          <w:b/>
          <w:kern w:val="2"/>
          <w:sz w:val="24"/>
          <w:szCs w:val="24"/>
          <w:lang w:val="en-US" w:eastAsia="zh-CN"/>
        </w:rPr>
        <w:t>10</w:t>
      </w:r>
      <w:r w:rsidRPr="00FB7D6B">
        <w:rPr>
          <w:rFonts w:ascii="Book Antiqua" w:eastAsia="SimSun" w:hAnsi="Book Antiqua"/>
          <w:kern w:val="2"/>
          <w:sz w:val="24"/>
          <w:szCs w:val="24"/>
          <w:lang w:val="en-US" w:eastAsia="zh-CN"/>
        </w:rPr>
        <w:t>: 9-18 [PMID: 28176894 DOI: 10.2147/CEG.S101440]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34 </w:t>
      </w:r>
      <w:r w:rsidRPr="00FB7D6B">
        <w:rPr>
          <w:rFonts w:ascii="Book Antiqua" w:eastAsia="SimSun" w:hAnsi="Book Antiqua"/>
          <w:b/>
          <w:kern w:val="2"/>
          <w:sz w:val="24"/>
          <w:szCs w:val="24"/>
          <w:lang w:val="en-US" w:eastAsia="zh-CN"/>
        </w:rPr>
        <w:t>Maggiore G</w:t>
      </w:r>
      <w:r w:rsidRPr="00FB7D6B">
        <w:rPr>
          <w:rFonts w:ascii="Book Antiqua" w:eastAsia="SimSun" w:hAnsi="Book Antiqua"/>
          <w:kern w:val="2"/>
          <w:sz w:val="24"/>
          <w:szCs w:val="24"/>
          <w:lang w:val="en-US" w:eastAsia="zh-CN"/>
        </w:rPr>
        <w:t xml:space="preserve">, Nastasio S, Sciveres M. Juvenile autoimmune hepatitis: Spectrum of the disease. </w:t>
      </w:r>
      <w:r w:rsidRPr="00FB7D6B">
        <w:rPr>
          <w:rFonts w:ascii="Book Antiqua" w:eastAsia="SimSun" w:hAnsi="Book Antiqua"/>
          <w:i/>
          <w:kern w:val="2"/>
          <w:sz w:val="24"/>
          <w:szCs w:val="24"/>
          <w:lang w:val="en-US" w:eastAsia="zh-CN"/>
        </w:rPr>
        <w:t>World J Hepatol</w:t>
      </w:r>
      <w:r w:rsidRPr="00FB7D6B">
        <w:rPr>
          <w:rFonts w:ascii="Book Antiqua" w:eastAsia="SimSun" w:hAnsi="Book Antiqua"/>
          <w:kern w:val="2"/>
          <w:sz w:val="24"/>
          <w:szCs w:val="24"/>
          <w:lang w:val="en-US" w:eastAsia="zh-CN"/>
        </w:rPr>
        <w:t xml:space="preserve"> 2014; </w:t>
      </w:r>
      <w:r w:rsidRPr="00FB7D6B">
        <w:rPr>
          <w:rFonts w:ascii="Book Antiqua" w:eastAsia="SimSun" w:hAnsi="Book Antiqua"/>
          <w:b/>
          <w:kern w:val="2"/>
          <w:sz w:val="24"/>
          <w:szCs w:val="24"/>
          <w:lang w:val="en-US" w:eastAsia="zh-CN"/>
        </w:rPr>
        <w:t>6</w:t>
      </w:r>
      <w:r w:rsidRPr="00FB7D6B">
        <w:rPr>
          <w:rFonts w:ascii="Book Antiqua" w:eastAsia="SimSun" w:hAnsi="Book Antiqua"/>
          <w:kern w:val="2"/>
          <w:sz w:val="24"/>
          <w:szCs w:val="24"/>
          <w:lang w:val="en-US" w:eastAsia="zh-CN"/>
        </w:rPr>
        <w:t>: 464-476 [PMID: 25067998 DOI: 10.4254/wjh.v6.i7.464]</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35 </w:t>
      </w:r>
      <w:r w:rsidRPr="00FB7D6B">
        <w:rPr>
          <w:rFonts w:ascii="Book Antiqua" w:eastAsia="SimSun" w:hAnsi="Book Antiqua"/>
          <w:b/>
          <w:kern w:val="2"/>
          <w:sz w:val="24"/>
          <w:szCs w:val="24"/>
          <w:lang w:val="en-US" w:eastAsia="zh-CN"/>
        </w:rPr>
        <w:t>Pischke S</w:t>
      </w:r>
      <w:r w:rsidRPr="00FB7D6B">
        <w:rPr>
          <w:rFonts w:ascii="Book Antiqua" w:eastAsia="SimSun" w:hAnsi="Book Antiqua"/>
          <w:kern w:val="2"/>
          <w:sz w:val="24"/>
          <w:szCs w:val="24"/>
          <w:lang w:val="en-US" w:eastAsia="zh-CN"/>
        </w:rPr>
        <w:t xml:space="preserve">, Iking-Konert C. Hepatitis E infections in rheumatology. A previously underestimated infectious disease . </w:t>
      </w:r>
      <w:r w:rsidRPr="00FB7D6B">
        <w:rPr>
          <w:rFonts w:ascii="Book Antiqua" w:eastAsia="SimSun" w:hAnsi="Book Antiqua"/>
          <w:i/>
          <w:kern w:val="2"/>
          <w:sz w:val="24"/>
          <w:szCs w:val="24"/>
          <w:lang w:val="en-US" w:eastAsia="zh-CN"/>
        </w:rPr>
        <w:t>Z Rheumatol</w:t>
      </w:r>
      <w:r w:rsidRPr="00FB7D6B">
        <w:rPr>
          <w:rFonts w:ascii="Book Antiqua" w:eastAsia="SimSun" w:hAnsi="Book Antiqua"/>
          <w:kern w:val="2"/>
          <w:sz w:val="24"/>
          <w:szCs w:val="24"/>
          <w:lang w:val="en-US" w:eastAsia="zh-CN"/>
        </w:rPr>
        <w:t xml:space="preserve"> 2015; </w:t>
      </w:r>
      <w:r w:rsidRPr="00FB7D6B">
        <w:rPr>
          <w:rFonts w:ascii="Book Antiqua" w:eastAsia="SimSun" w:hAnsi="Book Antiqua"/>
          <w:b/>
          <w:kern w:val="2"/>
          <w:sz w:val="24"/>
          <w:szCs w:val="24"/>
          <w:lang w:val="en-US" w:eastAsia="zh-CN"/>
        </w:rPr>
        <w:t>74</w:t>
      </w:r>
      <w:r w:rsidRPr="00FB7D6B">
        <w:rPr>
          <w:rFonts w:ascii="Book Antiqua" w:eastAsia="SimSun" w:hAnsi="Book Antiqua"/>
          <w:kern w:val="2"/>
          <w:sz w:val="24"/>
          <w:szCs w:val="24"/>
          <w:lang w:val="en-US" w:eastAsia="zh-CN"/>
        </w:rPr>
        <w:t>: 731-736 [PMID: 26450437 DOI: 10.1007/s00393-015-1631-0]</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36 </w:t>
      </w:r>
      <w:r w:rsidRPr="00FB7D6B">
        <w:rPr>
          <w:rFonts w:ascii="Book Antiqua" w:eastAsia="SimSun" w:hAnsi="Book Antiqua"/>
          <w:b/>
          <w:kern w:val="2"/>
          <w:sz w:val="24"/>
          <w:szCs w:val="24"/>
          <w:lang w:val="en-US" w:eastAsia="zh-CN"/>
        </w:rPr>
        <w:t>Lauletta G</w:t>
      </w:r>
      <w:r w:rsidRPr="00FB7D6B">
        <w:rPr>
          <w:rFonts w:ascii="Book Antiqua" w:eastAsia="SimSun" w:hAnsi="Book Antiqua"/>
          <w:kern w:val="2"/>
          <w:sz w:val="24"/>
          <w:szCs w:val="24"/>
          <w:lang w:val="en-US" w:eastAsia="zh-CN"/>
        </w:rPr>
        <w:t xml:space="preserve">, Russi S, Pavone F, Marzullo A, Tampoia M, Sansonno D, Dammacco F. Autoimmune Hepatitis: Factors Involved in Initiation and Methods of Diagnosis and Treatment. </w:t>
      </w:r>
      <w:r w:rsidRPr="00FB7D6B">
        <w:rPr>
          <w:rFonts w:ascii="Book Antiqua" w:eastAsia="SimSun" w:hAnsi="Book Antiqua"/>
          <w:i/>
          <w:kern w:val="2"/>
          <w:sz w:val="24"/>
          <w:szCs w:val="24"/>
          <w:lang w:val="en-US" w:eastAsia="zh-CN"/>
        </w:rPr>
        <w:t>Crit Rev Immunol</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36</w:t>
      </w:r>
      <w:r w:rsidRPr="00FB7D6B">
        <w:rPr>
          <w:rFonts w:ascii="Book Antiqua" w:eastAsia="SimSun" w:hAnsi="Book Antiqua"/>
          <w:kern w:val="2"/>
          <w:sz w:val="24"/>
          <w:szCs w:val="24"/>
          <w:lang w:val="en-US" w:eastAsia="zh-CN"/>
        </w:rPr>
        <w:t>: 407-428 [PMID: 28605347 DOI: 10.1615/CritRevImmunol.2017017868]</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37 </w:t>
      </w:r>
      <w:r w:rsidRPr="00FB7D6B">
        <w:rPr>
          <w:rFonts w:ascii="Book Antiqua" w:eastAsia="SimSun" w:hAnsi="Book Antiqua"/>
          <w:b/>
          <w:kern w:val="2"/>
          <w:sz w:val="24"/>
          <w:szCs w:val="24"/>
          <w:lang w:val="en-US" w:eastAsia="zh-CN"/>
        </w:rPr>
        <w:t>van Gemeren MA</w:t>
      </w:r>
      <w:r w:rsidRPr="00FB7D6B">
        <w:rPr>
          <w:rFonts w:ascii="Book Antiqua" w:eastAsia="SimSun" w:hAnsi="Book Antiqua"/>
          <w:kern w:val="2"/>
          <w:sz w:val="24"/>
          <w:szCs w:val="24"/>
          <w:lang w:val="en-US" w:eastAsia="zh-CN"/>
        </w:rPr>
        <w:t xml:space="preserve">, van Wijngaarden P, Doukas M, de Man RA. Vaccine-related autoimmune hepatitis: the same disease as idiopathic autoimmune hepatitis? Two clinical reports and review. </w:t>
      </w:r>
      <w:r w:rsidRPr="00FB7D6B">
        <w:rPr>
          <w:rFonts w:ascii="Book Antiqua" w:eastAsia="SimSun" w:hAnsi="Book Antiqua"/>
          <w:i/>
          <w:kern w:val="2"/>
          <w:sz w:val="24"/>
          <w:szCs w:val="24"/>
          <w:lang w:val="en-US" w:eastAsia="zh-CN"/>
        </w:rPr>
        <w:t>Scand J Gastroenterol</w:t>
      </w:r>
      <w:r w:rsidRPr="00FB7D6B">
        <w:rPr>
          <w:rFonts w:ascii="Book Antiqua" w:eastAsia="SimSun" w:hAnsi="Book Antiqua"/>
          <w:kern w:val="2"/>
          <w:sz w:val="24"/>
          <w:szCs w:val="24"/>
          <w:lang w:val="en-US" w:eastAsia="zh-CN"/>
        </w:rPr>
        <w:t xml:space="preserve"> 2017; </w:t>
      </w:r>
      <w:r w:rsidRPr="00FB7D6B">
        <w:rPr>
          <w:rFonts w:ascii="Book Antiqua" w:eastAsia="SimSun" w:hAnsi="Book Antiqua"/>
          <w:b/>
          <w:kern w:val="2"/>
          <w:sz w:val="24"/>
          <w:szCs w:val="24"/>
          <w:lang w:val="en-US" w:eastAsia="zh-CN"/>
        </w:rPr>
        <w:t>52</w:t>
      </w:r>
      <w:r w:rsidRPr="00FB7D6B">
        <w:rPr>
          <w:rFonts w:ascii="Book Antiqua" w:eastAsia="SimSun" w:hAnsi="Book Antiqua"/>
          <w:kern w:val="2"/>
          <w:sz w:val="24"/>
          <w:szCs w:val="24"/>
          <w:lang w:val="en-US" w:eastAsia="zh-CN"/>
        </w:rPr>
        <w:t>: 18-22 [PMID: 27565372 DOI: 10.1080/00365521.2016.1224379]</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38 </w:t>
      </w:r>
      <w:r w:rsidRPr="00FB7D6B">
        <w:rPr>
          <w:rFonts w:ascii="Book Antiqua" w:eastAsia="SimSun" w:hAnsi="Book Antiqua"/>
          <w:b/>
          <w:kern w:val="2"/>
          <w:sz w:val="24"/>
          <w:szCs w:val="24"/>
          <w:lang w:val="en-US" w:eastAsia="zh-CN"/>
        </w:rPr>
        <w:t>Arndtz K</w:t>
      </w:r>
      <w:r w:rsidRPr="00FB7D6B">
        <w:rPr>
          <w:rFonts w:ascii="Book Antiqua" w:eastAsia="SimSun" w:hAnsi="Book Antiqua"/>
          <w:kern w:val="2"/>
          <w:sz w:val="24"/>
          <w:szCs w:val="24"/>
          <w:lang w:val="en-US" w:eastAsia="zh-CN"/>
        </w:rPr>
        <w:t xml:space="preserve">, Hirschfield GM. The Pathogenesis of Autoimmune Liver Disease. </w:t>
      </w:r>
      <w:r w:rsidRPr="00FB7D6B">
        <w:rPr>
          <w:rFonts w:ascii="Book Antiqua" w:eastAsia="SimSun" w:hAnsi="Book Antiqua"/>
          <w:i/>
          <w:kern w:val="2"/>
          <w:sz w:val="24"/>
          <w:szCs w:val="24"/>
          <w:lang w:val="en-US" w:eastAsia="zh-CN"/>
        </w:rPr>
        <w:t>Dig Dis</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34</w:t>
      </w:r>
      <w:r w:rsidRPr="00FB7D6B">
        <w:rPr>
          <w:rFonts w:ascii="Book Antiqua" w:eastAsia="SimSun" w:hAnsi="Book Antiqua"/>
          <w:kern w:val="2"/>
          <w:sz w:val="24"/>
          <w:szCs w:val="24"/>
          <w:lang w:val="en-US" w:eastAsia="zh-CN"/>
        </w:rPr>
        <w:t>: 327-333 [PMID: 27170385 DOI: 10.1159/000444471]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39 </w:t>
      </w:r>
      <w:r w:rsidRPr="00FB7D6B">
        <w:rPr>
          <w:rFonts w:ascii="Book Antiqua" w:eastAsia="SimSun" w:hAnsi="Book Antiqua"/>
          <w:b/>
          <w:kern w:val="2"/>
          <w:sz w:val="24"/>
          <w:szCs w:val="24"/>
          <w:lang w:val="en-US" w:eastAsia="zh-CN"/>
        </w:rPr>
        <w:t>Webb GJ</w:t>
      </w:r>
      <w:r w:rsidRPr="00FB7D6B">
        <w:rPr>
          <w:rFonts w:ascii="Book Antiqua" w:eastAsia="SimSun" w:hAnsi="Book Antiqua"/>
          <w:kern w:val="2"/>
          <w:sz w:val="24"/>
          <w:szCs w:val="24"/>
          <w:lang w:val="en-US" w:eastAsia="zh-CN"/>
        </w:rPr>
        <w:t xml:space="preserve">, Hirschfield GM. Using GWAS to identify genetic predisposition in hepatic autoimmunity. </w:t>
      </w:r>
      <w:r w:rsidRPr="00FB7D6B">
        <w:rPr>
          <w:rFonts w:ascii="Book Antiqua" w:eastAsia="SimSun" w:hAnsi="Book Antiqua"/>
          <w:i/>
          <w:kern w:val="2"/>
          <w:sz w:val="24"/>
          <w:szCs w:val="24"/>
          <w:lang w:val="en-US" w:eastAsia="zh-CN"/>
        </w:rPr>
        <w:t>J Autoimmun</w:t>
      </w:r>
      <w:r w:rsidRPr="00FB7D6B">
        <w:rPr>
          <w:rFonts w:ascii="Book Antiqua" w:eastAsia="SimSun" w:hAnsi="Book Antiqua"/>
          <w:kern w:val="2"/>
          <w:sz w:val="24"/>
          <w:szCs w:val="24"/>
          <w:lang w:val="en-US" w:eastAsia="zh-CN"/>
        </w:rPr>
        <w:t xml:space="preserve"> 2016; </w:t>
      </w:r>
      <w:r w:rsidRPr="00FB7D6B">
        <w:rPr>
          <w:rFonts w:ascii="Book Antiqua" w:eastAsia="SimSun" w:hAnsi="Book Antiqua"/>
          <w:b/>
          <w:kern w:val="2"/>
          <w:sz w:val="24"/>
          <w:szCs w:val="24"/>
          <w:lang w:val="en-US" w:eastAsia="zh-CN"/>
        </w:rPr>
        <w:t>66</w:t>
      </w:r>
      <w:r w:rsidRPr="00FB7D6B">
        <w:rPr>
          <w:rFonts w:ascii="Book Antiqua" w:eastAsia="SimSun" w:hAnsi="Book Antiqua"/>
          <w:kern w:val="2"/>
          <w:sz w:val="24"/>
          <w:szCs w:val="24"/>
          <w:lang w:val="en-US" w:eastAsia="zh-CN"/>
        </w:rPr>
        <w:t>: 25-39 [PMID: 26347073 DOI: 10.1016/j.jaut.2015.08.016]</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40 </w:t>
      </w:r>
      <w:r w:rsidRPr="00FB7D6B">
        <w:rPr>
          <w:rFonts w:ascii="Book Antiqua" w:eastAsia="SimSun" w:hAnsi="Book Antiqua"/>
          <w:b/>
          <w:kern w:val="2"/>
          <w:sz w:val="24"/>
          <w:szCs w:val="24"/>
          <w:lang w:val="en-US" w:eastAsia="zh-CN"/>
        </w:rPr>
        <w:t>Maiers M</w:t>
      </w:r>
      <w:r w:rsidRPr="00FB7D6B">
        <w:rPr>
          <w:rFonts w:ascii="Book Antiqua" w:eastAsia="SimSun" w:hAnsi="Book Antiqua"/>
          <w:kern w:val="2"/>
          <w:sz w:val="24"/>
          <w:szCs w:val="24"/>
          <w:lang w:val="en-US" w:eastAsia="zh-CN"/>
        </w:rPr>
        <w:t xml:space="preserve">, Gragert L, Madbouly A, Steiner D, Marsh SG, Gourraud PA, Oudshoorn M, van der Zanden H, Schmidt AH, Pingel J, Hofmann J, Müller C, </w:t>
      </w:r>
      <w:r w:rsidRPr="00FB7D6B">
        <w:rPr>
          <w:rFonts w:ascii="Book Antiqua" w:eastAsia="SimSun" w:hAnsi="Book Antiqua"/>
          <w:kern w:val="2"/>
          <w:sz w:val="24"/>
          <w:szCs w:val="24"/>
          <w:lang w:val="en-US" w:eastAsia="zh-CN"/>
        </w:rPr>
        <w:lastRenderedPageBreak/>
        <w:t xml:space="preserve">Eberhard HP. 16(th) IHIW: global analysis of registry HLA haplotypes from 20 million individuals: report from the IHIW Registry Diversity Group. </w:t>
      </w:r>
      <w:r w:rsidRPr="00FB7D6B">
        <w:rPr>
          <w:rFonts w:ascii="Book Antiqua" w:eastAsia="SimSun" w:hAnsi="Book Antiqua"/>
          <w:i/>
          <w:kern w:val="2"/>
          <w:sz w:val="24"/>
          <w:szCs w:val="24"/>
          <w:lang w:val="en-US" w:eastAsia="zh-CN"/>
        </w:rPr>
        <w:t>Int J Immunogenet</w:t>
      </w:r>
      <w:r w:rsidRPr="00FB7D6B">
        <w:rPr>
          <w:rFonts w:ascii="Book Antiqua" w:eastAsia="SimSun" w:hAnsi="Book Antiqua"/>
          <w:kern w:val="2"/>
          <w:sz w:val="24"/>
          <w:szCs w:val="24"/>
          <w:lang w:val="en-US" w:eastAsia="zh-CN"/>
        </w:rPr>
        <w:t xml:space="preserve"> 2013; </w:t>
      </w:r>
      <w:r w:rsidRPr="00FB7D6B">
        <w:rPr>
          <w:rFonts w:ascii="Book Antiqua" w:eastAsia="SimSun" w:hAnsi="Book Antiqua"/>
          <w:b/>
          <w:kern w:val="2"/>
          <w:sz w:val="24"/>
          <w:szCs w:val="24"/>
          <w:lang w:val="en-US" w:eastAsia="zh-CN"/>
        </w:rPr>
        <w:t>40</w:t>
      </w:r>
      <w:r w:rsidRPr="00FB7D6B">
        <w:rPr>
          <w:rFonts w:ascii="Book Antiqua" w:eastAsia="SimSun" w:hAnsi="Book Antiqua"/>
          <w:kern w:val="2"/>
          <w:sz w:val="24"/>
          <w:szCs w:val="24"/>
          <w:lang w:val="en-US" w:eastAsia="zh-CN"/>
        </w:rPr>
        <w:t>: 66-71 [PMID: 23280139 DOI: 10.1111/iji.12031]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41 </w:t>
      </w:r>
      <w:r w:rsidRPr="00FB7D6B">
        <w:rPr>
          <w:rFonts w:ascii="Book Antiqua" w:eastAsia="SimSun" w:hAnsi="Book Antiqua"/>
          <w:b/>
          <w:kern w:val="2"/>
          <w:sz w:val="24"/>
          <w:szCs w:val="24"/>
          <w:lang w:val="en-US" w:eastAsia="zh-CN"/>
        </w:rPr>
        <w:t>Di Giorgio A</w:t>
      </w:r>
      <w:r w:rsidRPr="00FB7D6B">
        <w:rPr>
          <w:rFonts w:ascii="Book Antiqua" w:eastAsia="SimSun" w:hAnsi="Book Antiqua"/>
          <w:kern w:val="2"/>
          <w:sz w:val="24"/>
          <w:szCs w:val="24"/>
          <w:lang w:val="en-US" w:eastAsia="zh-CN"/>
        </w:rPr>
        <w:t xml:space="preserve">, Bravi M, Bonanomi E, Alessio G, Sonzogni A, Zen Y, Colledan M, D'Antiga L. Fulminant hepatic failure of autoimmune aetiology in children. </w:t>
      </w:r>
      <w:r w:rsidRPr="00FB7D6B">
        <w:rPr>
          <w:rFonts w:ascii="Book Antiqua" w:eastAsia="SimSun" w:hAnsi="Book Antiqua"/>
          <w:i/>
          <w:kern w:val="2"/>
          <w:sz w:val="24"/>
          <w:szCs w:val="24"/>
          <w:lang w:val="en-US" w:eastAsia="zh-CN"/>
        </w:rPr>
        <w:t>J Pediatr Gastroenterol Nutr</w:t>
      </w:r>
      <w:r w:rsidRPr="00FB7D6B">
        <w:rPr>
          <w:rFonts w:ascii="Book Antiqua" w:eastAsia="SimSun" w:hAnsi="Book Antiqua"/>
          <w:kern w:val="2"/>
          <w:sz w:val="24"/>
          <w:szCs w:val="24"/>
          <w:lang w:val="en-US" w:eastAsia="zh-CN"/>
        </w:rPr>
        <w:t xml:space="preserve"> 2015; </w:t>
      </w:r>
      <w:r w:rsidRPr="00FB7D6B">
        <w:rPr>
          <w:rFonts w:ascii="Book Antiqua" w:eastAsia="SimSun" w:hAnsi="Book Antiqua"/>
          <w:b/>
          <w:kern w:val="2"/>
          <w:sz w:val="24"/>
          <w:szCs w:val="24"/>
          <w:lang w:val="en-US" w:eastAsia="zh-CN"/>
        </w:rPr>
        <w:t>60</w:t>
      </w:r>
      <w:r w:rsidRPr="00FB7D6B">
        <w:rPr>
          <w:rFonts w:ascii="Book Antiqua" w:eastAsia="SimSun" w:hAnsi="Book Antiqua"/>
          <w:kern w:val="2"/>
          <w:sz w:val="24"/>
          <w:szCs w:val="24"/>
          <w:lang w:val="en-US" w:eastAsia="zh-CN"/>
        </w:rPr>
        <w:t>: 159-164 [PMID: 25304891 DOI: 10.1097/MPG.0000000000000593]</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42 </w:t>
      </w:r>
      <w:r w:rsidRPr="00FB7D6B">
        <w:rPr>
          <w:rFonts w:ascii="Book Antiqua" w:eastAsia="SimSun" w:hAnsi="Book Antiqua"/>
          <w:b/>
          <w:kern w:val="2"/>
          <w:sz w:val="24"/>
          <w:szCs w:val="24"/>
          <w:lang w:val="en-US" w:eastAsia="zh-CN"/>
        </w:rPr>
        <w:t>Yeoman AD</w:t>
      </w:r>
      <w:r w:rsidRPr="00FB7D6B">
        <w:rPr>
          <w:rFonts w:ascii="Book Antiqua" w:eastAsia="SimSun" w:hAnsi="Book Antiqua"/>
          <w:kern w:val="2"/>
          <w:sz w:val="24"/>
          <w:szCs w:val="24"/>
          <w:lang w:val="en-US" w:eastAsia="zh-CN"/>
        </w:rPr>
        <w:t xml:space="preserve">, Westbrook RH, Zen Y, Bernal W, Al-Chalabi T, Wendon JA, O'Grady JG, Heneghan MA. Prognosis of acute severe autoimmune hepatitis (AS-AIH): the role of corticosteroids in modifying outcome. </w:t>
      </w:r>
      <w:r w:rsidRPr="00FB7D6B">
        <w:rPr>
          <w:rFonts w:ascii="Book Antiqua" w:eastAsia="SimSun" w:hAnsi="Book Antiqua"/>
          <w:i/>
          <w:kern w:val="2"/>
          <w:sz w:val="24"/>
          <w:szCs w:val="24"/>
          <w:lang w:val="en-US" w:eastAsia="zh-CN"/>
        </w:rPr>
        <w:t>J Hepatol</w:t>
      </w:r>
      <w:r w:rsidRPr="00FB7D6B">
        <w:rPr>
          <w:rFonts w:ascii="Book Antiqua" w:eastAsia="SimSun" w:hAnsi="Book Antiqua"/>
          <w:kern w:val="2"/>
          <w:sz w:val="24"/>
          <w:szCs w:val="24"/>
          <w:lang w:val="en-US" w:eastAsia="zh-CN"/>
        </w:rPr>
        <w:t xml:space="preserve"> 2014; </w:t>
      </w:r>
      <w:r w:rsidRPr="00FB7D6B">
        <w:rPr>
          <w:rFonts w:ascii="Book Antiqua" w:eastAsia="SimSun" w:hAnsi="Book Antiqua"/>
          <w:b/>
          <w:kern w:val="2"/>
          <w:sz w:val="24"/>
          <w:szCs w:val="24"/>
          <w:lang w:val="en-US" w:eastAsia="zh-CN"/>
        </w:rPr>
        <w:t>61</w:t>
      </w:r>
      <w:r w:rsidRPr="00FB7D6B">
        <w:rPr>
          <w:rFonts w:ascii="Book Antiqua" w:eastAsia="SimSun" w:hAnsi="Book Antiqua"/>
          <w:kern w:val="2"/>
          <w:sz w:val="24"/>
          <w:szCs w:val="24"/>
          <w:lang w:val="en-US" w:eastAsia="zh-CN"/>
        </w:rPr>
        <w:t>: 876-882 [PMID: 24842305 DOI: 10.1016/j.jhep.2014.05.021]</w:t>
      </w:r>
    </w:p>
    <w:p w:rsidR="00F370A0" w:rsidRPr="00FB7D6B" w:rsidRDefault="00F370A0" w:rsidP="00FB7D6B">
      <w:pPr>
        <w:widowControl w:val="0"/>
        <w:adjustRightInd w:val="0"/>
        <w:snapToGrid w:val="0"/>
        <w:spacing w:after="0" w:line="360" w:lineRule="auto"/>
        <w:jc w:val="both"/>
        <w:rPr>
          <w:rFonts w:ascii="Book Antiqua" w:eastAsia="SimSun" w:hAnsi="Book Antiqua"/>
          <w:kern w:val="2"/>
          <w:sz w:val="24"/>
          <w:szCs w:val="24"/>
          <w:lang w:val="en-US" w:eastAsia="zh-CN"/>
        </w:rPr>
      </w:pPr>
      <w:r w:rsidRPr="00FB7D6B">
        <w:rPr>
          <w:rFonts w:ascii="Book Antiqua" w:eastAsia="SimSun" w:hAnsi="Book Antiqua"/>
          <w:kern w:val="2"/>
          <w:sz w:val="24"/>
          <w:szCs w:val="24"/>
          <w:lang w:val="en-US" w:eastAsia="zh-CN"/>
        </w:rPr>
        <w:t xml:space="preserve">43 </w:t>
      </w:r>
      <w:r w:rsidRPr="00FB7D6B">
        <w:rPr>
          <w:rFonts w:ascii="Book Antiqua" w:eastAsia="SimSun" w:hAnsi="Book Antiqua"/>
          <w:b/>
          <w:kern w:val="2"/>
          <w:sz w:val="24"/>
          <w:szCs w:val="24"/>
          <w:lang w:val="en-US" w:eastAsia="zh-CN"/>
        </w:rPr>
        <w:t>Kathemann S</w:t>
      </w:r>
      <w:r w:rsidRPr="00FB7D6B">
        <w:rPr>
          <w:rFonts w:ascii="Book Antiqua" w:eastAsia="SimSun" w:hAnsi="Book Antiqua"/>
          <w:kern w:val="2"/>
          <w:sz w:val="24"/>
          <w:szCs w:val="24"/>
          <w:lang w:val="en-US" w:eastAsia="zh-CN"/>
        </w:rPr>
        <w:t xml:space="preserve">, Bechmann LP, Sowa JP, Manka P, Dechêne A, Gerner P, Lainka E, Hoyer PF, Feldstein AE, Canbay A. Etiology, outcome and prognostic factors of childhood acute liver failure in a German Single Center. </w:t>
      </w:r>
      <w:r w:rsidRPr="00FB7D6B">
        <w:rPr>
          <w:rFonts w:ascii="Book Antiqua" w:eastAsia="SimSun" w:hAnsi="Book Antiqua"/>
          <w:i/>
          <w:kern w:val="2"/>
          <w:sz w:val="24"/>
          <w:szCs w:val="24"/>
          <w:lang w:val="en-US" w:eastAsia="zh-CN"/>
        </w:rPr>
        <w:t>Ann Hepatol</w:t>
      </w:r>
      <w:r w:rsidRPr="00FB7D6B">
        <w:rPr>
          <w:rFonts w:ascii="Book Antiqua" w:eastAsia="SimSun" w:hAnsi="Book Antiqua"/>
          <w:kern w:val="2"/>
          <w:sz w:val="24"/>
          <w:szCs w:val="24"/>
          <w:lang w:val="en-US" w:eastAsia="zh-CN"/>
        </w:rPr>
        <w:t xml:space="preserve"> 2015; </w:t>
      </w:r>
      <w:r w:rsidRPr="00FB7D6B">
        <w:rPr>
          <w:rFonts w:ascii="Book Antiqua" w:eastAsia="SimSun" w:hAnsi="Book Antiqua"/>
          <w:b/>
          <w:kern w:val="2"/>
          <w:sz w:val="24"/>
          <w:szCs w:val="24"/>
          <w:lang w:val="en-US" w:eastAsia="zh-CN"/>
        </w:rPr>
        <w:t>14</w:t>
      </w:r>
      <w:r w:rsidRPr="00FB7D6B">
        <w:rPr>
          <w:rFonts w:ascii="Book Antiqua" w:eastAsia="SimSun" w:hAnsi="Book Antiqua"/>
          <w:kern w:val="2"/>
          <w:sz w:val="24"/>
          <w:szCs w:val="24"/>
          <w:lang w:val="en-US" w:eastAsia="zh-CN"/>
        </w:rPr>
        <w:t>: 722-728 [PMID: 26256901]</w:t>
      </w:r>
    </w:p>
    <w:p w:rsidR="00FB7D6B" w:rsidRPr="00FB7D6B" w:rsidRDefault="00FB7D6B" w:rsidP="00BB1637">
      <w:pPr>
        <w:widowControl w:val="0"/>
        <w:wordWrap w:val="0"/>
        <w:adjustRightInd w:val="0"/>
        <w:snapToGrid w:val="0"/>
        <w:spacing w:after="0" w:line="360" w:lineRule="auto"/>
        <w:ind w:left="361" w:hangingChars="150" w:hanging="361"/>
        <w:jc w:val="right"/>
        <w:rPr>
          <w:rFonts w:ascii="Book Antiqua" w:eastAsia="SimSun" w:hAnsi="Book Antiqua"/>
          <w:color w:val="000000"/>
          <w:kern w:val="2"/>
          <w:sz w:val="24"/>
          <w:szCs w:val="24"/>
          <w:lang w:val="en-US" w:eastAsia="zh-CN"/>
        </w:rPr>
      </w:pPr>
      <w:r w:rsidRPr="00FB7D6B">
        <w:rPr>
          <w:rFonts w:ascii="Book Antiqua" w:eastAsia="SimSun" w:hAnsi="Book Antiqua"/>
          <w:b/>
          <w:bCs/>
          <w:color w:val="000000"/>
          <w:kern w:val="2"/>
          <w:sz w:val="24"/>
          <w:szCs w:val="24"/>
          <w:lang w:val="en-US" w:eastAsia="zh-CN"/>
        </w:rPr>
        <w:t>P-Reviewer:</w:t>
      </w:r>
      <w:r w:rsidR="00BB1637">
        <w:rPr>
          <w:rFonts w:ascii="Book Antiqua" w:eastAsia="SimSun" w:hAnsi="Book Antiqua" w:hint="eastAsia"/>
          <w:b/>
          <w:bCs/>
          <w:color w:val="000000"/>
          <w:kern w:val="2"/>
          <w:sz w:val="24"/>
          <w:szCs w:val="24"/>
          <w:lang w:val="en-US" w:eastAsia="zh-CN"/>
        </w:rPr>
        <w:t xml:space="preserve"> </w:t>
      </w:r>
      <w:r w:rsidR="00BB1637" w:rsidRPr="00BB1637">
        <w:rPr>
          <w:rFonts w:ascii="Book Antiqua" w:eastAsia="SimSun" w:hAnsi="Book Antiqua"/>
          <w:bCs/>
          <w:color w:val="000000"/>
          <w:kern w:val="2"/>
          <w:sz w:val="24"/>
          <w:szCs w:val="24"/>
          <w:lang w:val="en-US" w:eastAsia="zh-CN"/>
        </w:rPr>
        <w:t>Eshraghian</w:t>
      </w:r>
      <w:r w:rsidR="00BB1637" w:rsidRPr="00BB1637">
        <w:rPr>
          <w:rFonts w:ascii="Book Antiqua" w:eastAsia="SimSun" w:hAnsi="Book Antiqua" w:hint="eastAsia"/>
          <w:bCs/>
          <w:color w:val="000000"/>
          <w:kern w:val="2"/>
          <w:sz w:val="24"/>
          <w:szCs w:val="24"/>
          <w:lang w:val="en-US" w:eastAsia="zh-CN"/>
        </w:rPr>
        <w:t xml:space="preserve"> A</w:t>
      </w:r>
      <w:r w:rsidR="00BB1637">
        <w:rPr>
          <w:rFonts w:ascii="Book Antiqua" w:eastAsia="SimSun" w:hAnsi="Book Antiqua" w:hint="eastAsia"/>
          <w:bCs/>
          <w:color w:val="000000"/>
          <w:kern w:val="2"/>
          <w:sz w:val="24"/>
          <w:szCs w:val="24"/>
          <w:lang w:val="en-US" w:eastAsia="zh-CN"/>
        </w:rPr>
        <w:t xml:space="preserve">, </w:t>
      </w:r>
      <w:r w:rsidR="00BB1637" w:rsidRPr="00BB1637">
        <w:rPr>
          <w:rFonts w:ascii="Book Antiqua" w:eastAsia="SimSun" w:hAnsi="Book Antiqua"/>
          <w:bCs/>
          <w:color w:val="000000"/>
          <w:kern w:val="2"/>
          <w:sz w:val="24"/>
          <w:szCs w:val="24"/>
          <w:lang w:val="en-US" w:eastAsia="zh-CN"/>
        </w:rPr>
        <w:t>Lei</w:t>
      </w:r>
      <w:r w:rsidR="00BB1637">
        <w:rPr>
          <w:rFonts w:ascii="Book Antiqua" w:eastAsia="SimSun" w:hAnsi="Book Antiqua" w:hint="eastAsia"/>
          <w:bCs/>
          <w:color w:val="000000"/>
          <w:kern w:val="2"/>
          <w:sz w:val="24"/>
          <w:szCs w:val="24"/>
          <w:lang w:val="en-US" w:eastAsia="zh-CN"/>
        </w:rPr>
        <w:t xml:space="preserve"> YC, </w:t>
      </w:r>
      <w:r w:rsidR="00BB1637" w:rsidRPr="00BB1637">
        <w:rPr>
          <w:rFonts w:ascii="Book Antiqua" w:eastAsia="SimSun" w:hAnsi="Book Antiqua"/>
          <w:bCs/>
          <w:color w:val="000000"/>
          <w:kern w:val="2"/>
          <w:sz w:val="24"/>
          <w:szCs w:val="24"/>
          <w:lang w:val="en-US" w:eastAsia="zh-CN"/>
        </w:rPr>
        <w:t>McMillin</w:t>
      </w:r>
      <w:r w:rsidR="00BB1637">
        <w:rPr>
          <w:rFonts w:ascii="Book Antiqua" w:eastAsia="SimSun" w:hAnsi="Book Antiqua" w:hint="eastAsia"/>
          <w:bCs/>
          <w:color w:val="000000"/>
          <w:kern w:val="2"/>
          <w:sz w:val="24"/>
          <w:szCs w:val="24"/>
          <w:lang w:val="en-US" w:eastAsia="zh-CN"/>
        </w:rPr>
        <w:t xml:space="preserve"> MA</w:t>
      </w:r>
      <w:r w:rsidRPr="00FB7D6B">
        <w:rPr>
          <w:rFonts w:ascii="Book Antiqua" w:eastAsia="SimSun" w:hAnsi="Book Antiqua"/>
          <w:bCs/>
          <w:color w:val="000000"/>
          <w:kern w:val="2"/>
          <w:sz w:val="24"/>
          <w:szCs w:val="24"/>
          <w:lang w:val="en-US" w:eastAsia="zh-CN"/>
        </w:rPr>
        <w:t xml:space="preserve"> </w:t>
      </w:r>
      <w:r w:rsidRPr="00FB7D6B">
        <w:rPr>
          <w:rFonts w:ascii="Book Antiqua" w:eastAsia="SimSun" w:hAnsi="Book Antiqua"/>
          <w:b/>
          <w:bCs/>
          <w:color w:val="000000"/>
          <w:kern w:val="2"/>
          <w:sz w:val="24"/>
          <w:szCs w:val="24"/>
          <w:lang w:val="en-US" w:eastAsia="zh-CN"/>
        </w:rPr>
        <w:t xml:space="preserve">S-Editor: </w:t>
      </w:r>
      <w:r w:rsidRPr="00FB7D6B">
        <w:rPr>
          <w:rFonts w:ascii="Book Antiqua" w:eastAsia="SimSun" w:hAnsi="Book Antiqua"/>
          <w:bCs/>
          <w:color w:val="000000"/>
          <w:kern w:val="2"/>
          <w:sz w:val="24"/>
          <w:szCs w:val="24"/>
          <w:lang w:val="en-US" w:eastAsia="zh-CN"/>
        </w:rPr>
        <w:t>Wang XJ</w:t>
      </w:r>
    </w:p>
    <w:p w:rsidR="00FB7D6B" w:rsidRPr="00FB7D6B" w:rsidRDefault="00FB7D6B" w:rsidP="00FB7D6B">
      <w:pPr>
        <w:widowControl w:val="0"/>
        <w:adjustRightInd w:val="0"/>
        <w:snapToGrid w:val="0"/>
        <w:spacing w:after="0" w:line="360" w:lineRule="auto"/>
        <w:ind w:left="361" w:hangingChars="150" w:hanging="361"/>
        <w:jc w:val="right"/>
        <w:rPr>
          <w:rFonts w:ascii="Book Antiqua" w:eastAsia="SimSun" w:hAnsi="Book Antiqua"/>
          <w:b/>
          <w:bCs/>
          <w:color w:val="000000"/>
          <w:kern w:val="2"/>
          <w:sz w:val="24"/>
          <w:szCs w:val="24"/>
          <w:lang w:val="en-US" w:eastAsia="zh-CN"/>
        </w:rPr>
      </w:pPr>
      <w:r w:rsidRPr="00FB7D6B">
        <w:rPr>
          <w:rFonts w:ascii="Book Antiqua" w:eastAsia="SimSun" w:hAnsi="Book Antiqua"/>
          <w:b/>
          <w:bCs/>
          <w:color w:val="000000"/>
          <w:kern w:val="2"/>
          <w:sz w:val="24"/>
          <w:szCs w:val="24"/>
          <w:lang w:val="en-US" w:eastAsia="zh-CN"/>
        </w:rPr>
        <w:t>L-Editor:</w:t>
      </w:r>
      <w:r w:rsidRPr="00FB7D6B">
        <w:rPr>
          <w:rFonts w:ascii="Book Antiqua" w:eastAsia="SimSun" w:hAnsi="Book Antiqua"/>
          <w:color w:val="000000"/>
          <w:kern w:val="2"/>
          <w:sz w:val="24"/>
          <w:szCs w:val="24"/>
          <w:lang w:val="en-US" w:eastAsia="zh-CN"/>
        </w:rPr>
        <w:t xml:space="preserve"> </w:t>
      </w:r>
      <w:r w:rsidRPr="00FB7D6B">
        <w:rPr>
          <w:rFonts w:ascii="Book Antiqua" w:eastAsia="SimSun" w:hAnsi="Book Antiqua"/>
          <w:b/>
          <w:bCs/>
          <w:color w:val="000000"/>
          <w:kern w:val="2"/>
          <w:sz w:val="24"/>
          <w:szCs w:val="24"/>
          <w:lang w:val="en-US" w:eastAsia="zh-CN"/>
        </w:rPr>
        <w:t>E-Editor:</w:t>
      </w:r>
    </w:p>
    <w:p w:rsidR="00FB7D6B" w:rsidRPr="00FB7D6B" w:rsidRDefault="00FB7D6B" w:rsidP="00FB7D6B">
      <w:pPr>
        <w:adjustRightInd w:val="0"/>
        <w:snapToGrid w:val="0"/>
        <w:spacing w:after="0" w:line="360" w:lineRule="auto"/>
        <w:jc w:val="both"/>
        <w:rPr>
          <w:rFonts w:ascii="Book Antiqua" w:eastAsia="MS Mincho" w:hAnsi="Book Antiqua"/>
          <w:sz w:val="24"/>
          <w:szCs w:val="24"/>
          <w:lang w:val="en-US" w:eastAsia="zh-CN"/>
        </w:rPr>
      </w:pPr>
      <w:r w:rsidRPr="00FB7D6B">
        <w:rPr>
          <w:rFonts w:ascii="Book Antiqua" w:eastAsia="MS Mincho" w:hAnsi="Book Antiqua"/>
          <w:b/>
          <w:sz w:val="24"/>
          <w:szCs w:val="24"/>
          <w:lang w:val="en-US" w:eastAsia="zh-CN"/>
        </w:rPr>
        <w:t>Specialty type:</w:t>
      </w:r>
      <w:r w:rsidRPr="00FB7D6B">
        <w:rPr>
          <w:rFonts w:ascii="Book Antiqua" w:eastAsia="MS Mincho" w:hAnsi="Book Antiqua"/>
          <w:sz w:val="24"/>
          <w:szCs w:val="24"/>
          <w:lang w:val="en-US" w:eastAsia="zh-CN"/>
        </w:rPr>
        <w:t xml:space="preserve"> Gastroenterology and hepatology</w:t>
      </w:r>
    </w:p>
    <w:p w:rsidR="00FB7D6B" w:rsidRPr="00FB7D6B" w:rsidRDefault="00FB7D6B" w:rsidP="00FB7D6B">
      <w:pPr>
        <w:adjustRightInd w:val="0"/>
        <w:snapToGrid w:val="0"/>
        <w:spacing w:after="0" w:line="360" w:lineRule="auto"/>
        <w:jc w:val="both"/>
        <w:rPr>
          <w:rFonts w:ascii="Book Antiqua" w:eastAsia="MS Mincho" w:hAnsi="Book Antiqua"/>
          <w:sz w:val="24"/>
          <w:szCs w:val="24"/>
          <w:lang w:val="en-US" w:eastAsia="zh-CN"/>
        </w:rPr>
      </w:pPr>
      <w:r w:rsidRPr="00FB7D6B">
        <w:rPr>
          <w:rFonts w:ascii="Book Antiqua" w:eastAsia="MS Mincho" w:hAnsi="Book Antiqua"/>
          <w:b/>
          <w:sz w:val="24"/>
          <w:szCs w:val="24"/>
          <w:lang w:val="en-US" w:eastAsia="zh-CN"/>
        </w:rPr>
        <w:t xml:space="preserve">Country of origin: </w:t>
      </w:r>
      <w:r w:rsidRPr="00FB7D6B">
        <w:rPr>
          <w:rFonts w:ascii="Book Antiqua" w:eastAsia="MS Mincho" w:hAnsi="Book Antiqua"/>
          <w:sz w:val="24"/>
          <w:szCs w:val="24"/>
          <w:lang w:val="en-US" w:eastAsia="zh-CN"/>
        </w:rPr>
        <w:t>Germany</w:t>
      </w:r>
    </w:p>
    <w:p w:rsidR="00FB7D6B" w:rsidRPr="00FB7D6B" w:rsidRDefault="00FB7D6B" w:rsidP="00FB7D6B">
      <w:pPr>
        <w:adjustRightInd w:val="0"/>
        <w:snapToGrid w:val="0"/>
        <w:spacing w:after="0" w:line="360" w:lineRule="auto"/>
        <w:jc w:val="both"/>
        <w:rPr>
          <w:rFonts w:ascii="Book Antiqua" w:eastAsia="MS Mincho" w:hAnsi="Book Antiqua"/>
          <w:b/>
          <w:sz w:val="24"/>
          <w:szCs w:val="24"/>
          <w:lang w:val="en-US" w:eastAsia="zh-CN"/>
        </w:rPr>
      </w:pPr>
      <w:r w:rsidRPr="00FB7D6B">
        <w:rPr>
          <w:rFonts w:ascii="Book Antiqua" w:eastAsia="MS Mincho" w:hAnsi="Book Antiqua"/>
          <w:b/>
          <w:sz w:val="24"/>
          <w:szCs w:val="24"/>
          <w:lang w:val="en-US" w:eastAsia="zh-CN"/>
        </w:rPr>
        <w:t>Peer-review report classification</w:t>
      </w:r>
    </w:p>
    <w:p w:rsidR="00FB7D6B" w:rsidRPr="00FB7D6B" w:rsidRDefault="00FB7D6B" w:rsidP="00FB7D6B">
      <w:pPr>
        <w:adjustRightInd w:val="0"/>
        <w:snapToGrid w:val="0"/>
        <w:spacing w:after="0" w:line="360" w:lineRule="auto"/>
        <w:jc w:val="both"/>
        <w:rPr>
          <w:rFonts w:ascii="Book Antiqua" w:eastAsia="MS Mincho" w:hAnsi="Book Antiqua"/>
          <w:sz w:val="24"/>
          <w:szCs w:val="24"/>
          <w:lang w:val="en-US" w:eastAsia="zh-CN"/>
        </w:rPr>
      </w:pPr>
      <w:r w:rsidRPr="00FB7D6B">
        <w:rPr>
          <w:rFonts w:ascii="Book Antiqua" w:eastAsia="MS Mincho" w:hAnsi="Book Antiqua"/>
          <w:sz w:val="24"/>
          <w:szCs w:val="24"/>
          <w:lang w:val="en-US" w:eastAsia="zh-CN"/>
        </w:rPr>
        <w:t xml:space="preserve">Grade A (Excellent): </w:t>
      </w:r>
      <w:r w:rsidR="00BB1637">
        <w:rPr>
          <w:rFonts w:ascii="Book Antiqua" w:eastAsia="MS Mincho" w:hAnsi="Book Antiqua" w:hint="eastAsia"/>
          <w:sz w:val="24"/>
          <w:szCs w:val="24"/>
          <w:lang w:val="en-US" w:eastAsia="zh-CN"/>
        </w:rPr>
        <w:t>A</w:t>
      </w:r>
    </w:p>
    <w:p w:rsidR="00FB7D6B" w:rsidRPr="00FB7D6B" w:rsidRDefault="00FB7D6B" w:rsidP="00FB7D6B">
      <w:pPr>
        <w:adjustRightInd w:val="0"/>
        <w:snapToGrid w:val="0"/>
        <w:spacing w:after="0" w:line="360" w:lineRule="auto"/>
        <w:jc w:val="both"/>
        <w:rPr>
          <w:rFonts w:ascii="Book Antiqua" w:eastAsia="SimSun" w:hAnsi="Book Antiqua"/>
          <w:sz w:val="24"/>
          <w:szCs w:val="24"/>
          <w:lang w:val="en-US" w:eastAsia="zh-CN"/>
        </w:rPr>
      </w:pPr>
      <w:r w:rsidRPr="00FB7D6B">
        <w:rPr>
          <w:rFonts w:ascii="Book Antiqua" w:eastAsia="MS Mincho" w:hAnsi="Book Antiqua"/>
          <w:sz w:val="24"/>
          <w:szCs w:val="24"/>
          <w:lang w:val="en-US" w:eastAsia="zh-CN"/>
        </w:rPr>
        <w:t>Grade B (Very good):</w:t>
      </w:r>
      <w:r w:rsidRPr="00FB7D6B">
        <w:rPr>
          <w:rFonts w:ascii="Book Antiqua" w:eastAsia="SimSun" w:hAnsi="Book Antiqua"/>
          <w:sz w:val="24"/>
          <w:szCs w:val="24"/>
          <w:lang w:val="en-US" w:eastAsia="zh-CN"/>
        </w:rPr>
        <w:t xml:space="preserve"> </w:t>
      </w:r>
      <w:r w:rsidR="00BB1637">
        <w:rPr>
          <w:rFonts w:ascii="Book Antiqua" w:eastAsia="SimSun" w:hAnsi="Book Antiqua" w:hint="eastAsia"/>
          <w:sz w:val="24"/>
          <w:szCs w:val="24"/>
          <w:lang w:val="en-US" w:eastAsia="zh-CN"/>
        </w:rPr>
        <w:t>B</w:t>
      </w:r>
    </w:p>
    <w:p w:rsidR="00FB7D6B" w:rsidRPr="00FB7D6B" w:rsidRDefault="00FB7D6B" w:rsidP="00FB7D6B">
      <w:pPr>
        <w:adjustRightInd w:val="0"/>
        <w:snapToGrid w:val="0"/>
        <w:spacing w:after="0" w:line="360" w:lineRule="auto"/>
        <w:jc w:val="both"/>
        <w:rPr>
          <w:rFonts w:ascii="Book Antiqua" w:eastAsia="MS Mincho" w:hAnsi="Book Antiqua"/>
          <w:sz w:val="24"/>
          <w:szCs w:val="24"/>
          <w:lang w:val="en-US" w:eastAsia="zh-CN"/>
        </w:rPr>
      </w:pPr>
      <w:r w:rsidRPr="00FB7D6B">
        <w:rPr>
          <w:rFonts w:ascii="Book Antiqua" w:eastAsia="MS Mincho" w:hAnsi="Book Antiqua"/>
          <w:sz w:val="24"/>
          <w:szCs w:val="24"/>
          <w:lang w:val="en-US" w:eastAsia="zh-CN"/>
        </w:rPr>
        <w:t xml:space="preserve">Grade C (Good): </w:t>
      </w:r>
      <w:r w:rsidRPr="00FB7D6B">
        <w:rPr>
          <w:rFonts w:ascii="Book Antiqua" w:eastAsia="SimSun" w:hAnsi="Book Antiqua"/>
          <w:sz w:val="24"/>
          <w:szCs w:val="24"/>
          <w:lang w:val="en-US" w:eastAsia="zh-CN"/>
        </w:rPr>
        <w:t>0</w:t>
      </w:r>
    </w:p>
    <w:p w:rsidR="00FB7D6B" w:rsidRPr="00FB7D6B" w:rsidRDefault="00FB7D6B" w:rsidP="00FB7D6B">
      <w:pPr>
        <w:adjustRightInd w:val="0"/>
        <w:snapToGrid w:val="0"/>
        <w:spacing w:after="0" w:line="360" w:lineRule="auto"/>
        <w:jc w:val="both"/>
        <w:rPr>
          <w:rFonts w:ascii="Book Antiqua" w:eastAsia="MS Mincho" w:hAnsi="Book Antiqua"/>
          <w:sz w:val="24"/>
          <w:szCs w:val="24"/>
          <w:lang w:val="en-US" w:eastAsia="zh-CN"/>
        </w:rPr>
      </w:pPr>
      <w:r w:rsidRPr="00FB7D6B">
        <w:rPr>
          <w:rFonts w:ascii="Book Antiqua" w:eastAsia="MS Mincho" w:hAnsi="Book Antiqua"/>
          <w:sz w:val="24"/>
          <w:szCs w:val="24"/>
          <w:lang w:val="en-US" w:eastAsia="zh-CN"/>
        </w:rPr>
        <w:t xml:space="preserve">Grade D (Fair): </w:t>
      </w:r>
      <w:r w:rsidR="00BB1637">
        <w:rPr>
          <w:rFonts w:ascii="Book Antiqua" w:eastAsia="MS Mincho" w:hAnsi="Book Antiqua" w:hint="eastAsia"/>
          <w:sz w:val="24"/>
          <w:szCs w:val="24"/>
          <w:lang w:val="en-US" w:eastAsia="zh-CN"/>
        </w:rPr>
        <w:t>D</w:t>
      </w:r>
    </w:p>
    <w:p w:rsidR="00FB7D6B" w:rsidRPr="00FB7D6B" w:rsidRDefault="00FB7D6B" w:rsidP="00FB7D6B">
      <w:pPr>
        <w:adjustRightInd w:val="0"/>
        <w:snapToGrid w:val="0"/>
        <w:spacing w:after="0" w:line="360" w:lineRule="auto"/>
        <w:jc w:val="both"/>
        <w:rPr>
          <w:rFonts w:ascii="Book Antiqua" w:eastAsia="SimSun" w:hAnsi="Book Antiqua"/>
          <w:sz w:val="24"/>
          <w:szCs w:val="24"/>
          <w:lang w:val="en-US" w:eastAsia="zh-CN"/>
        </w:rPr>
      </w:pPr>
      <w:r w:rsidRPr="00FB7D6B">
        <w:rPr>
          <w:rFonts w:ascii="Book Antiqua" w:eastAsia="MS Mincho" w:hAnsi="Book Antiqua"/>
          <w:sz w:val="24"/>
          <w:szCs w:val="24"/>
          <w:lang w:val="en-US" w:eastAsia="zh-CN"/>
        </w:rPr>
        <w:t>Grade E (Poor): 0</w:t>
      </w:r>
    </w:p>
    <w:p w:rsidR="00FB7D6B" w:rsidRPr="00FB7D6B" w:rsidRDefault="00FB7D6B" w:rsidP="00FB7D6B">
      <w:pPr>
        <w:widowControl w:val="0"/>
        <w:adjustRightInd w:val="0"/>
        <w:snapToGrid w:val="0"/>
        <w:spacing w:after="0" w:line="360" w:lineRule="auto"/>
        <w:jc w:val="both"/>
        <w:rPr>
          <w:rFonts w:ascii="Book Antiqua" w:eastAsia="SimSun" w:hAnsi="Book Antiqua"/>
          <w:kern w:val="2"/>
          <w:sz w:val="24"/>
          <w:szCs w:val="24"/>
          <w:lang w:val="en-US" w:eastAsia="zh-CN"/>
        </w:rPr>
      </w:pPr>
    </w:p>
    <w:p w:rsidR="00F370A0" w:rsidRPr="00FB7D6B" w:rsidRDefault="00F370A0" w:rsidP="00FB7D6B">
      <w:pPr>
        <w:spacing w:after="0" w:line="360" w:lineRule="auto"/>
        <w:rPr>
          <w:rFonts w:ascii="Book Antiqua" w:hAnsi="Book Antiqua" w:cs="Arial"/>
          <w:b/>
          <w:sz w:val="24"/>
          <w:szCs w:val="24"/>
          <w:lang w:val="en-US"/>
        </w:rPr>
      </w:pPr>
      <w:r w:rsidRPr="00FB7D6B">
        <w:rPr>
          <w:rFonts w:ascii="Book Antiqua" w:hAnsi="Book Antiqua" w:cs="Arial"/>
          <w:b/>
          <w:sz w:val="24"/>
          <w:szCs w:val="24"/>
          <w:lang w:val="en-US"/>
        </w:rPr>
        <w:br w:type="page"/>
      </w:r>
    </w:p>
    <w:p w:rsidR="00734CCD" w:rsidRPr="00FB7D6B" w:rsidRDefault="00493055"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cs="Arial"/>
          <w:b/>
          <w:sz w:val="24"/>
          <w:szCs w:val="24"/>
          <w:lang w:val="en-US"/>
        </w:rPr>
        <w:lastRenderedPageBreak/>
        <w:t>Table 1</w:t>
      </w:r>
      <w:r w:rsidR="00F370A0" w:rsidRPr="00FB7D6B">
        <w:rPr>
          <w:rFonts w:ascii="Book Antiqua" w:hAnsi="Book Antiqua" w:cs="Arial"/>
          <w:b/>
          <w:sz w:val="24"/>
          <w:szCs w:val="24"/>
          <w:lang w:val="en-US" w:eastAsia="zh-CN"/>
        </w:rPr>
        <w:t xml:space="preserve"> </w:t>
      </w:r>
      <w:r w:rsidRPr="00FB7D6B">
        <w:rPr>
          <w:rFonts w:ascii="Book Antiqua" w:hAnsi="Book Antiqua" w:cs="Arial"/>
          <w:b/>
          <w:sz w:val="24"/>
          <w:szCs w:val="24"/>
          <w:lang w:val="en-US"/>
        </w:rPr>
        <w:t xml:space="preserve">Patients’ </w:t>
      </w:r>
      <w:r w:rsidR="00877F98" w:rsidRPr="00FB7D6B">
        <w:rPr>
          <w:rFonts w:ascii="Book Antiqua" w:hAnsi="Book Antiqua" w:cs="Arial"/>
          <w:b/>
          <w:sz w:val="24"/>
          <w:szCs w:val="24"/>
          <w:lang w:val="en-US"/>
        </w:rPr>
        <w:t xml:space="preserve">demographics and laboratory with </w:t>
      </w:r>
      <w:r w:rsidR="00877F98" w:rsidRPr="00FB7D6B">
        <w:rPr>
          <w:rFonts w:ascii="Book Antiqua" w:hAnsi="Book Antiqua" w:cs="Arial"/>
          <w:b/>
          <w:i/>
          <w:sz w:val="24"/>
          <w:szCs w:val="24"/>
          <w:lang w:val="en-US"/>
        </w:rPr>
        <w:t>n</w:t>
      </w:r>
      <w:r w:rsidR="00877F98" w:rsidRPr="00FB7D6B">
        <w:rPr>
          <w:rFonts w:ascii="Book Antiqua" w:hAnsi="Book Antiqua" w:cs="Arial"/>
          <w:b/>
          <w:sz w:val="24"/>
          <w:szCs w:val="24"/>
          <w:lang w:val="en-US"/>
        </w:rPr>
        <w:t xml:space="preserve"> = 52 demonstrating </w:t>
      </w:r>
      <w:r w:rsidR="00F370A0" w:rsidRPr="00FB7D6B">
        <w:rPr>
          <w:rFonts w:ascii="Book Antiqua" w:hAnsi="Book Antiqua" w:cs="Arial"/>
          <w:b/>
          <w:sz w:val="24"/>
          <w:szCs w:val="24"/>
          <w:lang w:val="en-US"/>
        </w:rPr>
        <w:t>autoimmune hepatitis</w:t>
      </w:r>
      <w:r w:rsidR="00877F98" w:rsidRPr="00FB7D6B">
        <w:rPr>
          <w:rFonts w:ascii="Book Antiqua" w:hAnsi="Book Antiqua" w:cs="Arial"/>
          <w:b/>
          <w:sz w:val="24"/>
          <w:szCs w:val="24"/>
          <w:lang w:val="en-US"/>
        </w:rPr>
        <w:t xml:space="preserve">-induced </w:t>
      </w:r>
      <w:r w:rsidR="00F370A0" w:rsidRPr="00FB7D6B">
        <w:rPr>
          <w:rFonts w:ascii="Book Antiqua" w:hAnsi="Book Antiqua" w:cs="Arial"/>
          <w:b/>
          <w:sz w:val="24"/>
          <w:szCs w:val="24"/>
          <w:lang w:val="en-US"/>
        </w:rPr>
        <w:t>acute liver failure</w:t>
      </w:r>
      <w:r w:rsidR="008B51EC" w:rsidRPr="00FB7D6B">
        <w:rPr>
          <w:rFonts w:ascii="Book Antiqua" w:hAnsi="Book Antiqua" w:cs="Arial"/>
          <w:b/>
          <w:sz w:val="24"/>
          <w:szCs w:val="24"/>
          <w:lang w:val="en-US"/>
        </w:rPr>
        <w:t xml:space="preserve"> (9.2</w:t>
      </w:r>
      <w:r w:rsidR="004C43BA" w:rsidRPr="00FB7D6B">
        <w:rPr>
          <w:rFonts w:ascii="Book Antiqua" w:hAnsi="Book Antiqua" w:cs="Arial"/>
          <w:b/>
          <w:sz w:val="24"/>
          <w:szCs w:val="24"/>
          <w:lang w:val="en-US"/>
        </w:rPr>
        <w:t>%</w:t>
      </w:r>
      <w:r w:rsidR="008B51EC" w:rsidRPr="00FB7D6B">
        <w:rPr>
          <w:rFonts w:ascii="Book Antiqua" w:hAnsi="Book Antiqua" w:cs="Arial"/>
          <w:b/>
          <w:sz w:val="24"/>
          <w:szCs w:val="24"/>
          <w:lang w:val="en-US"/>
        </w:rPr>
        <w:t>)</w:t>
      </w:r>
      <w:bookmarkStart w:id="24" w:name="_Hlk506668200"/>
    </w:p>
    <w:tbl>
      <w:tblPr>
        <w:tblW w:w="9032" w:type="dxa"/>
        <w:tblCellMar>
          <w:left w:w="0" w:type="dxa"/>
          <w:right w:w="0" w:type="dxa"/>
        </w:tblCellMar>
        <w:tblLook w:val="04A0" w:firstRow="1" w:lastRow="0" w:firstColumn="1" w:lastColumn="0" w:noHBand="0" w:noVBand="1"/>
      </w:tblPr>
      <w:tblGrid>
        <w:gridCol w:w="3943"/>
        <w:gridCol w:w="5089"/>
      </w:tblGrid>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bookmarkEnd w:id="24"/>
          <w:p w:rsidR="008B51EC" w:rsidRPr="00FB7D6B" w:rsidRDefault="003E0D42" w:rsidP="00FB7D6B">
            <w:pPr>
              <w:adjustRightInd w:val="0"/>
              <w:snapToGrid w:val="0"/>
              <w:spacing w:after="0" w:line="360" w:lineRule="auto"/>
              <w:rPr>
                <w:rFonts w:ascii="Book Antiqua" w:hAnsi="Book Antiqua" w:cs="Arial"/>
                <w:b/>
                <w:color w:val="000000" w:themeColor="text1"/>
                <w:kern w:val="24"/>
                <w:sz w:val="24"/>
                <w:szCs w:val="24"/>
                <w:lang w:val="en-US"/>
              </w:rPr>
            </w:pPr>
            <w:r w:rsidRPr="00FB7D6B">
              <w:rPr>
                <w:rFonts w:ascii="Book Antiqua" w:hAnsi="Book Antiqua" w:cs="Arial"/>
                <w:b/>
                <w:color w:val="000000" w:themeColor="text1"/>
                <w:kern w:val="24"/>
                <w:sz w:val="24"/>
                <w:szCs w:val="24"/>
                <w:lang w:val="en-US"/>
              </w:rPr>
              <w:t>S</w:t>
            </w:r>
            <w:r w:rsidR="008B51EC" w:rsidRPr="00FB7D6B">
              <w:rPr>
                <w:rFonts w:ascii="Book Antiqua" w:hAnsi="Book Antiqua" w:cs="Arial"/>
                <w:b/>
                <w:color w:val="000000" w:themeColor="text1"/>
                <w:kern w:val="24"/>
                <w:sz w:val="24"/>
                <w:szCs w:val="24"/>
                <w:lang w:val="en-US"/>
              </w:rPr>
              <w:t>tudy population (</w:t>
            </w:r>
            <w:r w:rsidR="008B51EC" w:rsidRPr="00FB7D6B">
              <w:rPr>
                <w:rFonts w:ascii="Book Antiqua" w:hAnsi="Book Antiqua" w:cs="Arial"/>
                <w:b/>
                <w:i/>
                <w:color w:val="000000" w:themeColor="text1"/>
                <w:kern w:val="24"/>
                <w:sz w:val="24"/>
                <w:szCs w:val="24"/>
                <w:lang w:val="en-US"/>
              </w:rPr>
              <w:t>n</w:t>
            </w:r>
            <w:r w:rsidR="008B51EC" w:rsidRPr="00FB7D6B">
              <w:rPr>
                <w:rFonts w:ascii="Book Antiqua" w:hAnsi="Book Antiqua" w:cs="Arial"/>
                <w:b/>
                <w:color w:val="000000" w:themeColor="text1"/>
                <w:kern w:val="24"/>
                <w:sz w:val="24"/>
                <w:szCs w:val="24"/>
                <w:lang w:val="en-US"/>
              </w:rPr>
              <w:t xml:space="preserve"> = 52) with AIH-induced ALF</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B51EC" w:rsidRPr="00FB7D6B" w:rsidRDefault="008B51EC" w:rsidP="00FB7D6B">
            <w:pPr>
              <w:adjustRightInd w:val="0"/>
              <w:snapToGrid w:val="0"/>
              <w:spacing w:after="0" w:line="360" w:lineRule="auto"/>
              <w:jc w:val="both"/>
              <w:rPr>
                <w:rFonts w:ascii="Book Antiqua" w:hAnsi="Book Antiqua" w:cs="Arial"/>
                <w:color w:val="000000" w:themeColor="text1"/>
                <w:kern w:val="24"/>
                <w:sz w:val="24"/>
                <w:szCs w:val="24"/>
                <w:lang w:val="en-US"/>
              </w:rPr>
            </w:pP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lang w:val="en-US"/>
              </w:rPr>
              <w:t>M</w:t>
            </w:r>
            <w:r w:rsidR="004937E3" w:rsidRPr="00FB7D6B">
              <w:rPr>
                <w:rFonts w:ascii="Book Antiqua" w:hAnsi="Book Antiqua" w:cs="Arial"/>
                <w:color w:val="000000" w:themeColor="text1"/>
                <w:kern w:val="24"/>
                <w:sz w:val="24"/>
                <w:szCs w:val="24"/>
                <w:lang w:val="en-US"/>
              </w:rPr>
              <w:t xml:space="preserve">ean </w:t>
            </w:r>
            <w:r w:rsidR="008B51EC" w:rsidRPr="00FB7D6B">
              <w:rPr>
                <w:rFonts w:ascii="Book Antiqua" w:hAnsi="Book Antiqua" w:cs="Arial"/>
                <w:color w:val="000000" w:themeColor="text1"/>
                <w:kern w:val="24"/>
                <w:sz w:val="24"/>
                <w:szCs w:val="24"/>
                <w:lang w:val="en-US"/>
              </w:rPr>
              <w:t>age (y</w:t>
            </w:r>
            <w:r w:rsidR="00116652" w:rsidRPr="00FB7D6B">
              <w:rPr>
                <w:rFonts w:ascii="Book Antiqua" w:hAnsi="Book Antiqua" w:cs="Arial"/>
                <w:color w:val="000000" w:themeColor="text1"/>
                <w:kern w:val="24"/>
                <w:sz w:val="24"/>
                <w:szCs w:val="24"/>
                <w:lang w:val="en-US"/>
              </w:rPr>
              <w:t>r</w:t>
            </w:r>
            <w:r w:rsidR="008B51EC" w:rsidRPr="00FB7D6B">
              <w:rPr>
                <w:rFonts w:ascii="Book Antiqua" w:hAnsi="Book Antiqua" w:cs="Arial"/>
                <w:color w:val="000000" w:themeColor="text1"/>
                <w:kern w:val="24"/>
                <w:sz w:val="24"/>
                <w:szCs w:val="24"/>
                <w:lang w:val="en-US"/>
              </w:rPr>
              <w:t>)</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734CCD"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43.6 ± 14.9 </w:t>
            </w:r>
            <w:r w:rsidR="00F370A0" w:rsidRPr="00FB7D6B">
              <w:rPr>
                <w:rFonts w:ascii="Book Antiqua" w:hAnsi="Book Antiqua" w:cs="Arial"/>
                <w:color w:val="000000" w:themeColor="text1"/>
                <w:kern w:val="24"/>
                <w:sz w:val="24"/>
                <w:szCs w:val="24"/>
                <w:lang w:val="en-US" w:eastAsia="zh-CN"/>
              </w:rPr>
              <w:t>(</w:t>
            </w:r>
            <w:r w:rsidRPr="00FB7D6B">
              <w:rPr>
                <w:rFonts w:ascii="Book Antiqua" w:hAnsi="Book Antiqua" w:cs="Arial"/>
                <w:color w:val="000000" w:themeColor="text1"/>
                <w:kern w:val="24"/>
                <w:sz w:val="24"/>
                <w:szCs w:val="24"/>
                <w:lang w:val="en-US"/>
              </w:rPr>
              <w:t>19-76</w:t>
            </w:r>
            <w:r w:rsidR="00F370A0" w:rsidRPr="00FB7D6B">
              <w:rPr>
                <w:rFonts w:ascii="Book Antiqua" w:hAnsi="Book Antiqua" w:cs="Arial"/>
                <w:color w:val="000000" w:themeColor="text1"/>
                <w:kern w:val="24"/>
                <w:sz w:val="24"/>
                <w:szCs w:val="24"/>
                <w:lang w:val="en-US" w:eastAsia="zh-CN"/>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M</w:t>
            </w:r>
            <w:r w:rsidR="008B51EC" w:rsidRPr="00FB7D6B">
              <w:rPr>
                <w:rFonts w:ascii="Book Antiqua" w:hAnsi="Book Antiqua" w:cs="Arial"/>
                <w:color w:val="000000" w:themeColor="text1"/>
                <w:kern w:val="24"/>
                <w:sz w:val="24"/>
                <w:szCs w:val="24"/>
              </w:rPr>
              <w:t>ale</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8 (15.4</w:t>
            </w:r>
            <w:r w:rsidR="004C43BA" w:rsidRPr="00FB7D6B">
              <w:rPr>
                <w:rFonts w:ascii="Book Antiqua" w:hAnsi="Book Antiqua" w:cs="Arial"/>
                <w:color w:val="000000" w:themeColor="text1"/>
                <w:kern w:val="24"/>
                <w:sz w:val="24"/>
                <w:szCs w:val="24"/>
              </w:rPr>
              <w:t>%</w:t>
            </w:r>
            <w:r w:rsidRPr="00FB7D6B">
              <w:rPr>
                <w:rFonts w:ascii="Book Antiqua" w:hAnsi="Book Antiqua" w:cs="Arial"/>
                <w:color w:val="000000" w:themeColor="text1"/>
                <w:kern w:val="24"/>
                <w:sz w:val="24"/>
                <w:szCs w:val="24"/>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F</w:t>
            </w:r>
            <w:r w:rsidR="008B51EC" w:rsidRPr="00FB7D6B">
              <w:rPr>
                <w:rFonts w:ascii="Book Antiqua" w:hAnsi="Book Antiqua" w:cs="Arial"/>
                <w:color w:val="000000" w:themeColor="text1"/>
                <w:kern w:val="24"/>
                <w:sz w:val="24"/>
                <w:szCs w:val="24"/>
              </w:rPr>
              <w:t>emale</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44 (84.6</w:t>
            </w:r>
            <w:r w:rsidR="004C43BA" w:rsidRPr="00FB7D6B">
              <w:rPr>
                <w:rFonts w:ascii="Book Antiqua" w:hAnsi="Book Antiqua" w:cs="Arial"/>
                <w:color w:val="000000" w:themeColor="text1"/>
                <w:kern w:val="24"/>
                <w:sz w:val="24"/>
                <w:szCs w:val="24"/>
              </w:rPr>
              <w:t>%</w:t>
            </w:r>
            <w:r w:rsidRPr="00FB7D6B">
              <w:rPr>
                <w:rFonts w:ascii="Book Antiqua" w:hAnsi="Book Antiqua" w:cs="Arial"/>
                <w:color w:val="000000" w:themeColor="text1"/>
                <w:kern w:val="24"/>
                <w:sz w:val="24"/>
                <w:szCs w:val="24"/>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B51EC" w:rsidRPr="00FB7D6B" w:rsidRDefault="003E0D42" w:rsidP="00FB7D6B">
            <w:pPr>
              <w:adjustRightInd w:val="0"/>
              <w:snapToGrid w:val="0"/>
              <w:spacing w:after="0" w:line="360" w:lineRule="auto"/>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H</w:t>
            </w:r>
            <w:r w:rsidR="008B51EC" w:rsidRPr="00FB7D6B">
              <w:rPr>
                <w:rFonts w:ascii="Book Antiqua" w:hAnsi="Book Antiqua" w:cs="Arial"/>
                <w:color w:val="000000" w:themeColor="text1"/>
                <w:kern w:val="24"/>
                <w:sz w:val="24"/>
                <w:szCs w:val="24"/>
              </w:rPr>
              <w:t>epatic encephalopathy</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G</w:t>
            </w:r>
            <w:r w:rsidR="008B51EC" w:rsidRPr="00FB7D6B">
              <w:rPr>
                <w:rFonts w:ascii="Book Antiqua" w:hAnsi="Book Antiqua" w:cs="Arial"/>
                <w:color w:val="000000" w:themeColor="text1"/>
                <w:kern w:val="24"/>
                <w:sz w:val="24"/>
                <w:szCs w:val="24"/>
              </w:rPr>
              <w:t>rade I: 46/52 (88.4</w:t>
            </w:r>
            <w:r w:rsidR="004C43BA" w:rsidRPr="00FB7D6B">
              <w:rPr>
                <w:rFonts w:ascii="Book Antiqua" w:hAnsi="Book Antiqua" w:cs="Arial"/>
                <w:color w:val="000000" w:themeColor="text1"/>
                <w:kern w:val="24"/>
                <w:sz w:val="24"/>
                <w:szCs w:val="24"/>
              </w:rPr>
              <w:t>%</w:t>
            </w:r>
            <w:r w:rsidR="008B51EC" w:rsidRPr="00FB7D6B">
              <w:rPr>
                <w:rFonts w:ascii="Book Antiqua" w:hAnsi="Book Antiqua" w:cs="Arial"/>
                <w:color w:val="000000" w:themeColor="text1"/>
                <w:kern w:val="24"/>
                <w:sz w:val="24"/>
                <w:szCs w:val="24"/>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G</w:t>
            </w:r>
            <w:r w:rsidR="008B51EC" w:rsidRPr="00FB7D6B">
              <w:rPr>
                <w:rFonts w:ascii="Book Antiqua" w:hAnsi="Book Antiqua" w:cs="Arial"/>
                <w:color w:val="000000" w:themeColor="text1"/>
                <w:kern w:val="24"/>
                <w:sz w:val="24"/>
                <w:szCs w:val="24"/>
              </w:rPr>
              <w:t>rade II: 2/52 (3.8</w:t>
            </w:r>
            <w:r w:rsidR="004C43BA" w:rsidRPr="00FB7D6B">
              <w:rPr>
                <w:rFonts w:ascii="Book Antiqua" w:hAnsi="Book Antiqua" w:cs="Arial"/>
                <w:color w:val="000000" w:themeColor="text1"/>
                <w:kern w:val="24"/>
                <w:sz w:val="24"/>
                <w:szCs w:val="24"/>
              </w:rPr>
              <w:t>%</w:t>
            </w:r>
            <w:r w:rsidR="008B51EC" w:rsidRPr="00FB7D6B">
              <w:rPr>
                <w:rFonts w:ascii="Book Antiqua" w:hAnsi="Book Antiqua" w:cs="Arial"/>
                <w:color w:val="000000" w:themeColor="text1"/>
                <w:kern w:val="24"/>
                <w:sz w:val="24"/>
                <w:szCs w:val="24"/>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G</w:t>
            </w:r>
            <w:r w:rsidR="008B51EC" w:rsidRPr="00FB7D6B">
              <w:rPr>
                <w:rFonts w:ascii="Book Antiqua" w:hAnsi="Book Antiqua" w:cs="Arial"/>
                <w:color w:val="000000" w:themeColor="text1"/>
                <w:kern w:val="24"/>
                <w:sz w:val="24"/>
                <w:szCs w:val="24"/>
              </w:rPr>
              <w:t>rade III: 2/52 (3.8</w:t>
            </w:r>
            <w:r w:rsidR="004C43BA" w:rsidRPr="00FB7D6B">
              <w:rPr>
                <w:rFonts w:ascii="Book Antiqua" w:hAnsi="Book Antiqua" w:cs="Arial"/>
                <w:color w:val="000000" w:themeColor="text1"/>
                <w:kern w:val="24"/>
                <w:sz w:val="24"/>
                <w:szCs w:val="24"/>
              </w:rPr>
              <w:t>%</w:t>
            </w:r>
            <w:r w:rsidR="008B51EC" w:rsidRPr="00FB7D6B">
              <w:rPr>
                <w:rFonts w:ascii="Book Antiqua" w:hAnsi="Book Antiqua" w:cs="Arial"/>
                <w:color w:val="000000" w:themeColor="text1"/>
                <w:kern w:val="24"/>
                <w:sz w:val="24"/>
                <w:szCs w:val="24"/>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G</w:t>
            </w:r>
            <w:r w:rsidR="008B51EC" w:rsidRPr="00FB7D6B">
              <w:rPr>
                <w:rFonts w:ascii="Book Antiqua" w:hAnsi="Book Antiqua" w:cs="Arial"/>
                <w:color w:val="000000" w:themeColor="text1"/>
                <w:kern w:val="24"/>
                <w:sz w:val="24"/>
                <w:szCs w:val="24"/>
              </w:rPr>
              <w:t>rade IV: 2/52 (3.8</w:t>
            </w:r>
            <w:r w:rsidR="004C43BA" w:rsidRPr="00FB7D6B">
              <w:rPr>
                <w:rFonts w:ascii="Book Antiqua" w:hAnsi="Book Antiqua" w:cs="Arial"/>
                <w:color w:val="000000" w:themeColor="text1"/>
                <w:kern w:val="24"/>
                <w:sz w:val="24"/>
                <w:szCs w:val="24"/>
              </w:rPr>
              <w:t>%</w:t>
            </w:r>
            <w:r w:rsidR="008B51EC" w:rsidRPr="00FB7D6B">
              <w:rPr>
                <w:rFonts w:ascii="Book Antiqua" w:hAnsi="Book Antiqua" w:cs="Arial"/>
                <w:color w:val="000000" w:themeColor="text1"/>
                <w:kern w:val="24"/>
                <w:sz w:val="24"/>
                <w:szCs w:val="24"/>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B51EC" w:rsidRPr="00FB7D6B" w:rsidRDefault="003E0D42" w:rsidP="00FB7D6B">
            <w:pPr>
              <w:adjustRightInd w:val="0"/>
              <w:snapToGrid w:val="0"/>
              <w:spacing w:after="0" w:line="360" w:lineRule="auto"/>
              <w:rPr>
                <w:rFonts w:ascii="Book Antiqua" w:hAnsi="Book Antiqua" w:cs="Arial"/>
                <w:color w:val="000000" w:themeColor="text1"/>
                <w:kern w:val="24"/>
                <w:sz w:val="24"/>
                <w:szCs w:val="24"/>
              </w:rPr>
            </w:pPr>
            <w:r w:rsidRPr="00FB7D6B">
              <w:rPr>
                <w:rFonts w:ascii="Book Antiqua" w:hAnsi="Book Antiqua" w:cs="Arial"/>
                <w:color w:val="000000" w:themeColor="text1"/>
                <w:kern w:val="24"/>
                <w:sz w:val="24"/>
                <w:szCs w:val="24"/>
              </w:rPr>
              <w:t>I</w:t>
            </w:r>
            <w:r w:rsidR="008B51EC" w:rsidRPr="00FB7D6B">
              <w:rPr>
                <w:rFonts w:ascii="Book Antiqua" w:hAnsi="Book Antiqua" w:cs="Arial"/>
                <w:color w:val="000000" w:themeColor="text1"/>
                <w:kern w:val="24"/>
                <w:sz w:val="24"/>
                <w:szCs w:val="24"/>
              </w:rPr>
              <w:t>mmunosuppressive therapy</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tcPr>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lang w:val="en-US"/>
              </w:rPr>
            </w:pPr>
            <w:r w:rsidRPr="00FB7D6B">
              <w:rPr>
                <w:rFonts w:ascii="Book Antiqua" w:hAnsi="Book Antiqua" w:cs="Arial"/>
                <w:color w:val="000000" w:themeColor="text1"/>
                <w:kern w:val="24"/>
                <w:sz w:val="24"/>
                <w:szCs w:val="24"/>
                <w:lang w:val="en-US"/>
              </w:rPr>
              <w:t>S</w:t>
            </w:r>
            <w:r w:rsidR="008B51EC" w:rsidRPr="00FB7D6B">
              <w:rPr>
                <w:rFonts w:ascii="Book Antiqua" w:hAnsi="Book Antiqua" w:cs="Arial"/>
                <w:color w:val="000000" w:themeColor="text1"/>
                <w:kern w:val="24"/>
                <w:sz w:val="24"/>
                <w:szCs w:val="24"/>
                <w:lang w:val="en-US"/>
              </w:rPr>
              <w:t>teroid induction: 52/52 (100</w:t>
            </w:r>
            <w:r w:rsidR="004C43BA" w:rsidRPr="00FB7D6B">
              <w:rPr>
                <w:rFonts w:ascii="Book Antiqua" w:hAnsi="Book Antiqua" w:cs="Arial"/>
                <w:color w:val="000000" w:themeColor="text1"/>
                <w:kern w:val="24"/>
                <w:sz w:val="24"/>
                <w:szCs w:val="24"/>
                <w:lang w:val="en-US"/>
              </w:rPr>
              <w:t>%</w:t>
            </w:r>
            <w:r w:rsidR="008B51EC" w:rsidRPr="00FB7D6B">
              <w:rPr>
                <w:rFonts w:ascii="Book Antiqua" w:hAnsi="Book Antiqua" w:cs="Arial"/>
                <w:color w:val="000000" w:themeColor="text1"/>
                <w:kern w:val="24"/>
                <w:sz w:val="24"/>
                <w:szCs w:val="24"/>
                <w:lang w:val="en-US"/>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lang w:val="en-US"/>
              </w:rPr>
            </w:pPr>
            <w:r w:rsidRPr="00FB7D6B">
              <w:rPr>
                <w:rFonts w:ascii="Book Antiqua" w:hAnsi="Book Antiqua" w:cs="Arial"/>
                <w:color w:val="000000" w:themeColor="text1"/>
                <w:kern w:val="24"/>
                <w:sz w:val="24"/>
                <w:szCs w:val="24"/>
                <w:lang w:val="en-US"/>
              </w:rPr>
              <w:t>S</w:t>
            </w:r>
            <w:r w:rsidR="008B51EC" w:rsidRPr="00FB7D6B">
              <w:rPr>
                <w:rFonts w:ascii="Book Antiqua" w:hAnsi="Book Antiqua" w:cs="Arial"/>
                <w:color w:val="000000" w:themeColor="text1"/>
                <w:kern w:val="24"/>
                <w:sz w:val="24"/>
                <w:szCs w:val="24"/>
                <w:lang w:val="en-US"/>
              </w:rPr>
              <w:t>teroid maintenance: 30/52 (57.7</w:t>
            </w:r>
            <w:r w:rsidR="004C43BA" w:rsidRPr="00FB7D6B">
              <w:rPr>
                <w:rFonts w:ascii="Book Antiqua" w:hAnsi="Book Antiqua" w:cs="Arial"/>
                <w:color w:val="000000" w:themeColor="text1"/>
                <w:kern w:val="24"/>
                <w:sz w:val="24"/>
                <w:szCs w:val="24"/>
                <w:lang w:val="en-US"/>
              </w:rPr>
              <w:t>%</w:t>
            </w:r>
            <w:r w:rsidR="008B51EC" w:rsidRPr="00FB7D6B">
              <w:rPr>
                <w:rFonts w:ascii="Book Antiqua" w:hAnsi="Book Antiqua" w:cs="Arial"/>
                <w:color w:val="000000" w:themeColor="text1"/>
                <w:kern w:val="24"/>
                <w:sz w:val="24"/>
                <w:szCs w:val="24"/>
                <w:lang w:val="en-US"/>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lang w:val="en-US"/>
              </w:rPr>
            </w:pPr>
            <w:r w:rsidRPr="00FB7D6B">
              <w:rPr>
                <w:rFonts w:ascii="Book Antiqua" w:hAnsi="Book Antiqua" w:cs="Arial"/>
                <w:color w:val="000000" w:themeColor="text1"/>
                <w:kern w:val="24"/>
                <w:sz w:val="24"/>
                <w:szCs w:val="24"/>
                <w:lang w:val="en-US"/>
              </w:rPr>
              <w:t>S</w:t>
            </w:r>
            <w:r w:rsidR="008B51EC" w:rsidRPr="00FB7D6B">
              <w:rPr>
                <w:rFonts w:ascii="Book Antiqua" w:hAnsi="Book Antiqua" w:cs="Arial"/>
                <w:color w:val="000000" w:themeColor="text1"/>
                <w:kern w:val="24"/>
                <w:sz w:val="24"/>
                <w:szCs w:val="24"/>
                <w:lang w:val="en-US"/>
              </w:rPr>
              <w:t>teroid withdrawal: 20/52 (42.3</w:t>
            </w:r>
            <w:r w:rsidR="004C43BA" w:rsidRPr="00FB7D6B">
              <w:rPr>
                <w:rFonts w:ascii="Book Antiqua" w:hAnsi="Book Antiqua" w:cs="Arial"/>
                <w:color w:val="000000" w:themeColor="text1"/>
                <w:kern w:val="24"/>
                <w:sz w:val="24"/>
                <w:szCs w:val="24"/>
                <w:lang w:val="en-US"/>
              </w:rPr>
              <w:t>%</w:t>
            </w:r>
            <w:r w:rsidR="008B51EC" w:rsidRPr="00FB7D6B">
              <w:rPr>
                <w:rFonts w:ascii="Book Antiqua" w:hAnsi="Book Antiqua" w:cs="Arial"/>
                <w:color w:val="000000" w:themeColor="text1"/>
                <w:kern w:val="24"/>
                <w:sz w:val="24"/>
                <w:szCs w:val="24"/>
                <w:lang w:val="en-US"/>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lang w:val="en-US"/>
              </w:rPr>
            </w:pPr>
            <w:r w:rsidRPr="00FB7D6B">
              <w:rPr>
                <w:rFonts w:ascii="Book Antiqua" w:hAnsi="Book Antiqua" w:cs="Arial"/>
                <w:color w:val="000000" w:themeColor="text1"/>
                <w:kern w:val="24"/>
                <w:sz w:val="24"/>
                <w:szCs w:val="24"/>
                <w:lang w:val="en-US"/>
              </w:rPr>
              <w:t>A</w:t>
            </w:r>
            <w:r w:rsidR="008B51EC" w:rsidRPr="00FB7D6B">
              <w:rPr>
                <w:rFonts w:ascii="Book Antiqua" w:hAnsi="Book Antiqua" w:cs="Arial"/>
                <w:color w:val="000000" w:themeColor="text1"/>
                <w:kern w:val="24"/>
                <w:sz w:val="24"/>
                <w:szCs w:val="24"/>
                <w:lang w:val="en-US"/>
              </w:rPr>
              <w:t>zathioprine: 27/52 (51.9</w:t>
            </w:r>
            <w:r w:rsidR="004C43BA" w:rsidRPr="00FB7D6B">
              <w:rPr>
                <w:rFonts w:ascii="Book Antiqua" w:hAnsi="Book Antiqua" w:cs="Arial"/>
                <w:color w:val="000000" w:themeColor="text1"/>
                <w:kern w:val="24"/>
                <w:sz w:val="24"/>
                <w:szCs w:val="24"/>
                <w:lang w:val="en-US"/>
              </w:rPr>
              <w:t>%</w:t>
            </w:r>
            <w:r w:rsidR="008B51EC" w:rsidRPr="00FB7D6B">
              <w:rPr>
                <w:rFonts w:ascii="Book Antiqua" w:hAnsi="Book Antiqua" w:cs="Arial"/>
                <w:color w:val="000000" w:themeColor="text1"/>
                <w:kern w:val="24"/>
                <w:sz w:val="24"/>
                <w:szCs w:val="24"/>
                <w:lang w:val="en-US"/>
              </w:rPr>
              <w:t>)</w:t>
            </w:r>
          </w:p>
          <w:p w:rsidR="008B51EC" w:rsidRPr="00FB7D6B" w:rsidRDefault="003E0D42" w:rsidP="00FB7D6B">
            <w:pPr>
              <w:adjustRightInd w:val="0"/>
              <w:snapToGrid w:val="0"/>
              <w:spacing w:after="0" w:line="360" w:lineRule="auto"/>
              <w:jc w:val="center"/>
              <w:rPr>
                <w:rFonts w:ascii="Book Antiqua" w:hAnsi="Book Antiqua" w:cs="Arial"/>
                <w:color w:val="000000" w:themeColor="text1"/>
                <w:kern w:val="24"/>
                <w:sz w:val="24"/>
                <w:szCs w:val="24"/>
                <w:lang w:val="en-US"/>
              </w:rPr>
            </w:pPr>
            <w:r w:rsidRPr="00FB7D6B">
              <w:rPr>
                <w:rFonts w:ascii="Book Antiqua" w:hAnsi="Book Antiqua" w:cs="Arial"/>
                <w:color w:val="000000" w:themeColor="text1"/>
                <w:kern w:val="24"/>
                <w:sz w:val="24"/>
                <w:szCs w:val="24"/>
                <w:lang w:val="en-US"/>
              </w:rPr>
              <w:t>C</w:t>
            </w:r>
            <w:r w:rsidR="008B51EC" w:rsidRPr="00FB7D6B">
              <w:rPr>
                <w:rFonts w:ascii="Book Antiqua" w:hAnsi="Book Antiqua" w:cs="Arial"/>
                <w:color w:val="000000" w:themeColor="text1"/>
                <w:kern w:val="24"/>
                <w:sz w:val="24"/>
                <w:szCs w:val="24"/>
                <w:lang w:val="en-US"/>
              </w:rPr>
              <w:t>yclosporine A: 7/52 (13.5</w:t>
            </w:r>
            <w:r w:rsidR="004C43BA" w:rsidRPr="00FB7D6B">
              <w:rPr>
                <w:rFonts w:ascii="Book Antiqua" w:hAnsi="Book Antiqua" w:cs="Arial"/>
                <w:color w:val="000000" w:themeColor="text1"/>
                <w:kern w:val="24"/>
                <w:sz w:val="24"/>
                <w:szCs w:val="24"/>
                <w:lang w:val="en-US"/>
              </w:rPr>
              <w:t>%</w:t>
            </w:r>
            <w:r w:rsidR="008B51EC" w:rsidRPr="00FB7D6B">
              <w:rPr>
                <w:rFonts w:ascii="Book Antiqua" w:hAnsi="Book Antiqua" w:cs="Arial"/>
                <w:color w:val="000000" w:themeColor="text1"/>
                <w:kern w:val="24"/>
                <w:sz w:val="24"/>
                <w:szCs w:val="24"/>
                <w:lang w:val="en-US"/>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ALT (U/</w:t>
            </w:r>
            <w:r w:rsidR="00F370A0" w:rsidRPr="00FB7D6B">
              <w:rPr>
                <w:rFonts w:ascii="Book Antiqua" w:hAnsi="Book Antiqua" w:cs="Arial"/>
                <w:color w:val="000000" w:themeColor="text1"/>
                <w:kern w:val="24"/>
                <w:sz w:val="24"/>
                <w:szCs w:val="24"/>
              </w:rPr>
              <w:t>L</w:t>
            </w:r>
            <w:r w:rsidRPr="00FB7D6B">
              <w:rPr>
                <w:rFonts w:ascii="Book Antiqua" w:hAnsi="Book Antiqua" w:cs="Arial"/>
                <w:color w:val="000000" w:themeColor="text1"/>
                <w:kern w:val="24"/>
                <w:sz w:val="24"/>
                <w:szCs w:val="24"/>
              </w:rPr>
              <w:t>)</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647021"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1391.0 </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843.5-2154.5</w:t>
            </w:r>
            <w:r w:rsidR="00F370A0" w:rsidRPr="00FB7D6B">
              <w:rPr>
                <w:rFonts w:ascii="Book Antiqua" w:hAnsi="Book Antiqua" w:cs="Arial"/>
                <w:color w:val="000000" w:themeColor="text1"/>
                <w:kern w:val="24"/>
                <w:sz w:val="24"/>
                <w:szCs w:val="24"/>
                <w:lang w:eastAsia="zh-CN"/>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T</w:t>
            </w:r>
            <w:r w:rsidR="008B51EC" w:rsidRPr="00FB7D6B">
              <w:rPr>
                <w:rFonts w:ascii="Book Antiqua" w:hAnsi="Book Antiqua" w:cs="Arial"/>
                <w:color w:val="000000" w:themeColor="text1"/>
                <w:kern w:val="24"/>
                <w:sz w:val="24"/>
                <w:szCs w:val="24"/>
              </w:rPr>
              <w:t>otal bilirubin (mg/dL)</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DD5056"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14.3 </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11.7-18.7</w:t>
            </w:r>
            <w:r w:rsidR="00F370A0" w:rsidRPr="00FB7D6B">
              <w:rPr>
                <w:rFonts w:ascii="Book Antiqua" w:hAnsi="Book Antiqua" w:cs="Arial"/>
                <w:color w:val="000000" w:themeColor="text1"/>
                <w:kern w:val="24"/>
                <w:sz w:val="24"/>
                <w:szCs w:val="24"/>
                <w:lang w:eastAsia="zh-CN"/>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C</w:t>
            </w:r>
            <w:r w:rsidR="008B51EC" w:rsidRPr="00FB7D6B">
              <w:rPr>
                <w:rFonts w:ascii="Book Antiqua" w:hAnsi="Book Antiqua" w:cs="Arial"/>
                <w:color w:val="000000" w:themeColor="text1"/>
                <w:kern w:val="24"/>
                <w:sz w:val="24"/>
                <w:szCs w:val="24"/>
              </w:rPr>
              <w:t>reatinine (mg/dL)</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DD5056"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0.76 </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0.55-0.95</w:t>
            </w:r>
            <w:r w:rsidR="00F370A0" w:rsidRPr="00FB7D6B">
              <w:rPr>
                <w:rFonts w:ascii="Book Antiqua" w:hAnsi="Book Antiqua" w:cs="Arial"/>
                <w:color w:val="000000" w:themeColor="text1"/>
                <w:kern w:val="24"/>
                <w:sz w:val="24"/>
                <w:szCs w:val="24"/>
                <w:lang w:eastAsia="zh-CN"/>
              </w:rPr>
              <w:t>)</w:t>
            </w:r>
          </w:p>
        </w:tc>
      </w:tr>
      <w:tr w:rsidR="008B51EC" w:rsidRPr="00FB7D6B" w:rsidTr="00F77C81">
        <w:trPr>
          <w:trHeight w:val="558"/>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INR</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F0521D"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1.78 </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1.64-2.00</w:t>
            </w:r>
            <w:r w:rsidR="00F370A0" w:rsidRPr="00FB7D6B">
              <w:rPr>
                <w:rFonts w:ascii="Book Antiqua" w:hAnsi="Book Antiqua" w:cs="Arial"/>
                <w:color w:val="000000" w:themeColor="text1"/>
                <w:kern w:val="24"/>
                <w:sz w:val="24"/>
                <w:szCs w:val="24"/>
                <w:lang w:eastAsia="zh-CN"/>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L</w:t>
            </w:r>
            <w:r w:rsidR="008B51EC" w:rsidRPr="00FB7D6B">
              <w:rPr>
                <w:rFonts w:ascii="Book Antiqua" w:hAnsi="Book Antiqua" w:cs="Arial"/>
                <w:color w:val="000000" w:themeColor="text1"/>
                <w:kern w:val="24"/>
                <w:sz w:val="24"/>
                <w:szCs w:val="24"/>
              </w:rPr>
              <w:t>abMELD-score</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24 </w:t>
            </w:r>
            <w:r w:rsidR="00F370A0" w:rsidRPr="00FB7D6B">
              <w:rPr>
                <w:rFonts w:ascii="Book Antiqua" w:hAnsi="Book Antiqua" w:cs="Arial"/>
                <w:color w:val="000000" w:themeColor="text1"/>
                <w:kern w:val="24"/>
                <w:sz w:val="24"/>
                <w:szCs w:val="24"/>
                <w:lang w:eastAsia="zh-CN"/>
              </w:rPr>
              <w:t>(</w:t>
            </w:r>
            <w:r w:rsidR="0063735B" w:rsidRPr="00FB7D6B">
              <w:rPr>
                <w:rFonts w:ascii="Book Antiqua" w:hAnsi="Book Antiqua" w:cs="Arial"/>
                <w:color w:val="000000" w:themeColor="text1"/>
                <w:kern w:val="24"/>
                <w:sz w:val="24"/>
                <w:szCs w:val="24"/>
              </w:rPr>
              <w:t>2</w:t>
            </w:r>
            <w:r w:rsidRPr="00FB7D6B">
              <w:rPr>
                <w:rFonts w:ascii="Book Antiqua" w:hAnsi="Book Antiqua" w:cs="Arial"/>
                <w:color w:val="000000" w:themeColor="text1"/>
                <w:kern w:val="24"/>
                <w:sz w:val="24"/>
                <w:szCs w:val="24"/>
              </w:rPr>
              <w:t>2-</w:t>
            </w:r>
            <w:r w:rsidR="0063735B" w:rsidRPr="00FB7D6B">
              <w:rPr>
                <w:rFonts w:ascii="Book Antiqua" w:hAnsi="Book Antiqua" w:cs="Arial"/>
                <w:color w:val="000000" w:themeColor="text1"/>
                <w:kern w:val="24"/>
                <w:sz w:val="24"/>
                <w:szCs w:val="24"/>
              </w:rPr>
              <w:t>26</w:t>
            </w:r>
            <w:r w:rsidR="00BB1637">
              <w:rPr>
                <w:rFonts w:ascii="Book Antiqua" w:hAnsi="Book Antiqua" w:cs="Arial" w:hint="eastAsia"/>
                <w:color w:val="000000" w:themeColor="text1"/>
                <w:kern w:val="24"/>
                <w:sz w:val="24"/>
                <w:szCs w:val="24"/>
                <w:lang w:eastAsia="zh-CN"/>
              </w:rPr>
              <w:t>)</w:t>
            </w:r>
          </w:p>
        </w:tc>
      </w:tr>
      <w:tr w:rsidR="008B51EC" w:rsidRPr="00FB7D6B" w:rsidTr="00F77C81">
        <w:trPr>
          <w:trHeight w:val="531"/>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color w:val="000000" w:themeColor="text1"/>
                <w:kern w:val="24"/>
                <w:sz w:val="24"/>
                <w:szCs w:val="24"/>
              </w:rPr>
              <w:t>I</w:t>
            </w:r>
            <w:r w:rsidR="008B51EC" w:rsidRPr="00FB7D6B">
              <w:rPr>
                <w:rFonts w:ascii="Book Antiqua" w:hAnsi="Book Antiqua" w:cs="Arial"/>
                <w:color w:val="000000" w:themeColor="text1"/>
                <w:kern w:val="24"/>
                <w:sz w:val="24"/>
                <w:szCs w:val="24"/>
              </w:rPr>
              <w:t>mmunoglobulin G (g/</w:t>
            </w:r>
            <w:r w:rsidR="00F370A0" w:rsidRPr="00FB7D6B">
              <w:rPr>
                <w:rFonts w:ascii="Book Antiqua" w:hAnsi="Book Antiqua" w:cs="Arial"/>
                <w:color w:val="000000" w:themeColor="text1"/>
                <w:kern w:val="24"/>
                <w:sz w:val="24"/>
                <w:szCs w:val="24"/>
              </w:rPr>
              <w:t>L</w:t>
            </w:r>
            <w:r w:rsidR="008B51EC" w:rsidRPr="00FB7D6B">
              <w:rPr>
                <w:rFonts w:ascii="Book Antiqua" w:hAnsi="Book Antiqua" w:cs="Arial"/>
                <w:color w:val="000000" w:themeColor="text1"/>
                <w:kern w:val="24"/>
                <w:sz w:val="24"/>
                <w:szCs w:val="24"/>
              </w:rPr>
              <w:t>)</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C22B46"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17.2</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13.1-22.8</w:t>
            </w:r>
            <w:r w:rsidR="00F370A0" w:rsidRPr="00FB7D6B">
              <w:rPr>
                <w:rFonts w:ascii="Book Antiqua" w:hAnsi="Book Antiqua" w:cs="Arial"/>
                <w:color w:val="000000" w:themeColor="text1"/>
                <w:kern w:val="24"/>
                <w:sz w:val="24"/>
                <w:szCs w:val="24"/>
                <w:lang w:eastAsia="zh-CN"/>
              </w:rPr>
              <w:t>)</w:t>
            </w:r>
          </w:p>
        </w:tc>
      </w:tr>
      <w:tr w:rsidR="008B51EC" w:rsidRPr="00FB7D6B" w:rsidTr="00F77C81">
        <w:trPr>
          <w:trHeight w:val="558"/>
        </w:trPr>
        <w:tc>
          <w:tcPr>
            <w:tcW w:w="394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8B51EC" w:rsidP="00FB7D6B">
            <w:pPr>
              <w:adjustRightInd w:val="0"/>
              <w:snapToGrid w:val="0"/>
              <w:spacing w:after="0" w:line="360" w:lineRule="auto"/>
              <w:rPr>
                <w:rFonts w:ascii="Book Antiqua" w:hAnsi="Book Antiqua" w:cs="Arial"/>
                <w:sz w:val="24"/>
                <w:szCs w:val="24"/>
              </w:rPr>
            </w:pPr>
            <w:r w:rsidRPr="00FB7D6B">
              <w:rPr>
                <w:rFonts w:ascii="Times New Roman" w:hAnsi="Times New Roman"/>
                <w:color w:val="000000" w:themeColor="text1"/>
                <w:kern w:val="24"/>
                <w:sz w:val="24"/>
                <w:szCs w:val="24"/>
              </w:rPr>
              <w:t>ɣ</w:t>
            </w:r>
            <w:r w:rsidRPr="00FB7D6B">
              <w:rPr>
                <w:rFonts w:ascii="Book Antiqua" w:hAnsi="Book Antiqua" w:cs="Arial"/>
                <w:color w:val="000000" w:themeColor="text1"/>
                <w:kern w:val="24"/>
                <w:sz w:val="24"/>
                <w:szCs w:val="24"/>
              </w:rPr>
              <w:t>-globulin-fraction (%)</w:t>
            </w:r>
          </w:p>
        </w:tc>
        <w:tc>
          <w:tcPr>
            <w:tcW w:w="508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8B51EC" w:rsidRPr="00FB7D6B" w:rsidRDefault="0063735B"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24.5 </w:t>
            </w:r>
            <w:r w:rsidR="00F370A0" w:rsidRPr="00FB7D6B">
              <w:rPr>
                <w:rFonts w:ascii="Book Antiqua" w:hAnsi="Book Antiqua" w:cs="Arial"/>
                <w:color w:val="000000" w:themeColor="text1"/>
                <w:kern w:val="24"/>
                <w:sz w:val="24"/>
                <w:szCs w:val="24"/>
                <w:lang w:eastAsia="zh-CN"/>
              </w:rPr>
              <w:t>(</w:t>
            </w:r>
            <w:r w:rsidRPr="00FB7D6B">
              <w:rPr>
                <w:rFonts w:ascii="Book Antiqua" w:hAnsi="Book Antiqua" w:cs="Arial"/>
                <w:color w:val="000000" w:themeColor="text1"/>
                <w:kern w:val="24"/>
                <w:sz w:val="24"/>
                <w:szCs w:val="24"/>
              </w:rPr>
              <w:t>19.5-29.3</w:t>
            </w:r>
            <w:r w:rsidR="00F370A0" w:rsidRPr="00FB7D6B">
              <w:rPr>
                <w:rFonts w:ascii="Book Antiqua" w:hAnsi="Book Antiqua" w:cs="Arial"/>
                <w:color w:val="000000" w:themeColor="text1"/>
                <w:kern w:val="24"/>
                <w:sz w:val="24"/>
                <w:szCs w:val="24"/>
                <w:lang w:eastAsia="zh-CN"/>
              </w:rPr>
              <w:t>)</w:t>
            </w:r>
          </w:p>
        </w:tc>
      </w:tr>
    </w:tbl>
    <w:p w:rsidR="000E3AB8" w:rsidRPr="00FB7D6B" w:rsidRDefault="00F370A0" w:rsidP="00FB7D6B">
      <w:pPr>
        <w:adjustRightInd w:val="0"/>
        <w:snapToGrid w:val="0"/>
        <w:spacing w:after="0" w:line="360" w:lineRule="auto"/>
        <w:jc w:val="both"/>
        <w:rPr>
          <w:rFonts w:ascii="Book Antiqua" w:hAnsi="Book Antiqua"/>
          <w:sz w:val="24"/>
          <w:szCs w:val="24"/>
          <w:lang w:eastAsia="zh-CN"/>
        </w:rPr>
      </w:pPr>
      <w:r w:rsidRPr="00FB7D6B">
        <w:rPr>
          <w:rFonts w:ascii="Book Antiqua" w:hAnsi="Book Antiqua"/>
          <w:sz w:val="24"/>
          <w:szCs w:val="24"/>
        </w:rPr>
        <w:t>Data represents median and IQR.</w:t>
      </w:r>
      <w:r w:rsidRPr="00FB7D6B">
        <w:rPr>
          <w:rFonts w:ascii="Book Antiqua" w:hAnsi="Book Antiqua"/>
          <w:sz w:val="24"/>
          <w:szCs w:val="24"/>
          <w:lang w:eastAsia="zh-CN"/>
        </w:rPr>
        <w:t xml:space="preserve"> </w:t>
      </w:r>
      <w:r w:rsidRPr="00FB7D6B">
        <w:rPr>
          <w:rFonts w:ascii="Book Antiqua" w:hAnsi="Book Antiqua" w:cs="Arial"/>
          <w:color w:val="000000" w:themeColor="text1"/>
          <w:kern w:val="24"/>
          <w:sz w:val="24"/>
          <w:szCs w:val="24"/>
          <w:lang w:val="en-US"/>
        </w:rPr>
        <w:t>AIH</w:t>
      </w:r>
      <w:r w:rsidRPr="00FB7D6B">
        <w:rPr>
          <w:rFonts w:ascii="Book Antiqua" w:hAnsi="Book Antiqua" w:cs="Arial"/>
          <w:color w:val="000000" w:themeColor="text1"/>
          <w:kern w:val="24"/>
          <w:sz w:val="24"/>
          <w:szCs w:val="24"/>
          <w:lang w:val="en-US" w:eastAsia="zh-CN"/>
        </w:rPr>
        <w:t>: Autoimmune hepatitis;</w:t>
      </w:r>
      <w:r w:rsidRPr="00FB7D6B">
        <w:rPr>
          <w:rFonts w:ascii="Book Antiqua" w:hAnsi="Book Antiqua" w:cs="Arial"/>
          <w:color w:val="000000" w:themeColor="text1"/>
          <w:kern w:val="24"/>
          <w:sz w:val="24"/>
          <w:szCs w:val="24"/>
          <w:lang w:val="en-US"/>
        </w:rPr>
        <w:t xml:space="preserve"> ALF</w:t>
      </w:r>
      <w:r w:rsidRPr="00FB7D6B">
        <w:rPr>
          <w:rFonts w:ascii="Book Antiqua" w:hAnsi="Book Antiqua" w:cs="Arial"/>
          <w:color w:val="000000" w:themeColor="text1"/>
          <w:kern w:val="24"/>
          <w:sz w:val="24"/>
          <w:szCs w:val="24"/>
          <w:lang w:val="en-US" w:eastAsia="zh-CN"/>
        </w:rPr>
        <w:t>:</w:t>
      </w:r>
      <w:r w:rsidRPr="00FB7D6B">
        <w:rPr>
          <w:rFonts w:ascii="Book Antiqua" w:hAnsi="Book Antiqua"/>
          <w:sz w:val="24"/>
          <w:szCs w:val="24"/>
        </w:rPr>
        <w:t xml:space="preserve"> </w:t>
      </w:r>
      <w:r w:rsidRPr="00FB7D6B">
        <w:rPr>
          <w:rFonts w:ascii="Book Antiqua" w:hAnsi="Book Antiqua" w:cs="Arial"/>
          <w:color w:val="000000" w:themeColor="text1"/>
          <w:kern w:val="24"/>
          <w:sz w:val="24"/>
          <w:szCs w:val="24"/>
          <w:lang w:val="en-US" w:eastAsia="zh-CN"/>
        </w:rPr>
        <w:t xml:space="preserve">Acute liver failure; </w:t>
      </w:r>
      <w:r w:rsidRPr="00FB7D6B">
        <w:rPr>
          <w:rFonts w:ascii="Book Antiqua" w:hAnsi="Book Antiqua" w:cs="Arial"/>
          <w:color w:val="000000" w:themeColor="text1"/>
          <w:kern w:val="24"/>
          <w:sz w:val="24"/>
          <w:szCs w:val="24"/>
        </w:rPr>
        <w:t>ALT</w:t>
      </w:r>
      <w:r w:rsidRPr="00FB7D6B">
        <w:rPr>
          <w:rFonts w:ascii="Book Antiqua" w:hAnsi="Book Antiqua" w:cs="Arial"/>
          <w:color w:val="000000" w:themeColor="text1"/>
          <w:kern w:val="24"/>
          <w:sz w:val="24"/>
          <w:szCs w:val="24"/>
          <w:lang w:eastAsia="zh-CN"/>
        </w:rPr>
        <w:t xml:space="preserve">: </w:t>
      </w:r>
      <w:r w:rsidRPr="00FB7D6B">
        <w:rPr>
          <w:rFonts w:ascii="Book Antiqua" w:hAnsi="Book Antiqua" w:cs="Arial"/>
          <w:sz w:val="24"/>
          <w:szCs w:val="24"/>
          <w:lang w:val="en-US"/>
        </w:rPr>
        <w:t>Alanine-aminotransferase</w:t>
      </w:r>
      <w:r w:rsidRPr="00FB7D6B">
        <w:rPr>
          <w:rFonts w:ascii="Book Antiqua" w:hAnsi="Book Antiqua" w:cs="Arial"/>
          <w:sz w:val="24"/>
          <w:szCs w:val="24"/>
          <w:lang w:val="en-US" w:eastAsia="zh-CN"/>
        </w:rPr>
        <w:t>.</w:t>
      </w:r>
    </w:p>
    <w:p w:rsidR="00B762CB" w:rsidRDefault="00B762CB">
      <w:pPr>
        <w:spacing w:after="0" w:line="240" w:lineRule="auto"/>
        <w:rPr>
          <w:rFonts w:ascii="Book Antiqua" w:hAnsi="Book Antiqua"/>
          <w:sz w:val="24"/>
          <w:szCs w:val="24"/>
        </w:rPr>
      </w:pPr>
      <w:r>
        <w:rPr>
          <w:rFonts w:ascii="Book Antiqua" w:hAnsi="Book Antiqua"/>
          <w:sz w:val="24"/>
          <w:szCs w:val="24"/>
        </w:rPr>
        <w:br w:type="page"/>
      </w:r>
    </w:p>
    <w:p w:rsidR="000B3025" w:rsidRPr="00FB7D6B" w:rsidRDefault="000B3025"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cs="Arial"/>
          <w:b/>
          <w:sz w:val="24"/>
          <w:szCs w:val="24"/>
          <w:lang w:val="en-US"/>
        </w:rPr>
        <w:lastRenderedPageBreak/>
        <w:t>Table 2</w:t>
      </w:r>
      <w:r w:rsidR="00F370A0" w:rsidRPr="00FB7D6B">
        <w:rPr>
          <w:rFonts w:ascii="Book Antiqua" w:hAnsi="Book Antiqua" w:cs="Arial"/>
          <w:b/>
          <w:sz w:val="24"/>
          <w:szCs w:val="24"/>
          <w:lang w:val="en-US" w:eastAsia="zh-CN"/>
        </w:rPr>
        <w:t xml:space="preserve"> </w:t>
      </w:r>
      <w:r w:rsidRPr="00FB7D6B">
        <w:rPr>
          <w:rFonts w:ascii="Book Antiqua" w:hAnsi="Book Antiqua" w:cs="Arial"/>
          <w:b/>
          <w:sz w:val="24"/>
          <w:szCs w:val="24"/>
          <w:lang w:val="en-US"/>
        </w:rPr>
        <w:t>Patients</w:t>
      </w:r>
      <w:r w:rsidR="00DB2208" w:rsidRPr="00FB7D6B">
        <w:rPr>
          <w:rFonts w:ascii="Book Antiqua" w:hAnsi="Book Antiqua" w:cs="Arial"/>
          <w:b/>
          <w:sz w:val="24"/>
          <w:szCs w:val="24"/>
          <w:lang w:val="en-US"/>
        </w:rPr>
        <w:t>’</w:t>
      </w:r>
      <w:r w:rsidR="001E7537" w:rsidRPr="00FB7D6B">
        <w:rPr>
          <w:rFonts w:ascii="Book Antiqua" w:hAnsi="Book Antiqua" w:cs="Arial"/>
          <w:b/>
          <w:sz w:val="24"/>
          <w:szCs w:val="24"/>
          <w:lang w:val="en-US"/>
        </w:rPr>
        <w:t xml:space="preserve"> data stratified by recovery and non-recovery </w:t>
      </w:r>
      <w:r w:rsidRPr="00FB7D6B">
        <w:rPr>
          <w:rFonts w:ascii="Book Antiqua" w:hAnsi="Book Antiqua" w:cs="Arial"/>
          <w:b/>
          <w:sz w:val="24"/>
          <w:szCs w:val="24"/>
          <w:lang w:val="en-US"/>
        </w:rPr>
        <w:t>(</w:t>
      </w:r>
      <w:r w:rsidRPr="00FB7D6B">
        <w:rPr>
          <w:rFonts w:ascii="Book Antiqua" w:hAnsi="Book Antiqua" w:cs="Arial"/>
          <w:b/>
          <w:i/>
          <w:sz w:val="24"/>
          <w:szCs w:val="24"/>
          <w:lang w:val="en-US"/>
        </w:rPr>
        <w:t>n</w:t>
      </w:r>
      <w:r w:rsidR="001E7537" w:rsidRPr="00FB7D6B">
        <w:rPr>
          <w:rFonts w:ascii="Book Antiqua" w:hAnsi="Book Antiqua" w:cs="Arial"/>
          <w:b/>
          <w:sz w:val="24"/>
          <w:szCs w:val="24"/>
          <w:lang w:val="en-US"/>
        </w:rPr>
        <w:t xml:space="preserve"> </w:t>
      </w:r>
      <w:r w:rsidRPr="00FB7D6B">
        <w:rPr>
          <w:rFonts w:ascii="Book Antiqua" w:hAnsi="Book Antiqua" w:cs="Arial"/>
          <w:b/>
          <w:sz w:val="24"/>
          <w:szCs w:val="24"/>
          <w:lang w:val="en-US"/>
        </w:rPr>
        <w:t>=</w:t>
      </w:r>
      <w:r w:rsidR="001E7537" w:rsidRPr="00FB7D6B">
        <w:rPr>
          <w:rFonts w:ascii="Book Antiqua" w:hAnsi="Book Antiqua" w:cs="Arial"/>
          <w:b/>
          <w:sz w:val="24"/>
          <w:szCs w:val="24"/>
          <w:lang w:val="en-US"/>
        </w:rPr>
        <w:t xml:space="preserve"> 52)</w:t>
      </w:r>
      <w:r w:rsidR="00BB1637">
        <w:rPr>
          <w:rFonts w:ascii="Book Antiqua" w:hAnsi="Book Antiqua" w:cs="Arial" w:hint="eastAsia"/>
          <w:b/>
          <w:sz w:val="24"/>
          <w:szCs w:val="24"/>
          <w:lang w:val="en-US" w:eastAsia="zh-CN"/>
        </w:rPr>
        <w:t xml:space="preserve"> </w:t>
      </w:r>
    </w:p>
    <w:tbl>
      <w:tblPr>
        <w:tblW w:w="10115" w:type="dxa"/>
        <w:tblInd w:w="-529" w:type="dxa"/>
        <w:tblCellMar>
          <w:left w:w="0" w:type="dxa"/>
          <w:right w:w="0" w:type="dxa"/>
        </w:tblCellMar>
        <w:tblLook w:val="04A0" w:firstRow="1" w:lastRow="0" w:firstColumn="1" w:lastColumn="0" w:noHBand="0" w:noVBand="1"/>
      </w:tblPr>
      <w:tblGrid>
        <w:gridCol w:w="2362"/>
        <w:gridCol w:w="3342"/>
        <w:gridCol w:w="3179"/>
        <w:gridCol w:w="1232"/>
      </w:tblGrid>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rPr>
                <w:rFonts w:ascii="Book Antiqua" w:hAnsi="Book Antiqua" w:cs="Arial"/>
                <w:sz w:val="24"/>
                <w:szCs w:val="24"/>
                <w:lang w:val="en-US"/>
              </w:rPr>
            </w:pP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jc w:val="center"/>
              <w:rPr>
                <w:rFonts w:ascii="Book Antiqua" w:hAnsi="Book Antiqua" w:cs="Arial"/>
                <w:b/>
                <w:sz w:val="24"/>
                <w:szCs w:val="24"/>
              </w:rPr>
            </w:pPr>
            <w:r w:rsidRPr="00FB7D6B">
              <w:rPr>
                <w:rFonts w:ascii="Book Antiqua" w:hAnsi="Book Antiqua" w:cs="Arial"/>
                <w:b/>
                <w:bCs/>
                <w:color w:val="000000" w:themeColor="text1"/>
                <w:kern w:val="24"/>
                <w:sz w:val="24"/>
                <w:szCs w:val="24"/>
              </w:rPr>
              <w:t>R</w:t>
            </w:r>
            <w:r w:rsidR="000C4615" w:rsidRPr="00FB7D6B">
              <w:rPr>
                <w:rFonts w:ascii="Book Antiqua" w:hAnsi="Book Antiqua" w:cs="Arial"/>
                <w:b/>
                <w:bCs/>
                <w:color w:val="000000" w:themeColor="text1"/>
                <w:kern w:val="24"/>
                <w:sz w:val="24"/>
                <w:szCs w:val="24"/>
              </w:rPr>
              <w:t>ecovery (</w:t>
            </w:r>
            <w:r w:rsidR="000C4615" w:rsidRPr="00FB7D6B">
              <w:rPr>
                <w:rFonts w:ascii="Book Antiqua" w:hAnsi="Book Antiqua" w:cs="Arial"/>
                <w:b/>
                <w:bCs/>
                <w:i/>
                <w:color w:val="000000" w:themeColor="text1"/>
                <w:kern w:val="24"/>
                <w:sz w:val="24"/>
                <w:szCs w:val="24"/>
              </w:rPr>
              <w:t>n</w:t>
            </w:r>
            <w:r w:rsidR="000C4615" w:rsidRPr="00FB7D6B">
              <w:rPr>
                <w:rFonts w:ascii="Book Antiqua" w:hAnsi="Book Antiqua" w:cs="Arial"/>
                <w:b/>
                <w:bCs/>
                <w:color w:val="000000" w:themeColor="text1"/>
                <w:kern w:val="24"/>
                <w:sz w:val="24"/>
                <w:szCs w:val="24"/>
              </w:rPr>
              <w:t xml:space="preserve"> = 43)</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jc w:val="center"/>
              <w:rPr>
                <w:rFonts w:ascii="Book Antiqua" w:hAnsi="Book Antiqua" w:cs="Arial"/>
                <w:b/>
                <w:sz w:val="24"/>
                <w:szCs w:val="24"/>
              </w:rPr>
            </w:pPr>
            <w:r w:rsidRPr="00FB7D6B">
              <w:rPr>
                <w:rFonts w:ascii="Book Antiqua" w:hAnsi="Book Antiqua" w:cs="Arial"/>
                <w:b/>
                <w:bCs/>
                <w:color w:val="000000" w:themeColor="text1"/>
                <w:kern w:val="24"/>
                <w:sz w:val="24"/>
                <w:szCs w:val="24"/>
              </w:rPr>
              <w:t>N</w:t>
            </w:r>
            <w:r w:rsidR="000C4615" w:rsidRPr="00FB7D6B">
              <w:rPr>
                <w:rFonts w:ascii="Book Antiqua" w:hAnsi="Book Antiqua" w:cs="Arial"/>
                <w:b/>
                <w:bCs/>
                <w:color w:val="000000" w:themeColor="text1"/>
                <w:kern w:val="24"/>
                <w:sz w:val="24"/>
                <w:szCs w:val="24"/>
              </w:rPr>
              <w:t>on-recovery (</w:t>
            </w:r>
            <w:r w:rsidR="000C4615" w:rsidRPr="00FB7D6B">
              <w:rPr>
                <w:rFonts w:ascii="Book Antiqua" w:hAnsi="Book Antiqua" w:cs="Arial"/>
                <w:b/>
                <w:bCs/>
                <w:i/>
                <w:color w:val="000000" w:themeColor="text1"/>
                <w:kern w:val="24"/>
                <w:sz w:val="24"/>
                <w:szCs w:val="24"/>
              </w:rPr>
              <w:t>n</w:t>
            </w:r>
            <w:r w:rsidR="000C4615" w:rsidRPr="00FB7D6B">
              <w:rPr>
                <w:rFonts w:ascii="Book Antiqua" w:hAnsi="Book Antiqua" w:cs="Arial"/>
                <w:b/>
                <w:bCs/>
                <w:color w:val="000000" w:themeColor="text1"/>
                <w:kern w:val="24"/>
                <w:sz w:val="24"/>
                <w:szCs w:val="24"/>
              </w:rPr>
              <w:t xml:space="preserve"> = 9)</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275EBF">
            <w:pPr>
              <w:adjustRightInd w:val="0"/>
              <w:snapToGrid w:val="0"/>
              <w:spacing w:after="0" w:line="360" w:lineRule="auto"/>
              <w:jc w:val="center"/>
              <w:rPr>
                <w:rFonts w:ascii="Book Antiqua" w:hAnsi="Book Antiqua" w:cs="Arial"/>
                <w:b/>
                <w:sz w:val="24"/>
                <w:szCs w:val="24"/>
              </w:rPr>
            </w:pPr>
            <w:r w:rsidRPr="00FB7D6B">
              <w:rPr>
                <w:rFonts w:ascii="Book Antiqua" w:hAnsi="Book Antiqua" w:cs="Arial"/>
                <w:b/>
                <w:bCs/>
                <w:i/>
                <w:color w:val="000000" w:themeColor="text1"/>
                <w:kern w:val="24"/>
                <w:sz w:val="24"/>
                <w:szCs w:val="24"/>
              </w:rPr>
              <w:t>P</w:t>
            </w:r>
            <w:r w:rsidR="00275EBF">
              <w:rPr>
                <w:rFonts w:ascii="Book Antiqua" w:hAnsi="Book Antiqua" w:cs="Arial" w:hint="eastAsia"/>
                <w:b/>
                <w:bCs/>
                <w:color w:val="000000" w:themeColor="text1"/>
                <w:kern w:val="24"/>
                <w:sz w:val="24"/>
                <w:szCs w:val="24"/>
                <w:lang w:eastAsia="zh-CN"/>
              </w:rPr>
              <w:t xml:space="preserve"> </w:t>
            </w:r>
            <w:r w:rsidRPr="00FB7D6B">
              <w:rPr>
                <w:rFonts w:ascii="Book Antiqua" w:hAnsi="Book Antiqua" w:cs="Arial"/>
                <w:b/>
                <w:bCs/>
                <w:color w:val="000000" w:themeColor="text1"/>
                <w:kern w:val="24"/>
                <w:sz w:val="24"/>
                <w:szCs w:val="24"/>
              </w:rPr>
              <w:t>value</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rPr>
              <w:t>A</w:t>
            </w:r>
            <w:r w:rsidR="000C4615" w:rsidRPr="00FB7D6B">
              <w:rPr>
                <w:rFonts w:ascii="Book Antiqua" w:hAnsi="Book Antiqua" w:cs="Arial"/>
                <w:bCs/>
                <w:color w:val="000000" w:themeColor="text1"/>
                <w:kern w:val="24"/>
                <w:sz w:val="24"/>
                <w:szCs w:val="24"/>
              </w:rPr>
              <w:t>ge (y</w:t>
            </w:r>
            <w:r w:rsidR="00116652" w:rsidRPr="00FB7D6B">
              <w:rPr>
                <w:rFonts w:ascii="Book Antiqua" w:hAnsi="Book Antiqua" w:cs="Arial"/>
                <w:bCs/>
                <w:color w:val="000000" w:themeColor="text1"/>
                <w:kern w:val="24"/>
                <w:sz w:val="24"/>
                <w:szCs w:val="24"/>
              </w:rPr>
              <w:t>r</w:t>
            </w:r>
            <w:r w:rsidR="000C4615" w:rsidRPr="00FB7D6B">
              <w:rPr>
                <w:rFonts w:ascii="Book Antiqua" w:hAnsi="Book Antiqua" w:cs="Arial"/>
                <w:bCs/>
                <w:color w:val="000000" w:themeColor="text1"/>
                <w:kern w:val="24"/>
                <w:sz w:val="24"/>
                <w:szCs w:val="24"/>
              </w:rPr>
              <w:t>)</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40.0 </w:t>
            </w:r>
            <w:r w:rsidR="00F370A0" w:rsidRPr="00FB7D6B">
              <w:rPr>
                <w:rFonts w:ascii="Book Antiqua" w:hAnsi="Book Antiqua" w:cs="Arial"/>
                <w:color w:val="000000" w:themeColor="text1"/>
                <w:kern w:val="24"/>
                <w:sz w:val="24"/>
                <w:szCs w:val="24"/>
                <w:lang w:eastAsia="zh-CN"/>
              </w:rPr>
              <w:t>(</w:t>
            </w:r>
            <w:r w:rsidR="00FD5E0C" w:rsidRPr="00FB7D6B">
              <w:rPr>
                <w:rFonts w:ascii="Book Antiqua" w:hAnsi="Book Antiqua" w:cs="Arial"/>
                <w:color w:val="000000" w:themeColor="text1"/>
                <w:kern w:val="24"/>
                <w:sz w:val="24"/>
                <w:szCs w:val="24"/>
              </w:rPr>
              <w:t>28.0-52.0</w:t>
            </w:r>
            <w:r w:rsidR="00F370A0" w:rsidRPr="00FB7D6B">
              <w:rPr>
                <w:rFonts w:ascii="Book Antiqua" w:hAnsi="Book Antiqua" w:cs="Arial"/>
                <w:color w:val="000000" w:themeColor="text1"/>
                <w:kern w:val="24"/>
                <w:sz w:val="24"/>
                <w:szCs w:val="24"/>
                <w:lang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49.0 </w:t>
            </w:r>
            <w:r w:rsidR="00E4519D" w:rsidRPr="00FB7D6B">
              <w:rPr>
                <w:rFonts w:ascii="Book Antiqua" w:hAnsi="Book Antiqua" w:cs="Arial"/>
                <w:color w:val="000000" w:themeColor="text1"/>
                <w:kern w:val="24"/>
                <w:sz w:val="24"/>
                <w:szCs w:val="24"/>
                <w:lang w:eastAsia="zh-CN"/>
              </w:rPr>
              <w:t>(</w:t>
            </w:r>
            <w:r w:rsidR="00FD5E0C" w:rsidRPr="00FB7D6B">
              <w:rPr>
                <w:rFonts w:ascii="Book Antiqua" w:hAnsi="Book Antiqua" w:cs="Arial"/>
                <w:color w:val="000000" w:themeColor="text1"/>
                <w:kern w:val="24"/>
                <w:sz w:val="24"/>
                <w:szCs w:val="24"/>
              </w:rPr>
              <w:t>44.0-62.5</w:t>
            </w:r>
            <w:r w:rsidR="00E4519D" w:rsidRPr="00FB7D6B">
              <w:rPr>
                <w:rFonts w:ascii="Book Antiqua" w:hAnsi="Book Antiqua" w:cs="Arial"/>
                <w:color w:val="000000" w:themeColor="text1"/>
                <w:kern w:val="24"/>
                <w:sz w:val="24"/>
                <w:szCs w:val="24"/>
                <w:lang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FD5E0C"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0.031</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rPr>
              <w:t>M</w:t>
            </w:r>
            <w:r w:rsidR="000C4615" w:rsidRPr="00FB7D6B">
              <w:rPr>
                <w:rFonts w:ascii="Book Antiqua" w:hAnsi="Book Antiqua" w:cs="Arial"/>
                <w:bCs/>
                <w:color w:val="000000" w:themeColor="text1"/>
                <w:kern w:val="24"/>
                <w:sz w:val="24"/>
                <w:szCs w:val="24"/>
              </w:rPr>
              <w:t>ale/female</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7/36</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1/8</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F370A0"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eastAsia="zh-CN"/>
              </w:rPr>
              <w:t>NS</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rPr>
              <w:t>ALT (U/</w:t>
            </w:r>
            <w:r w:rsidR="00F370A0" w:rsidRPr="00FB7D6B">
              <w:rPr>
                <w:rFonts w:ascii="Book Antiqua" w:hAnsi="Book Antiqua" w:cs="Arial"/>
                <w:bCs/>
                <w:color w:val="000000" w:themeColor="text1"/>
                <w:kern w:val="24"/>
                <w:sz w:val="24"/>
                <w:szCs w:val="24"/>
              </w:rPr>
              <w:t>L</w:t>
            </w:r>
            <w:r w:rsidRPr="00FB7D6B">
              <w:rPr>
                <w:rFonts w:ascii="Book Antiqua" w:hAnsi="Book Antiqua" w:cs="Arial"/>
                <w:bCs/>
                <w:color w:val="000000" w:themeColor="text1"/>
                <w:kern w:val="24"/>
                <w:sz w:val="24"/>
                <w:szCs w:val="24"/>
              </w:rPr>
              <w:t>)</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1512 </w:t>
            </w:r>
            <w:r w:rsidR="00E4519D" w:rsidRPr="00FB7D6B">
              <w:rPr>
                <w:rFonts w:ascii="Book Antiqua" w:hAnsi="Book Antiqua" w:cs="Arial"/>
                <w:color w:val="000000" w:themeColor="text1"/>
                <w:kern w:val="24"/>
                <w:sz w:val="24"/>
                <w:szCs w:val="24"/>
                <w:lang w:val="en-US" w:eastAsia="zh-CN"/>
              </w:rPr>
              <w:t>(</w:t>
            </w:r>
            <w:r w:rsidR="00FD5E0C" w:rsidRPr="00FB7D6B">
              <w:rPr>
                <w:rFonts w:ascii="Book Antiqua" w:hAnsi="Book Antiqua" w:cs="Arial"/>
                <w:color w:val="000000" w:themeColor="text1"/>
                <w:kern w:val="24"/>
                <w:sz w:val="24"/>
                <w:szCs w:val="24"/>
                <w:lang w:val="en-US"/>
              </w:rPr>
              <w:t>904-2276</w:t>
            </w:r>
            <w:r w:rsidR="00F370A0" w:rsidRPr="00FB7D6B">
              <w:rPr>
                <w:rFonts w:ascii="Book Antiqua" w:hAnsi="Book Antiqua" w:cs="Arial"/>
                <w:color w:val="000000" w:themeColor="text1"/>
                <w:kern w:val="24"/>
                <w:sz w:val="24"/>
                <w:szCs w:val="24"/>
                <w:lang w:val="en-US"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711 </w:t>
            </w:r>
            <w:r w:rsidR="00E4519D" w:rsidRPr="00FB7D6B">
              <w:rPr>
                <w:rFonts w:ascii="Book Antiqua" w:hAnsi="Book Antiqua" w:cs="Arial"/>
                <w:color w:val="000000" w:themeColor="text1"/>
                <w:kern w:val="24"/>
                <w:sz w:val="24"/>
                <w:szCs w:val="24"/>
                <w:lang w:val="en-US" w:eastAsia="zh-CN"/>
              </w:rPr>
              <w:t>(</w:t>
            </w:r>
            <w:r w:rsidR="00FD5E0C" w:rsidRPr="00FB7D6B">
              <w:rPr>
                <w:rFonts w:ascii="Book Antiqua" w:hAnsi="Book Antiqua" w:cs="Arial"/>
                <w:color w:val="000000" w:themeColor="text1"/>
                <w:kern w:val="24"/>
                <w:sz w:val="24"/>
                <w:szCs w:val="24"/>
                <w:lang w:val="en-US"/>
              </w:rPr>
              <w:t>324-1391</w:t>
            </w:r>
            <w:r w:rsidR="00E4519D" w:rsidRPr="00FB7D6B">
              <w:rPr>
                <w:rFonts w:ascii="Book Antiqua" w:hAnsi="Book Antiqua" w:cs="Arial"/>
                <w:color w:val="000000" w:themeColor="text1"/>
                <w:kern w:val="24"/>
                <w:sz w:val="24"/>
                <w:szCs w:val="24"/>
                <w:lang w:val="en-US"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FD5E0C"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lang w:val="en-US"/>
              </w:rPr>
              <w:t>0.0157</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lang w:val="en-US"/>
              </w:rPr>
              <w:t>T</w:t>
            </w:r>
            <w:r w:rsidR="000C4615" w:rsidRPr="00FB7D6B">
              <w:rPr>
                <w:rFonts w:ascii="Book Antiqua" w:hAnsi="Book Antiqua" w:cs="Arial"/>
                <w:bCs/>
                <w:color w:val="000000" w:themeColor="text1"/>
                <w:kern w:val="24"/>
                <w:sz w:val="24"/>
                <w:szCs w:val="24"/>
                <w:lang w:val="en-US"/>
              </w:rPr>
              <w:t>otal bilirubin (mg/dL)</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14.0 </w:t>
            </w:r>
            <w:r w:rsidR="00E4519D" w:rsidRPr="00FB7D6B">
              <w:rPr>
                <w:rFonts w:ascii="Book Antiqua" w:hAnsi="Book Antiqua" w:cs="Arial"/>
                <w:color w:val="000000" w:themeColor="text1"/>
                <w:kern w:val="24"/>
                <w:sz w:val="24"/>
                <w:szCs w:val="24"/>
                <w:lang w:val="en-US" w:eastAsia="zh-CN"/>
              </w:rPr>
              <w:t>(</w:t>
            </w:r>
            <w:r w:rsidR="00FD5E0C" w:rsidRPr="00FB7D6B">
              <w:rPr>
                <w:rFonts w:ascii="Book Antiqua" w:hAnsi="Book Antiqua" w:cs="Arial"/>
                <w:color w:val="000000" w:themeColor="text1"/>
                <w:kern w:val="24"/>
                <w:sz w:val="24"/>
                <w:szCs w:val="24"/>
                <w:lang w:val="en-US"/>
              </w:rPr>
              <w:t>11.3-18.7</w:t>
            </w:r>
            <w:r w:rsidR="00E4519D" w:rsidRPr="00FB7D6B">
              <w:rPr>
                <w:rFonts w:ascii="Book Antiqua" w:hAnsi="Book Antiqua" w:cs="Arial"/>
                <w:color w:val="000000" w:themeColor="text1"/>
                <w:kern w:val="24"/>
                <w:sz w:val="24"/>
                <w:szCs w:val="24"/>
                <w:lang w:val="en-US"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16.1 </w:t>
            </w:r>
            <w:r w:rsidR="00E4519D" w:rsidRPr="00FB7D6B">
              <w:rPr>
                <w:rFonts w:ascii="Book Antiqua" w:hAnsi="Book Antiqua" w:cs="Arial"/>
                <w:color w:val="000000" w:themeColor="text1"/>
                <w:kern w:val="24"/>
                <w:sz w:val="24"/>
                <w:szCs w:val="24"/>
                <w:lang w:val="en-US" w:eastAsia="zh-CN"/>
              </w:rPr>
              <w:t>(</w:t>
            </w:r>
            <w:r w:rsidR="00FD5E0C" w:rsidRPr="00FB7D6B">
              <w:rPr>
                <w:rFonts w:ascii="Book Antiqua" w:hAnsi="Book Antiqua" w:cs="Arial"/>
                <w:color w:val="000000" w:themeColor="text1"/>
                <w:kern w:val="24"/>
                <w:sz w:val="24"/>
                <w:szCs w:val="24"/>
                <w:lang w:val="en-US"/>
              </w:rPr>
              <w:t>11.8-23.6</w:t>
            </w:r>
            <w:r w:rsidR="00E4519D" w:rsidRPr="00FB7D6B">
              <w:rPr>
                <w:rFonts w:ascii="Book Antiqua" w:hAnsi="Book Antiqua" w:cs="Arial"/>
                <w:color w:val="000000" w:themeColor="text1"/>
                <w:kern w:val="24"/>
                <w:sz w:val="24"/>
                <w:szCs w:val="24"/>
                <w:lang w:val="en-US"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F370A0"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lang w:eastAsia="zh-CN"/>
              </w:rPr>
              <w:t>NS</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lang w:val="en-US"/>
              </w:rPr>
              <w:t>C</w:t>
            </w:r>
            <w:r w:rsidR="000C4615" w:rsidRPr="00FB7D6B">
              <w:rPr>
                <w:rFonts w:ascii="Book Antiqua" w:hAnsi="Book Antiqua" w:cs="Arial"/>
                <w:bCs/>
                <w:color w:val="000000" w:themeColor="text1"/>
                <w:kern w:val="24"/>
                <w:sz w:val="24"/>
                <w:szCs w:val="24"/>
                <w:lang w:val="en-US"/>
              </w:rPr>
              <w:t>reatinine (mg/dL)</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0.72 </w:t>
            </w:r>
            <w:r w:rsidR="00E4519D" w:rsidRPr="00FB7D6B">
              <w:rPr>
                <w:rFonts w:ascii="Book Antiqua" w:hAnsi="Book Antiqua" w:cs="Arial"/>
                <w:color w:val="000000" w:themeColor="text1"/>
                <w:kern w:val="24"/>
                <w:sz w:val="24"/>
                <w:szCs w:val="24"/>
                <w:lang w:val="en-US" w:eastAsia="zh-CN"/>
              </w:rPr>
              <w:t>(</w:t>
            </w:r>
            <w:r w:rsidR="00FA1211" w:rsidRPr="00FB7D6B">
              <w:rPr>
                <w:rFonts w:ascii="Book Antiqua" w:hAnsi="Book Antiqua" w:cs="Arial"/>
                <w:color w:val="000000" w:themeColor="text1"/>
                <w:kern w:val="24"/>
                <w:sz w:val="24"/>
                <w:szCs w:val="24"/>
                <w:lang w:val="en-US"/>
              </w:rPr>
              <w:t>0.51-0.</w:t>
            </w:r>
            <w:r w:rsidR="00FD5E0C" w:rsidRPr="00FB7D6B">
              <w:rPr>
                <w:rFonts w:ascii="Book Antiqua" w:hAnsi="Book Antiqua" w:cs="Arial"/>
                <w:color w:val="000000" w:themeColor="text1"/>
                <w:kern w:val="24"/>
                <w:sz w:val="24"/>
                <w:szCs w:val="24"/>
                <w:lang w:val="en-US"/>
              </w:rPr>
              <w:t>92</w:t>
            </w:r>
            <w:r w:rsidR="00E4519D" w:rsidRPr="00FB7D6B">
              <w:rPr>
                <w:rFonts w:ascii="Book Antiqua" w:hAnsi="Book Antiqua" w:cs="Arial"/>
                <w:color w:val="000000" w:themeColor="text1"/>
                <w:kern w:val="24"/>
                <w:sz w:val="24"/>
                <w:szCs w:val="24"/>
                <w:lang w:val="en-US"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0.</w:t>
            </w:r>
            <w:r w:rsidRPr="00FB7D6B">
              <w:rPr>
                <w:rFonts w:ascii="Book Antiqua" w:hAnsi="Book Antiqua" w:cs="Arial"/>
                <w:color w:val="000000" w:themeColor="text1"/>
                <w:kern w:val="24"/>
                <w:sz w:val="24"/>
                <w:szCs w:val="24"/>
              </w:rPr>
              <w:t xml:space="preserve">98 </w:t>
            </w:r>
            <w:r w:rsidR="00E4519D" w:rsidRPr="00FB7D6B">
              <w:rPr>
                <w:rFonts w:ascii="Book Antiqua" w:hAnsi="Book Antiqua" w:cs="Arial"/>
                <w:color w:val="000000" w:themeColor="text1"/>
                <w:kern w:val="24"/>
                <w:sz w:val="24"/>
                <w:szCs w:val="24"/>
                <w:lang w:eastAsia="zh-CN"/>
              </w:rPr>
              <w:t>(</w:t>
            </w:r>
            <w:r w:rsidR="00B946A9" w:rsidRPr="00FB7D6B">
              <w:rPr>
                <w:rFonts w:ascii="Book Antiqua" w:hAnsi="Book Antiqua" w:cs="Arial"/>
                <w:color w:val="000000" w:themeColor="text1"/>
                <w:kern w:val="24"/>
                <w:sz w:val="24"/>
                <w:szCs w:val="24"/>
              </w:rPr>
              <w:t>0.77-1.61</w:t>
            </w:r>
            <w:r w:rsidR="00E4519D" w:rsidRPr="00FB7D6B">
              <w:rPr>
                <w:rFonts w:ascii="Book Antiqua" w:hAnsi="Book Antiqua" w:cs="Arial"/>
                <w:color w:val="000000" w:themeColor="text1"/>
                <w:kern w:val="24"/>
                <w:sz w:val="24"/>
                <w:szCs w:val="24"/>
                <w:lang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B946A9"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0.0069</w:t>
            </w:r>
          </w:p>
        </w:tc>
      </w:tr>
      <w:tr w:rsidR="000C4615" w:rsidRPr="00FB7D6B" w:rsidTr="00F77C81">
        <w:trPr>
          <w:trHeight w:val="487"/>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rPr>
              <w:t>INR</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BB1637">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1.76 </w:t>
            </w:r>
            <w:r w:rsidR="00E4519D" w:rsidRPr="00FB7D6B">
              <w:rPr>
                <w:rFonts w:ascii="Book Antiqua" w:hAnsi="Book Antiqua" w:cs="Arial"/>
                <w:color w:val="000000" w:themeColor="text1"/>
                <w:kern w:val="24"/>
                <w:sz w:val="24"/>
                <w:szCs w:val="24"/>
                <w:lang w:eastAsia="zh-CN"/>
              </w:rPr>
              <w:t>(</w:t>
            </w:r>
            <w:r w:rsidR="00B946A9" w:rsidRPr="00FB7D6B">
              <w:rPr>
                <w:rFonts w:ascii="Book Antiqua" w:hAnsi="Book Antiqua" w:cs="Arial"/>
                <w:color w:val="000000" w:themeColor="text1"/>
                <w:kern w:val="24"/>
                <w:sz w:val="24"/>
                <w:szCs w:val="24"/>
              </w:rPr>
              <w:t>1.63-1.98</w:t>
            </w:r>
            <w:r w:rsidR="00BB1637">
              <w:rPr>
                <w:rFonts w:ascii="Book Antiqua" w:hAnsi="Book Antiqua" w:cs="Arial" w:hint="eastAsia"/>
                <w:color w:val="000000" w:themeColor="text1"/>
                <w:kern w:val="24"/>
                <w:sz w:val="24"/>
                <w:szCs w:val="24"/>
                <w:lang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BB1637">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rPr>
              <w:t xml:space="preserve">1.96 </w:t>
            </w:r>
            <w:r w:rsidR="00BB1637">
              <w:rPr>
                <w:rFonts w:ascii="Book Antiqua" w:hAnsi="Book Antiqua" w:cs="Arial" w:hint="eastAsia"/>
                <w:color w:val="000000" w:themeColor="text1"/>
                <w:kern w:val="24"/>
                <w:sz w:val="24"/>
                <w:szCs w:val="24"/>
                <w:lang w:eastAsia="zh-CN"/>
              </w:rPr>
              <w:t>(</w:t>
            </w:r>
            <w:r w:rsidR="00B946A9" w:rsidRPr="00FB7D6B">
              <w:rPr>
                <w:rFonts w:ascii="Book Antiqua" w:hAnsi="Book Antiqua" w:cs="Arial"/>
                <w:color w:val="000000" w:themeColor="text1"/>
                <w:kern w:val="24"/>
                <w:sz w:val="24"/>
                <w:szCs w:val="24"/>
              </w:rPr>
              <w:t>1.75-2.79</w:t>
            </w:r>
            <w:r w:rsidR="00BB1637">
              <w:rPr>
                <w:rFonts w:ascii="Book Antiqua" w:hAnsi="Book Antiqua" w:cs="Arial" w:hint="eastAsia"/>
                <w:color w:val="000000" w:themeColor="text1"/>
                <w:kern w:val="24"/>
                <w:sz w:val="24"/>
                <w:szCs w:val="24"/>
                <w:lang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rPr>
              <w:t>0.06</w:t>
            </w:r>
            <w:r w:rsidR="00B946A9" w:rsidRPr="00FB7D6B">
              <w:rPr>
                <w:rFonts w:ascii="Book Antiqua" w:hAnsi="Book Antiqua" w:cs="Arial"/>
                <w:color w:val="000000" w:themeColor="text1"/>
                <w:kern w:val="24"/>
                <w:sz w:val="24"/>
                <w:szCs w:val="24"/>
              </w:rPr>
              <w:t>44</w:t>
            </w:r>
          </w:p>
        </w:tc>
      </w:tr>
      <w:tr w:rsidR="000C4615" w:rsidRPr="00FB7D6B" w:rsidTr="00F77C81">
        <w:trPr>
          <w:trHeight w:val="512"/>
        </w:trPr>
        <w:tc>
          <w:tcPr>
            <w:tcW w:w="236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3E0D42" w:rsidP="00FB7D6B">
            <w:pPr>
              <w:adjustRightInd w:val="0"/>
              <w:snapToGrid w:val="0"/>
              <w:spacing w:after="0" w:line="360" w:lineRule="auto"/>
              <w:rPr>
                <w:rFonts w:ascii="Book Antiqua" w:hAnsi="Book Antiqua" w:cs="Arial"/>
                <w:sz w:val="24"/>
                <w:szCs w:val="24"/>
              </w:rPr>
            </w:pPr>
            <w:r w:rsidRPr="00FB7D6B">
              <w:rPr>
                <w:rFonts w:ascii="Book Antiqua" w:hAnsi="Book Antiqua" w:cs="Arial"/>
                <w:bCs/>
                <w:color w:val="000000" w:themeColor="text1"/>
                <w:kern w:val="24"/>
                <w:sz w:val="24"/>
                <w:szCs w:val="24"/>
              </w:rPr>
              <w:t>L</w:t>
            </w:r>
            <w:r w:rsidR="000C4615" w:rsidRPr="00FB7D6B">
              <w:rPr>
                <w:rFonts w:ascii="Book Antiqua" w:hAnsi="Book Antiqua" w:cs="Arial"/>
                <w:bCs/>
                <w:color w:val="000000" w:themeColor="text1"/>
                <w:kern w:val="24"/>
                <w:sz w:val="24"/>
                <w:szCs w:val="24"/>
              </w:rPr>
              <w:t>abMELD-score</w:t>
            </w:r>
          </w:p>
        </w:tc>
        <w:tc>
          <w:tcPr>
            <w:tcW w:w="334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FB7D6B">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 xml:space="preserve">23 </w:t>
            </w:r>
            <w:r w:rsidR="00E4519D" w:rsidRPr="00FB7D6B">
              <w:rPr>
                <w:rFonts w:ascii="Book Antiqua" w:hAnsi="Book Antiqua" w:cs="Arial"/>
                <w:color w:val="000000" w:themeColor="text1"/>
                <w:kern w:val="24"/>
                <w:sz w:val="24"/>
                <w:szCs w:val="24"/>
                <w:lang w:val="en-US" w:eastAsia="zh-CN"/>
              </w:rPr>
              <w:t>(</w:t>
            </w:r>
            <w:r w:rsidR="00B946A9" w:rsidRPr="00FB7D6B">
              <w:rPr>
                <w:rFonts w:ascii="Book Antiqua" w:hAnsi="Book Antiqua" w:cs="Arial"/>
                <w:color w:val="000000" w:themeColor="text1"/>
                <w:kern w:val="24"/>
                <w:sz w:val="24"/>
                <w:szCs w:val="24"/>
                <w:lang w:val="en-US"/>
              </w:rPr>
              <w:t>22-25</w:t>
            </w:r>
            <w:r w:rsidR="00E4519D" w:rsidRPr="00FB7D6B">
              <w:rPr>
                <w:rFonts w:ascii="Book Antiqua" w:hAnsi="Book Antiqua" w:cs="Arial"/>
                <w:color w:val="000000" w:themeColor="text1"/>
                <w:kern w:val="24"/>
                <w:sz w:val="24"/>
                <w:szCs w:val="24"/>
                <w:lang w:val="en-US" w:eastAsia="zh-CN"/>
              </w:rPr>
              <w:t>)</w:t>
            </w:r>
          </w:p>
        </w:tc>
        <w:tc>
          <w:tcPr>
            <w:tcW w:w="3179"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0C4615" w:rsidP="00BB1637">
            <w:pPr>
              <w:adjustRightInd w:val="0"/>
              <w:snapToGrid w:val="0"/>
              <w:spacing w:after="0" w:line="360" w:lineRule="auto"/>
              <w:jc w:val="center"/>
              <w:rPr>
                <w:rFonts w:ascii="Book Antiqua" w:hAnsi="Book Antiqua" w:cs="Arial"/>
                <w:sz w:val="24"/>
                <w:szCs w:val="24"/>
                <w:lang w:eastAsia="zh-CN"/>
              </w:rPr>
            </w:pPr>
            <w:r w:rsidRPr="00FB7D6B">
              <w:rPr>
                <w:rFonts w:ascii="Book Antiqua" w:hAnsi="Book Antiqua" w:cs="Arial"/>
                <w:color w:val="000000" w:themeColor="text1"/>
                <w:kern w:val="24"/>
                <w:sz w:val="24"/>
                <w:szCs w:val="24"/>
                <w:lang w:val="en-US"/>
              </w:rPr>
              <w:t>27</w:t>
            </w:r>
            <w:r w:rsidR="00BB1637">
              <w:rPr>
                <w:rFonts w:ascii="Book Antiqua" w:hAnsi="Book Antiqua" w:cs="Arial"/>
                <w:color w:val="000000" w:themeColor="text1"/>
                <w:kern w:val="24"/>
                <w:sz w:val="24"/>
                <w:szCs w:val="24"/>
                <w:lang w:val="en-US"/>
              </w:rPr>
              <w:t xml:space="preserve"> </w:t>
            </w:r>
            <w:r w:rsidR="00BB1637">
              <w:rPr>
                <w:rFonts w:ascii="Book Antiqua" w:hAnsi="Book Antiqua" w:cs="Arial" w:hint="eastAsia"/>
                <w:color w:val="000000" w:themeColor="text1"/>
                <w:kern w:val="24"/>
                <w:sz w:val="24"/>
                <w:szCs w:val="24"/>
                <w:lang w:val="en-US" w:eastAsia="zh-CN"/>
              </w:rPr>
              <w:t>(</w:t>
            </w:r>
            <w:r w:rsidR="00B946A9" w:rsidRPr="00FB7D6B">
              <w:rPr>
                <w:rFonts w:ascii="Book Antiqua" w:hAnsi="Book Antiqua" w:cs="Arial"/>
                <w:color w:val="000000" w:themeColor="text1"/>
                <w:kern w:val="24"/>
                <w:sz w:val="24"/>
                <w:szCs w:val="24"/>
                <w:lang w:val="en-US"/>
              </w:rPr>
              <w:t>25-30</w:t>
            </w:r>
            <w:r w:rsidR="00BB1637">
              <w:rPr>
                <w:rFonts w:ascii="Book Antiqua" w:hAnsi="Book Antiqua" w:cs="Arial" w:hint="eastAsia"/>
                <w:color w:val="000000" w:themeColor="text1"/>
                <w:kern w:val="24"/>
                <w:sz w:val="24"/>
                <w:szCs w:val="24"/>
                <w:lang w:val="en-US" w:eastAsia="zh-CN"/>
              </w:rPr>
              <w:t>)</w:t>
            </w:r>
          </w:p>
        </w:tc>
        <w:tc>
          <w:tcPr>
            <w:tcW w:w="1232"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vAlign w:val="center"/>
            <w:hideMark/>
          </w:tcPr>
          <w:p w:rsidR="000C4615" w:rsidRPr="00FB7D6B" w:rsidRDefault="00B946A9" w:rsidP="00FB7D6B">
            <w:pPr>
              <w:adjustRightInd w:val="0"/>
              <w:snapToGrid w:val="0"/>
              <w:spacing w:after="0" w:line="360" w:lineRule="auto"/>
              <w:jc w:val="center"/>
              <w:rPr>
                <w:rFonts w:ascii="Book Antiqua" w:hAnsi="Book Antiqua" w:cs="Arial"/>
                <w:sz w:val="24"/>
                <w:szCs w:val="24"/>
              </w:rPr>
            </w:pPr>
            <w:r w:rsidRPr="00FB7D6B">
              <w:rPr>
                <w:rFonts w:ascii="Book Antiqua" w:hAnsi="Book Antiqua" w:cs="Arial"/>
                <w:color w:val="000000" w:themeColor="text1"/>
                <w:kern w:val="24"/>
                <w:sz w:val="24"/>
                <w:szCs w:val="24"/>
                <w:lang w:val="en-US"/>
              </w:rPr>
              <w:t>0.0007</w:t>
            </w:r>
          </w:p>
        </w:tc>
      </w:tr>
    </w:tbl>
    <w:p w:rsidR="000C4615" w:rsidRPr="00FB7D6B" w:rsidRDefault="00BB1637" w:rsidP="00FB7D6B">
      <w:pPr>
        <w:adjustRightInd w:val="0"/>
        <w:snapToGrid w:val="0"/>
        <w:spacing w:after="0" w:line="360" w:lineRule="auto"/>
        <w:jc w:val="both"/>
        <w:rPr>
          <w:rFonts w:ascii="Book Antiqua" w:hAnsi="Book Antiqua" w:cs="Arial"/>
          <w:b/>
          <w:sz w:val="24"/>
          <w:szCs w:val="24"/>
          <w:lang w:val="en-US"/>
        </w:rPr>
      </w:pPr>
      <w:r w:rsidRPr="00BB1637">
        <w:rPr>
          <w:rFonts w:ascii="Book Antiqua" w:hAnsi="Book Antiqua" w:cs="Arial"/>
          <w:color w:val="000000" w:themeColor="text1"/>
          <w:kern w:val="24"/>
          <w:sz w:val="24"/>
          <w:szCs w:val="24"/>
          <w:lang w:val="en-US"/>
        </w:rPr>
        <w:t>Data represents median and IQR</w:t>
      </w:r>
      <w:r>
        <w:rPr>
          <w:rFonts w:ascii="Book Antiqua" w:hAnsi="Book Antiqua" w:cs="Arial" w:hint="eastAsia"/>
          <w:color w:val="000000" w:themeColor="text1"/>
          <w:kern w:val="24"/>
          <w:sz w:val="24"/>
          <w:szCs w:val="24"/>
          <w:lang w:val="en-US" w:eastAsia="zh-CN"/>
        </w:rPr>
        <w:t>.</w:t>
      </w:r>
      <w:r w:rsidRPr="00BB1637">
        <w:rPr>
          <w:rFonts w:ascii="Book Antiqua" w:hAnsi="Book Antiqua" w:cs="Arial"/>
          <w:color w:val="000000" w:themeColor="text1"/>
          <w:kern w:val="24"/>
          <w:sz w:val="24"/>
          <w:szCs w:val="24"/>
          <w:lang w:val="en-US"/>
        </w:rPr>
        <w:t xml:space="preserve"> </w:t>
      </w:r>
      <w:r w:rsidR="00F370A0" w:rsidRPr="00FB7D6B">
        <w:rPr>
          <w:rFonts w:ascii="Book Antiqua" w:hAnsi="Book Antiqua" w:cs="Arial"/>
          <w:color w:val="000000" w:themeColor="text1"/>
          <w:kern w:val="24"/>
          <w:sz w:val="24"/>
          <w:szCs w:val="24"/>
          <w:lang w:val="en-US"/>
        </w:rPr>
        <w:t>ALF</w:t>
      </w:r>
      <w:r w:rsidR="00F370A0" w:rsidRPr="00FB7D6B">
        <w:rPr>
          <w:rFonts w:ascii="Book Antiqua" w:hAnsi="Book Antiqua" w:cs="Arial"/>
          <w:color w:val="000000" w:themeColor="text1"/>
          <w:kern w:val="24"/>
          <w:sz w:val="24"/>
          <w:szCs w:val="24"/>
          <w:lang w:val="en-US" w:eastAsia="zh-CN"/>
        </w:rPr>
        <w:t>:</w:t>
      </w:r>
      <w:r w:rsidR="00F370A0" w:rsidRPr="00FB7D6B">
        <w:rPr>
          <w:rFonts w:ascii="Book Antiqua" w:hAnsi="Book Antiqua"/>
          <w:sz w:val="24"/>
          <w:szCs w:val="24"/>
        </w:rPr>
        <w:t xml:space="preserve"> </w:t>
      </w:r>
      <w:r w:rsidR="00F370A0" w:rsidRPr="00FB7D6B">
        <w:rPr>
          <w:rFonts w:ascii="Book Antiqua" w:hAnsi="Book Antiqua" w:cs="Arial"/>
          <w:color w:val="000000" w:themeColor="text1"/>
          <w:kern w:val="24"/>
          <w:sz w:val="24"/>
          <w:szCs w:val="24"/>
          <w:lang w:val="en-US" w:eastAsia="zh-CN"/>
        </w:rPr>
        <w:t>Acute liver failure</w:t>
      </w:r>
      <w:r w:rsidR="00F370A0" w:rsidRPr="00FB7D6B">
        <w:rPr>
          <w:rFonts w:ascii="Book Antiqua" w:hAnsi="Book Antiqua" w:cs="Arial"/>
          <w:sz w:val="24"/>
          <w:szCs w:val="24"/>
          <w:lang w:val="en-US" w:eastAsia="zh-CN"/>
        </w:rPr>
        <w:t>.</w:t>
      </w:r>
    </w:p>
    <w:p w:rsidR="00C8010D" w:rsidRPr="00FB7D6B" w:rsidRDefault="00C8010D" w:rsidP="00FB7D6B">
      <w:pPr>
        <w:adjustRightInd w:val="0"/>
        <w:snapToGrid w:val="0"/>
        <w:spacing w:after="0" w:line="360" w:lineRule="auto"/>
        <w:jc w:val="both"/>
        <w:rPr>
          <w:rFonts w:ascii="Book Antiqua" w:hAnsi="Book Antiqua" w:cs="Arial"/>
          <w:b/>
          <w:sz w:val="24"/>
          <w:szCs w:val="24"/>
          <w:lang w:val="en-US"/>
        </w:rPr>
      </w:pPr>
    </w:p>
    <w:p w:rsidR="00B762CB" w:rsidRDefault="00B762CB">
      <w:pPr>
        <w:spacing w:after="0" w:line="240" w:lineRule="auto"/>
        <w:rPr>
          <w:rFonts w:ascii="Book Antiqua" w:hAnsi="Book Antiqua" w:cs="Arial"/>
          <w:b/>
          <w:sz w:val="24"/>
          <w:szCs w:val="24"/>
          <w:lang w:val="en-US"/>
        </w:rPr>
      </w:pPr>
      <w:r>
        <w:rPr>
          <w:rFonts w:ascii="Book Antiqua" w:hAnsi="Book Antiqua" w:cs="Arial"/>
          <w:b/>
          <w:sz w:val="24"/>
          <w:szCs w:val="24"/>
          <w:lang w:val="en-US"/>
        </w:rPr>
        <w:br w:type="page"/>
      </w:r>
    </w:p>
    <w:p w:rsidR="000E3AB8" w:rsidRPr="00FB7D6B" w:rsidRDefault="00427F68"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noProof/>
          <w:sz w:val="24"/>
          <w:szCs w:val="24"/>
          <w:lang w:val="en-US" w:eastAsia="zh-CN"/>
        </w:rPr>
        <w:lastRenderedPageBreak/>
        <mc:AlternateContent>
          <mc:Choice Requires="wpg">
            <w:drawing>
              <wp:anchor distT="0" distB="0" distL="114300" distR="114300" simplePos="0" relativeHeight="251661312" behindDoc="0" locked="0" layoutInCell="1" allowOverlap="1" wp14:anchorId="747096CA" wp14:editId="1E55C8AF">
                <wp:simplePos x="0" y="0"/>
                <wp:positionH relativeFrom="column">
                  <wp:posOffset>-452120</wp:posOffset>
                </wp:positionH>
                <wp:positionV relativeFrom="paragraph">
                  <wp:posOffset>52705</wp:posOffset>
                </wp:positionV>
                <wp:extent cx="428625" cy="3448050"/>
                <wp:effectExtent l="0" t="0" r="28575" b="19050"/>
                <wp:wrapNone/>
                <wp:docPr id="4" name="组合 4"/>
                <wp:cNvGraphicFramePr/>
                <a:graphic xmlns:a="http://schemas.openxmlformats.org/drawingml/2006/main">
                  <a:graphicData uri="http://schemas.microsoft.com/office/word/2010/wordprocessingGroup">
                    <wpg:wgp>
                      <wpg:cNvGrpSpPr/>
                      <wpg:grpSpPr>
                        <a:xfrm>
                          <a:off x="0" y="0"/>
                          <a:ext cx="428625" cy="3448050"/>
                          <a:chOff x="0" y="0"/>
                          <a:chExt cx="428625" cy="3448050"/>
                        </a:xfrm>
                      </wpg:grpSpPr>
                      <wps:wsp>
                        <wps:cNvPr id="307" name="文本框 2"/>
                        <wps:cNvSpPr txBox="1">
                          <a:spLocks noChangeArrowheads="1"/>
                        </wps:cNvSpPr>
                        <wps:spPr bwMode="auto">
                          <a:xfrm>
                            <a:off x="85725" y="0"/>
                            <a:ext cx="342900" cy="438150"/>
                          </a:xfrm>
                          <a:prstGeom prst="rect">
                            <a:avLst/>
                          </a:prstGeom>
                          <a:noFill/>
                          <a:ln w="9525">
                            <a:solidFill>
                              <a:schemeClr val="bg1"/>
                            </a:solidFill>
                            <a:miter lim="800000"/>
                            <a:headEnd/>
                            <a:tailEnd/>
                          </a:ln>
                        </wps:spPr>
                        <wps:txbx>
                          <w:txbxContent>
                            <w:p w:rsidR="00116652" w:rsidRPr="00427F68" w:rsidRDefault="00116652">
                              <w:pPr>
                                <w:rPr>
                                  <w:rFonts w:ascii="Book Antiqua" w:hAnsi="Book Antiqua"/>
                                  <w:b/>
                                  <w:sz w:val="24"/>
                                  <w:szCs w:val="24"/>
                                </w:rPr>
                              </w:pPr>
                              <w:r w:rsidRPr="00427F68">
                                <w:rPr>
                                  <w:rFonts w:ascii="Book Antiqua" w:hAnsi="Book Antiqua"/>
                                  <w:b/>
                                  <w:sz w:val="24"/>
                                  <w:szCs w:val="24"/>
                                  <w:lang w:eastAsia="zh-CN"/>
                                </w:rPr>
                                <w:t>A</w:t>
                              </w:r>
                            </w:p>
                          </w:txbxContent>
                        </wps:txbx>
                        <wps:bodyPr rot="0" vert="horz" wrap="square" lIns="91440" tIns="45720" rIns="91440" bIns="45720" anchor="t" anchorCtr="0">
                          <a:spAutoFit/>
                        </wps:bodyPr>
                      </wps:wsp>
                      <wps:wsp>
                        <wps:cNvPr id="2" name="文本框 2"/>
                        <wps:cNvSpPr txBox="1">
                          <a:spLocks noChangeArrowheads="1"/>
                        </wps:cNvSpPr>
                        <wps:spPr bwMode="auto">
                          <a:xfrm>
                            <a:off x="0" y="3000375"/>
                            <a:ext cx="342900" cy="447675"/>
                          </a:xfrm>
                          <a:prstGeom prst="rect">
                            <a:avLst/>
                          </a:prstGeom>
                          <a:noFill/>
                          <a:ln w="9525">
                            <a:solidFill>
                              <a:schemeClr val="bg1"/>
                            </a:solidFill>
                            <a:miter lim="800000"/>
                            <a:headEnd/>
                            <a:tailEnd/>
                          </a:ln>
                        </wps:spPr>
                        <wps:txbx>
                          <w:txbxContent>
                            <w:p w:rsidR="00116652" w:rsidRPr="00427F68" w:rsidRDefault="00116652" w:rsidP="00427F68">
                              <w:pPr>
                                <w:rPr>
                                  <w:rFonts w:ascii="Book Antiqua" w:hAnsi="Book Antiqua"/>
                                  <w:sz w:val="24"/>
                                  <w:szCs w:val="24"/>
                                </w:rPr>
                              </w:pPr>
                              <w:r>
                                <w:rPr>
                                  <w:rFonts w:ascii="Book Antiqua" w:hAnsi="Book Antiqua" w:hint="eastAsia"/>
                                  <w:sz w:val="24"/>
                                  <w:szCs w:val="24"/>
                                  <w:lang w:eastAsia="zh-CN"/>
                                </w:rPr>
                                <w:t>B</w:t>
                              </w:r>
                            </w:p>
                          </w:txbxContent>
                        </wps:txbx>
                        <wps:bodyPr rot="0" vert="horz" wrap="square" lIns="91440" tIns="45720" rIns="91440" bIns="45720" anchor="t" anchorCtr="0">
                          <a:spAutoFit/>
                        </wps:bodyPr>
                      </wps:wsp>
                    </wpg:wgp>
                  </a:graphicData>
                </a:graphic>
              </wp:anchor>
            </w:drawing>
          </mc:Choice>
          <mc:Fallback>
            <w:pict>
              <v:group w14:anchorId="747096CA" id="组合 4" o:spid="_x0000_s1026" style="position:absolute;left:0;text-align:left;margin-left:-35.6pt;margin-top:4.15pt;width:33.75pt;height:271.5pt;z-index:251661312" coordsize="4286,3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">
                <v:shapetype id="_x0000_t202" coordsize="21600,21600" o:spt="202" path="m,l,21600r21600,l21600,xe">
                  <v:stroke joinstyle="miter"/>
                  <v:path gradientshapeok="t" o:connecttype="rect"/>
                </v:shapetype>
                <v:shape id="_x0000_s1027" type="#_x0000_t202" style="position:absolute;left:857;width:3429;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1DMMA&#10;AADcAAAADwAAAGRycy9kb3ducmV2LnhtbESPwWrDMBBE74X8g9hCb7XUpnGLEyWEQiCHXOr2AxZp&#10;YxlbK2MpjvP3VaDQ4zAzb5jNbva9mGiMbWANL4UCQWyCbbnR8PN9eP4AEROyxT4wabhRhN128bDB&#10;yoYrf9FUp0ZkCMcKNbiUhkrKaBx5jEUYiLN3DqPHlOXYSDviNcN9L1+VKqXHlvOCw4E+HZmuvngN&#10;J1zZy2RUHVZv7fJU1p0bOqX10+O8X4NINKf/8F/7aDUs1Tvcz+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D1DMMAAADcAAAADwAAAAAAAAAAAAAAAACYAgAAZHJzL2Rv&#10;d25yZXYueG1sUEsFBgAAAAAEAAQA9QAAAIgDAAAAAA==&#10;" filled="f" strokecolor="white [3212]">
                  <v:textbox style="mso-fit-shape-to-text:t">
                    <w:txbxContent>
                      <w:p w:rsidR="00116652" w:rsidRPr="00427F68" w:rsidRDefault="00116652">
                        <w:pPr>
                          <w:rPr>
                            <w:rFonts w:ascii="Book Antiqua" w:hAnsi="Book Antiqua"/>
                            <w:b/>
                            <w:sz w:val="24"/>
                            <w:szCs w:val="24"/>
                          </w:rPr>
                        </w:pPr>
                        <w:r w:rsidRPr="00427F68">
                          <w:rPr>
                            <w:rFonts w:ascii="Book Antiqua" w:hAnsi="Book Antiqua"/>
                            <w:b/>
                            <w:sz w:val="24"/>
                            <w:szCs w:val="24"/>
                            <w:lang w:eastAsia="zh-CN"/>
                          </w:rPr>
                          <w:t>A</w:t>
                        </w:r>
                      </w:p>
                    </w:txbxContent>
                  </v:textbox>
                </v:shape>
                <v:shape id="_x0000_s1028" type="#_x0000_t202" style="position:absolute;top:30003;width:3429;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ud78A&#10;AADaAAAADwAAAGRycy9kb3ducmV2LnhtbESPQYvCMBSE7wv+h/AEb2uiriLVKCIIHrxs1x/waJ5N&#10;afNSmljrvzeCsMdhZr5htvvBNaKnLlSeNcymCgRx4U3FpYbr3+l7DSJEZIONZ9LwpAD73ehri5nx&#10;D/6lPo+lSBAOGWqwMbaZlKGw5DBMfUucvJvvHMYku1KaDh8J7ho5V2olHVacFiy2dLRU1Pndabjg&#10;0tz7QuV++VMtLqu8tm2ttJ6Mh8MGRKQh/oc/7bPRMIf3lXQD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253vwAAANoAAAAPAAAAAAAAAAAAAAAAAJgCAABkcnMvZG93bnJl&#10;di54bWxQSwUGAAAAAAQABAD1AAAAhAMAAAAA&#10;" filled="f" strokecolor="white [3212]">
                  <v:textbox style="mso-fit-shape-to-text:t">
                    <w:txbxContent>
                      <w:p w:rsidR="00116652" w:rsidRPr="00427F68" w:rsidRDefault="00116652" w:rsidP="00427F68">
                        <w:pPr>
                          <w:rPr>
                            <w:rFonts w:ascii="Book Antiqua" w:hAnsi="Book Antiqua"/>
                            <w:sz w:val="24"/>
                            <w:szCs w:val="24"/>
                          </w:rPr>
                        </w:pPr>
                        <w:r>
                          <w:rPr>
                            <w:rFonts w:ascii="Book Antiqua" w:hAnsi="Book Antiqua" w:hint="eastAsia"/>
                            <w:sz w:val="24"/>
                            <w:szCs w:val="24"/>
                            <w:lang w:eastAsia="zh-CN"/>
                          </w:rPr>
                          <w:t>B</w:t>
                        </w:r>
                      </w:p>
                    </w:txbxContent>
                  </v:textbox>
                </v:shape>
              </v:group>
            </w:pict>
          </mc:Fallback>
        </mc:AlternateContent>
      </w:r>
      <w:r w:rsidR="000E3AB8" w:rsidRPr="00FB7D6B">
        <w:rPr>
          <w:rFonts w:ascii="Book Antiqua" w:hAnsi="Book Antiqua" w:cs="Arial"/>
          <w:noProof/>
          <w:sz w:val="24"/>
          <w:szCs w:val="24"/>
          <w:lang w:val="en-US" w:eastAsia="zh-CN"/>
        </w:rPr>
        <w:drawing>
          <wp:inline distT="0" distB="0" distL="0" distR="0" wp14:anchorId="5C009A72" wp14:editId="1E31DC16">
            <wp:extent cx="5760720" cy="29419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A.tif"/>
                    <pic:cNvPicPr/>
                  </pic:nvPicPr>
                  <pic:blipFill>
                    <a:blip r:embed="rId10">
                      <a:extLst>
                        <a:ext uri="{28A0092B-C50C-407E-A947-70E740481C1C}">
                          <a14:useLocalDpi xmlns:a14="http://schemas.microsoft.com/office/drawing/2010/main" val="0"/>
                        </a:ext>
                      </a:extLst>
                    </a:blip>
                    <a:stretch>
                      <a:fillRect/>
                    </a:stretch>
                  </pic:blipFill>
                  <pic:spPr>
                    <a:xfrm>
                      <a:off x="0" y="0"/>
                      <a:ext cx="5760720" cy="2941955"/>
                    </a:xfrm>
                    <a:prstGeom prst="rect">
                      <a:avLst/>
                    </a:prstGeom>
                  </pic:spPr>
                </pic:pic>
              </a:graphicData>
            </a:graphic>
          </wp:inline>
        </w:drawing>
      </w:r>
    </w:p>
    <w:p w:rsidR="00B3657A" w:rsidRPr="00FB7D6B" w:rsidRDefault="00B3657A"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noProof/>
          <w:sz w:val="24"/>
          <w:szCs w:val="24"/>
          <w:lang w:val="en-US" w:eastAsia="zh-CN"/>
        </w:rPr>
        <w:drawing>
          <wp:inline distT="0" distB="0" distL="0" distR="0" wp14:anchorId="79D4F535" wp14:editId="79CFDB73">
            <wp:extent cx="5760720" cy="2185670"/>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B.tif"/>
                    <pic:cNvPicPr/>
                  </pic:nvPicPr>
                  <pic:blipFill>
                    <a:blip r:embed="rId11">
                      <a:extLst>
                        <a:ext uri="{28A0092B-C50C-407E-A947-70E740481C1C}">
                          <a14:useLocalDpi xmlns:a14="http://schemas.microsoft.com/office/drawing/2010/main" val="0"/>
                        </a:ext>
                      </a:extLst>
                    </a:blip>
                    <a:stretch>
                      <a:fillRect/>
                    </a:stretch>
                  </pic:blipFill>
                  <pic:spPr>
                    <a:xfrm>
                      <a:off x="0" y="0"/>
                      <a:ext cx="5760720" cy="2185670"/>
                    </a:xfrm>
                    <a:prstGeom prst="rect">
                      <a:avLst/>
                    </a:prstGeom>
                  </pic:spPr>
                </pic:pic>
              </a:graphicData>
            </a:graphic>
          </wp:inline>
        </w:drawing>
      </w:r>
    </w:p>
    <w:p w:rsidR="000E3AB8" w:rsidRPr="00FB7D6B" w:rsidRDefault="000C4615"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cs="Arial"/>
          <w:b/>
          <w:sz w:val="24"/>
          <w:szCs w:val="24"/>
          <w:lang w:val="en-US"/>
        </w:rPr>
        <w:t>Figure 1</w:t>
      </w:r>
      <w:r w:rsidR="00BB1637">
        <w:rPr>
          <w:rFonts w:ascii="Book Antiqua" w:hAnsi="Book Antiqua" w:cs="Arial" w:hint="eastAsia"/>
          <w:b/>
          <w:sz w:val="24"/>
          <w:szCs w:val="24"/>
          <w:lang w:val="en-US" w:eastAsia="zh-CN"/>
        </w:rPr>
        <w:t xml:space="preserve"> </w:t>
      </w:r>
      <w:r w:rsidRPr="00FB7D6B">
        <w:rPr>
          <w:rFonts w:ascii="Book Antiqua" w:hAnsi="Book Antiqua" w:cs="Arial"/>
          <w:b/>
          <w:sz w:val="24"/>
          <w:szCs w:val="24"/>
          <w:lang w:val="en-US"/>
        </w:rPr>
        <w:t>Mini-laparoscopy of a patient with acute liver failure due to newly diagnosed autoimmune hepatitis exemplarily showing the right liver lobe with diffuse capsular swelling, regenerative nodules, and rounded lower margin</w:t>
      </w:r>
      <w:r w:rsidR="00B3657A" w:rsidRPr="00FB7D6B">
        <w:rPr>
          <w:rFonts w:ascii="Book Antiqua" w:hAnsi="Book Antiqua" w:cs="Arial"/>
          <w:b/>
          <w:sz w:val="24"/>
          <w:szCs w:val="24"/>
          <w:lang w:val="en-US"/>
        </w:rPr>
        <w:t xml:space="preserve"> (upper panel)</w:t>
      </w:r>
      <w:r w:rsidR="00BB1637" w:rsidRPr="00BB1637">
        <w:rPr>
          <w:rFonts w:ascii="Book Antiqua" w:hAnsi="Book Antiqua" w:cs="Arial"/>
          <w:b/>
          <w:sz w:val="24"/>
          <w:szCs w:val="24"/>
          <w:lang w:val="en-US" w:eastAsia="zh-CN"/>
        </w:rPr>
        <w:t xml:space="preserve"> </w:t>
      </w:r>
      <w:r w:rsidR="00BB1637" w:rsidRPr="00FB7D6B">
        <w:rPr>
          <w:rFonts w:ascii="Book Antiqua" w:hAnsi="Book Antiqua" w:cs="Arial"/>
          <w:b/>
          <w:sz w:val="24"/>
          <w:szCs w:val="24"/>
          <w:lang w:val="en-US" w:eastAsia="zh-CN"/>
        </w:rPr>
        <w:t>(</w:t>
      </w:r>
      <w:r w:rsidR="00BB1637" w:rsidRPr="00FB7D6B">
        <w:rPr>
          <w:rFonts w:ascii="Book Antiqua" w:hAnsi="Book Antiqua" w:cs="Arial"/>
          <w:b/>
          <w:sz w:val="24"/>
          <w:szCs w:val="24"/>
          <w:lang w:val="en-US"/>
        </w:rPr>
        <w:t>A</w:t>
      </w:r>
      <w:r w:rsidR="00BB1637" w:rsidRPr="00FB7D6B">
        <w:rPr>
          <w:rFonts w:ascii="Book Antiqua" w:hAnsi="Book Antiqua" w:cs="Arial"/>
          <w:b/>
          <w:sz w:val="24"/>
          <w:szCs w:val="24"/>
          <w:lang w:val="en-US" w:eastAsia="zh-CN"/>
        </w:rPr>
        <w:t>)</w:t>
      </w:r>
      <w:r w:rsidR="003E0D42">
        <w:rPr>
          <w:rFonts w:ascii="Book Antiqua" w:hAnsi="Book Antiqua" w:cs="Arial" w:hint="eastAsia"/>
          <w:b/>
          <w:sz w:val="24"/>
          <w:szCs w:val="24"/>
          <w:lang w:val="en-US" w:eastAsia="zh-CN"/>
        </w:rPr>
        <w:t>,</w:t>
      </w:r>
      <w:r w:rsidR="00427F68" w:rsidRPr="00FB7D6B">
        <w:rPr>
          <w:rFonts w:ascii="Book Antiqua" w:hAnsi="Book Antiqua" w:cs="Arial"/>
          <w:b/>
          <w:sz w:val="24"/>
          <w:szCs w:val="24"/>
          <w:lang w:val="en-US" w:eastAsia="zh-CN"/>
        </w:rPr>
        <w:t xml:space="preserve"> and</w:t>
      </w:r>
      <w:r w:rsidR="003E0D42">
        <w:rPr>
          <w:rFonts w:ascii="Book Antiqua" w:hAnsi="Book Antiqua" w:cs="Arial" w:hint="eastAsia"/>
          <w:b/>
          <w:sz w:val="24"/>
          <w:szCs w:val="24"/>
          <w:lang w:val="en-US" w:eastAsia="zh-CN"/>
        </w:rPr>
        <w:t xml:space="preserve"> </w:t>
      </w:r>
      <w:r w:rsidR="003E0D42" w:rsidRPr="00FB7D6B">
        <w:rPr>
          <w:rFonts w:ascii="Book Antiqua" w:hAnsi="Book Antiqua" w:cs="Arial"/>
          <w:b/>
          <w:sz w:val="24"/>
          <w:szCs w:val="24"/>
          <w:lang w:val="en-US"/>
        </w:rPr>
        <w:t>l</w:t>
      </w:r>
      <w:r w:rsidR="00967255" w:rsidRPr="00FB7D6B">
        <w:rPr>
          <w:rFonts w:ascii="Book Antiqua" w:hAnsi="Book Antiqua" w:cs="Arial"/>
          <w:b/>
          <w:sz w:val="24"/>
          <w:szCs w:val="24"/>
          <w:lang w:val="en-US"/>
        </w:rPr>
        <w:t>ive</w:t>
      </w:r>
      <w:r w:rsidR="005820AF" w:rsidRPr="00FB7D6B">
        <w:rPr>
          <w:rFonts w:ascii="Book Antiqua" w:hAnsi="Book Antiqua" w:cs="Arial"/>
          <w:b/>
          <w:sz w:val="24"/>
          <w:szCs w:val="24"/>
          <w:lang w:val="en-US"/>
        </w:rPr>
        <w:t xml:space="preserve">r histology of the same </w:t>
      </w:r>
      <w:r w:rsidR="00967255" w:rsidRPr="00FB7D6B">
        <w:rPr>
          <w:rFonts w:ascii="Book Antiqua" w:hAnsi="Book Antiqua" w:cs="Arial"/>
          <w:b/>
          <w:sz w:val="24"/>
          <w:szCs w:val="24"/>
          <w:lang w:val="en-US"/>
        </w:rPr>
        <w:t xml:space="preserve">patient </w:t>
      </w:r>
      <w:r w:rsidR="005820AF" w:rsidRPr="00FB7D6B">
        <w:rPr>
          <w:rFonts w:ascii="Book Antiqua" w:hAnsi="Book Antiqua" w:cs="Arial"/>
          <w:b/>
          <w:sz w:val="24"/>
          <w:szCs w:val="24"/>
          <w:lang w:val="en-US"/>
        </w:rPr>
        <w:t>with AIH-induced ALF</w:t>
      </w:r>
      <w:r w:rsidR="00BB1637" w:rsidRPr="00FB7D6B">
        <w:rPr>
          <w:rFonts w:ascii="Book Antiqua" w:hAnsi="Book Antiqua" w:cs="Arial"/>
          <w:b/>
          <w:sz w:val="24"/>
          <w:szCs w:val="24"/>
          <w:lang w:val="en-US" w:eastAsia="zh-CN"/>
        </w:rPr>
        <w:t xml:space="preserve"> (B)</w:t>
      </w:r>
      <w:r w:rsidR="005820AF" w:rsidRPr="00FB7D6B">
        <w:rPr>
          <w:rFonts w:ascii="Book Antiqua" w:hAnsi="Book Antiqua" w:cs="Arial"/>
          <w:b/>
          <w:sz w:val="24"/>
          <w:szCs w:val="24"/>
          <w:lang w:val="en-US"/>
        </w:rPr>
        <w:t xml:space="preserve">. </w:t>
      </w:r>
      <w:r w:rsidR="005820AF" w:rsidRPr="00FB7D6B">
        <w:rPr>
          <w:rFonts w:ascii="Book Antiqua" w:hAnsi="Book Antiqua" w:cs="Arial"/>
          <w:sz w:val="24"/>
          <w:szCs w:val="24"/>
          <w:lang w:val="en-US"/>
        </w:rPr>
        <w:t>Left panel demonstrat</w:t>
      </w:r>
      <w:r w:rsidR="00967255" w:rsidRPr="00FB7D6B">
        <w:rPr>
          <w:rFonts w:ascii="Book Antiqua" w:hAnsi="Book Antiqua" w:cs="Arial"/>
          <w:sz w:val="24"/>
          <w:szCs w:val="24"/>
          <w:lang w:val="en-US"/>
        </w:rPr>
        <w:t>ing severe inflammation with interface hepatitis (original magnification 200</w:t>
      </w:r>
      <w:r w:rsidR="00427F68" w:rsidRPr="00FB7D6B">
        <w:rPr>
          <w:rFonts w:ascii="Book Antiqua" w:hAnsi="Book Antiqua" w:cs="Arial"/>
          <w:sz w:val="24"/>
          <w:szCs w:val="24"/>
          <w:lang w:val="en-US" w:eastAsia="zh-CN"/>
        </w:rPr>
        <w:t xml:space="preserve"> </w:t>
      </w:r>
      <w:r w:rsidR="00427F68" w:rsidRPr="00FB7D6B">
        <w:rPr>
          <w:rFonts w:ascii="Book Antiqua" w:hAnsi="Book Antiqua" w:cs="Arial"/>
          <w:sz w:val="24"/>
          <w:szCs w:val="24"/>
          <w:lang w:val="en-US"/>
        </w:rPr>
        <w:t>×</w:t>
      </w:r>
      <w:r w:rsidR="00967255" w:rsidRPr="00FB7D6B">
        <w:rPr>
          <w:rFonts w:ascii="Book Antiqua" w:hAnsi="Book Antiqua" w:cs="Arial"/>
          <w:sz w:val="24"/>
          <w:szCs w:val="24"/>
          <w:lang w:val="en-US"/>
        </w:rPr>
        <w:t xml:space="preserve">) and the right panel with higher magnification </w:t>
      </w:r>
      <w:r w:rsidR="005820AF" w:rsidRPr="00FB7D6B">
        <w:rPr>
          <w:rFonts w:ascii="Book Antiqua" w:hAnsi="Book Antiqua" w:cs="Arial"/>
          <w:sz w:val="24"/>
          <w:szCs w:val="24"/>
          <w:lang w:val="en-US"/>
        </w:rPr>
        <w:t>(400</w:t>
      </w:r>
      <w:r w:rsidR="00427F68" w:rsidRPr="00FB7D6B">
        <w:rPr>
          <w:rFonts w:ascii="Book Antiqua" w:hAnsi="Book Antiqua" w:cs="Arial"/>
          <w:sz w:val="24"/>
          <w:szCs w:val="24"/>
          <w:lang w:val="en-US" w:eastAsia="zh-CN"/>
        </w:rPr>
        <w:t xml:space="preserve"> ×</w:t>
      </w:r>
      <w:r w:rsidR="005820AF" w:rsidRPr="00FB7D6B">
        <w:rPr>
          <w:rFonts w:ascii="Book Antiqua" w:hAnsi="Book Antiqua" w:cs="Arial"/>
          <w:sz w:val="24"/>
          <w:szCs w:val="24"/>
          <w:lang w:val="en-US"/>
        </w:rPr>
        <w:t xml:space="preserve">) revealing numerous </w:t>
      </w:r>
      <w:r w:rsidR="00967255" w:rsidRPr="00FB7D6B">
        <w:rPr>
          <w:rFonts w:ascii="Book Antiqua" w:hAnsi="Book Antiqua" w:cs="Arial"/>
          <w:sz w:val="24"/>
          <w:szCs w:val="24"/>
          <w:lang w:val="en-US"/>
        </w:rPr>
        <w:t>plasma cells extending from the portal tract into the adjacent parenchym</w:t>
      </w:r>
      <w:r w:rsidR="005820AF" w:rsidRPr="00FB7D6B">
        <w:rPr>
          <w:rFonts w:ascii="Book Antiqua" w:hAnsi="Book Antiqua" w:cs="Arial"/>
          <w:sz w:val="24"/>
          <w:szCs w:val="24"/>
          <w:lang w:val="en-US"/>
        </w:rPr>
        <w:t>a</w:t>
      </w:r>
      <w:r w:rsidR="00B3657A" w:rsidRPr="00FB7D6B">
        <w:rPr>
          <w:rFonts w:ascii="Book Antiqua" w:hAnsi="Book Antiqua" w:cs="Arial"/>
          <w:sz w:val="24"/>
          <w:szCs w:val="24"/>
          <w:lang w:val="en-US"/>
        </w:rPr>
        <w:t xml:space="preserve"> (lower panel)</w:t>
      </w:r>
      <w:r w:rsidR="005820AF" w:rsidRPr="00FB7D6B">
        <w:rPr>
          <w:rFonts w:ascii="Book Antiqua" w:hAnsi="Book Antiqua" w:cs="Arial"/>
          <w:sz w:val="24"/>
          <w:szCs w:val="24"/>
          <w:lang w:val="en-US"/>
        </w:rPr>
        <w:t>.</w:t>
      </w:r>
    </w:p>
    <w:p w:rsidR="00F7435E" w:rsidRPr="00FB7D6B" w:rsidRDefault="00F7435E" w:rsidP="00FB7D6B">
      <w:pPr>
        <w:adjustRightInd w:val="0"/>
        <w:snapToGrid w:val="0"/>
        <w:spacing w:after="0" w:line="360" w:lineRule="auto"/>
        <w:jc w:val="both"/>
        <w:rPr>
          <w:rFonts w:ascii="Book Antiqua" w:hAnsi="Book Antiqua" w:cs="Arial"/>
          <w:sz w:val="24"/>
          <w:szCs w:val="24"/>
          <w:lang w:val="en-US"/>
        </w:rPr>
      </w:pPr>
    </w:p>
    <w:p w:rsidR="00F7435E" w:rsidRPr="00FB7D6B" w:rsidRDefault="00116652"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noProof/>
          <w:sz w:val="24"/>
          <w:szCs w:val="24"/>
          <w:lang w:val="en-US" w:eastAsia="zh-CN"/>
        </w:rPr>
        <w:lastRenderedPageBreak/>
        <mc:AlternateContent>
          <mc:Choice Requires="wps">
            <w:drawing>
              <wp:anchor distT="0" distB="0" distL="114300" distR="114300" simplePos="0" relativeHeight="251663360" behindDoc="0" locked="0" layoutInCell="1" allowOverlap="1" wp14:anchorId="3622CBE1" wp14:editId="6FF44F60">
                <wp:simplePos x="0" y="0"/>
                <wp:positionH relativeFrom="column">
                  <wp:posOffset>-213995</wp:posOffset>
                </wp:positionH>
                <wp:positionV relativeFrom="paragraph">
                  <wp:posOffset>205105</wp:posOffset>
                </wp:positionV>
                <wp:extent cx="342900" cy="438150"/>
                <wp:effectExtent l="0" t="0" r="0" b="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sidRPr="00427F68">
                              <w:rPr>
                                <w:rFonts w:ascii="Book Antiqua" w:hAnsi="Book Antiqua"/>
                                <w:b/>
                                <w:sz w:val="24"/>
                                <w:szCs w:val="24"/>
                                <w:lang w:eastAsia="zh-CN"/>
                              </w:rPr>
                              <w:t>A</w:t>
                            </w:r>
                          </w:p>
                        </w:txbxContent>
                      </wps:txbx>
                      <wps:bodyPr rot="0" vert="horz" wrap="square" lIns="91440" tIns="45720" rIns="91440" bIns="45720" anchor="t" anchorCtr="0">
                        <a:spAutoFit/>
                      </wps:bodyPr>
                    </wps:wsp>
                  </a:graphicData>
                </a:graphic>
              </wp:anchor>
            </w:drawing>
          </mc:Choice>
          <mc:Fallback>
            <w:pict>
              <v:shape w14:anchorId="3622CBE1" id="文本框 2" o:spid="_x0000_s1029" type="#_x0000_t202" style="position:absolute;left:0;text-align:left;margin-left:-16.85pt;margin-top:16.15pt;width:27pt;height:34.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" filled="f" strokecolor="white [3212]">
                <v:textbox style="mso-fit-shape-to-text:t">
                  <w:txbxContent>
                    <w:p w:rsidR="00116652" w:rsidRPr="00427F68" w:rsidRDefault="00116652" w:rsidP="00116652">
                      <w:pPr>
                        <w:rPr>
                          <w:rFonts w:ascii="Book Antiqua" w:hAnsi="Book Antiqua"/>
                          <w:b/>
                          <w:sz w:val="24"/>
                          <w:szCs w:val="24"/>
                        </w:rPr>
                      </w:pPr>
                      <w:r w:rsidRPr="00427F68">
                        <w:rPr>
                          <w:rFonts w:ascii="Book Antiqua" w:hAnsi="Book Antiqua"/>
                          <w:b/>
                          <w:sz w:val="24"/>
                          <w:szCs w:val="24"/>
                          <w:lang w:eastAsia="zh-CN"/>
                        </w:rPr>
                        <w:t>A</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0A961183" wp14:editId="3A2A76D4">
            <wp:extent cx="5760720" cy="3270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70250"/>
                    </a:xfrm>
                    <a:prstGeom prst="rect">
                      <a:avLst/>
                    </a:prstGeom>
                  </pic:spPr>
                </pic:pic>
              </a:graphicData>
            </a:graphic>
          </wp:inline>
        </w:drawing>
      </w:r>
    </w:p>
    <w:p w:rsidR="00F7435E" w:rsidRPr="00FB7D6B" w:rsidRDefault="00116652"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noProof/>
          <w:sz w:val="24"/>
          <w:szCs w:val="24"/>
          <w:lang w:val="en-US" w:eastAsia="zh-CN"/>
        </w:rPr>
        <mc:AlternateContent>
          <mc:Choice Requires="wps">
            <w:drawing>
              <wp:anchor distT="0" distB="0" distL="114300" distR="114300" simplePos="0" relativeHeight="251665408" behindDoc="0" locked="0" layoutInCell="1" allowOverlap="1" wp14:anchorId="0A1D6B40" wp14:editId="25A82DA0">
                <wp:simplePos x="0" y="0"/>
                <wp:positionH relativeFrom="column">
                  <wp:posOffset>-252095</wp:posOffset>
                </wp:positionH>
                <wp:positionV relativeFrom="paragraph">
                  <wp:posOffset>516890</wp:posOffset>
                </wp:positionV>
                <wp:extent cx="342900" cy="438150"/>
                <wp:effectExtent l="0" t="0" r="19050" b="18415"/>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B</w:t>
                            </w:r>
                          </w:p>
                        </w:txbxContent>
                      </wps:txbx>
                      <wps:bodyPr rot="0" vert="horz" wrap="square" lIns="91440" tIns="45720" rIns="91440" bIns="45720" anchor="t" anchorCtr="0">
                        <a:spAutoFit/>
                      </wps:bodyPr>
                    </wps:wsp>
                  </a:graphicData>
                </a:graphic>
              </wp:anchor>
            </w:drawing>
          </mc:Choice>
          <mc:Fallback>
            <w:pict>
              <v:shape w14:anchorId="0A1D6B40" id="_x0000_s1030" type="#_x0000_t202" style="position:absolute;left:0;text-align:left;margin-left:-19.85pt;margin-top:40.7pt;width:27pt;height:3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" filled="f" strokecolor="white [3212]">
                <v:textbox style="mso-fit-shape-to-text:t">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B</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3FEB0F84" wp14:editId="37BF243A">
            <wp:extent cx="5760720" cy="37255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725545"/>
                    </a:xfrm>
                    <a:prstGeom prst="rect">
                      <a:avLst/>
                    </a:prstGeom>
                  </pic:spPr>
                </pic:pic>
              </a:graphicData>
            </a:graphic>
          </wp:inline>
        </w:drawing>
      </w:r>
    </w:p>
    <w:p w:rsidR="00427F68" w:rsidRPr="00BB1637" w:rsidRDefault="00427F68" w:rsidP="00FB7D6B">
      <w:pPr>
        <w:adjustRightInd w:val="0"/>
        <w:snapToGrid w:val="0"/>
        <w:spacing w:after="0" w:line="360" w:lineRule="auto"/>
        <w:jc w:val="both"/>
        <w:rPr>
          <w:rFonts w:ascii="Book Antiqua" w:hAnsi="Book Antiqua" w:cs="Arial"/>
          <w:b/>
          <w:sz w:val="24"/>
          <w:szCs w:val="24"/>
          <w:lang w:val="en-US" w:eastAsia="zh-CN"/>
        </w:rPr>
      </w:pPr>
      <w:r w:rsidRPr="00FB7D6B">
        <w:rPr>
          <w:rFonts w:ascii="Book Antiqua" w:hAnsi="Book Antiqua" w:cs="Arial"/>
          <w:b/>
          <w:sz w:val="24"/>
          <w:szCs w:val="24"/>
          <w:lang w:val="en-US"/>
        </w:rPr>
        <w:t>Figure 2</w:t>
      </w:r>
      <w:r w:rsidR="00BB1637">
        <w:rPr>
          <w:rFonts w:ascii="Book Antiqua" w:hAnsi="Book Antiqua" w:cs="Arial"/>
          <w:b/>
          <w:sz w:val="24"/>
          <w:szCs w:val="24"/>
          <w:lang w:val="en-US" w:eastAsia="zh-CN"/>
        </w:rPr>
        <w:t xml:space="preserve"> </w:t>
      </w:r>
      <w:r w:rsidRPr="00FB7D6B">
        <w:rPr>
          <w:rFonts w:ascii="Book Antiqua" w:hAnsi="Book Antiqua" w:cs="Arial"/>
          <w:b/>
          <w:sz w:val="24"/>
          <w:szCs w:val="24"/>
          <w:lang w:val="en-US"/>
        </w:rPr>
        <w:t>HLA-profile of the study population (</w:t>
      </w:r>
      <w:r w:rsidRPr="00FB7D6B">
        <w:rPr>
          <w:rFonts w:ascii="Book Antiqua" w:hAnsi="Book Antiqua" w:cs="Arial"/>
          <w:b/>
          <w:i/>
          <w:sz w:val="24"/>
          <w:szCs w:val="24"/>
          <w:lang w:val="en-US"/>
        </w:rPr>
        <w:t>n</w:t>
      </w:r>
      <w:r w:rsidRPr="00FB7D6B">
        <w:rPr>
          <w:rFonts w:ascii="Book Antiqua" w:hAnsi="Book Antiqua" w:cs="Arial"/>
          <w:b/>
          <w:sz w:val="24"/>
          <w:szCs w:val="24"/>
          <w:lang w:val="en-US"/>
        </w:rPr>
        <w:t xml:space="preserve"> = 34) investigating HLA-A1, -B8, -DR3, and -DR4 status</w:t>
      </w:r>
      <w:r w:rsidR="00BB1637">
        <w:rPr>
          <w:rFonts w:ascii="Book Antiqua" w:hAnsi="Book Antiqua" w:cs="Arial" w:hint="eastAsia"/>
          <w:b/>
          <w:sz w:val="24"/>
          <w:szCs w:val="24"/>
          <w:lang w:val="en-US" w:eastAsia="zh-CN"/>
        </w:rPr>
        <w:t xml:space="preserve"> </w:t>
      </w:r>
      <w:r w:rsidR="00BB1637" w:rsidRPr="00FB7D6B">
        <w:rPr>
          <w:rFonts w:ascii="Book Antiqua" w:hAnsi="Book Antiqua" w:cs="Arial"/>
          <w:b/>
          <w:sz w:val="24"/>
          <w:szCs w:val="24"/>
          <w:lang w:val="en-US" w:eastAsia="zh-CN"/>
        </w:rPr>
        <w:t>(A)</w:t>
      </w:r>
      <w:r w:rsidR="003E0D42">
        <w:rPr>
          <w:rFonts w:ascii="Book Antiqua" w:hAnsi="Book Antiqua" w:cs="Arial" w:hint="eastAsia"/>
          <w:b/>
          <w:sz w:val="24"/>
          <w:szCs w:val="24"/>
          <w:lang w:val="en-US" w:eastAsia="zh-CN"/>
        </w:rPr>
        <w:t>,</w:t>
      </w:r>
      <w:r w:rsidRPr="00FB7D6B">
        <w:rPr>
          <w:rFonts w:ascii="Book Antiqua" w:hAnsi="Book Antiqua" w:cs="Arial"/>
          <w:b/>
          <w:sz w:val="24"/>
          <w:szCs w:val="24"/>
          <w:lang w:val="en-US" w:eastAsia="zh-CN"/>
        </w:rPr>
        <w:t xml:space="preserve"> and</w:t>
      </w:r>
      <w:r w:rsidR="003E0D42">
        <w:rPr>
          <w:rFonts w:ascii="Book Antiqua" w:hAnsi="Book Antiqua" w:cs="Arial" w:hint="eastAsia"/>
          <w:b/>
          <w:sz w:val="24"/>
          <w:szCs w:val="24"/>
          <w:lang w:val="en-US" w:eastAsia="zh-CN"/>
        </w:rPr>
        <w:t xml:space="preserve"> </w:t>
      </w:r>
      <w:r w:rsidRPr="00FB7D6B">
        <w:rPr>
          <w:rFonts w:ascii="Book Antiqua" w:hAnsi="Book Antiqua" w:cs="Arial"/>
          <w:b/>
          <w:sz w:val="24"/>
          <w:szCs w:val="24"/>
          <w:lang w:val="en-US"/>
        </w:rPr>
        <w:t xml:space="preserve">antibody-profile of the study population </w:t>
      </w:r>
      <w:r w:rsidRPr="00FB7D6B">
        <w:rPr>
          <w:rFonts w:ascii="Book Antiqua" w:hAnsi="Book Antiqua" w:cs="Arial"/>
          <w:b/>
          <w:i/>
          <w:sz w:val="24"/>
          <w:szCs w:val="24"/>
          <w:lang w:val="en-US"/>
        </w:rPr>
        <w:t>(n</w:t>
      </w:r>
      <w:r w:rsidRPr="00FB7D6B">
        <w:rPr>
          <w:rFonts w:ascii="Book Antiqua" w:hAnsi="Book Antiqua" w:cs="Arial"/>
          <w:b/>
          <w:sz w:val="24"/>
          <w:szCs w:val="24"/>
          <w:lang w:val="en-US"/>
        </w:rPr>
        <w:t xml:space="preserve"> = 52) demonstrating positivity for ANA-, AMA-, SMA-, SLA-, ANCA-, and LKM-titers</w:t>
      </w:r>
      <w:r w:rsidR="00BB1637" w:rsidRPr="00FB7D6B">
        <w:rPr>
          <w:rFonts w:ascii="Book Antiqua" w:hAnsi="Book Antiqua" w:cs="Arial"/>
          <w:b/>
          <w:sz w:val="24"/>
          <w:szCs w:val="24"/>
          <w:lang w:val="en-US" w:eastAsia="zh-CN"/>
        </w:rPr>
        <w:t xml:space="preserve"> (</w:t>
      </w:r>
      <w:r w:rsidR="00BB1637" w:rsidRPr="00FB7D6B">
        <w:rPr>
          <w:rFonts w:ascii="Book Antiqua" w:hAnsi="Book Antiqua" w:cs="Arial"/>
          <w:b/>
          <w:sz w:val="24"/>
          <w:szCs w:val="24"/>
          <w:lang w:val="en-US"/>
        </w:rPr>
        <w:t>B</w:t>
      </w:r>
      <w:r w:rsidR="00BB1637" w:rsidRPr="00FB7D6B">
        <w:rPr>
          <w:rFonts w:ascii="Book Antiqua" w:hAnsi="Book Antiqua" w:cs="Arial"/>
          <w:b/>
          <w:sz w:val="24"/>
          <w:szCs w:val="24"/>
          <w:lang w:val="en-US" w:eastAsia="zh-CN"/>
        </w:rPr>
        <w:t>)</w:t>
      </w:r>
      <w:r w:rsidRPr="00FB7D6B">
        <w:rPr>
          <w:rFonts w:ascii="Book Antiqua" w:hAnsi="Book Antiqua" w:cs="Arial"/>
          <w:b/>
          <w:sz w:val="24"/>
          <w:szCs w:val="24"/>
          <w:lang w:val="en-US"/>
        </w:rPr>
        <w:t>.</w:t>
      </w:r>
      <w:r w:rsidR="00BB1637">
        <w:rPr>
          <w:rFonts w:ascii="Book Antiqua" w:hAnsi="Book Antiqua" w:cs="Arial" w:hint="eastAsia"/>
          <w:b/>
          <w:sz w:val="24"/>
          <w:szCs w:val="24"/>
          <w:lang w:val="en-US" w:eastAsia="zh-CN"/>
        </w:rPr>
        <w:t xml:space="preserve"> </w:t>
      </w:r>
      <w:r w:rsidRPr="00FB7D6B">
        <w:rPr>
          <w:rFonts w:ascii="Book Antiqua" w:hAnsi="Book Antiqua" w:cs="Arial"/>
          <w:sz w:val="24"/>
          <w:szCs w:val="24"/>
          <w:lang w:val="en-US" w:eastAsia="zh-CN"/>
        </w:rPr>
        <w:t>ANA:</w:t>
      </w:r>
      <w:r w:rsidRPr="00FB7D6B">
        <w:rPr>
          <w:rFonts w:ascii="Book Antiqua" w:hAnsi="Book Antiqua" w:cs="Arial"/>
          <w:sz w:val="24"/>
          <w:szCs w:val="24"/>
          <w:lang w:val="en-US"/>
        </w:rPr>
        <w:t xml:space="preserve"> Anti-nuclear</w:t>
      </w:r>
      <w:r w:rsidRPr="00FB7D6B">
        <w:rPr>
          <w:rFonts w:ascii="Book Antiqua" w:hAnsi="Book Antiqua" w:cs="Arial"/>
          <w:sz w:val="24"/>
          <w:szCs w:val="24"/>
          <w:lang w:val="en-US" w:eastAsia="zh-CN"/>
        </w:rPr>
        <w:t xml:space="preserve">; SMA: </w:t>
      </w:r>
      <w:r w:rsidRPr="00FB7D6B">
        <w:rPr>
          <w:rFonts w:ascii="Book Antiqua" w:hAnsi="Book Antiqua" w:cs="Arial"/>
          <w:sz w:val="24"/>
          <w:szCs w:val="24"/>
          <w:lang w:val="en-US"/>
        </w:rPr>
        <w:t>Anti-smooth muscle</w:t>
      </w:r>
      <w:r w:rsidRPr="00FB7D6B">
        <w:rPr>
          <w:rFonts w:ascii="Book Antiqua" w:hAnsi="Book Antiqua" w:cs="Arial"/>
          <w:sz w:val="24"/>
          <w:szCs w:val="24"/>
          <w:lang w:val="en-US" w:eastAsia="zh-CN"/>
        </w:rPr>
        <w:t>;</w:t>
      </w:r>
      <w:r w:rsidR="00116652" w:rsidRPr="00FB7D6B">
        <w:rPr>
          <w:rFonts w:ascii="Book Antiqua" w:hAnsi="Book Antiqua" w:cs="Arial"/>
          <w:sz w:val="24"/>
          <w:szCs w:val="24"/>
          <w:lang w:val="en-US" w:eastAsia="zh-CN"/>
        </w:rPr>
        <w:t xml:space="preserve"> </w:t>
      </w:r>
      <w:r w:rsidRPr="00FB7D6B">
        <w:rPr>
          <w:rFonts w:ascii="Book Antiqua" w:hAnsi="Book Antiqua" w:cs="Arial"/>
          <w:sz w:val="24"/>
          <w:szCs w:val="24"/>
          <w:lang w:val="en-US" w:eastAsia="zh-CN"/>
        </w:rPr>
        <w:t>LKM</w:t>
      </w:r>
      <w:r w:rsidR="00116652" w:rsidRPr="00FB7D6B">
        <w:rPr>
          <w:rFonts w:ascii="Book Antiqua" w:hAnsi="Book Antiqua" w:cs="Arial"/>
          <w:sz w:val="24"/>
          <w:szCs w:val="24"/>
          <w:lang w:val="en-US" w:eastAsia="zh-CN"/>
        </w:rPr>
        <w:t>:</w:t>
      </w:r>
      <w:r w:rsidR="00116652" w:rsidRPr="00FB7D6B">
        <w:rPr>
          <w:rFonts w:ascii="Book Antiqua" w:hAnsi="Book Antiqua" w:cs="Arial"/>
          <w:sz w:val="24"/>
          <w:szCs w:val="24"/>
          <w:lang w:val="en-US"/>
        </w:rPr>
        <w:t xml:space="preserve"> </w:t>
      </w:r>
      <w:r w:rsidR="00BB1637" w:rsidRPr="00FB7D6B">
        <w:rPr>
          <w:rFonts w:ascii="Book Antiqua" w:hAnsi="Book Antiqua" w:cs="Arial"/>
          <w:sz w:val="24"/>
          <w:szCs w:val="24"/>
          <w:lang w:val="en-US"/>
        </w:rPr>
        <w:t>A</w:t>
      </w:r>
      <w:r w:rsidR="00116652" w:rsidRPr="00FB7D6B">
        <w:rPr>
          <w:rFonts w:ascii="Book Antiqua" w:hAnsi="Book Antiqua" w:cs="Arial"/>
          <w:sz w:val="24"/>
          <w:szCs w:val="24"/>
          <w:lang w:val="en-US"/>
        </w:rPr>
        <w:t>nti-liver kidney microsomal</w:t>
      </w:r>
      <w:r w:rsidR="00116652" w:rsidRPr="00FB7D6B">
        <w:rPr>
          <w:rFonts w:ascii="Book Antiqua" w:hAnsi="Book Antiqua" w:cs="Arial"/>
          <w:sz w:val="24"/>
          <w:szCs w:val="24"/>
          <w:lang w:val="en-US" w:eastAsia="zh-CN"/>
        </w:rPr>
        <w:t>.</w:t>
      </w:r>
    </w:p>
    <w:p w:rsidR="00427F68" w:rsidRPr="00FB7D6B" w:rsidRDefault="00427F68" w:rsidP="00FB7D6B">
      <w:pPr>
        <w:adjustRightInd w:val="0"/>
        <w:snapToGrid w:val="0"/>
        <w:spacing w:after="0" w:line="360" w:lineRule="auto"/>
        <w:jc w:val="both"/>
        <w:rPr>
          <w:rFonts w:ascii="Book Antiqua" w:hAnsi="Book Antiqua" w:cs="Arial"/>
          <w:b/>
          <w:sz w:val="24"/>
          <w:szCs w:val="24"/>
          <w:lang w:val="en-US" w:eastAsia="zh-CN"/>
        </w:rPr>
      </w:pPr>
    </w:p>
    <w:p w:rsidR="00427F68" w:rsidRPr="00FB7D6B" w:rsidRDefault="00427F68" w:rsidP="00FB7D6B">
      <w:pPr>
        <w:adjustRightInd w:val="0"/>
        <w:snapToGrid w:val="0"/>
        <w:spacing w:after="0" w:line="360" w:lineRule="auto"/>
        <w:jc w:val="both"/>
        <w:rPr>
          <w:rFonts w:ascii="Book Antiqua" w:hAnsi="Book Antiqua" w:cs="Arial"/>
          <w:b/>
          <w:sz w:val="24"/>
          <w:szCs w:val="24"/>
          <w:lang w:val="en-US" w:eastAsia="zh-CN"/>
        </w:rPr>
      </w:pPr>
    </w:p>
    <w:p w:rsidR="000E3AB8" w:rsidRPr="00FB7D6B" w:rsidRDefault="000E3AB8"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noProof/>
          <w:sz w:val="24"/>
          <w:szCs w:val="24"/>
          <w:lang w:val="en-US" w:eastAsia="zh-CN"/>
        </w:rPr>
        <w:drawing>
          <wp:inline distT="0" distB="0" distL="0" distR="0" wp14:anchorId="3ADDA6C7" wp14:editId="6453F4BC">
            <wp:extent cx="5760720" cy="37376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737610"/>
                    </a:xfrm>
                    <a:prstGeom prst="rect">
                      <a:avLst/>
                    </a:prstGeom>
                  </pic:spPr>
                </pic:pic>
              </a:graphicData>
            </a:graphic>
          </wp:inline>
        </w:drawing>
      </w:r>
    </w:p>
    <w:p w:rsidR="00116652" w:rsidRPr="00FB7D6B" w:rsidRDefault="00116652" w:rsidP="00FB7D6B">
      <w:pPr>
        <w:adjustRightInd w:val="0"/>
        <w:snapToGrid w:val="0"/>
        <w:spacing w:after="0" w:line="360" w:lineRule="auto"/>
        <w:jc w:val="both"/>
        <w:rPr>
          <w:rFonts w:ascii="Book Antiqua" w:hAnsi="Book Antiqua" w:cs="Arial"/>
          <w:b/>
          <w:sz w:val="24"/>
          <w:szCs w:val="24"/>
          <w:lang w:val="en-US"/>
        </w:rPr>
      </w:pPr>
      <w:r w:rsidRPr="00FB7D6B">
        <w:rPr>
          <w:rFonts w:ascii="Book Antiqua" w:hAnsi="Book Antiqua" w:cs="Arial"/>
          <w:b/>
          <w:sz w:val="24"/>
          <w:szCs w:val="24"/>
          <w:lang w:val="en-US"/>
        </w:rPr>
        <w:t>Figure 3</w:t>
      </w:r>
      <w:r w:rsidRPr="00FB7D6B">
        <w:rPr>
          <w:rFonts w:ascii="Book Antiqua" w:hAnsi="Book Antiqua" w:cs="Arial"/>
          <w:b/>
          <w:sz w:val="24"/>
          <w:szCs w:val="24"/>
          <w:lang w:val="en-US" w:eastAsia="zh-CN"/>
        </w:rPr>
        <w:t xml:space="preserve"> </w:t>
      </w:r>
      <w:r w:rsidRPr="00FB7D6B">
        <w:rPr>
          <w:rFonts w:ascii="Book Antiqua" w:hAnsi="Book Antiqua" w:cs="Arial"/>
          <w:b/>
          <w:sz w:val="24"/>
          <w:szCs w:val="24"/>
          <w:lang w:val="en-US"/>
        </w:rPr>
        <w:t>Potential triggering factors for acute liver failure in patients with their first manifestation of autoimmune hepatitis (</w:t>
      </w:r>
      <w:r w:rsidRPr="00FB7D6B">
        <w:rPr>
          <w:rFonts w:ascii="Book Antiqua" w:hAnsi="Book Antiqua" w:cs="Arial"/>
          <w:b/>
          <w:i/>
          <w:sz w:val="24"/>
          <w:szCs w:val="24"/>
          <w:lang w:val="en-US"/>
        </w:rPr>
        <w:t>n</w:t>
      </w:r>
      <w:r w:rsidRPr="00FB7D6B">
        <w:rPr>
          <w:rFonts w:ascii="Book Antiqua" w:hAnsi="Book Antiqua" w:cs="Arial"/>
          <w:b/>
          <w:sz w:val="24"/>
          <w:szCs w:val="24"/>
          <w:lang w:val="en-US"/>
        </w:rPr>
        <w:t xml:space="preserve"> = 52).</w:t>
      </w:r>
    </w:p>
    <w:p w:rsidR="00116652" w:rsidRPr="00FB7D6B" w:rsidRDefault="00116652" w:rsidP="00FB7D6B">
      <w:pPr>
        <w:spacing w:after="0" w:line="360" w:lineRule="auto"/>
        <w:rPr>
          <w:rFonts w:ascii="Book Antiqua" w:hAnsi="Book Antiqua" w:cs="Arial"/>
          <w:b/>
          <w:sz w:val="24"/>
          <w:szCs w:val="24"/>
          <w:lang w:val="en-US" w:eastAsia="zh-CN"/>
        </w:rPr>
      </w:pPr>
      <w:r w:rsidRPr="00FB7D6B">
        <w:rPr>
          <w:rFonts w:ascii="Book Antiqua" w:hAnsi="Book Antiqua" w:cs="Arial"/>
          <w:b/>
          <w:sz w:val="24"/>
          <w:szCs w:val="24"/>
          <w:lang w:val="en-US" w:eastAsia="zh-CN"/>
        </w:rPr>
        <w:br w:type="page"/>
      </w:r>
    </w:p>
    <w:p w:rsidR="00F7435E" w:rsidRPr="00FB7D6B" w:rsidRDefault="00B762CB" w:rsidP="00FB7D6B">
      <w:pPr>
        <w:adjustRightInd w:val="0"/>
        <w:snapToGrid w:val="0"/>
        <w:spacing w:after="0" w:line="360" w:lineRule="auto"/>
        <w:jc w:val="both"/>
        <w:rPr>
          <w:rFonts w:ascii="Book Antiqua" w:hAnsi="Book Antiqua" w:cs="Arial"/>
          <w:sz w:val="24"/>
          <w:szCs w:val="24"/>
          <w:lang w:val="en-US" w:eastAsia="zh-CN"/>
        </w:rPr>
      </w:pPr>
      <w:r>
        <w:rPr>
          <w:rFonts w:ascii="Book Antiqua" w:hAnsi="Book Antiqua"/>
          <w:noProof/>
          <w:sz w:val="24"/>
          <w:szCs w:val="24"/>
          <w:lang w:val="en-US" w:eastAsia="zh-CN"/>
        </w:rPr>
        <w:lastRenderedPageBreak/>
        <mc:AlternateContent>
          <mc:Choice Requires="wps">
            <w:drawing>
              <wp:anchor distT="0" distB="0" distL="114300" distR="114300" simplePos="0" relativeHeight="251680768" behindDoc="0" locked="0" layoutInCell="1" allowOverlap="1" wp14:anchorId="091AFF39" wp14:editId="6BBDEEF8">
                <wp:simplePos x="0" y="0"/>
                <wp:positionH relativeFrom="column">
                  <wp:posOffset>1510030</wp:posOffset>
                </wp:positionH>
                <wp:positionV relativeFrom="paragraph">
                  <wp:posOffset>3138805</wp:posOffset>
                </wp:positionV>
                <wp:extent cx="857250" cy="314325"/>
                <wp:effectExtent l="0" t="0" r="19050" b="28575"/>
                <wp:wrapNone/>
                <wp:docPr id="21" name="文本框 21"/>
                <wp:cNvGraphicFramePr/>
                <a:graphic xmlns:a="http://schemas.openxmlformats.org/drawingml/2006/main">
                  <a:graphicData uri="http://schemas.microsoft.com/office/word/2010/wordprocessingShape">
                    <wps:wsp>
                      <wps:cNvSpPr txBox="1"/>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FF39" id="文本框 21" o:spid="_x0000_s1031" type="#_x0000_t202" style="position:absolute;left:0;text-align:left;margin-left:118.9pt;margin-top:247.15pt;width:67.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" fillcolor="white [3201]" strokeweight=".5pt">
                <v:textbo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1</w:t>
                      </w:r>
                    </w:p>
                  </w:txbxContent>
                </v:textbox>
              </v:shape>
            </w:pict>
          </mc:Fallback>
        </mc:AlternateContent>
      </w:r>
      <w:r>
        <w:rPr>
          <w:rFonts w:ascii="Book Antiqua" w:hAnsi="Book Antiqua"/>
          <w:noProof/>
          <w:sz w:val="24"/>
          <w:szCs w:val="24"/>
          <w:lang w:val="en-US" w:eastAsia="zh-CN"/>
        </w:rPr>
        <mc:AlternateContent>
          <mc:Choice Requires="wps">
            <w:drawing>
              <wp:anchor distT="0" distB="0" distL="114300" distR="114300" simplePos="0" relativeHeight="251674624" behindDoc="0" locked="0" layoutInCell="1" allowOverlap="1" wp14:anchorId="708581F3" wp14:editId="4CD729A8">
                <wp:simplePos x="0" y="0"/>
                <wp:positionH relativeFrom="column">
                  <wp:posOffset>1662430</wp:posOffset>
                </wp:positionH>
                <wp:positionV relativeFrom="paragraph">
                  <wp:posOffset>100330</wp:posOffset>
                </wp:positionV>
                <wp:extent cx="857250" cy="314325"/>
                <wp:effectExtent l="0" t="0" r="19050" b="28575"/>
                <wp:wrapNone/>
                <wp:docPr id="18" name="文本框 18"/>
                <wp:cNvGraphicFramePr/>
                <a:graphic xmlns:a="http://schemas.openxmlformats.org/drawingml/2006/main">
                  <a:graphicData uri="http://schemas.microsoft.com/office/word/2010/wordprocessingShape">
                    <wps:wsp>
                      <wps:cNvSpPr txBox="1"/>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2CB" w:rsidRDefault="00B762CB">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81F3" id="文本框 18" o:spid="_x0000_s1032" type="#_x0000_t202" style="position:absolute;left:0;text-align:left;margin-left:130.9pt;margin-top:7.9pt;width:67.5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" fillcolor="white [3201]" strokeweight=".5pt">
                <v:textbox>
                  <w:txbxContent>
                    <w:p w:rsidR="00B762CB" w:rsidRDefault="00B762CB">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0.05</w:t>
                      </w:r>
                    </w:p>
                  </w:txbxContent>
                </v:textbox>
              </v:shape>
            </w:pict>
          </mc:Fallback>
        </mc:AlternateContent>
      </w:r>
      <w:r w:rsidR="00116652" w:rsidRPr="00FB7D6B">
        <w:rPr>
          <w:rFonts w:ascii="Book Antiqua" w:hAnsi="Book Antiqua"/>
          <w:noProof/>
          <w:sz w:val="24"/>
          <w:szCs w:val="24"/>
          <w:lang w:val="en-US" w:eastAsia="zh-CN"/>
        </w:rPr>
        <mc:AlternateContent>
          <mc:Choice Requires="wps">
            <w:drawing>
              <wp:anchor distT="0" distB="0" distL="114300" distR="114300" simplePos="0" relativeHeight="251667456" behindDoc="0" locked="0" layoutInCell="1" allowOverlap="1" wp14:anchorId="7565FEE6" wp14:editId="64F0BAD5">
                <wp:simplePos x="0" y="0"/>
                <wp:positionH relativeFrom="column">
                  <wp:posOffset>-499745</wp:posOffset>
                </wp:positionH>
                <wp:positionV relativeFrom="paragraph">
                  <wp:posOffset>195580</wp:posOffset>
                </wp:positionV>
                <wp:extent cx="342900" cy="438150"/>
                <wp:effectExtent l="0" t="0" r="19050" b="1841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sidRPr="00427F68">
                              <w:rPr>
                                <w:rFonts w:ascii="Book Antiqua" w:hAnsi="Book Antiqua"/>
                                <w:b/>
                                <w:sz w:val="24"/>
                                <w:szCs w:val="24"/>
                                <w:lang w:eastAsia="zh-CN"/>
                              </w:rPr>
                              <w:t>A</w:t>
                            </w:r>
                          </w:p>
                        </w:txbxContent>
                      </wps:txbx>
                      <wps:bodyPr rot="0" vert="horz" wrap="square" lIns="91440" tIns="45720" rIns="91440" bIns="45720" anchor="t" anchorCtr="0">
                        <a:spAutoFit/>
                      </wps:bodyPr>
                    </wps:wsp>
                  </a:graphicData>
                </a:graphic>
              </wp:anchor>
            </w:drawing>
          </mc:Choice>
          <mc:Fallback>
            <w:pict>
              <v:shape w14:anchorId="7565FEE6" id="_x0000_s1033" type="#_x0000_t202" style="position:absolute;left:0;text-align:left;margin-left:-39.35pt;margin-top:15.4pt;width:27pt;height:3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" filled="f" strokecolor="white [3212]">
                <v:textbox style="mso-fit-shape-to-text:t">
                  <w:txbxContent>
                    <w:p w:rsidR="00116652" w:rsidRPr="00427F68" w:rsidRDefault="00116652" w:rsidP="00116652">
                      <w:pPr>
                        <w:rPr>
                          <w:rFonts w:ascii="Book Antiqua" w:hAnsi="Book Antiqua"/>
                          <w:b/>
                          <w:sz w:val="24"/>
                          <w:szCs w:val="24"/>
                        </w:rPr>
                      </w:pPr>
                      <w:r w:rsidRPr="00427F68">
                        <w:rPr>
                          <w:rFonts w:ascii="Book Antiqua" w:hAnsi="Book Antiqua"/>
                          <w:b/>
                          <w:sz w:val="24"/>
                          <w:szCs w:val="24"/>
                          <w:lang w:eastAsia="zh-CN"/>
                        </w:rPr>
                        <w:t>A</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023C7232" wp14:editId="63F5A275">
            <wp:extent cx="3486150" cy="32194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A.tif"/>
                    <pic:cNvPicPr/>
                  </pic:nvPicPr>
                  <pic:blipFill>
                    <a:blip r:embed="rId15">
                      <a:extLst>
                        <a:ext uri="{28A0092B-C50C-407E-A947-70E740481C1C}">
                          <a14:useLocalDpi xmlns:a14="http://schemas.microsoft.com/office/drawing/2010/main" val="0"/>
                        </a:ext>
                      </a:extLst>
                    </a:blip>
                    <a:stretch>
                      <a:fillRect/>
                    </a:stretch>
                  </pic:blipFill>
                  <pic:spPr>
                    <a:xfrm>
                      <a:off x="0" y="0"/>
                      <a:ext cx="3486150" cy="3219450"/>
                    </a:xfrm>
                    <a:prstGeom prst="rect">
                      <a:avLst/>
                    </a:prstGeom>
                  </pic:spPr>
                </pic:pic>
              </a:graphicData>
            </a:graphic>
          </wp:inline>
        </w:drawing>
      </w:r>
    </w:p>
    <w:p w:rsidR="000E3AB8" w:rsidRPr="00FB7D6B" w:rsidRDefault="00116652" w:rsidP="00FB7D6B">
      <w:pPr>
        <w:adjustRightInd w:val="0"/>
        <w:snapToGrid w:val="0"/>
        <w:spacing w:after="0" w:line="360" w:lineRule="auto"/>
        <w:jc w:val="both"/>
        <w:rPr>
          <w:rFonts w:ascii="Book Antiqua" w:hAnsi="Book Antiqua" w:cs="Arial"/>
          <w:sz w:val="24"/>
          <w:szCs w:val="24"/>
          <w:lang w:val="en-US"/>
        </w:rPr>
      </w:pPr>
      <w:r w:rsidRPr="00FB7D6B">
        <w:rPr>
          <w:rFonts w:ascii="Book Antiqua" w:hAnsi="Book Antiqua"/>
          <w:noProof/>
          <w:sz w:val="24"/>
          <w:szCs w:val="24"/>
          <w:lang w:val="en-US" w:eastAsia="zh-CN"/>
        </w:rPr>
        <mc:AlternateContent>
          <mc:Choice Requires="wps">
            <w:drawing>
              <wp:anchor distT="0" distB="0" distL="114300" distR="114300" simplePos="0" relativeHeight="251669504" behindDoc="0" locked="0" layoutInCell="1" allowOverlap="1" wp14:anchorId="3324AD38" wp14:editId="21160A72">
                <wp:simplePos x="0" y="0"/>
                <wp:positionH relativeFrom="column">
                  <wp:posOffset>-652145</wp:posOffset>
                </wp:positionH>
                <wp:positionV relativeFrom="paragraph">
                  <wp:posOffset>539115</wp:posOffset>
                </wp:positionV>
                <wp:extent cx="342900" cy="438150"/>
                <wp:effectExtent l="0" t="0" r="19050" b="1841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B</w:t>
                            </w:r>
                          </w:p>
                        </w:txbxContent>
                      </wps:txbx>
                      <wps:bodyPr rot="0" vert="horz" wrap="square" lIns="91440" tIns="45720" rIns="91440" bIns="45720" anchor="t" anchorCtr="0">
                        <a:spAutoFit/>
                      </wps:bodyPr>
                    </wps:wsp>
                  </a:graphicData>
                </a:graphic>
              </wp:anchor>
            </w:drawing>
          </mc:Choice>
          <mc:Fallback>
            <w:pict>
              <v:shape w14:anchorId="3324AD38" id="_x0000_s1034" type="#_x0000_t202" style="position:absolute;left:0;text-align:left;margin-left:-51.35pt;margin-top:42.45pt;width:27pt;height: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" filled="f" strokecolor="white [3212]">
                <v:textbox style="mso-fit-shape-to-text:t">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B</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659B8DBB" wp14:editId="1B99225E">
            <wp:extent cx="3371850" cy="3162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B.tif"/>
                    <pic:cNvPicPr/>
                  </pic:nvPicPr>
                  <pic:blipFill>
                    <a:blip r:embed="rId16">
                      <a:extLst>
                        <a:ext uri="{28A0092B-C50C-407E-A947-70E740481C1C}">
                          <a14:useLocalDpi xmlns:a14="http://schemas.microsoft.com/office/drawing/2010/main" val="0"/>
                        </a:ext>
                      </a:extLst>
                    </a:blip>
                    <a:stretch>
                      <a:fillRect/>
                    </a:stretch>
                  </pic:blipFill>
                  <pic:spPr>
                    <a:xfrm>
                      <a:off x="0" y="0"/>
                      <a:ext cx="3371850" cy="3162300"/>
                    </a:xfrm>
                    <a:prstGeom prst="rect">
                      <a:avLst/>
                    </a:prstGeom>
                  </pic:spPr>
                </pic:pic>
              </a:graphicData>
            </a:graphic>
          </wp:inline>
        </w:drawing>
      </w:r>
    </w:p>
    <w:p w:rsidR="000E3AB8" w:rsidRPr="00FB7D6B" w:rsidRDefault="00B762CB" w:rsidP="00FB7D6B">
      <w:pPr>
        <w:adjustRightInd w:val="0"/>
        <w:snapToGrid w:val="0"/>
        <w:spacing w:after="0" w:line="360" w:lineRule="auto"/>
        <w:jc w:val="both"/>
        <w:rPr>
          <w:rFonts w:ascii="Book Antiqua" w:hAnsi="Book Antiqua" w:cs="Arial"/>
          <w:sz w:val="24"/>
          <w:szCs w:val="24"/>
          <w:lang w:val="en-US" w:eastAsia="zh-CN"/>
        </w:rPr>
      </w:pPr>
      <w:r>
        <w:rPr>
          <w:rFonts w:ascii="Book Antiqua" w:hAnsi="Book Antiqua"/>
          <w:noProof/>
          <w:sz w:val="24"/>
          <w:szCs w:val="24"/>
          <w:lang w:val="en-US" w:eastAsia="zh-CN"/>
        </w:rPr>
        <w:lastRenderedPageBreak/>
        <mc:AlternateContent>
          <mc:Choice Requires="wps">
            <w:drawing>
              <wp:anchor distT="0" distB="0" distL="114300" distR="114300" simplePos="0" relativeHeight="251684864" behindDoc="0" locked="0" layoutInCell="1" allowOverlap="1" wp14:anchorId="45D991E6" wp14:editId="46BF09EF">
                <wp:simplePos x="0" y="0"/>
                <wp:positionH relativeFrom="column">
                  <wp:posOffset>1452880</wp:posOffset>
                </wp:positionH>
                <wp:positionV relativeFrom="paragraph">
                  <wp:posOffset>3157855</wp:posOffset>
                </wp:positionV>
                <wp:extent cx="857250" cy="314325"/>
                <wp:effectExtent l="0" t="0" r="19050" b="28575"/>
                <wp:wrapNone/>
                <wp:docPr id="23" name="文本框 23"/>
                <wp:cNvGraphicFramePr/>
                <a:graphic xmlns:a="http://schemas.openxmlformats.org/drawingml/2006/main">
                  <a:graphicData uri="http://schemas.microsoft.com/office/word/2010/wordprocessingShape">
                    <wps:wsp>
                      <wps:cNvSpPr txBox="1"/>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991E6" id="文本框 23" o:spid="_x0000_s1035" type="#_x0000_t202" style="position:absolute;left:0;text-align:left;margin-left:114.4pt;margin-top:248.65pt;width:67.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" fillcolor="white [3201]" strokeweight=".5pt">
                <v:textbo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5</w:t>
                      </w:r>
                    </w:p>
                  </w:txbxContent>
                </v:textbox>
              </v:shape>
            </w:pict>
          </mc:Fallback>
        </mc:AlternateContent>
      </w:r>
      <w:r>
        <w:rPr>
          <w:rFonts w:ascii="Book Antiqua" w:hAnsi="Book Antiqua"/>
          <w:noProof/>
          <w:sz w:val="24"/>
          <w:szCs w:val="24"/>
          <w:lang w:val="en-US" w:eastAsia="zh-CN"/>
        </w:rPr>
        <mc:AlternateContent>
          <mc:Choice Requires="wps">
            <w:drawing>
              <wp:anchor distT="0" distB="0" distL="114300" distR="114300" simplePos="0" relativeHeight="251682816" behindDoc="0" locked="0" layoutInCell="1" allowOverlap="1" wp14:anchorId="4932C2A6" wp14:editId="3B622BE7">
                <wp:simplePos x="0" y="0"/>
                <wp:positionH relativeFrom="column">
                  <wp:posOffset>1443355</wp:posOffset>
                </wp:positionH>
                <wp:positionV relativeFrom="paragraph">
                  <wp:posOffset>-4445</wp:posOffset>
                </wp:positionV>
                <wp:extent cx="857250" cy="314325"/>
                <wp:effectExtent l="0" t="0" r="19050" b="28575"/>
                <wp:wrapNone/>
                <wp:docPr id="20" name="文本框 20"/>
                <wp:cNvGraphicFramePr/>
                <a:graphic xmlns:a="http://schemas.openxmlformats.org/drawingml/2006/main">
                  <a:graphicData uri="http://schemas.microsoft.com/office/word/2010/wordprocessingShape">
                    <wps:wsp>
                      <wps:cNvSpPr txBox="1"/>
                      <wps:spPr>
                        <a:xfrm>
                          <a:off x="0" y="0"/>
                          <a:ext cx="857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01</w:t>
                            </w:r>
                            <w:r>
                              <w:rPr>
                                <w:rFonts w:ascii="Book Antiqua" w:hAnsi="Book Antiqua" w:cs="Arial" w:hint="eastAsia"/>
                                <w:noProof/>
                                <w:sz w:val="24"/>
                                <w:szCs w:val="24"/>
                                <w:lang w:val="en-US" w:eastAsia="zh-CN"/>
                              </w:rPr>
                              <w:drawing>
                                <wp:inline distT="0" distB="0" distL="0" distR="0" wp14:anchorId="29624176" wp14:editId="39760B2F">
                                  <wp:extent cx="668020" cy="2495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020" cy="249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2C2A6" id="文本框 20" o:spid="_x0000_s1036" type="#_x0000_t202" style="position:absolute;left:0;text-align:left;margin-left:113.65pt;margin-top:-.35pt;width:6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" fillcolor="white [3201]" strokeweight=".5pt">
                <v:textbox>
                  <w:txbxContent>
                    <w:p w:rsidR="00B762CB" w:rsidRDefault="00B762CB" w:rsidP="00B762CB">
                      <w:pPr>
                        <w:rPr>
                          <w:lang w:eastAsia="zh-CN"/>
                        </w:rPr>
                      </w:pP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w:t>
                      </w:r>
                      <w:r>
                        <w:rPr>
                          <w:rFonts w:ascii="Book Antiqua" w:hAnsi="Book Antiqua" w:cs="Arial" w:hint="eastAsia"/>
                          <w:sz w:val="24"/>
                          <w:szCs w:val="24"/>
                          <w:lang w:val="en-US" w:eastAsia="zh-CN"/>
                        </w:rPr>
                        <w:t>01</w:t>
                      </w:r>
                      <w:r>
                        <w:rPr>
                          <w:rFonts w:ascii="Book Antiqua" w:hAnsi="Book Antiqua" w:cs="Arial" w:hint="eastAsia"/>
                          <w:noProof/>
                          <w:sz w:val="24"/>
                          <w:szCs w:val="24"/>
                          <w:lang w:val="en-US" w:eastAsia="zh-CN"/>
                        </w:rPr>
                        <w:drawing>
                          <wp:inline distT="0" distB="0" distL="0" distR="0" wp14:anchorId="29624176" wp14:editId="39760B2F">
                            <wp:extent cx="668020" cy="2495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020" cy="249590"/>
                                    </a:xfrm>
                                    <a:prstGeom prst="rect">
                                      <a:avLst/>
                                    </a:prstGeom>
                                    <a:noFill/>
                                    <a:ln>
                                      <a:noFill/>
                                    </a:ln>
                                  </pic:spPr>
                                </pic:pic>
                              </a:graphicData>
                            </a:graphic>
                          </wp:inline>
                        </w:drawing>
                      </w:r>
                    </w:p>
                  </w:txbxContent>
                </v:textbox>
              </v:shape>
            </w:pict>
          </mc:Fallback>
        </mc:AlternateContent>
      </w:r>
      <w:r w:rsidR="00116652" w:rsidRPr="00FB7D6B">
        <w:rPr>
          <w:rFonts w:ascii="Book Antiqua" w:hAnsi="Book Antiqua"/>
          <w:noProof/>
          <w:sz w:val="24"/>
          <w:szCs w:val="24"/>
          <w:lang w:val="en-US" w:eastAsia="zh-CN"/>
        </w:rPr>
        <mc:AlternateContent>
          <mc:Choice Requires="wps">
            <w:drawing>
              <wp:anchor distT="0" distB="0" distL="114300" distR="114300" simplePos="0" relativeHeight="251671552" behindDoc="0" locked="0" layoutInCell="1" allowOverlap="1" wp14:anchorId="403B0F57" wp14:editId="34C84EF4">
                <wp:simplePos x="0" y="0"/>
                <wp:positionH relativeFrom="column">
                  <wp:posOffset>-556895</wp:posOffset>
                </wp:positionH>
                <wp:positionV relativeFrom="paragraph">
                  <wp:posOffset>233680</wp:posOffset>
                </wp:positionV>
                <wp:extent cx="342900" cy="438150"/>
                <wp:effectExtent l="0" t="0" r="19050" b="1841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C</w:t>
                            </w:r>
                          </w:p>
                        </w:txbxContent>
                      </wps:txbx>
                      <wps:bodyPr rot="0" vert="horz" wrap="square" lIns="91440" tIns="45720" rIns="91440" bIns="45720" anchor="t" anchorCtr="0">
                        <a:spAutoFit/>
                      </wps:bodyPr>
                    </wps:wsp>
                  </a:graphicData>
                </a:graphic>
              </wp:anchor>
            </w:drawing>
          </mc:Choice>
          <mc:Fallback>
            <w:pict>
              <v:shape w14:anchorId="403B0F57" id="_x0000_s1037" type="#_x0000_t202" style="position:absolute;left:0;text-align:left;margin-left:-43.85pt;margin-top:18.4pt;width:27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" filled="f" strokecolor="white [3212]">
                <v:textbox style="mso-fit-shape-to-text:t">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C</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0389B206" wp14:editId="547F3950">
            <wp:extent cx="3333750" cy="32194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C.tif"/>
                    <pic:cNvPicPr/>
                  </pic:nvPicPr>
                  <pic:blipFill>
                    <a:blip r:embed="rId18">
                      <a:extLst>
                        <a:ext uri="{28A0092B-C50C-407E-A947-70E740481C1C}">
                          <a14:useLocalDpi xmlns:a14="http://schemas.microsoft.com/office/drawing/2010/main" val="0"/>
                        </a:ext>
                      </a:extLst>
                    </a:blip>
                    <a:stretch>
                      <a:fillRect/>
                    </a:stretch>
                  </pic:blipFill>
                  <pic:spPr>
                    <a:xfrm>
                      <a:off x="0" y="0"/>
                      <a:ext cx="3333750" cy="3219450"/>
                    </a:xfrm>
                    <a:prstGeom prst="rect">
                      <a:avLst/>
                    </a:prstGeom>
                  </pic:spPr>
                </pic:pic>
              </a:graphicData>
            </a:graphic>
          </wp:inline>
        </w:drawing>
      </w:r>
    </w:p>
    <w:p w:rsidR="008A1CBF" w:rsidRPr="00FB7D6B" w:rsidRDefault="00116652"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noProof/>
          <w:sz w:val="24"/>
          <w:szCs w:val="24"/>
          <w:lang w:val="en-US" w:eastAsia="zh-CN"/>
        </w:rPr>
        <mc:AlternateContent>
          <mc:Choice Requires="wps">
            <w:drawing>
              <wp:anchor distT="0" distB="0" distL="114300" distR="114300" simplePos="0" relativeHeight="251673600" behindDoc="0" locked="0" layoutInCell="1" allowOverlap="1" wp14:anchorId="2FC6A78D" wp14:editId="73169EDE">
                <wp:simplePos x="0" y="0"/>
                <wp:positionH relativeFrom="column">
                  <wp:posOffset>-404495</wp:posOffset>
                </wp:positionH>
                <wp:positionV relativeFrom="paragraph">
                  <wp:posOffset>348615</wp:posOffset>
                </wp:positionV>
                <wp:extent cx="342900" cy="438150"/>
                <wp:effectExtent l="0" t="0" r="19050" b="1841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38150"/>
                        </a:xfrm>
                        <a:prstGeom prst="rect">
                          <a:avLst/>
                        </a:prstGeom>
                        <a:noFill/>
                        <a:ln w="9525">
                          <a:solidFill>
                            <a:schemeClr val="bg1"/>
                          </a:solidFill>
                          <a:miter lim="800000"/>
                          <a:headEnd/>
                          <a:tailEnd/>
                        </a:ln>
                      </wps:spPr>
                      <wps:txbx>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D</w:t>
                            </w:r>
                          </w:p>
                        </w:txbxContent>
                      </wps:txbx>
                      <wps:bodyPr rot="0" vert="horz" wrap="square" lIns="91440" tIns="45720" rIns="91440" bIns="45720" anchor="t" anchorCtr="0">
                        <a:spAutoFit/>
                      </wps:bodyPr>
                    </wps:wsp>
                  </a:graphicData>
                </a:graphic>
              </wp:anchor>
            </w:drawing>
          </mc:Choice>
          <mc:Fallback>
            <w:pict>
              <v:shape w14:anchorId="2FC6A78D" id="_x0000_s1038" type="#_x0000_t202" style="position:absolute;left:0;text-align:left;margin-left:-31.85pt;margin-top:27.45pt;width:27pt;height:3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" filled="f" strokecolor="white [3212]">
                <v:textbox style="mso-fit-shape-to-text:t">
                  <w:txbxContent>
                    <w:p w:rsidR="00116652" w:rsidRPr="00427F68" w:rsidRDefault="00116652" w:rsidP="00116652">
                      <w:pPr>
                        <w:rPr>
                          <w:rFonts w:ascii="Book Antiqua" w:hAnsi="Book Antiqua"/>
                          <w:b/>
                          <w:sz w:val="24"/>
                          <w:szCs w:val="24"/>
                        </w:rPr>
                      </w:pPr>
                      <w:r>
                        <w:rPr>
                          <w:rFonts w:ascii="Book Antiqua" w:hAnsi="Book Antiqua" w:hint="eastAsia"/>
                          <w:b/>
                          <w:sz w:val="24"/>
                          <w:szCs w:val="24"/>
                          <w:lang w:eastAsia="zh-CN"/>
                        </w:rPr>
                        <w:t>D</w:t>
                      </w:r>
                    </w:p>
                  </w:txbxContent>
                </v:textbox>
              </v:shape>
            </w:pict>
          </mc:Fallback>
        </mc:AlternateContent>
      </w:r>
      <w:r w:rsidR="000E3AB8" w:rsidRPr="00FB7D6B">
        <w:rPr>
          <w:rFonts w:ascii="Book Antiqua" w:hAnsi="Book Antiqua" w:cs="Arial"/>
          <w:noProof/>
          <w:sz w:val="24"/>
          <w:szCs w:val="24"/>
          <w:lang w:val="en-US" w:eastAsia="zh-CN"/>
        </w:rPr>
        <w:drawing>
          <wp:inline distT="0" distB="0" distL="0" distR="0" wp14:anchorId="3F28DBAF" wp14:editId="1D80AE54">
            <wp:extent cx="3333750" cy="32956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D.tif"/>
                    <pic:cNvPicPr/>
                  </pic:nvPicPr>
                  <pic:blipFill>
                    <a:blip r:embed="rId19">
                      <a:extLst>
                        <a:ext uri="{28A0092B-C50C-407E-A947-70E740481C1C}">
                          <a14:useLocalDpi xmlns:a14="http://schemas.microsoft.com/office/drawing/2010/main" val="0"/>
                        </a:ext>
                      </a:extLst>
                    </a:blip>
                    <a:stretch>
                      <a:fillRect/>
                    </a:stretch>
                  </pic:blipFill>
                  <pic:spPr>
                    <a:xfrm>
                      <a:off x="0" y="0"/>
                      <a:ext cx="3333750" cy="3295650"/>
                    </a:xfrm>
                    <a:prstGeom prst="rect">
                      <a:avLst/>
                    </a:prstGeom>
                  </pic:spPr>
                </pic:pic>
              </a:graphicData>
            </a:graphic>
          </wp:inline>
        </w:drawing>
      </w:r>
    </w:p>
    <w:p w:rsidR="00116652" w:rsidRPr="00FB7D6B" w:rsidRDefault="00116652" w:rsidP="00FB7D6B">
      <w:pPr>
        <w:adjustRightInd w:val="0"/>
        <w:snapToGrid w:val="0"/>
        <w:spacing w:after="0" w:line="360" w:lineRule="auto"/>
        <w:jc w:val="both"/>
        <w:rPr>
          <w:rFonts w:ascii="Book Antiqua" w:hAnsi="Book Antiqua" w:cs="Arial"/>
          <w:sz w:val="24"/>
          <w:szCs w:val="24"/>
          <w:lang w:val="en-US" w:eastAsia="zh-CN"/>
        </w:rPr>
      </w:pPr>
      <w:r w:rsidRPr="00FB7D6B">
        <w:rPr>
          <w:rFonts w:ascii="Book Antiqua" w:hAnsi="Book Antiqua" w:cs="Arial"/>
          <w:b/>
          <w:sz w:val="24"/>
          <w:szCs w:val="24"/>
          <w:lang w:val="en-US"/>
        </w:rPr>
        <w:t>Figure 4</w:t>
      </w:r>
      <w:r w:rsidRPr="00FB7D6B">
        <w:rPr>
          <w:rFonts w:ascii="Book Antiqua" w:hAnsi="Book Antiqua" w:cs="Arial"/>
          <w:b/>
          <w:sz w:val="24"/>
          <w:szCs w:val="24"/>
          <w:lang w:val="en-US" w:eastAsia="zh-CN"/>
        </w:rPr>
        <w:t xml:space="preserve"> Higher age, creatinine, and MELD-score were associated with lethal outcome. </w:t>
      </w:r>
      <w:r w:rsidRPr="00FB7D6B">
        <w:rPr>
          <w:rFonts w:ascii="Book Antiqua" w:hAnsi="Book Antiqua" w:cs="Arial"/>
          <w:sz w:val="24"/>
          <w:szCs w:val="24"/>
          <w:lang w:val="en-US"/>
        </w:rPr>
        <w:t>A: Median alanine-aminotransferase (ALT)-values of patients with recovery as compared to the non-recovery group</w:t>
      </w:r>
      <w:r w:rsidRPr="00FB7D6B">
        <w:rPr>
          <w:rFonts w:ascii="Book Antiqua" w:hAnsi="Book Antiqua" w:cs="Arial"/>
          <w:sz w:val="24"/>
          <w:szCs w:val="24"/>
          <w:lang w:val="en-US" w:eastAsia="zh-CN"/>
        </w:rPr>
        <w:t xml:space="preserve">, </w:t>
      </w: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0.05</w:t>
      </w:r>
      <w:r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B: Median serum creatinine levels of patients with recovery and non-recovery</w:t>
      </w:r>
      <w:r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w:t>
      </w: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0.01</w:t>
      </w:r>
      <w:r w:rsidRPr="00FB7D6B">
        <w:rPr>
          <w:rFonts w:ascii="Book Antiqua" w:hAnsi="Book Antiqua" w:cs="Arial"/>
          <w:sz w:val="24"/>
          <w:szCs w:val="24"/>
          <w:lang w:val="en-US" w:eastAsia="zh-CN"/>
        </w:rPr>
        <w:t xml:space="preserve">; </w:t>
      </w:r>
      <w:r w:rsidRPr="00FB7D6B">
        <w:rPr>
          <w:rFonts w:ascii="Book Antiqua" w:hAnsi="Book Antiqua" w:cs="Arial"/>
          <w:sz w:val="24"/>
          <w:szCs w:val="24"/>
          <w:lang w:val="en-US"/>
        </w:rPr>
        <w:t>C: Median labMELD-score of patients with recovery and non-recovery</w:t>
      </w:r>
      <w:r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w:t>
      </w: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0.001</w:t>
      </w:r>
      <w:r w:rsidRPr="00FB7D6B">
        <w:rPr>
          <w:rFonts w:ascii="Book Antiqua" w:hAnsi="Book Antiqua" w:cs="Arial"/>
          <w:sz w:val="24"/>
          <w:szCs w:val="24"/>
          <w:lang w:val="en-US" w:eastAsia="zh-CN"/>
        </w:rPr>
        <w:t xml:space="preserve">; </w:t>
      </w:r>
      <w:r w:rsidRPr="00FB7D6B">
        <w:rPr>
          <w:rFonts w:ascii="Book Antiqua" w:hAnsi="Book Antiqua" w:cs="Arial"/>
          <w:sz w:val="24"/>
          <w:szCs w:val="24"/>
          <w:lang w:val="en-US"/>
        </w:rPr>
        <w:t>D: Median age of patients with recovery and non-recovery</w:t>
      </w:r>
      <w:r w:rsidRPr="00FB7D6B">
        <w:rPr>
          <w:rFonts w:ascii="Book Antiqua" w:hAnsi="Book Antiqua" w:cs="Arial"/>
          <w:sz w:val="24"/>
          <w:szCs w:val="24"/>
          <w:lang w:val="en-US" w:eastAsia="zh-CN"/>
        </w:rPr>
        <w:t>,</w:t>
      </w:r>
      <w:r w:rsidRPr="00FB7D6B">
        <w:rPr>
          <w:rFonts w:ascii="Book Antiqua" w:hAnsi="Book Antiqua" w:cs="Arial"/>
          <w:sz w:val="24"/>
          <w:szCs w:val="24"/>
          <w:lang w:val="en-US"/>
        </w:rPr>
        <w:t xml:space="preserve"> </w:t>
      </w:r>
      <w:r w:rsidRPr="00FB7D6B">
        <w:rPr>
          <w:rFonts w:ascii="Book Antiqua" w:hAnsi="Book Antiqua" w:cs="Arial"/>
          <w:i/>
          <w:sz w:val="24"/>
          <w:szCs w:val="24"/>
          <w:lang w:val="en-US"/>
        </w:rPr>
        <w:t>P</w:t>
      </w:r>
      <w:r w:rsidRPr="00FB7D6B">
        <w:rPr>
          <w:rFonts w:ascii="Book Antiqua" w:hAnsi="Book Antiqua" w:cs="Arial"/>
          <w:sz w:val="24"/>
          <w:szCs w:val="24"/>
          <w:lang w:val="en-US"/>
        </w:rPr>
        <w:t xml:space="preserve"> &lt; 0.05.</w:t>
      </w:r>
    </w:p>
    <w:sectPr w:rsidR="00116652" w:rsidRPr="00FB7D6B" w:rsidSect="00C169F1">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719" w:rsidRDefault="00127719" w:rsidP="006F2F57">
      <w:pPr>
        <w:spacing w:after="0" w:line="240" w:lineRule="auto"/>
      </w:pPr>
      <w:r>
        <w:separator/>
      </w:r>
    </w:p>
  </w:endnote>
  <w:endnote w:type="continuationSeparator" w:id="0">
    <w:p w:rsidR="00127719" w:rsidRDefault="00127719" w:rsidP="006F2F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SimSun"/>
    <w:panose1 w:val="00000000000000000000"/>
    <w:charset w:val="86"/>
    <w:family w:val="roman"/>
    <w:notTrueType/>
    <w:pitch w:val="default"/>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ngXian Light">
    <w:altName w:val="宋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Xihei">
    <w:altName w:val="华文细黑"/>
    <w:charset w:val="86"/>
    <w:family w:val="auto"/>
    <w:pitch w:val="variable"/>
    <w:sig w:usb0="00000287" w:usb1="080F0000" w:usb2="00000010" w:usb3="00000000" w:csb0="0004009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52" w:rsidRPr="00CF3872" w:rsidRDefault="00116652">
    <w:pPr>
      <w:pStyle w:val="Footer"/>
      <w:jc w:val="center"/>
      <w:rPr>
        <w:rFonts w:ascii="Arial" w:hAnsi="Arial" w:cs="Arial"/>
        <w:sz w:val="20"/>
        <w:szCs w:val="20"/>
      </w:rPr>
    </w:pPr>
    <w:r w:rsidRPr="00CF3872">
      <w:rPr>
        <w:rFonts w:ascii="Arial" w:hAnsi="Arial" w:cs="Arial"/>
        <w:sz w:val="20"/>
        <w:szCs w:val="20"/>
      </w:rPr>
      <w:t>[</w:t>
    </w:r>
    <w:r w:rsidRPr="00CF3872">
      <w:rPr>
        <w:rFonts w:ascii="Arial" w:hAnsi="Arial" w:cs="Arial"/>
        <w:sz w:val="20"/>
        <w:szCs w:val="20"/>
      </w:rPr>
      <w:fldChar w:fldCharType="begin"/>
    </w:r>
    <w:r w:rsidRPr="00CF3872">
      <w:rPr>
        <w:rFonts w:ascii="Arial" w:hAnsi="Arial" w:cs="Arial"/>
        <w:sz w:val="20"/>
        <w:szCs w:val="20"/>
      </w:rPr>
      <w:instrText>PAGE   \* MERGEFORMAT</w:instrText>
    </w:r>
    <w:r w:rsidRPr="00CF3872">
      <w:rPr>
        <w:rFonts w:ascii="Arial" w:hAnsi="Arial" w:cs="Arial"/>
        <w:sz w:val="20"/>
        <w:szCs w:val="20"/>
      </w:rPr>
      <w:fldChar w:fldCharType="separate"/>
    </w:r>
    <w:r w:rsidR="00AF3C28">
      <w:rPr>
        <w:rFonts w:ascii="Arial" w:hAnsi="Arial" w:cs="Arial"/>
        <w:noProof/>
        <w:sz w:val="20"/>
        <w:szCs w:val="20"/>
      </w:rPr>
      <w:t>1</w:t>
    </w:r>
    <w:r w:rsidRPr="00CF3872">
      <w:rPr>
        <w:rFonts w:ascii="Arial" w:hAnsi="Arial" w:cs="Arial"/>
        <w:noProof/>
        <w:sz w:val="20"/>
        <w:szCs w:val="20"/>
      </w:rPr>
      <w:fldChar w:fldCharType="end"/>
    </w:r>
    <w:r w:rsidRPr="00CF3872">
      <w:rPr>
        <w:rFonts w:ascii="Arial" w:hAnsi="Arial" w:cs="Arial"/>
        <w:sz w:val="20"/>
        <w:szCs w:val="20"/>
      </w:rPr>
      <w:t>]</w:t>
    </w:r>
  </w:p>
  <w:p w:rsidR="00116652" w:rsidRDefault="001166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719" w:rsidRDefault="00127719" w:rsidP="006F2F57">
      <w:pPr>
        <w:spacing w:after="0" w:line="240" w:lineRule="auto"/>
      </w:pPr>
      <w:r>
        <w:separator/>
      </w:r>
    </w:p>
  </w:footnote>
  <w:footnote w:type="continuationSeparator" w:id="0">
    <w:p w:rsidR="00127719" w:rsidRDefault="00127719" w:rsidP="006F2F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6652" w:rsidRPr="00CF3872" w:rsidRDefault="00116652" w:rsidP="006F2F57">
    <w:pPr>
      <w:pStyle w:val="Header"/>
      <w:jc w:val="right"/>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C5000"/>
    <w:multiLevelType w:val="hybridMultilevel"/>
    <w:tmpl w:val="AE5EE17A"/>
    <w:lvl w:ilvl="0" w:tplc="C4C6980C">
      <w:start w:val="2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926503"/>
    <w:multiLevelType w:val="hybridMultilevel"/>
    <w:tmpl w:val="0DA274F6"/>
    <w:lvl w:ilvl="0" w:tplc="C21AFCC8">
      <w:start w:val="1"/>
      <w:numFmt w:val="decimal"/>
      <w:lvlText w:val="[%1]"/>
      <w:lvlJc w:val="left"/>
      <w:pPr>
        <w:ind w:left="851" w:hanging="851"/>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6C6C4858"/>
    <w:multiLevelType w:val="hybridMultilevel"/>
    <w:tmpl w:val="8A90333C"/>
    <w:lvl w:ilvl="0" w:tplc="9A8097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D254364"/>
    <w:multiLevelType w:val="hybridMultilevel"/>
    <w:tmpl w:val="53147D28"/>
    <w:lvl w:ilvl="0" w:tplc="FA02A80C">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1"/>
  <w:activeWritingStyle w:appName="MSWord" w:lang="de-DE" w:vendorID="64" w:dllVersion="0" w:nlCheck="1" w:checkStyle="0"/>
  <w:activeWritingStyle w:appName="MSWord" w:lang="it-IT" w:vendorID="64" w:dllVersion="0" w:nlCheck="1" w:checkStyle="0"/>
  <w:activeWritingStyle w:appName="MSWord" w:lang="en-US" w:vendorID="64" w:dllVersion="6" w:nlCheck="1" w:checkStyle="1"/>
  <w:activeWritingStyle w:appName="MSWord" w:lang="de-DE" w:vendorID="64" w:dllVersion="6" w:nlCheck="1" w:checkStyle="1"/>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zh-CN" w:vendorID="64" w:dllVersion="131077" w:nlCheck="1" w:checkStyle="1"/>
  <w:activeWritingStyle w:appName="MSWord" w:lang="fr-F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EyMzIxNbc0NzUzMzdU0lEKTi0uzszPAykwqQUA7I2u/ywAAAA="/>
  </w:docVars>
  <w:rsids>
    <w:rsidRoot w:val="005A7696"/>
    <w:rsid w:val="000012DB"/>
    <w:rsid w:val="00001D10"/>
    <w:rsid w:val="000024DC"/>
    <w:rsid w:val="00003A23"/>
    <w:rsid w:val="0000456E"/>
    <w:rsid w:val="0001005C"/>
    <w:rsid w:val="000112FB"/>
    <w:rsid w:val="000114F3"/>
    <w:rsid w:val="00011A61"/>
    <w:rsid w:val="00016344"/>
    <w:rsid w:val="0001712F"/>
    <w:rsid w:val="00017F2C"/>
    <w:rsid w:val="000216F6"/>
    <w:rsid w:val="00021DD0"/>
    <w:rsid w:val="0002263D"/>
    <w:rsid w:val="0002742E"/>
    <w:rsid w:val="00031513"/>
    <w:rsid w:val="00033303"/>
    <w:rsid w:val="0003343D"/>
    <w:rsid w:val="0003473B"/>
    <w:rsid w:val="0003525A"/>
    <w:rsid w:val="0003672B"/>
    <w:rsid w:val="000369D8"/>
    <w:rsid w:val="0003744E"/>
    <w:rsid w:val="000402F2"/>
    <w:rsid w:val="0004070F"/>
    <w:rsid w:val="00043625"/>
    <w:rsid w:val="00043898"/>
    <w:rsid w:val="000444FD"/>
    <w:rsid w:val="000463FA"/>
    <w:rsid w:val="00047D90"/>
    <w:rsid w:val="00050374"/>
    <w:rsid w:val="00052116"/>
    <w:rsid w:val="00052552"/>
    <w:rsid w:val="000533C4"/>
    <w:rsid w:val="000533D5"/>
    <w:rsid w:val="00053894"/>
    <w:rsid w:val="00060752"/>
    <w:rsid w:val="00061171"/>
    <w:rsid w:val="0006182F"/>
    <w:rsid w:val="000625A0"/>
    <w:rsid w:val="00064874"/>
    <w:rsid w:val="000655A8"/>
    <w:rsid w:val="0006706B"/>
    <w:rsid w:val="00070683"/>
    <w:rsid w:val="000724DB"/>
    <w:rsid w:val="000727B3"/>
    <w:rsid w:val="00073CE7"/>
    <w:rsid w:val="00073DE9"/>
    <w:rsid w:val="0007438C"/>
    <w:rsid w:val="000748A9"/>
    <w:rsid w:val="00074DD6"/>
    <w:rsid w:val="000759C7"/>
    <w:rsid w:val="0007752E"/>
    <w:rsid w:val="00077E71"/>
    <w:rsid w:val="00081617"/>
    <w:rsid w:val="00081AEC"/>
    <w:rsid w:val="00082E37"/>
    <w:rsid w:val="00083CCA"/>
    <w:rsid w:val="00084190"/>
    <w:rsid w:val="00085852"/>
    <w:rsid w:val="00087CFD"/>
    <w:rsid w:val="0009071E"/>
    <w:rsid w:val="000928DB"/>
    <w:rsid w:val="000961E6"/>
    <w:rsid w:val="000A0A79"/>
    <w:rsid w:val="000A1245"/>
    <w:rsid w:val="000A4E23"/>
    <w:rsid w:val="000A5119"/>
    <w:rsid w:val="000A6B0D"/>
    <w:rsid w:val="000A74D5"/>
    <w:rsid w:val="000B3025"/>
    <w:rsid w:val="000B3E76"/>
    <w:rsid w:val="000B497E"/>
    <w:rsid w:val="000B621E"/>
    <w:rsid w:val="000B792E"/>
    <w:rsid w:val="000C0FB1"/>
    <w:rsid w:val="000C253C"/>
    <w:rsid w:val="000C42FA"/>
    <w:rsid w:val="000C4533"/>
    <w:rsid w:val="000C4615"/>
    <w:rsid w:val="000C7130"/>
    <w:rsid w:val="000C7181"/>
    <w:rsid w:val="000D1CDE"/>
    <w:rsid w:val="000D367D"/>
    <w:rsid w:val="000D6DB7"/>
    <w:rsid w:val="000E10C7"/>
    <w:rsid w:val="000E1FE7"/>
    <w:rsid w:val="000E3AB8"/>
    <w:rsid w:val="000E4A91"/>
    <w:rsid w:val="000E6766"/>
    <w:rsid w:val="000F134D"/>
    <w:rsid w:val="000F19E4"/>
    <w:rsid w:val="000F2B33"/>
    <w:rsid w:val="000F2C15"/>
    <w:rsid w:val="000F3B1B"/>
    <w:rsid w:val="000F522C"/>
    <w:rsid w:val="000F63DF"/>
    <w:rsid w:val="00100154"/>
    <w:rsid w:val="00100DF1"/>
    <w:rsid w:val="00101F06"/>
    <w:rsid w:val="00102A5A"/>
    <w:rsid w:val="001048B1"/>
    <w:rsid w:val="00104C8B"/>
    <w:rsid w:val="00105309"/>
    <w:rsid w:val="001071AA"/>
    <w:rsid w:val="00107355"/>
    <w:rsid w:val="001107BE"/>
    <w:rsid w:val="00110952"/>
    <w:rsid w:val="00111280"/>
    <w:rsid w:val="00112788"/>
    <w:rsid w:val="001135C6"/>
    <w:rsid w:val="00113780"/>
    <w:rsid w:val="001138A4"/>
    <w:rsid w:val="001142B3"/>
    <w:rsid w:val="00116652"/>
    <w:rsid w:val="001169B3"/>
    <w:rsid w:val="00116F9C"/>
    <w:rsid w:val="0012161D"/>
    <w:rsid w:val="001222F8"/>
    <w:rsid w:val="00122DB7"/>
    <w:rsid w:val="00124985"/>
    <w:rsid w:val="00125E54"/>
    <w:rsid w:val="00127719"/>
    <w:rsid w:val="00130894"/>
    <w:rsid w:val="00130D42"/>
    <w:rsid w:val="0013191F"/>
    <w:rsid w:val="00133034"/>
    <w:rsid w:val="00134DA3"/>
    <w:rsid w:val="001374D5"/>
    <w:rsid w:val="0014140A"/>
    <w:rsid w:val="00144858"/>
    <w:rsid w:val="0014716A"/>
    <w:rsid w:val="00151D83"/>
    <w:rsid w:val="00152F57"/>
    <w:rsid w:val="00152FD7"/>
    <w:rsid w:val="0015644F"/>
    <w:rsid w:val="00156A6D"/>
    <w:rsid w:val="00156EDC"/>
    <w:rsid w:val="00157D17"/>
    <w:rsid w:val="001628F9"/>
    <w:rsid w:val="00163655"/>
    <w:rsid w:val="001720DC"/>
    <w:rsid w:val="0017678A"/>
    <w:rsid w:val="0018074C"/>
    <w:rsid w:val="001817B0"/>
    <w:rsid w:val="00184103"/>
    <w:rsid w:val="0018488F"/>
    <w:rsid w:val="001869DB"/>
    <w:rsid w:val="00187C2A"/>
    <w:rsid w:val="00190BC4"/>
    <w:rsid w:val="00192091"/>
    <w:rsid w:val="0019498F"/>
    <w:rsid w:val="00195076"/>
    <w:rsid w:val="00195B12"/>
    <w:rsid w:val="001A11FF"/>
    <w:rsid w:val="001A37A6"/>
    <w:rsid w:val="001A4238"/>
    <w:rsid w:val="001A4AEE"/>
    <w:rsid w:val="001B324B"/>
    <w:rsid w:val="001B73F9"/>
    <w:rsid w:val="001C0963"/>
    <w:rsid w:val="001C0AB1"/>
    <w:rsid w:val="001C1431"/>
    <w:rsid w:val="001C2417"/>
    <w:rsid w:val="001C2885"/>
    <w:rsid w:val="001C48D7"/>
    <w:rsid w:val="001D047B"/>
    <w:rsid w:val="001D6B84"/>
    <w:rsid w:val="001D6E4A"/>
    <w:rsid w:val="001D700A"/>
    <w:rsid w:val="001E2527"/>
    <w:rsid w:val="001E370B"/>
    <w:rsid w:val="001E5869"/>
    <w:rsid w:val="001E7535"/>
    <w:rsid w:val="001E7537"/>
    <w:rsid w:val="001F08DC"/>
    <w:rsid w:val="001F303A"/>
    <w:rsid w:val="001F337E"/>
    <w:rsid w:val="001F430B"/>
    <w:rsid w:val="001F6882"/>
    <w:rsid w:val="001F78D1"/>
    <w:rsid w:val="002007C4"/>
    <w:rsid w:val="002007D8"/>
    <w:rsid w:val="00200AD0"/>
    <w:rsid w:val="00202681"/>
    <w:rsid w:val="00204489"/>
    <w:rsid w:val="00204B80"/>
    <w:rsid w:val="00206205"/>
    <w:rsid w:val="002067F2"/>
    <w:rsid w:val="00210AF1"/>
    <w:rsid w:val="00211CA1"/>
    <w:rsid w:val="00214433"/>
    <w:rsid w:val="00214DB2"/>
    <w:rsid w:val="00216796"/>
    <w:rsid w:val="0022053B"/>
    <w:rsid w:val="00222EE7"/>
    <w:rsid w:val="002262F0"/>
    <w:rsid w:val="0023151D"/>
    <w:rsid w:val="00231BC3"/>
    <w:rsid w:val="0023482C"/>
    <w:rsid w:val="00234AF9"/>
    <w:rsid w:val="00234B99"/>
    <w:rsid w:val="00234D08"/>
    <w:rsid w:val="002353B2"/>
    <w:rsid w:val="00240DC0"/>
    <w:rsid w:val="00243210"/>
    <w:rsid w:val="00246E0F"/>
    <w:rsid w:val="00247AD0"/>
    <w:rsid w:val="00250A83"/>
    <w:rsid w:val="002512CC"/>
    <w:rsid w:val="002533E9"/>
    <w:rsid w:val="002546F6"/>
    <w:rsid w:val="00256651"/>
    <w:rsid w:val="00266442"/>
    <w:rsid w:val="00270D5A"/>
    <w:rsid w:val="0027128B"/>
    <w:rsid w:val="00271618"/>
    <w:rsid w:val="00273BD7"/>
    <w:rsid w:val="00275EBF"/>
    <w:rsid w:val="00280BB2"/>
    <w:rsid w:val="0028108E"/>
    <w:rsid w:val="002820E1"/>
    <w:rsid w:val="00284E3F"/>
    <w:rsid w:val="00285F51"/>
    <w:rsid w:val="00286FBE"/>
    <w:rsid w:val="00292E35"/>
    <w:rsid w:val="00293504"/>
    <w:rsid w:val="002954D8"/>
    <w:rsid w:val="002A0723"/>
    <w:rsid w:val="002A1CB0"/>
    <w:rsid w:val="002A2207"/>
    <w:rsid w:val="002A2EAA"/>
    <w:rsid w:val="002A2F1D"/>
    <w:rsid w:val="002A31BA"/>
    <w:rsid w:val="002A6F91"/>
    <w:rsid w:val="002A73A7"/>
    <w:rsid w:val="002A77F3"/>
    <w:rsid w:val="002B004B"/>
    <w:rsid w:val="002B0A55"/>
    <w:rsid w:val="002B2856"/>
    <w:rsid w:val="002B44AA"/>
    <w:rsid w:val="002B53E0"/>
    <w:rsid w:val="002B775C"/>
    <w:rsid w:val="002C0706"/>
    <w:rsid w:val="002C0EF6"/>
    <w:rsid w:val="002C338F"/>
    <w:rsid w:val="002C3C67"/>
    <w:rsid w:val="002C615C"/>
    <w:rsid w:val="002C6536"/>
    <w:rsid w:val="002C6D01"/>
    <w:rsid w:val="002C72D4"/>
    <w:rsid w:val="002C7A49"/>
    <w:rsid w:val="002D1181"/>
    <w:rsid w:val="002D1BCD"/>
    <w:rsid w:val="002D3FB3"/>
    <w:rsid w:val="002D52D0"/>
    <w:rsid w:val="002D6AA9"/>
    <w:rsid w:val="002D7AE4"/>
    <w:rsid w:val="002E008C"/>
    <w:rsid w:val="002E17A1"/>
    <w:rsid w:val="002E53D0"/>
    <w:rsid w:val="002E5524"/>
    <w:rsid w:val="002E647A"/>
    <w:rsid w:val="002E72EF"/>
    <w:rsid w:val="002F010D"/>
    <w:rsid w:val="002F0DBF"/>
    <w:rsid w:val="002F166A"/>
    <w:rsid w:val="002F182E"/>
    <w:rsid w:val="002F4DFB"/>
    <w:rsid w:val="002F560D"/>
    <w:rsid w:val="00301C28"/>
    <w:rsid w:val="0030315C"/>
    <w:rsid w:val="0030329C"/>
    <w:rsid w:val="00303B2D"/>
    <w:rsid w:val="003048D8"/>
    <w:rsid w:val="00305A9B"/>
    <w:rsid w:val="0031027C"/>
    <w:rsid w:val="003142B7"/>
    <w:rsid w:val="00315E4E"/>
    <w:rsid w:val="00321247"/>
    <w:rsid w:val="003234B2"/>
    <w:rsid w:val="003235BA"/>
    <w:rsid w:val="00326485"/>
    <w:rsid w:val="0032746B"/>
    <w:rsid w:val="00333DF7"/>
    <w:rsid w:val="003347F4"/>
    <w:rsid w:val="00335199"/>
    <w:rsid w:val="00335EEE"/>
    <w:rsid w:val="003368BF"/>
    <w:rsid w:val="00340A7E"/>
    <w:rsid w:val="00340F91"/>
    <w:rsid w:val="003417E8"/>
    <w:rsid w:val="0034421C"/>
    <w:rsid w:val="003458E3"/>
    <w:rsid w:val="00346A3B"/>
    <w:rsid w:val="00353C5E"/>
    <w:rsid w:val="00357B72"/>
    <w:rsid w:val="0036224D"/>
    <w:rsid w:val="00364E3B"/>
    <w:rsid w:val="00367778"/>
    <w:rsid w:val="003720B9"/>
    <w:rsid w:val="00373F87"/>
    <w:rsid w:val="00375B88"/>
    <w:rsid w:val="0037649E"/>
    <w:rsid w:val="00381317"/>
    <w:rsid w:val="00381658"/>
    <w:rsid w:val="00381B76"/>
    <w:rsid w:val="003840A8"/>
    <w:rsid w:val="00385130"/>
    <w:rsid w:val="00386F98"/>
    <w:rsid w:val="00387343"/>
    <w:rsid w:val="00393462"/>
    <w:rsid w:val="0039388D"/>
    <w:rsid w:val="003949FC"/>
    <w:rsid w:val="003976B6"/>
    <w:rsid w:val="003A01A6"/>
    <w:rsid w:val="003A04DC"/>
    <w:rsid w:val="003A12B5"/>
    <w:rsid w:val="003A203F"/>
    <w:rsid w:val="003A3CD9"/>
    <w:rsid w:val="003A5A86"/>
    <w:rsid w:val="003A64BD"/>
    <w:rsid w:val="003A6EBB"/>
    <w:rsid w:val="003A6FBB"/>
    <w:rsid w:val="003A7B18"/>
    <w:rsid w:val="003B048C"/>
    <w:rsid w:val="003B2A59"/>
    <w:rsid w:val="003B5935"/>
    <w:rsid w:val="003B5B71"/>
    <w:rsid w:val="003C159F"/>
    <w:rsid w:val="003C3A32"/>
    <w:rsid w:val="003C617C"/>
    <w:rsid w:val="003D330D"/>
    <w:rsid w:val="003D51F7"/>
    <w:rsid w:val="003D52E3"/>
    <w:rsid w:val="003D5EC8"/>
    <w:rsid w:val="003D66B6"/>
    <w:rsid w:val="003E0D42"/>
    <w:rsid w:val="003E1671"/>
    <w:rsid w:val="003E1C1C"/>
    <w:rsid w:val="003E2A00"/>
    <w:rsid w:val="003E2D04"/>
    <w:rsid w:val="003E46DB"/>
    <w:rsid w:val="003E60A3"/>
    <w:rsid w:val="003E63BA"/>
    <w:rsid w:val="003E6A1A"/>
    <w:rsid w:val="003E6B69"/>
    <w:rsid w:val="003F0133"/>
    <w:rsid w:val="003F01C2"/>
    <w:rsid w:val="003F46BE"/>
    <w:rsid w:val="003F49D8"/>
    <w:rsid w:val="003F57CC"/>
    <w:rsid w:val="003F7051"/>
    <w:rsid w:val="003F71E7"/>
    <w:rsid w:val="004027E8"/>
    <w:rsid w:val="00407CA7"/>
    <w:rsid w:val="00412B52"/>
    <w:rsid w:val="00417A89"/>
    <w:rsid w:val="004263EA"/>
    <w:rsid w:val="00427F68"/>
    <w:rsid w:val="00430E10"/>
    <w:rsid w:val="00431C09"/>
    <w:rsid w:val="004324B8"/>
    <w:rsid w:val="00435D88"/>
    <w:rsid w:val="00437644"/>
    <w:rsid w:val="00444695"/>
    <w:rsid w:val="00444994"/>
    <w:rsid w:val="00444ACC"/>
    <w:rsid w:val="00446421"/>
    <w:rsid w:val="00446F01"/>
    <w:rsid w:val="004474D4"/>
    <w:rsid w:val="0044751A"/>
    <w:rsid w:val="00450A7E"/>
    <w:rsid w:val="00454143"/>
    <w:rsid w:val="0045616C"/>
    <w:rsid w:val="00456634"/>
    <w:rsid w:val="00456B91"/>
    <w:rsid w:val="00457CD7"/>
    <w:rsid w:val="004603A1"/>
    <w:rsid w:val="0046055B"/>
    <w:rsid w:val="00460F2C"/>
    <w:rsid w:val="004610CE"/>
    <w:rsid w:val="004632F8"/>
    <w:rsid w:val="0046343C"/>
    <w:rsid w:val="00466231"/>
    <w:rsid w:val="004674B5"/>
    <w:rsid w:val="0047236D"/>
    <w:rsid w:val="00472A70"/>
    <w:rsid w:val="00473BD7"/>
    <w:rsid w:val="00473C94"/>
    <w:rsid w:val="00473DFB"/>
    <w:rsid w:val="00475E34"/>
    <w:rsid w:val="004764C5"/>
    <w:rsid w:val="00476EA6"/>
    <w:rsid w:val="00477479"/>
    <w:rsid w:val="0047790F"/>
    <w:rsid w:val="00484568"/>
    <w:rsid w:val="0048589A"/>
    <w:rsid w:val="00487558"/>
    <w:rsid w:val="00487F16"/>
    <w:rsid w:val="004909FE"/>
    <w:rsid w:val="00493055"/>
    <w:rsid w:val="00493639"/>
    <w:rsid w:val="004937E3"/>
    <w:rsid w:val="00494662"/>
    <w:rsid w:val="004971B2"/>
    <w:rsid w:val="004A387C"/>
    <w:rsid w:val="004A789D"/>
    <w:rsid w:val="004B1E28"/>
    <w:rsid w:val="004B31F2"/>
    <w:rsid w:val="004B75F8"/>
    <w:rsid w:val="004C3EB2"/>
    <w:rsid w:val="004C43BA"/>
    <w:rsid w:val="004C513B"/>
    <w:rsid w:val="004D3429"/>
    <w:rsid w:val="004D4CA0"/>
    <w:rsid w:val="004D6224"/>
    <w:rsid w:val="004D6BD3"/>
    <w:rsid w:val="004D6E79"/>
    <w:rsid w:val="004E0890"/>
    <w:rsid w:val="004E2946"/>
    <w:rsid w:val="004E4CB2"/>
    <w:rsid w:val="004E5BB7"/>
    <w:rsid w:val="004E61F8"/>
    <w:rsid w:val="004E7E90"/>
    <w:rsid w:val="004F0168"/>
    <w:rsid w:val="004F0555"/>
    <w:rsid w:val="004F2130"/>
    <w:rsid w:val="004F2C03"/>
    <w:rsid w:val="005009EF"/>
    <w:rsid w:val="00503462"/>
    <w:rsid w:val="005047F2"/>
    <w:rsid w:val="00505E55"/>
    <w:rsid w:val="00506864"/>
    <w:rsid w:val="00507909"/>
    <w:rsid w:val="00510CF7"/>
    <w:rsid w:val="005114E7"/>
    <w:rsid w:val="00513DF0"/>
    <w:rsid w:val="00514190"/>
    <w:rsid w:val="00514A1D"/>
    <w:rsid w:val="005173A1"/>
    <w:rsid w:val="00520C77"/>
    <w:rsid w:val="00523060"/>
    <w:rsid w:val="00525CEC"/>
    <w:rsid w:val="00526BF9"/>
    <w:rsid w:val="00527D01"/>
    <w:rsid w:val="00527D35"/>
    <w:rsid w:val="00530975"/>
    <w:rsid w:val="0053223F"/>
    <w:rsid w:val="00535F4C"/>
    <w:rsid w:val="00537CD2"/>
    <w:rsid w:val="0054085F"/>
    <w:rsid w:val="00541189"/>
    <w:rsid w:val="005434B2"/>
    <w:rsid w:val="00544512"/>
    <w:rsid w:val="00551C34"/>
    <w:rsid w:val="00553D1B"/>
    <w:rsid w:val="00553FB2"/>
    <w:rsid w:val="00554371"/>
    <w:rsid w:val="005561ED"/>
    <w:rsid w:val="00561422"/>
    <w:rsid w:val="00567C9C"/>
    <w:rsid w:val="00574984"/>
    <w:rsid w:val="00576461"/>
    <w:rsid w:val="00576A58"/>
    <w:rsid w:val="005776AF"/>
    <w:rsid w:val="00581487"/>
    <w:rsid w:val="005815DC"/>
    <w:rsid w:val="005820AF"/>
    <w:rsid w:val="00582B34"/>
    <w:rsid w:val="005833B9"/>
    <w:rsid w:val="00583903"/>
    <w:rsid w:val="00586BB9"/>
    <w:rsid w:val="00586FC3"/>
    <w:rsid w:val="005878F2"/>
    <w:rsid w:val="00587A9B"/>
    <w:rsid w:val="005900F7"/>
    <w:rsid w:val="005908DC"/>
    <w:rsid w:val="005934FD"/>
    <w:rsid w:val="005939DC"/>
    <w:rsid w:val="005A36B3"/>
    <w:rsid w:val="005A65BB"/>
    <w:rsid w:val="005A7696"/>
    <w:rsid w:val="005B3F5A"/>
    <w:rsid w:val="005B43CD"/>
    <w:rsid w:val="005B5C31"/>
    <w:rsid w:val="005B6E42"/>
    <w:rsid w:val="005C2A1D"/>
    <w:rsid w:val="005C3467"/>
    <w:rsid w:val="005C3528"/>
    <w:rsid w:val="005C6389"/>
    <w:rsid w:val="005C688B"/>
    <w:rsid w:val="005C6A07"/>
    <w:rsid w:val="005D005F"/>
    <w:rsid w:val="005D3BB0"/>
    <w:rsid w:val="005D3E3E"/>
    <w:rsid w:val="005D5327"/>
    <w:rsid w:val="005D5E2F"/>
    <w:rsid w:val="005D611E"/>
    <w:rsid w:val="005D6BC7"/>
    <w:rsid w:val="005D7771"/>
    <w:rsid w:val="005E1519"/>
    <w:rsid w:val="005E45E2"/>
    <w:rsid w:val="005E4EE4"/>
    <w:rsid w:val="005E5271"/>
    <w:rsid w:val="005E73FA"/>
    <w:rsid w:val="005E7F2F"/>
    <w:rsid w:val="005F01ED"/>
    <w:rsid w:val="005F1EC5"/>
    <w:rsid w:val="005F2392"/>
    <w:rsid w:val="005F4415"/>
    <w:rsid w:val="0060000B"/>
    <w:rsid w:val="006004F2"/>
    <w:rsid w:val="00600F92"/>
    <w:rsid w:val="0060111A"/>
    <w:rsid w:val="00601332"/>
    <w:rsid w:val="00602F19"/>
    <w:rsid w:val="00603590"/>
    <w:rsid w:val="00604BE7"/>
    <w:rsid w:val="00607A2B"/>
    <w:rsid w:val="00610E1C"/>
    <w:rsid w:val="006110E4"/>
    <w:rsid w:val="00614106"/>
    <w:rsid w:val="00614400"/>
    <w:rsid w:val="006167A7"/>
    <w:rsid w:val="00617B32"/>
    <w:rsid w:val="00624CF5"/>
    <w:rsid w:val="00630B5C"/>
    <w:rsid w:val="00633CB9"/>
    <w:rsid w:val="0063735B"/>
    <w:rsid w:val="006378F3"/>
    <w:rsid w:val="006407D2"/>
    <w:rsid w:val="00647021"/>
    <w:rsid w:val="006472AD"/>
    <w:rsid w:val="00650B8A"/>
    <w:rsid w:val="0065194B"/>
    <w:rsid w:val="00653B82"/>
    <w:rsid w:val="00653FCF"/>
    <w:rsid w:val="00655B95"/>
    <w:rsid w:val="006566AA"/>
    <w:rsid w:val="006571AD"/>
    <w:rsid w:val="00657F83"/>
    <w:rsid w:val="006601F2"/>
    <w:rsid w:val="00660CC3"/>
    <w:rsid w:val="00662E55"/>
    <w:rsid w:val="006637B3"/>
    <w:rsid w:val="00663ADF"/>
    <w:rsid w:val="00664F2A"/>
    <w:rsid w:val="00665853"/>
    <w:rsid w:val="0066693A"/>
    <w:rsid w:val="00672D4E"/>
    <w:rsid w:val="006824D1"/>
    <w:rsid w:val="00682A7D"/>
    <w:rsid w:val="00685B44"/>
    <w:rsid w:val="0068737C"/>
    <w:rsid w:val="00697AE6"/>
    <w:rsid w:val="00697E36"/>
    <w:rsid w:val="00697E97"/>
    <w:rsid w:val="006A074B"/>
    <w:rsid w:val="006A19A2"/>
    <w:rsid w:val="006A76D7"/>
    <w:rsid w:val="006B143B"/>
    <w:rsid w:val="006B27DC"/>
    <w:rsid w:val="006B2E42"/>
    <w:rsid w:val="006B3440"/>
    <w:rsid w:val="006B374E"/>
    <w:rsid w:val="006B3A6A"/>
    <w:rsid w:val="006B3EEB"/>
    <w:rsid w:val="006C49BB"/>
    <w:rsid w:val="006C4E37"/>
    <w:rsid w:val="006C4EB9"/>
    <w:rsid w:val="006C67F9"/>
    <w:rsid w:val="006C680F"/>
    <w:rsid w:val="006D534F"/>
    <w:rsid w:val="006E35ED"/>
    <w:rsid w:val="006E56D0"/>
    <w:rsid w:val="006E5CBB"/>
    <w:rsid w:val="006F147E"/>
    <w:rsid w:val="006F2F57"/>
    <w:rsid w:val="006F4B97"/>
    <w:rsid w:val="006F60B2"/>
    <w:rsid w:val="006F7F4D"/>
    <w:rsid w:val="00700876"/>
    <w:rsid w:val="00702D2D"/>
    <w:rsid w:val="00703B55"/>
    <w:rsid w:val="0070484D"/>
    <w:rsid w:val="0070530B"/>
    <w:rsid w:val="0071018C"/>
    <w:rsid w:val="007101C2"/>
    <w:rsid w:val="00710315"/>
    <w:rsid w:val="00710384"/>
    <w:rsid w:val="00711B66"/>
    <w:rsid w:val="00713671"/>
    <w:rsid w:val="00716D3B"/>
    <w:rsid w:val="007218E0"/>
    <w:rsid w:val="00721EAC"/>
    <w:rsid w:val="007221A1"/>
    <w:rsid w:val="00722A5C"/>
    <w:rsid w:val="00725A73"/>
    <w:rsid w:val="0072709C"/>
    <w:rsid w:val="00731C01"/>
    <w:rsid w:val="00731E0A"/>
    <w:rsid w:val="00732A98"/>
    <w:rsid w:val="00734CCD"/>
    <w:rsid w:val="007368C1"/>
    <w:rsid w:val="00737065"/>
    <w:rsid w:val="00737908"/>
    <w:rsid w:val="00741819"/>
    <w:rsid w:val="007426AA"/>
    <w:rsid w:val="00745AA3"/>
    <w:rsid w:val="007468B4"/>
    <w:rsid w:val="00751D1B"/>
    <w:rsid w:val="007532C1"/>
    <w:rsid w:val="007554DA"/>
    <w:rsid w:val="007613B2"/>
    <w:rsid w:val="00761ADD"/>
    <w:rsid w:val="007630A4"/>
    <w:rsid w:val="007636F5"/>
    <w:rsid w:val="007658F6"/>
    <w:rsid w:val="0076673C"/>
    <w:rsid w:val="00767F77"/>
    <w:rsid w:val="007729A9"/>
    <w:rsid w:val="007733AE"/>
    <w:rsid w:val="00773F1E"/>
    <w:rsid w:val="00774320"/>
    <w:rsid w:val="00775CB6"/>
    <w:rsid w:val="00775DAA"/>
    <w:rsid w:val="007809EE"/>
    <w:rsid w:val="00780A8F"/>
    <w:rsid w:val="00783DB8"/>
    <w:rsid w:val="0078426E"/>
    <w:rsid w:val="00784361"/>
    <w:rsid w:val="007843FD"/>
    <w:rsid w:val="00785174"/>
    <w:rsid w:val="00786E7E"/>
    <w:rsid w:val="007911ED"/>
    <w:rsid w:val="007A0024"/>
    <w:rsid w:val="007A11DC"/>
    <w:rsid w:val="007A2403"/>
    <w:rsid w:val="007A272D"/>
    <w:rsid w:val="007A2F1D"/>
    <w:rsid w:val="007A5330"/>
    <w:rsid w:val="007A59DD"/>
    <w:rsid w:val="007A5AE0"/>
    <w:rsid w:val="007A6CCE"/>
    <w:rsid w:val="007A6DFA"/>
    <w:rsid w:val="007B06F3"/>
    <w:rsid w:val="007B0AF3"/>
    <w:rsid w:val="007B141B"/>
    <w:rsid w:val="007B38F6"/>
    <w:rsid w:val="007B462B"/>
    <w:rsid w:val="007C31BA"/>
    <w:rsid w:val="007C3EF3"/>
    <w:rsid w:val="007C435C"/>
    <w:rsid w:val="007C4ABA"/>
    <w:rsid w:val="007C53B6"/>
    <w:rsid w:val="007C5B4F"/>
    <w:rsid w:val="007C6DFC"/>
    <w:rsid w:val="007D12E9"/>
    <w:rsid w:val="007D564B"/>
    <w:rsid w:val="007D597B"/>
    <w:rsid w:val="007D6FFE"/>
    <w:rsid w:val="007E047D"/>
    <w:rsid w:val="007E6791"/>
    <w:rsid w:val="007F2596"/>
    <w:rsid w:val="007F266C"/>
    <w:rsid w:val="007F5E8E"/>
    <w:rsid w:val="007F77BF"/>
    <w:rsid w:val="007F7DD3"/>
    <w:rsid w:val="00802CB8"/>
    <w:rsid w:val="00803BE7"/>
    <w:rsid w:val="008040AD"/>
    <w:rsid w:val="00804717"/>
    <w:rsid w:val="00805CDC"/>
    <w:rsid w:val="008063BB"/>
    <w:rsid w:val="00807006"/>
    <w:rsid w:val="00807220"/>
    <w:rsid w:val="0081099A"/>
    <w:rsid w:val="00812DF8"/>
    <w:rsid w:val="00813343"/>
    <w:rsid w:val="00814766"/>
    <w:rsid w:val="00814D2F"/>
    <w:rsid w:val="00814EE8"/>
    <w:rsid w:val="00816D90"/>
    <w:rsid w:val="0082108E"/>
    <w:rsid w:val="00824690"/>
    <w:rsid w:val="00825C68"/>
    <w:rsid w:val="00825DDD"/>
    <w:rsid w:val="00826B4C"/>
    <w:rsid w:val="008318C3"/>
    <w:rsid w:val="008319BB"/>
    <w:rsid w:val="00831CA0"/>
    <w:rsid w:val="008321DF"/>
    <w:rsid w:val="00833AD6"/>
    <w:rsid w:val="008353BD"/>
    <w:rsid w:val="00837820"/>
    <w:rsid w:val="00837B96"/>
    <w:rsid w:val="00840613"/>
    <w:rsid w:val="00840D8E"/>
    <w:rsid w:val="00842CD9"/>
    <w:rsid w:val="00846166"/>
    <w:rsid w:val="00846727"/>
    <w:rsid w:val="00846EFD"/>
    <w:rsid w:val="00850EDD"/>
    <w:rsid w:val="008516C7"/>
    <w:rsid w:val="008519AC"/>
    <w:rsid w:val="008546A8"/>
    <w:rsid w:val="00854DFF"/>
    <w:rsid w:val="00855846"/>
    <w:rsid w:val="00855C68"/>
    <w:rsid w:val="0085605B"/>
    <w:rsid w:val="008562C5"/>
    <w:rsid w:val="008568C2"/>
    <w:rsid w:val="0085779B"/>
    <w:rsid w:val="00861031"/>
    <w:rsid w:val="00861704"/>
    <w:rsid w:val="00861BCF"/>
    <w:rsid w:val="00861FB2"/>
    <w:rsid w:val="00861FE3"/>
    <w:rsid w:val="00862E4E"/>
    <w:rsid w:val="00863591"/>
    <w:rsid w:val="00867B7B"/>
    <w:rsid w:val="0087242C"/>
    <w:rsid w:val="00872E0D"/>
    <w:rsid w:val="00875A28"/>
    <w:rsid w:val="0087702F"/>
    <w:rsid w:val="00877063"/>
    <w:rsid w:val="00877F98"/>
    <w:rsid w:val="00880FE0"/>
    <w:rsid w:val="00882868"/>
    <w:rsid w:val="008828F0"/>
    <w:rsid w:val="00883BB3"/>
    <w:rsid w:val="00884517"/>
    <w:rsid w:val="00885E9B"/>
    <w:rsid w:val="0088669B"/>
    <w:rsid w:val="008868C4"/>
    <w:rsid w:val="008935D9"/>
    <w:rsid w:val="00893639"/>
    <w:rsid w:val="00893F82"/>
    <w:rsid w:val="008954EB"/>
    <w:rsid w:val="00897997"/>
    <w:rsid w:val="008A03C8"/>
    <w:rsid w:val="008A1CBF"/>
    <w:rsid w:val="008A2D04"/>
    <w:rsid w:val="008A357C"/>
    <w:rsid w:val="008A413E"/>
    <w:rsid w:val="008A4D68"/>
    <w:rsid w:val="008A5D28"/>
    <w:rsid w:val="008B1717"/>
    <w:rsid w:val="008B24F4"/>
    <w:rsid w:val="008B324F"/>
    <w:rsid w:val="008B51EC"/>
    <w:rsid w:val="008B5A3F"/>
    <w:rsid w:val="008B6EE7"/>
    <w:rsid w:val="008B6F0B"/>
    <w:rsid w:val="008C4C0B"/>
    <w:rsid w:val="008C520C"/>
    <w:rsid w:val="008C5ADF"/>
    <w:rsid w:val="008C5C68"/>
    <w:rsid w:val="008C5EB9"/>
    <w:rsid w:val="008C6E86"/>
    <w:rsid w:val="008C74BA"/>
    <w:rsid w:val="008D34D4"/>
    <w:rsid w:val="008D360B"/>
    <w:rsid w:val="008D620A"/>
    <w:rsid w:val="008D7768"/>
    <w:rsid w:val="008D7A3F"/>
    <w:rsid w:val="008D7FE8"/>
    <w:rsid w:val="008E02D1"/>
    <w:rsid w:val="008E0A26"/>
    <w:rsid w:val="008E4278"/>
    <w:rsid w:val="008E6362"/>
    <w:rsid w:val="008E6C9E"/>
    <w:rsid w:val="008F00D2"/>
    <w:rsid w:val="008F2345"/>
    <w:rsid w:val="008F470E"/>
    <w:rsid w:val="008F5A81"/>
    <w:rsid w:val="008F66E5"/>
    <w:rsid w:val="0090215D"/>
    <w:rsid w:val="009023DB"/>
    <w:rsid w:val="009049C2"/>
    <w:rsid w:val="00905521"/>
    <w:rsid w:val="00906C17"/>
    <w:rsid w:val="00907765"/>
    <w:rsid w:val="00910342"/>
    <w:rsid w:val="0091040E"/>
    <w:rsid w:val="00911F39"/>
    <w:rsid w:val="00915549"/>
    <w:rsid w:val="00915B86"/>
    <w:rsid w:val="009163D8"/>
    <w:rsid w:val="009210AA"/>
    <w:rsid w:val="009238AC"/>
    <w:rsid w:val="00924768"/>
    <w:rsid w:val="00927163"/>
    <w:rsid w:val="009331D1"/>
    <w:rsid w:val="00934F0A"/>
    <w:rsid w:val="0093705C"/>
    <w:rsid w:val="00940232"/>
    <w:rsid w:val="009506FB"/>
    <w:rsid w:val="00950AB0"/>
    <w:rsid w:val="00954A6C"/>
    <w:rsid w:val="009648DF"/>
    <w:rsid w:val="00967255"/>
    <w:rsid w:val="00973A72"/>
    <w:rsid w:val="00976176"/>
    <w:rsid w:val="009772AE"/>
    <w:rsid w:val="0098032E"/>
    <w:rsid w:val="00982DA2"/>
    <w:rsid w:val="009839F1"/>
    <w:rsid w:val="00984831"/>
    <w:rsid w:val="0098747A"/>
    <w:rsid w:val="0099249E"/>
    <w:rsid w:val="00995D48"/>
    <w:rsid w:val="00995F04"/>
    <w:rsid w:val="00996C5F"/>
    <w:rsid w:val="009A17A2"/>
    <w:rsid w:val="009A2082"/>
    <w:rsid w:val="009A2693"/>
    <w:rsid w:val="009A3065"/>
    <w:rsid w:val="009A31A4"/>
    <w:rsid w:val="009A3D40"/>
    <w:rsid w:val="009A6AF5"/>
    <w:rsid w:val="009A7F50"/>
    <w:rsid w:val="009B1AB4"/>
    <w:rsid w:val="009B55F4"/>
    <w:rsid w:val="009B6656"/>
    <w:rsid w:val="009C6253"/>
    <w:rsid w:val="009D04C7"/>
    <w:rsid w:val="009D1A01"/>
    <w:rsid w:val="009D5AC4"/>
    <w:rsid w:val="009E0388"/>
    <w:rsid w:val="009E146C"/>
    <w:rsid w:val="009E17F9"/>
    <w:rsid w:val="009E27DA"/>
    <w:rsid w:val="009E4744"/>
    <w:rsid w:val="009E4B05"/>
    <w:rsid w:val="009E5575"/>
    <w:rsid w:val="009F0D83"/>
    <w:rsid w:val="009F1524"/>
    <w:rsid w:val="009F2E13"/>
    <w:rsid w:val="009F37AE"/>
    <w:rsid w:val="009F40FB"/>
    <w:rsid w:val="009F4961"/>
    <w:rsid w:val="009F6727"/>
    <w:rsid w:val="009F6DBE"/>
    <w:rsid w:val="009F6EF9"/>
    <w:rsid w:val="00A00B0D"/>
    <w:rsid w:val="00A00FE2"/>
    <w:rsid w:val="00A021DA"/>
    <w:rsid w:val="00A0242D"/>
    <w:rsid w:val="00A05A88"/>
    <w:rsid w:val="00A141DF"/>
    <w:rsid w:val="00A1503F"/>
    <w:rsid w:val="00A157B4"/>
    <w:rsid w:val="00A15F25"/>
    <w:rsid w:val="00A20705"/>
    <w:rsid w:val="00A212CA"/>
    <w:rsid w:val="00A22444"/>
    <w:rsid w:val="00A23A33"/>
    <w:rsid w:val="00A26DA0"/>
    <w:rsid w:val="00A30570"/>
    <w:rsid w:val="00A31C2F"/>
    <w:rsid w:val="00A31DA6"/>
    <w:rsid w:val="00A325CC"/>
    <w:rsid w:val="00A36E4D"/>
    <w:rsid w:val="00A377A6"/>
    <w:rsid w:val="00A40480"/>
    <w:rsid w:val="00A40C6B"/>
    <w:rsid w:val="00A414AC"/>
    <w:rsid w:val="00A43342"/>
    <w:rsid w:val="00A55913"/>
    <w:rsid w:val="00A56BA6"/>
    <w:rsid w:val="00A57AB0"/>
    <w:rsid w:val="00A6042A"/>
    <w:rsid w:val="00A613CC"/>
    <w:rsid w:val="00A61C32"/>
    <w:rsid w:val="00A6413C"/>
    <w:rsid w:val="00A648AA"/>
    <w:rsid w:val="00A64D78"/>
    <w:rsid w:val="00A658A0"/>
    <w:rsid w:val="00A65C3F"/>
    <w:rsid w:val="00A71280"/>
    <w:rsid w:val="00A77828"/>
    <w:rsid w:val="00A816A2"/>
    <w:rsid w:val="00A824A2"/>
    <w:rsid w:val="00A8573D"/>
    <w:rsid w:val="00A87AEB"/>
    <w:rsid w:val="00AA044F"/>
    <w:rsid w:val="00AA0A51"/>
    <w:rsid w:val="00AA1F30"/>
    <w:rsid w:val="00AA236C"/>
    <w:rsid w:val="00AA2AF4"/>
    <w:rsid w:val="00AA5167"/>
    <w:rsid w:val="00AA573E"/>
    <w:rsid w:val="00AB3000"/>
    <w:rsid w:val="00AB37E4"/>
    <w:rsid w:val="00AB3BC1"/>
    <w:rsid w:val="00AB41A6"/>
    <w:rsid w:val="00AB5D7A"/>
    <w:rsid w:val="00AB6296"/>
    <w:rsid w:val="00AC016B"/>
    <w:rsid w:val="00AC4CEE"/>
    <w:rsid w:val="00AC5EBD"/>
    <w:rsid w:val="00AD2288"/>
    <w:rsid w:val="00AD2877"/>
    <w:rsid w:val="00AD3D21"/>
    <w:rsid w:val="00AD5E49"/>
    <w:rsid w:val="00AD602F"/>
    <w:rsid w:val="00AE19DF"/>
    <w:rsid w:val="00AE28B7"/>
    <w:rsid w:val="00AE3C8E"/>
    <w:rsid w:val="00AE7CD4"/>
    <w:rsid w:val="00AF14E3"/>
    <w:rsid w:val="00AF1BD3"/>
    <w:rsid w:val="00AF3005"/>
    <w:rsid w:val="00AF3C28"/>
    <w:rsid w:val="00AF4A9F"/>
    <w:rsid w:val="00B009E7"/>
    <w:rsid w:val="00B00A27"/>
    <w:rsid w:val="00B00B44"/>
    <w:rsid w:val="00B00FE4"/>
    <w:rsid w:val="00B03CA1"/>
    <w:rsid w:val="00B04A42"/>
    <w:rsid w:val="00B0715A"/>
    <w:rsid w:val="00B07CAA"/>
    <w:rsid w:val="00B111BF"/>
    <w:rsid w:val="00B11550"/>
    <w:rsid w:val="00B12B52"/>
    <w:rsid w:val="00B21D25"/>
    <w:rsid w:val="00B225E2"/>
    <w:rsid w:val="00B250DC"/>
    <w:rsid w:val="00B313DF"/>
    <w:rsid w:val="00B3657A"/>
    <w:rsid w:val="00B45105"/>
    <w:rsid w:val="00B47D15"/>
    <w:rsid w:val="00B515DF"/>
    <w:rsid w:val="00B516CB"/>
    <w:rsid w:val="00B548B2"/>
    <w:rsid w:val="00B54AB3"/>
    <w:rsid w:val="00B56873"/>
    <w:rsid w:val="00B60A9F"/>
    <w:rsid w:val="00B64328"/>
    <w:rsid w:val="00B64957"/>
    <w:rsid w:val="00B64F70"/>
    <w:rsid w:val="00B66D42"/>
    <w:rsid w:val="00B72B3B"/>
    <w:rsid w:val="00B739E4"/>
    <w:rsid w:val="00B741F7"/>
    <w:rsid w:val="00B75CD3"/>
    <w:rsid w:val="00B762CB"/>
    <w:rsid w:val="00B80646"/>
    <w:rsid w:val="00B80E71"/>
    <w:rsid w:val="00B82AED"/>
    <w:rsid w:val="00B83199"/>
    <w:rsid w:val="00B83CA4"/>
    <w:rsid w:val="00B85241"/>
    <w:rsid w:val="00B86CD3"/>
    <w:rsid w:val="00B90025"/>
    <w:rsid w:val="00B90A09"/>
    <w:rsid w:val="00B91B75"/>
    <w:rsid w:val="00B92E9D"/>
    <w:rsid w:val="00B93B52"/>
    <w:rsid w:val="00B946A9"/>
    <w:rsid w:val="00B9557D"/>
    <w:rsid w:val="00B96895"/>
    <w:rsid w:val="00B97772"/>
    <w:rsid w:val="00BA0583"/>
    <w:rsid w:val="00BA2CD4"/>
    <w:rsid w:val="00BA34A3"/>
    <w:rsid w:val="00BA5BD0"/>
    <w:rsid w:val="00BB0B68"/>
    <w:rsid w:val="00BB1637"/>
    <w:rsid w:val="00BB3802"/>
    <w:rsid w:val="00BB7B06"/>
    <w:rsid w:val="00BC06C2"/>
    <w:rsid w:val="00BD2598"/>
    <w:rsid w:val="00BD3CFE"/>
    <w:rsid w:val="00BD6905"/>
    <w:rsid w:val="00BE1A05"/>
    <w:rsid w:val="00BE2124"/>
    <w:rsid w:val="00BE475D"/>
    <w:rsid w:val="00BE4FCD"/>
    <w:rsid w:val="00BE52B4"/>
    <w:rsid w:val="00BE5590"/>
    <w:rsid w:val="00BE62F7"/>
    <w:rsid w:val="00BE6B84"/>
    <w:rsid w:val="00BF110F"/>
    <w:rsid w:val="00BF27A2"/>
    <w:rsid w:val="00BF2937"/>
    <w:rsid w:val="00BF3062"/>
    <w:rsid w:val="00BF3C4B"/>
    <w:rsid w:val="00BF5729"/>
    <w:rsid w:val="00BF66F7"/>
    <w:rsid w:val="00C03118"/>
    <w:rsid w:val="00C04548"/>
    <w:rsid w:val="00C064F5"/>
    <w:rsid w:val="00C076FA"/>
    <w:rsid w:val="00C155A5"/>
    <w:rsid w:val="00C15DE6"/>
    <w:rsid w:val="00C166DE"/>
    <w:rsid w:val="00C169F1"/>
    <w:rsid w:val="00C1720C"/>
    <w:rsid w:val="00C20429"/>
    <w:rsid w:val="00C20F12"/>
    <w:rsid w:val="00C22B46"/>
    <w:rsid w:val="00C238CA"/>
    <w:rsid w:val="00C270FD"/>
    <w:rsid w:val="00C279DA"/>
    <w:rsid w:val="00C31243"/>
    <w:rsid w:val="00C32508"/>
    <w:rsid w:val="00C32716"/>
    <w:rsid w:val="00C32758"/>
    <w:rsid w:val="00C356ED"/>
    <w:rsid w:val="00C35B00"/>
    <w:rsid w:val="00C40B57"/>
    <w:rsid w:val="00C41C29"/>
    <w:rsid w:val="00C42693"/>
    <w:rsid w:val="00C42901"/>
    <w:rsid w:val="00C43E66"/>
    <w:rsid w:val="00C47F23"/>
    <w:rsid w:val="00C50D49"/>
    <w:rsid w:val="00C52401"/>
    <w:rsid w:val="00C52C42"/>
    <w:rsid w:val="00C54C66"/>
    <w:rsid w:val="00C55024"/>
    <w:rsid w:val="00C55DB5"/>
    <w:rsid w:val="00C57B2D"/>
    <w:rsid w:val="00C6473C"/>
    <w:rsid w:val="00C661F6"/>
    <w:rsid w:val="00C66AF0"/>
    <w:rsid w:val="00C66E89"/>
    <w:rsid w:val="00C67C43"/>
    <w:rsid w:val="00C70D4B"/>
    <w:rsid w:val="00C71485"/>
    <w:rsid w:val="00C71BAE"/>
    <w:rsid w:val="00C72599"/>
    <w:rsid w:val="00C72B49"/>
    <w:rsid w:val="00C769E9"/>
    <w:rsid w:val="00C76E7B"/>
    <w:rsid w:val="00C76EC6"/>
    <w:rsid w:val="00C7750D"/>
    <w:rsid w:val="00C8010D"/>
    <w:rsid w:val="00C826C0"/>
    <w:rsid w:val="00C82A00"/>
    <w:rsid w:val="00C82A11"/>
    <w:rsid w:val="00C8601F"/>
    <w:rsid w:val="00C90752"/>
    <w:rsid w:val="00C917D5"/>
    <w:rsid w:val="00C923EF"/>
    <w:rsid w:val="00C92E46"/>
    <w:rsid w:val="00C92E83"/>
    <w:rsid w:val="00C93577"/>
    <w:rsid w:val="00C953CB"/>
    <w:rsid w:val="00C95671"/>
    <w:rsid w:val="00C9577A"/>
    <w:rsid w:val="00C9625D"/>
    <w:rsid w:val="00C97444"/>
    <w:rsid w:val="00CA2A9A"/>
    <w:rsid w:val="00CA3F82"/>
    <w:rsid w:val="00CA4090"/>
    <w:rsid w:val="00CA617F"/>
    <w:rsid w:val="00CA6586"/>
    <w:rsid w:val="00CA67C6"/>
    <w:rsid w:val="00CA6E33"/>
    <w:rsid w:val="00CB0B83"/>
    <w:rsid w:val="00CB19EE"/>
    <w:rsid w:val="00CB44A9"/>
    <w:rsid w:val="00CB67C2"/>
    <w:rsid w:val="00CC0379"/>
    <w:rsid w:val="00CC05FD"/>
    <w:rsid w:val="00CC127A"/>
    <w:rsid w:val="00CC3362"/>
    <w:rsid w:val="00CC3F31"/>
    <w:rsid w:val="00CC47C2"/>
    <w:rsid w:val="00CC50A5"/>
    <w:rsid w:val="00CC6534"/>
    <w:rsid w:val="00CC7946"/>
    <w:rsid w:val="00CD00AB"/>
    <w:rsid w:val="00CD45F6"/>
    <w:rsid w:val="00CD6CF5"/>
    <w:rsid w:val="00CE0C28"/>
    <w:rsid w:val="00CE205B"/>
    <w:rsid w:val="00CE247F"/>
    <w:rsid w:val="00CE3807"/>
    <w:rsid w:val="00CE458C"/>
    <w:rsid w:val="00CE4DDA"/>
    <w:rsid w:val="00CE7B90"/>
    <w:rsid w:val="00CF0053"/>
    <w:rsid w:val="00CF16FE"/>
    <w:rsid w:val="00CF3872"/>
    <w:rsid w:val="00CF44A7"/>
    <w:rsid w:val="00CF7B1B"/>
    <w:rsid w:val="00D02B88"/>
    <w:rsid w:val="00D06448"/>
    <w:rsid w:val="00D06E40"/>
    <w:rsid w:val="00D07762"/>
    <w:rsid w:val="00D1038F"/>
    <w:rsid w:val="00D1174C"/>
    <w:rsid w:val="00D119D1"/>
    <w:rsid w:val="00D148F4"/>
    <w:rsid w:val="00D1533C"/>
    <w:rsid w:val="00D16431"/>
    <w:rsid w:val="00D173B9"/>
    <w:rsid w:val="00D2412B"/>
    <w:rsid w:val="00D24F1C"/>
    <w:rsid w:val="00D26A4F"/>
    <w:rsid w:val="00D31B44"/>
    <w:rsid w:val="00D3520A"/>
    <w:rsid w:val="00D37291"/>
    <w:rsid w:val="00D377E5"/>
    <w:rsid w:val="00D41857"/>
    <w:rsid w:val="00D43FF2"/>
    <w:rsid w:val="00D447D4"/>
    <w:rsid w:val="00D44C93"/>
    <w:rsid w:val="00D4632A"/>
    <w:rsid w:val="00D46EE0"/>
    <w:rsid w:val="00D477C7"/>
    <w:rsid w:val="00D50105"/>
    <w:rsid w:val="00D5162E"/>
    <w:rsid w:val="00D51ACF"/>
    <w:rsid w:val="00D553F2"/>
    <w:rsid w:val="00D57906"/>
    <w:rsid w:val="00D61844"/>
    <w:rsid w:val="00D63456"/>
    <w:rsid w:val="00D63553"/>
    <w:rsid w:val="00D639E8"/>
    <w:rsid w:val="00D6465D"/>
    <w:rsid w:val="00D64DA3"/>
    <w:rsid w:val="00D65009"/>
    <w:rsid w:val="00D6752B"/>
    <w:rsid w:val="00D67A83"/>
    <w:rsid w:val="00D7077E"/>
    <w:rsid w:val="00D708A8"/>
    <w:rsid w:val="00D710E6"/>
    <w:rsid w:val="00D71330"/>
    <w:rsid w:val="00D727B1"/>
    <w:rsid w:val="00D727CC"/>
    <w:rsid w:val="00D72B91"/>
    <w:rsid w:val="00D72C4D"/>
    <w:rsid w:val="00D72EBE"/>
    <w:rsid w:val="00D7329D"/>
    <w:rsid w:val="00D738A7"/>
    <w:rsid w:val="00D73D32"/>
    <w:rsid w:val="00D7413B"/>
    <w:rsid w:val="00D756B4"/>
    <w:rsid w:val="00D76949"/>
    <w:rsid w:val="00D80FB7"/>
    <w:rsid w:val="00D82F9F"/>
    <w:rsid w:val="00D83A32"/>
    <w:rsid w:val="00D8627F"/>
    <w:rsid w:val="00D864E3"/>
    <w:rsid w:val="00D90877"/>
    <w:rsid w:val="00D9094C"/>
    <w:rsid w:val="00D90AA2"/>
    <w:rsid w:val="00D912E2"/>
    <w:rsid w:val="00D957B6"/>
    <w:rsid w:val="00D96FE5"/>
    <w:rsid w:val="00D97485"/>
    <w:rsid w:val="00DA0201"/>
    <w:rsid w:val="00DA02EC"/>
    <w:rsid w:val="00DA2743"/>
    <w:rsid w:val="00DA6049"/>
    <w:rsid w:val="00DA6F5D"/>
    <w:rsid w:val="00DB0F19"/>
    <w:rsid w:val="00DB1230"/>
    <w:rsid w:val="00DB1A0B"/>
    <w:rsid w:val="00DB2208"/>
    <w:rsid w:val="00DB387E"/>
    <w:rsid w:val="00DB3C99"/>
    <w:rsid w:val="00DB3CE3"/>
    <w:rsid w:val="00DB3E03"/>
    <w:rsid w:val="00DB3FE6"/>
    <w:rsid w:val="00DB4615"/>
    <w:rsid w:val="00DB4AF3"/>
    <w:rsid w:val="00DB4D6F"/>
    <w:rsid w:val="00DB4E8C"/>
    <w:rsid w:val="00DB6966"/>
    <w:rsid w:val="00DC0681"/>
    <w:rsid w:val="00DC0BD5"/>
    <w:rsid w:val="00DC23EC"/>
    <w:rsid w:val="00DC2917"/>
    <w:rsid w:val="00DC3BDB"/>
    <w:rsid w:val="00DC71EB"/>
    <w:rsid w:val="00DC7A9A"/>
    <w:rsid w:val="00DD41B7"/>
    <w:rsid w:val="00DD4463"/>
    <w:rsid w:val="00DD5056"/>
    <w:rsid w:val="00DD7B49"/>
    <w:rsid w:val="00DE0430"/>
    <w:rsid w:val="00DE3791"/>
    <w:rsid w:val="00DE3A6D"/>
    <w:rsid w:val="00DE443A"/>
    <w:rsid w:val="00DF0599"/>
    <w:rsid w:val="00DF1CF8"/>
    <w:rsid w:val="00DF4546"/>
    <w:rsid w:val="00DF59F5"/>
    <w:rsid w:val="00DF5FE7"/>
    <w:rsid w:val="00DF627C"/>
    <w:rsid w:val="00DF6C0D"/>
    <w:rsid w:val="00DF6D13"/>
    <w:rsid w:val="00DF7472"/>
    <w:rsid w:val="00E00B1D"/>
    <w:rsid w:val="00E02091"/>
    <w:rsid w:val="00E02532"/>
    <w:rsid w:val="00E06D2D"/>
    <w:rsid w:val="00E07FDE"/>
    <w:rsid w:val="00E1069A"/>
    <w:rsid w:val="00E11333"/>
    <w:rsid w:val="00E15AF7"/>
    <w:rsid w:val="00E21EBA"/>
    <w:rsid w:val="00E230CB"/>
    <w:rsid w:val="00E23401"/>
    <w:rsid w:val="00E24996"/>
    <w:rsid w:val="00E25B90"/>
    <w:rsid w:val="00E266EA"/>
    <w:rsid w:val="00E27452"/>
    <w:rsid w:val="00E27FC1"/>
    <w:rsid w:val="00E32EAC"/>
    <w:rsid w:val="00E336B8"/>
    <w:rsid w:val="00E33D49"/>
    <w:rsid w:val="00E36443"/>
    <w:rsid w:val="00E36520"/>
    <w:rsid w:val="00E36E94"/>
    <w:rsid w:val="00E4275C"/>
    <w:rsid w:val="00E43DBA"/>
    <w:rsid w:val="00E4519D"/>
    <w:rsid w:val="00E45365"/>
    <w:rsid w:val="00E47E92"/>
    <w:rsid w:val="00E512CA"/>
    <w:rsid w:val="00E52659"/>
    <w:rsid w:val="00E52A37"/>
    <w:rsid w:val="00E53865"/>
    <w:rsid w:val="00E54B8E"/>
    <w:rsid w:val="00E55084"/>
    <w:rsid w:val="00E5740B"/>
    <w:rsid w:val="00E64C23"/>
    <w:rsid w:val="00E65FA0"/>
    <w:rsid w:val="00E67700"/>
    <w:rsid w:val="00E67FD7"/>
    <w:rsid w:val="00E71658"/>
    <w:rsid w:val="00E72E3F"/>
    <w:rsid w:val="00E7375D"/>
    <w:rsid w:val="00E7584F"/>
    <w:rsid w:val="00E75DB1"/>
    <w:rsid w:val="00E82110"/>
    <w:rsid w:val="00E82573"/>
    <w:rsid w:val="00E83403"/>
    <w:rsid w:val="00E83CCF"/>
    <w:rsid w:val="00E85D67"/>
    <w:rsid w:val="00E86BF4"/>
    <w:rsid w:val="00E87337"/>
    <w:rsid w:val="00E874AC"/>
    <w:rsid w:val="00E87629"/>
    <w:rsid w:val="00E8795A"/>
    <w:rsid w:val="00E93A85"/>
    <w:rsid w:val="00E943E6"/>
    <w:rsid w:val="00E948FA"/>
    <w:rsid w:val="00E959C1"/>
    <w:rsid w:val="00E9651D"/>
    <w:rsid w:val="00E96F38"/>
    <w:rsid w:val="00EA01A1"/>
    <w:rsid w:val="00EA31F0"/>
    <w:rsid w:val="00EA58D8"/>
    <w:rsid w:val="00EA61EA"/>
    <w:rsid w:val="00EA7EEA"/>
    <w:rsid w:val="00EB1504"/>
    <w:rsid w:val="00EB291D"/>
    <w:rsid w:val="00EB49B5"/>
    <w:rsid w:val="00EC1240"/>
    <w:rsid w:val="00EC17C1"/>
    <w:rsid w:val="00EC367B"/>
    <w:rsid w:val="00EC3746"/>
    <w:rsid w:val="00EC4EC8"/>
    <w:rsid w:val="00EC59BE"/>
    <w:rsid w:val="00EC60F2"/>
    <w:rsid w:val="00EC792B"/>
    <w:rsid w:val="00EC7E7D"/>
    <w:rsid w:val="00ED1A86"/>
    <w:rsid w:val="00ED2EC0"/>
    <w:rsid w:val="00ED7ADE"/>
    <w:rsid w:val="00ED7C03"/>
    <w:rsid w:val="00ED7C61"/>
    <w:rsid w:val="00EE040D"/>
    <w:rsid w:val="00EE0A27"/>
    <w:rsid w:val="00EE0F32"/>
    <w:rsid w:val="00EE1DE4"/>
    <w:rsid w:val="00EE24A0"/>
    <w:rsid w:val="00EE405B"/>
    <w:rsid w:val="00EE6F52"/>
    <w:rsid w:val="00EF03CA"/>
    <w:rsid w:val="00EF337B"/>
    <w:rsid w:val="00EF5ED3"/>
    <w:rsid w:val="00EF7A4F"/>
    <w:rsid w:val="00F025E5"/>
    <w:rsid w:val="00F03E2B"/>
    <w:rsid w:val="00F0521D"/>
    <w:rsid w:val="00F15FC4"/>
    <w:rsid w:val="00F16806"/>
    <w:rsid w:val="00F1705F"/>
    <w:rsid w:val="00F171C8"/>
    <w:rsid w:val="00F17D66"/>
    <w:rsid w:val="00F20229"/>
    <w:rsid w:val="00F20DB2"/>
    <w:rsid w:val="00F2154B"/>
    <w:rsid w:val="00F23811"/>
    <w:rsid w:val="00F25415"/>
    <w:rsid w:val="00F2673A"/>
    <w:rsid w:val="00F27516"/>
    <w:rsid w:val="00F3272C"/>
    <w:rsid w:val="00F32AB2"/>
    <w:rsid w:val="00F32B8E"/>
    <w:rsid w:val="00F34D35"/>
    <w:rsid w:val="00F36C6B"/>
    <w:rsid w:val="00F370A0"/>
    <w:rsid w:val="00F40C2A"/>
    <w:rsid w:val="00F43308"/>
    <w:rsid w:val="00F44528"/>
    <w:rsid w:val="00F452AA"/>
    <w:rsid w:val="00F45C28"/>
    <w:rsid w:val="00F46EDD"/>
    <w:rsid w:val="00F5026D"/>
    <w:rsid w:val="00F60D41"/>
    <w:rsid w:val="00F67253"/>
    <w:rsid w:val="00F703D8"/>
    <w:rsid w:val="00F70FFD"/>
    <w:rsid w:val="00F72186"/>
    <w:rsid w:val="00F72654"/>
    <w:rsid w:val="00F7281F"/>
    <w:rsid w:val="00F7435E"/>
    <w:rsid w:val="00F7505F"/>
    <w:rsid w:val="00F76F9B"/>
    <w:rsid w:val="00F77C81"/>
    <w:rsid w:val="00F81702"/>
    <w:rsid w:val="00F81B43"/>
    <w:rsid w:val="00F82C18"/>
    <w:rsid w:val="00F831BE"/>
    <w:rsid w:val="00F85472"/>
    <w:rsid w:val="00F93411"/>
    <w:rsid w:val="00F94F2D"/>
    <w:rsid w:val="00F96FFC"/>
    <w:rsid w:val="00F97AED"/>
    <w:rsid w:val="00FA0349"/>
    <w:rsid w:val="00FA1211"/>
    <w:rsid w:val="00FA219A"/>
    <w:rsid w:val="00FA2690"/>
    <w:rsid w:val="00FA2F8F"/>
    <w:rsid w:val="00FA3B00"/>
    <w:rsid w:val="00FA4E57"/>
    <w:rsid w:val="00FA57F9"/>
    <w:rsid w:val="00FA5CA3"/>
    <w:rsid w:val="00FA6027"/>
    <w:rsid w:val="00FA6078"/>
    <w:rsid w:val="00FA6A47"/>
    <w:rsid w:val="00FA72E5"/>
    <w:rsid w:val="00FA7C13"/>
    <w:rsid w:val="00FB007B"/>
    <w:rsid w:val="00FB2471"/>
    <w:rsid w:val="00FB2FF8"/>
    <w:rsid w:val="00FB7305"/>
    <w:rsid w:val="00FB7D6B"/>
    <w:rsid w:val="00FB7FDF"/>
    <w:rsid w:val="00FC01B7"/>
    <w:rsid w:val="00FC0BB5"/>
    <w:rsid w:val="00FC0E4E"/>
    <w:rsid w:val="00FC1A85"/>
    <w:rsid w:val="00FC21D3"/>
    <w:rsid w:val="00FC40B6"/>
    <w:rsid w:val="00FC513D"/>
    <w:rsid w:val="00FC6A50"/>
    <w:rsid w:val="00FC6E0A"/>
    <w:rsid w:val="00FD0956"/>
    <w:rsid w:val="00FD16E8"/>
    <w:rsid w:val="00FD1AD8"/>
    <w:rsid w:val="00FD25B7"/>
    <w:rsid w:val="00FD31D4"/>
    <w:rsid w:val="00FD47E5"/>
    <w:rsid w:val="00FD5E0C"/>
    <w:rsid w:val="00FD7261"/>
    <w:rsid w:val="00FD7669"/>
    <w:rsid w:val="00FE0E1A"/>
    <w:rsid w:val="00FE2564"/>
    <w:rsid w:val="00FE4747"/>
    <w:rsid w:val="00FF08FF"/>
    <w:rsid w:val="00FF11F3"/>
    <w:rsid w:val="00FF2329"/>
    <w:rsid w:val="00FF3D64"/>
    <w:rsid w:val="00FF6C89"/>
    <w:rsid w:val="00FF6E1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90F49A6-F7FB-4172-B47B-92CA457C3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EastAsia"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1C8"/>
    <w:pPr>
      <w:spacing w:after="200" w:line="276" w:lineRule="auto"/>
    </w:pPr>
    <w:rPr>
      <w:sz w:val="22"/>
      <w:szCs w:val="22"/>
    </w:rPr>
  </w:style>
  <w:style w:type="paragraph" w:styleId="Heading1">
    <w:name w:val="heading 1"/>
    <w:basedOn w:val="Normal"/>
    <w:next w:val="Normal"/>
    <w:link w:val="Heading1Char"/>
    <w:uiPriority w:val="9"/>
    <w:qFormat/>
    <w:rsid w:val="002B2856"/>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F831B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19498F"/>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64F2A"/>
    <w:rPr>
      <w:color w:val="0000FF"/>
      <w:u w:val="single"/>
    </w:rPr>
  </w:style>
  <w:style w:type="paragraph" w:styleId="Header">
    <w:name w:val="header"/>
    <w:basedOn w:val="Normal"/>
    <w:link w:val="HeaderChar"/>
    <w:uiPriority w:val="99"/>
    <w:unhideWhenUsed/>
    <w:rsid w:val="006F2F5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2F57"/>
  </w:style>
  <w:style w:type="paragraph" w:styleId="Footer">
    <w:name w:val="footer"/>
    <w:basedOn w:val="Normal"/>
    <w:link w:val="FooterChar"/>
    <w:uiPriority w:val="99"/>
    <w:unhideWhenUsed/>
    <w:rsid w:val="006F2F5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F2F57"/>
  </w:style>
  <w:style w:type="paragraph" w:styleId="ListParagraph">
    <w:name w:val="List Paragraph"/>
    <w:basedOn w:val="Normal"/>
    <w:uiPriority w:val="34"/>
    <w:qFormat/>
    <w:rsid w:val="00DA02EC"/>
    <w:pPr>
      <w:ind w:left="720"/>
      <w:contextualSpacing/>
    </w:pPr>
    <w:rPr>
      <w:rFonts w:eastAsia="Calibri"/>
    </w:rPr>
  </w:style>
  <w:style w:type="character" w:customStyle="1" w:styleId="Heading1Char">
    <w:name w:val="Heading 1 Char"/>
    <w:link w:val="Heading1"/>
    <w:uiPriority w:val="9"/>
    <w:rsid w:val="002B2856"/>
    <w:rPr>
      <w:rFonts w:ascii="Cambria" w:eastAsia="Times New Roman" w:hAnsi="Cambria" w:cs="Times New Roman"/>
      <w:b/>
      <w:bCs/>
      <w:color w:val="365F91"/>
      <w:sz w:val="28"/>
      <w:szCs w:val="28"/>
    </w:rPr>
  </w:style>
  <w:style w:type="character" w:customStyle="1" w:styleId="highlight">
    <w:name w:val="highlight"/>
    <w:basedOn w:val="DefaultParagraphFont"/>
    <w:rsid w:val="004632F8"/>
  </w:style>
  <w:style w:type="paragraph" w:styleId="BalloonText">
    <w:name w:val="Balloon Text"/>
    <w:basedOn w:val="Normal"/>
    <w:link w:val="BalloonTextChar"/>
    <w:uiPriority w:val="99"/>
    <w:semiHidden/>
    <w:unhideWhenUsed/>
    <w:rsid w:val="0019507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95076"/>
    <w:rPr>
      <w:rFonts w:ascii="Tahoma" w:hAnsi="Tahoma" w:cs="Tahoma"/>
      <w:sz w:val="16"/>
      <w:szCs w:val="16"/>
    </w:rPr>
  </w:style>
  <w:style w:type="character" w:customStyle="1" w:styleId="Heading2Char">
    <w:name w:val="Heading 2 Char"/>
    <w:link w:val="Heading2"/>
    <w:uiPriority w:val="9"/>
    <w:semiHidden/>
    <w:rsid w:val="00F831BE"/>
    <w:rPr>
      <w:rFonts w:ascii="Cambria" w:eastAsia="Times New Roman" w:hAnsi="Cambria" w:cs="Times New Roman"/>
      <w:b/>
      <w:bCs/>
      <w:i/>
      <w:iCs/>
      <w:sz w:val="28"/>
      <w:szCs w:val="28"/>
    </w:rPr>
  </w:style>
  <w:style w:type="character" w:customStyle="1" w:styleId="highlight2">
    <w:name w:val="highlight2"/>
    <w:rsid w:val="00BA34A3"/>
  </w:style>
  <w:style w:type="paragraph" w:styleId="NormalWeb">
    <w:name w:val="Normal (Web)"/>
    <w:basedOn w:val="Normal"/>
    <w:uiPriority w:val="99"/>
    <w:unhideWhenUsed/>
    <w:rsid w:val="009B1AB4"/>
    <w:pPr>
      <w:spacing w:before="100" w:beforeAutospacing="1" w:after="100" w:afterAutospacing="1" w:line="240" w:lineRule="auto"/>
    </w:pPr>
    <w:rPr>
      <w:rFonts w:ascii="Times New Roman" w:hAnsi="Times New Roman"/>
      <w:sz w:val="24"/>
      <w:szCs w:val="24"/>
    </w:rPr>
  </w:style>
  <w:style w:type="paragraph" w:styleId="Bibliography">
    <w:name w:val="Bibliography"/>
    <w:basedOn w:val="Normal"/>
    <w:next w:val="Normal"/>
    <w:uiPriority w:val="37"/>
    <w:unhideWhenUsed/>
    <w:rsid w:val="001C1431"/>
    <w:pPr>
      <w:tabs>
        <w:tab w:val="left" w:pos="504"/>
      </w:tabs>
      <w:spacing w:after="240" w:line="240" w:lineRule="auto"/>
      <w:ind w:left="504" w:hanging="504"/>
    </w:pPr>
  </w:style>
  <w:style w:type="character" w:customStyle="1" w:styleId="Heading3Char">
    <w:name w:val="Heading 3 Char"/>
    <w:basedOn w:val="DefaultParagraphFont"/>
    <w:link w:val="Heading3"/>
    <w:uiPriority w:val="9"/>
    <w:semiHidden/>
    <w:rsid w:val="0019498F"/>
    <w:rPr>
      <w:rFonts w:asciiTheme="majorHAnsi" w:eastAsiaTheme="majorEastAsia" w:hAnsiTheme="majorHAnsi" w:cstheme="majorBidi"/>
      <w:b/>
      <w:bCs/>
      <w:color w:val="4472C4" w:themeColor="accent1"/>
      <w:sz w:val="22"/>
      <w:szCs w:val="22"/>
    </w:rPr>
  </w:style>
  <w:style w:type="paragraph" w:styleId="CommentText">
    <w:name w:val="annotation text"/>
    <w:basedOn w:val="Normal"/>
    <w:link w:val="CommentTextChar"/>
    <w:unhideWhenUsed/>
    <w:rsid w:val="007A272D"/>
    <w:pPr>
      <w:spacing w:after="0" w:line="240" w:lineRule="auto"/>
    </w:pPr>
    <w:rPr>
      <w:rFonts w:ascii="Times New Roman" w:eastAsia="SimSun" w:hAnsi="Times New Roman"/>
      <w:sz w:val="20"/>
      <w:szCs w:val="20"/>
      <w:lang w:val="fr-FR" w:eastAsia="fr-FR"/>
    </w:rPr>
  </w:style>
  <w:style w:type="character" w:customStyle="1" w:styleId="CommentTextChar">
    <w:name w:val="Comment Text Char"/>
    <w:basedOn w:val="DefaultParagraphFont"/>
    <w:link w:val="CommentText"/>
    <w:rsid w:val="007A272D"/>
    <w:rPr>
      <w:rFonts w:ascii="Times New Roman" w:eastAsia="SimSun" w:hAnsi="Times New Roman"/>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986">
      <w:bodyDiv w:val="1"/>
      <w:marLeft w:val="0"/>
      <w:marRight w:val="0"/>
      <w:marTop w:val="0"/>
      <w:marBottom w:val="0"/>
      <w:divBdr>
        <w:top w:val="none" w:sz="0" w:space="0" w:color="auto"/>
        <w:left w:val="none" w:sz="0" w:space="0" w:color="auto"/>
        <w:bottom w:val="none" w:sz="0" w:space="0" w:color="auto"/>
        <w:right w:val="none" w:sz="0" w:space="0" w:color="auto"/>
      </w:divBdr>
    </w:div>
    <w:div w:id="39523917">
      <w:bodyDiv w:val="1"/>
      <w:marLeft w:val="0"/>
      <w:marRight w:val="0"/>
      <w:marTop w:val="0"/>
      <w:marBottom w:val="0"/>
      <w:divBdr>
        <w:top w:val="none" w:sz="0" w:space="0" w:color="auto"/>
        <w:left w:val="none" w:sz="0" w:space="0" w:color="auto"/>
        <w:bottom w:val="none" w:sz="0" w:space="0" w:color="auto"/>
        <w:right w:val="none" w:sz="0" w:space="0" w:color="auto"/>
      </w:divBdr>
      <w:divsChild>
        <w:div w:id="752361702">
          <w:marLeft w:val="0"/>
          <w:marRight w:val="0"/>
          <w:marTop w:val="0"/>
          <w:marBottom w:val="0"/>
          <w:divBdr>
            <w:top w:val="none" w:sz="0" w:space="0" w:color="auto"/>
            <w:left w:val="none" w:sz="0" w:space="0" w:color="auto"/>
            <w:bottom w:val="none" w:sz="0" w:space="0" w:color="auto"/>
            <w:right w:val="none" w:sz="0" w:space="0" w:color="auto"/>
          </w:divBdr>
        </w:div>
        <w:div w:id="408697059">
          <w:marLeft w:val="0"/>
          <w:marRight w:val="0"/>
          <w:marTop w:val="0"/>
          <w:marBottom w:val="0"/>
          <w:divBdr>
            <w:top w:val="none" w:sz="0" w:space="0" w:color="auto"/>
            <w:left w:val="none" w:sz="0" w:space="0" w:color="auto"/>
            <w:bottom w:val="none" w:sz="0" w:space="0" w:color="auto"/>
            <w:right w:val="none" w:sz="0" w:space="0" w:color="auto"/>
          </w:divBdr>
        </w:div>
        <w:div w:id="1713577137">
          <w:marLeft w:val="0"/>
          <w:marRight w:val="0"/>
          <w:marTop w:val="0"/>
          <w:marBottom w:val="0"/>
          <w:divBdr>
            <w:top w:val="none" w:sz="0" w:space="0" w:color="auto"/>
            <w:left w:val="none" w:sz="0" w:space="0" w:color="auto"/>
            <w:bottom w:val="none" w:sz="0" w:space="0" w:color="auto"/>
            <w:right w:val="none" w:sz="0" w:space="0" w:color="auto"/>
          </w:divBdr>
        </w:div>
        <w:div w:id="1416633796">
          <w:marLeft w:val="0"/>
          <w:marRight w:val="0"/>
          <w:marTop w:val="0"/>
          <w:marBottom w:val="0"/>
          <w:divBdr>
            <w:top w:val="none" w:sz="0" w:space="0" w:color="auto"/>
            <w:left w:val="none" w:sz="0" w:space="0" w:color="auto"/>
            <w:bottom w:val="none" w:sz="0" w:space="0" w:color="auto"/>
            <w:right w:val="none" w:sz="0" w:space="0" w:color="auto"/>
          </w:divBdr>
        </w:div>
      </w:divsChild>
    </w:div>
    <w:div w:id="88042647">
      <w:bodyDiv w:val="1"/>
      <w:marLeft w:val="0"/>
      <w:marRight w:val="0"/>
      <w:marTop w:val="0"/>
      <w:marBottom w:val="0"/>
      <w:divBdr>
        <w:top w:val="none" w:sz="0" w:space="0" w:color="auto"/>
        <w:left w:val="none" w:sz="0" w:space="0" w:color="auto"/>
        <w:bottom w:val="none" w:sz="0" w:space="0" w:color="auto"/>
        <w:right w:val="none" w:sz="0" w:space="0" w:color="auto"/>
      </w:divBdr>
      <w:divsChild>
        <w:div w:id="1007630760">
          <w:marLeft w:val="0"/>
          <w:marRight w:val="0"/>
          <w:marTop w:val="0"/>
          <w:marBottom w:val="0"/>
          <w:divBdr>
            <w:top w:val="none" w:sz="0" w:space="0" w:color="auto"/>
            <w:left w:val="none" w:sz="0" w:space="0" w:color="auto"/>
            <w:bottom w:val="none" w:sz="0" w:space="0" w:color="auto"/>
            <w:right w:val="none" w:sz="0" w:space="0" w:color="auto"/>
          </w:divBdr>
        </w:div>
        <w:div w:id="2146198001">
          <w:marLeft w:val="0"/>
          <w:marRight w:val="0"/>
          <w:marTop w:val="0"/>
          <w:marBottom w:val="0"/>
          <w:divBdr>
            <w:top w:val="none" w:sz="0" w:space="0" w:color="auto"/>
            <w:left w:val="none" w:sz="0" w:space="0" w:color="auto"/>
            <w:bottom w:val="none" w:sz="0" w:space="0" w:color="auto"/>
            <w:right w:val="none" w:sz="0" w:space="0" w:color="auto"/>
          </w:divBdr>
        </w:div>
      </w:divsChild>
    </w:div>
    <w:div w:id="189682254">
      <w:bodyDiv w:val="1"/>
      <w:marLeft w:val="0"/>
      <w:marRight w:val="0"/>
      <w:marTop w:val="0"/>
      <w:marBottom w:val="0"/>
      <w:divBdr>
        <w:top w:val="none" w:sz="0" w:space="0" w:color="auto"/>
        <w:left w:val="none" w:sz="0" w:space="0" w:color="auto"/>
        <w:bottom w:val="none" w:sz="0" w:space="0" w:color="auto"/>
        <w:right w:val="none" w:sz="0" w:space="0" w:color="auto"/>
      </w:divBdr>
    </w:div>
    <w:div w:id="224998981">
      <w:bodyDiv w:val="1"/>
      <w:marLeft w:val="0"/>
      <w:marRight w:val="0"/>
      <w:marTop w:val="0"/>
      <w:marBottom w:val="0"/>
      <w:divBdr>
        <w:top w:val="none" w:sz="0" w:space="0" w:color="auto"/>
        <w:left w:val="none" w:sz="0" w:space="0" w:color="auto"/>
        <w:bottom w:val="none" w:sz="0" w:space="0" w:color="auto"/>
        <w:right w:val="none" w:sz="0" w:space="0" w:color="auto"/>
      </w:divBdr>
    </w:div>
    <w:div w:id="251666072">
      <w:bodyDiv w:val="1"/>
      <w:marLeft w:val="0"/>
      <w:marRight w:val="0"/>
      <w:marTop w:val="0"/>
      <w:marBottom w:val="0"/>
      <w:divBdr>
        <w:top w:val="none" w:sz="0" w:space="0" w:color="auto"/>
        <w:left w:val="none" w:sz="0" w:space="0" w:color="auto"/>
        <w:bottom w:val="none" w:sz="0" w:space="0" w:color="auto"/>
        <w:right w:val="none" w:sz="0" w:space="0" w:color="auto"/>
      </w:divBdr>
    </w:div>
    <w:div w:id="314644192">
      <w:bodyDiv w:val="1"/>
      <w:marLeft w:val="0"/>
      <w:marRight w:val="0"/>
      <w:marTop w:val="0"/>
      <w:marBottom w:val="0"/>
      <w:divBdr>
        <w:top w:val="none" w:sz="0" w:space="0" w:color="auto"/>
        <w:left w:val="none" w:sz="0" w:space="0" w:color="auto"/>
        <w:bottom w:val="none" w:sz="0" w:space="0" w:color="auto"/>
        <w:right w:val="none" w:sz="0" w:space="0" w:color="auto"/>
      </w:divBdr>
      <w:divsChild>
        <w:div w:id="927157657">
          <w:marLeft w:val="0"/>
          <w:marRight w:val="1"/>
          <w:marTop w:val="0"/>
          <w:marBottom w:val="0"/>
          <w:divBdr>
            <w:top w:val="none" w:sz="0" w:space="0" w:color="auto"/>
            <w:left w:val="none" w:sz="0" w:space="0" w:color="auto"/>
            <w:bottom w:val="none" w:sz="0" w:space="0" w:color="auto"/>
            <w:right w:val="none" w:sz="0" w:space="0" w:color="auto"/>
          </w:divBdr>
          <w:divsChild>
            <w:div w:id="1721904336">
              <w:marLeft w:val="0"/>
              <w:marRight w:val="0"/>
              <w:marTop w:val="0"/>
              <w:marBottom w:val="0"/>
              <w:divBdr>
                <w:top w:val="none" w:sz="0" w:space="0" w:color="auto"/>
                <w:left w:val="none" w:sz="0" w:space="0" w:color="auto"/>
                <w:bottom w:val="none" w:sz="0" w:space="0" w:color="auto"/>
                <w:right w:val="none" w:sz="0" w:space="0" w:color="auto"/>
              </w:divBdr>
              <w:divsChild>
                <w:div w:id="1517235579">
                  <w:marLeft w:val="0"/>
                  <w:marRight w:val="1"/>
                  <w:marTop w:val="0"/>
                  <w:marBottom w:val="0"/>
                  <w:divBdr>
                    <w:top w:val="none" w:sz="0" w:space="0" w:color="auto"/>
                    <w:left w:val="none" w:sz="0" w:space="0" w:color="auto"/>
                    <w:bottom w:val="none" w:sz="0" w:space="0" w:color="auto"/>
                    <w:right w:val="none" w:sz="0" w:space="0" w:color="auto"/>
                  </w:divBdr>
                  <w:divsChild>
                    <w:div w:id="1440370142">
                      <w:marLeft w:val="0"/>
                      <w:marRight w:val="0"/>
                      <w:marTop w:val="0"/>
                      <w:marBottom w:val="0"/>
                      <w:divBdr>
                        <w:top w:val="none" w:sz="0" w:space="0" w:color="auto"/>
                        <w:left w:val="none" w:sz="0" w:space="0" w:color="auto"/>
                        <w:bottom w:val="none" w:sz="0" w:space="0" w:color="auto"/>
                        <w:right w:val="none" w:sz="0" w:space="0" w:color="auto"/>
                      </w:divBdr>
                      <w:divsChild>
                        <w:div w:id="2021160280">
                          <w:marLeft w:val="0"/>
                          <w:marRight w:val="0"/>
                          <w:marTop w:val="0"/>
                          <w:marBottom w:val="0"/>
                          <w:divBdr>
                            <w:top w:val="none" w:sz="0" w:space="0" w:color="auto"/>
                            <w:left w:val="none" w:sz="0" w:space="0" w:color="auto"/>
                            <w:bottom w:val="none" w:sz="0" w:space="0" w:color="auto"/>
                            <w:right w:val="none" w:sz="0" w:space="0" w:color="auto"/>
                          </w:divBdr>
                          <w:divsChild>
                            <w:div w:id="1975062065">
                              <w:marLeft w:val="0"/>
                              <w:marRight w:val="0"/>
                              <w:marTop w:val="120"/>
                              <w:marBottom w:val="360"/>
                              <w:divBdr>
                                <w:top w:val="none" w:sz="0" w:space="0" w:color="auto"/>
                                <w:left w:val="none" w:sz="0" w:space="0" w:color="auto"/>
                                <w:bottom w:val="none" w:sz="0" w:space="0" w:color="auto"/>
                                <w:right w:val="none" w:sz="0" w:space="0" w:color="auto"/>
                              </w:divBdr>
                              <w:divsChild>
                                <w:div w:id="1348678933">
                                  <w:marLeft w:val="420"/>
                                  <w:marRight w:val="0"/>
                                  <w:marTop w:val="0"/>
                                  <w:marBottom w:val="0"/>
                                  <w:divBdr>
                                    <w:top w:val="none" w:sz="0" w:space="0" w:color="auto"/>
                                    <w:left w:val="none" w:sz="0" w:space="0" w:color="auto"/>
                                    <w:bottom w:val="none" w:sz="0" w:space="0" w:color="auto"/>
                                    <w:right w:val="none" w:sz="0" w:space="0" w:color="auto"/>
                                  </w:divBdr>
                                  <w:divsChild>
                                    <w:div w:id="183738295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738911">
      <w:bodyDiv w:val="1"/>
      <w:marLeft w:val="0"/>
      <w:marRight w:val="0"/>
      <w:marTop w:val="0"/>
      <w:marBottom w:val="0"/>
      <w:divBdr>
        <w:top w:val="none" w:sz="0" w:space="0" w:color="auto"/>
        <w:left w:val="none" w:sz="0" w:space="0" w:color="auto"/>
        <w:bottom w:val="none" w:sz="0" w:space="0" w:color="auto"/>
        <w:right w:val="none" w:sz="0" w:space="0" w:color="auto"/>
      </w:divBdr>
      <w:divsChild>
        <w:div w:id="1344942033">
          <w:marLeft w:val="0"/>
          <w:marRight w:val="0"/>
          <w:marTop w:val="0"/>
          <w:marBottom w:val="0"/>
          <w:divBdr>
            <w:top w:val="none" w:sz="0" w:space="0" w:color="auto"/>
            <w:left w:val="none" w:sz="0" w:space="0" w:color="auto"/>
            <w:bottom w:val="none" w:sz="0" w:space="0" w:color="auto"/>
            <w:right w:val="none" w:sz="0" w:space="0" w:color="auto"/>
          </w:divBdr>
        </w:div>
        <w:div w:id="2104492402">
          <w:marLeft w:val="0"/>
          <w:marRight w:val="0"/>
          <w:marTop w:val="0"/>
          <w:marBottom w:val="0"/>
          <w:divBdr>
            <w:top w:val="none" w:sz="0" w:space="0" w:color="auto"/>
            <w:left w:val="none" w:sz="0" w:space="0" w:color="auto"/>
            <w:bottom w:val="none" w:sz="0" w:space="0" w:color="auto"/>
            <w:right w:val="none" w:sz="0" w:space="0" w:color="auto"/>
          </w:divBdr>
        </w:div>
        <w:div w:id="2060275620">
          <w:marLeft w:val="0"/>
          <w:marRight w:val="0"/>
          <w:marTop w:val="0"/>
          <w:marBottom w:val="0"/>
          <w:divBdr>
            <w:top w:val="none" w:sz="0" w:space="0" w:color="auto"/>
            <w:left w:val="none" w:sz="0" w:space="0" w:color="auto"/>
            <w:bottom w:val="none" w:sz="0" w:space="0" w:color="auto"/>
            <w:right w:val="none" w:sz="0" w:space="0" w:color="auto"/>
          </w:divBdr>
        </w:div>
        <w:div w:id="1974828272">
          <w:marLeft w:val="0"/>
          <w:marRight w:val="0"/>
          <w:marTop w:val="0"/>
          <w:marBottom w:val="0"/>
          <w:divBdr>
            <w:top w:val="none" w:sz="0" w:space="0" w:color="auto"/>
            <w:left w:val="none" w:sz="0" w:space="0" w:color="auto"/>
            <w:bottom w:val="none" w:sz="0" w:space="0" w:color="auto"/>
            <w:right w:val="none" w:sz="0" w:space="0" w:color="auto"/>
          </w:divBdr>
        </w:div>
        <w:div w:id="871915487">
          <w:marLeft w:val="0"/>
          <w:marRight w:val="0"/>
          <w:marTop w:val="0"/>
          <w:marBottom w:val="0"/>
          <w:divBdr>
            <w:top w:val="none" w:sz="0" w:space="0" w:color="auto"/>
            <w:left w:val="none" w:sz="0" w:space="0" w:color="auto"/>
            <w:bottom w:val="none" w:sz="0" w:space="0" w:color="auto"/>
            <w:right w:val="none" w:sz="0" w:space="0" w:color="auto"/>
          </w:divBdr>
        </w:div>
      </w:divsChild>
    </w:div>
    <w:div w:id="346636530">
      <w:bodyDiv w:val="1"/>
      <w:marLeft w:val="0"/>
      <w:marRight w:val="0"/>
      <w:marTop w:val="0"/>
      <w:marBottom w:val="0"/>
      <w:divBdr>
        <w:top w:val="none" w:sz="0" w:space="0" w:color="auto"/>
        <w:left w:val="none" w:sz="0" w:space="0" w:color="auto"/>
        <w:bottom w:val="none" w:sz="0" w:space="0" w:color="auto"/>
        <w:right w:val="none" w:sz="0" w:space="0" w:color="auto"/>
      </w:divBdr>
      <w:divsChild>
        <w:div w:id="1428765390">
          <w:marLeft w:val="0"/>
          <w:marRight w:val="0"/>
          <w:marTop w:val="0"/>
          <w:marBottom w:val="0"/>
          <w:divBdr>
            <w:top w:val="none" w:sz="0" w:space="0" w:color="auto"/>
            <w:left w:val="none" w:sz="0" w:space="0" w:color="auto"/>
            <w:bottom w:val="none" w:sz="0" w:space="0" w:color="auto"/>
            <w:right w:val="none" w:sz="0" w:space="0" w:color="auto"/>
          </w:divBdr>
        </w:div>
        <w:div w:id="2035305178">
          <w:marLeft w:val="0"/>
          <w:marRight w:val="0"/>
          <w:marTop w:val="0"/>
          <w:marBottom w:val="0"/>
          <w:divBdr>
            <w:top w:val="none" w:sz="0" w:space="0" w:color="auto"/>
            <w:left w:val="none" w:sz="0" w:space="0" w:color="auto"/>
            <w:bottom w:val="none" w:sz="0" w:space="0" w:color="auto"/>
            <w:right w:val="none" w:sz="0" w:space="0" w:color="auto"/>
          </w:divBdr>
        </w:div>
        <w:div w:id="558053455">
          <w:marLeft w:val="0"/>
          <w:marRight w:val="0"/>
          <w:marTop w:val="0"/>
          <w:marBottom w:val="0"/>
          <w:divBdr>
            <w:top w:val="none" w:sz="0" w:space="0" w:color="auto"/>
            <w:left w:val="none" w:sz="0" w:space="0" w:color="auto"/>
            <w:bottom w:val="none" w:sz="0" w:space="0" w:color="auto"/>
            <w:right w:val="none" w:sz="0" w:space="0" w:color="auto"/>
          </w:divBdr>
        </w:div>
        <w:div w:id="1370104152">
          <w:marLeft w:val="0"/>
          <w:marRight w:val="0"/>
          <w:marTop w:val="0"/>
          <w:marBottom w:val="0"/>
          <w:divBdr>
            <w:top w:val="none" w:sz="0" w:space="0" w:color="auto"/>
            <w:left w:val="none" w:sz="0" w:space="0" w:color="auto"/>
            <w:bottom w:val="none" w:sz="0" w:space="0" w:color="auto"/>
            <w:right w:val="none" w:sz="0" w:space="0" w:color="auto"/>
          </w:divBdr>
        </w:div>
        <w:div w:id="936407506">
          <w:marLeft w:val="0"/>
          <w:marRight w:val="0"/>
          <w:marTop w:val="0"/>
          <w:marBottom w:val="0"/>
          <w:divBdr>
            <w:top w:val="none" w:sz="0" w:space="0" w:color="auto"/>
            <w:left w:val="none" w:sz="0" w:space="0" w:color="auto"/>
            <w:bottom w:val="none" w:sz="0" w:space="0" w:color="auto"/>
            <w:right w:val="none" w:sz="0" w:space="0" w:color="auto"/>
          </w:divBdr>
        </w:div>
        <w:div w:id="927732836">
          <w:marLeft w:val="0"/>
          <w:marRight w:val="0"/>
          <w:marTop w:val="0"/>
          <w:marBottom w:val="0"/>
          <w:divBdr>
            <w:top w:val="none" w:sz="0" w:space="0" w:color="auto"/>
            <w:left w:val="none" w:sz="0" w:space="0" w:color="auto"/>
            <w:bottom w:val="none" w:sz="0" w:space="0" w:color="auto"/>
            <w:right w:val="none" w:sz="0" w:space="0" w:color="auto"/>
          </w:divBdr>
        </w:div>
        <w:div w:id="1202355484">
          <w:marLeft w:val="0"/>
          <w:marRight w:val="0"/>
          <w:marTop w:val="0"/>
          <w:marBottom w:val="0"/>
          <w:divBdr>
            <w:top w:val="none" w:sz="0" w:space="0" w:color="auto"/>
            <w:left w:val="none" w:sz="0" w:space="0" w:color="auto"/>
            <w:bottom w:val="none" w:sz="0" w:space="0" w:color="auto"/>
            <w:right w:val="none" w:sz="0" w:space="0" w:color="auto"/>
          </w:divBdr>
        </w:div>
        <w:div w:id="1082071855">
          <w:marLeft w:val="0"/>
          <w:marRight w:val="0"/>
          <w:marTop w:val="0"/>
          <w:marBottom w:val="0"/>
          <w:divBdr>
            <w:top w:val="none" w:sz="0" w:space="0" w:color="auto"/>
            <w:left w:val="none" w:sz="0" w:space="0" w:color="auto"/>
            <w:bottom w:val="none" w:sz="0" w:space="0" w:color="auto"/>
            <w:right w:val="none" w:sz="0" w:space="0" w:color="auto"/>
          </w:divBdr>
        </w:div>
        <w:div w:id="1547257132">
          <w:marLeft w:val="0"/>
          <w:marRight w:val="0"/>
          <w:marTop w:val="0"/>
          <w:marBottom w:val="0"/>
          <w:divBdr>
            <w:top w:val="none" w:sz="0" w:space="0" w:color="auto"/>
            <w:left w:val="none" w:sz="0" w:space="0" w:color="auto"/>
            <w:bottom w:val="none" w:sz="0" w:space="0" w:color="auto"/>
            <w:right w:val="none" w:sz="0" w:space="0" w:color="auto"/>
          </w:divBdr>
        </w:div>
        <w:div w:id="1073772439">
          <w:marLeft w:val="0"/>
          <w:marRight w:val="0"/>
          <w:marTop w:val="0"/>
          <w:marBottom w:val="0"/>
          <w:divBdr>
            <w:top w:val="none" w:sz="0" w:space="0" w:color="auto"/>
            <w:left w:val="none" w:sz="0" w:space="0" w:color="auto"/>
            <w:bottom w:val="none" w:sz="0" w:space="0" w:color="auto"/>
            <w:right w:val="none" w:sz="0" w:space="0" w:color="auto"/>
          </w:divBdr>
        </w:div>
        <w:div w:id="109328602">
          <w:marLeft w:val="0"/>
          <w:marRight w:val="0"/>
          <w:marTop w:val="0"/>
          <w:marBottom w:val="0"/>
          <w:divBdr>
            <w:top w:val="none" w:sz="0" w:space="0" w:color="auto"/>
            <w:left w:val="none" w:sz="0" w:space="0" w:color="auto"/>
            <w:bottom w:val="none" w:sz="0" w:space="0" w:color="auto"/>
            <w:right w:val="none" w:sz="0" w:space="0" w:color="auto"/>
          </w:divBdr>
        </w:div>
        <w:div w:id="261494699">
          <w:marLeft w:val="0"/>
          <w:marRight w:val="0"/>
          <w:marTop w:val="0"/>
          <w:marBottom w:val="0"/>
          <w:divBdr>
            <w:top w:val="none" w:sz="0" w:space="0" w:color="auto"/>
            <w:left w:val="none" w:sz="0" w:space="0" w:color="auto"/>
            <w:bottom w:val="none" w:sz="0" w:space="0" w:color="auto"/>
            <w:right w:val="none" w:sz="0" w:space="0" w:color="auto"/>
          </w:divBdr>
        </w:div>
        <w:div w:id="2016034290">
          <w:marLeft w:val="0"/>
          <w:marRight w:val="0"/>
          <w:marTop w:val="0"/>
          <w:marBottom w:val="0"/>
          <w:divBdr>
            <w:top w:val="none" w:sz="0" w:space="0" w:color="auto"/>
            <w:left w:val="none" w:sz="0" w:space="0" w:color="auto"/>
            <w:bottom w:val="none" w:sz="0" w:space="0" w:color="auto"/>
            <w:right w:val="none" w:sz="0" w:space="0" w:color="auto"/>
          </w:divBdr>
        </w:div>
        <w:div w:id="275718703">
          <w:marLeft w:val="0"/>
          <w:marRight w:val="0"/>
          <w:marTop w:val="0"/>
          <w:marBottom w:val="0"/>
          <w:divBdr>
            <w:top w:val="none" w:sz="0" w:space="0" w:color="auto"/>
            <w:left w:val="none" w:sz="0" w:space="0" w:color="auto"/>
            <w:bottom w:val="none" w:sz="0" w:space="0" w:color="auto"/>
            <w:right w:val="none" w:sz="0" w:space="0" w:color="auto"/>
          </w:divBdr>
        </w:div>
        <w:div w:id="1968583406">
          <w:marLeft w:val="0"/>
          <w:marRight w:val="0"/>
          <w:marTop w:val="0"/>
          <w:marBottom w:val="0"/>
          <w:divBdr>
            <w:top w:val="none" w:sz="0" w:space="0" w:color="auto"/>
            <w:left w:val="none" w:sz="0" w:space="0" w:color="auto"/>
            <w:bottom w:val="none" w:sz="0" w:space="0" w:color="auto"/>
            <w:right w:val="none" w:sz="0" w:space="0" w:color="auto"/>
          </w:divBdr>
        </w:div>
        <w:div w:id="2024434654">
          <w:marLeft w:val="0"/>
          <w:marRight w:val="0"/>
          <w:marTop w:val="0"/>
          <w:marBottom w:val="0"/>
          <w:divBdr>
            <w:top w:val="none" w:sz="0" w:space="0" w:color="auto"/>
            <w:left w:val="none" w:sz="0" w:space="0" w:color="auto"/>
            <w:bottom w:val="none" w:sz="0" w:space="0" w:color="auto"/>
            <w:right w:val="none" w:sz="0" w:space="0" w:color="auto"/>
          </w:divBdr>
        </w:div>
        <w:div w:id="1224802605">
          <w:marLeft w:val="0"/>
          <w:marRight w:val="0"/>
          <w:marTop w:val="0"/>
          <w:marBottom w:val="0"/>
          <w:divBdr>
            <w:top w:val="none" w:sz="0" w:space="0" w:color="auto"/>
            <w:left w:val="none" w:sz="0" w:space="0" w:color="auto"/>
            <w:bottom w:val="none" w:sz="0" w:space="0" w:color="auto"/>
            <w:right w:val="none" w:sz="0" w:space="0" w:color="auto"/>
          </w:divBdr>
        </w:div>
        <w:div w:id="297303064">
          <w:marLeft w:val="0"/>
          <w:marRight w:val="0"/>
          <w:marTop w:val="0"/>
          <w:marBottom w:val="0"/>
          <w:divBdr>
            <w:top w:val="none" w:sz="0" w:space="0" w:color="auto"/>
            <w:left w:val="none" w:sz="0" w:space="0" w:color="auto"/>
            <w:bottom w:val="none" w:sz="0" w:space="0" w:color="auto"/>
            <w:right w:val="none" w:sz="0" w:space="0" w:color="auto"/>
          </w:divBdr>
        </w:div>
        <w:div w:id="1449660814">
          <w:marLeft w:val="0"/>
          <w:marRight w:val="0"/>
          <w:marTop w:val="0"/>
          <w:marBottom w:val="0"/>
          <w:divBdr>
            <w:top w:val="none" w:sz="0" w:space="0" w:color="auto"/>
            <w:left w:val="none" w:sz="0" w:space="0" w:color="auto"/>
            <w:bottom w:val="none" w:sz="0" w:space="0" w:color="auto"/>
            <w:right w:val="none" w:sz="0" w:space="0" w:color="auto"/>
          </w:divBdr>
        </w:div>
        <w:div w:id="1988583184">
          <w:marLeft w:val="0"/>
          <w:marRight w:val="0"/>
          <w:marTop w:val="0"/>
          <w:marBottom w:val="0"/>
          <w:divBdr>
            <w:top w:val="none" w:sz="0" w:space="0" w:color="auto"/>
            <w:left w:val="none" w:sz="0" w:space="0" w:color="auto"/>
            <w:bottom w:val="none" w:sz="0" w:space="0" w:color="auto"/>
            <w:right w:val="none" w:sz="0" w:space="0" w:color="auto"/>
          </w:divBdr>
        </w:div>
        <w:div w:id="2052997187">
          <w:marLeft w:val="0"/>
          <w:marRight w:val="0"/>
          <w:marTop w:val="0"/>
          <w:marBottom w:val="0"/>
          <w:divBdr>
            <w:top w:val="none" w:sz="0" w:space="0" w:color="auto"/>
            <w:left w:val="none" w:sz="0" w:space="0" w:color="auto"/>
            <w:bottom w:val="none" w:sz="0" w:space="0" w:color="auto"/>
            <w:right w:val="none" w:sz="0" w:space="0" w:color="auto"/>
          </w:divBdr>
        </w:div>
        <w:div w:id="1546715419">
          <w:marLeft w:val="0"/>
          <w:marRight w:val="0"/>
          <w:marTop w:val="0"/>
          <w:marBottom w:val="0"/>
          <w:divBdr>
            <w:top w:val="none" w:sz="0" w:space="0" w:color="auto"/>
            <w:left w:val="none" w:sz="0" w:space="0" w:color="auto"/>
            <w:bottom w:val="none" w:sz="0" w:space="0" w:color="auto"/>
            <w:right w:val="none" w:sz="0" w:space="0" w:color="auto"/>
          </w:divBdr>
        </w:div>
        <w:div w:id="1916625871">
          <w:marLeft w:val="0"/>
          <w:marRight w:val="0"/>
          <w:marTop w:val="0"/>
          <w:marBottom w:val="0"/>
          <w:divBdr>
            <w:top w:val="none" w:sz="0" w:space="0" w:color="auto"/>
            <w:left w:val="none" w:sz="0" w:space="0" w:color="auto"/>
            <w:bottom w:val="none" w:sz="0" w:space="0" w:color="auto"/>
            <w:right w:val="none" w:sz="0" w:space="0" w:color="auto"/>
          </w:divBdr>
        </w:div>
        <w:div w:id="674108873">
          <w:marLeft w:val="0"/>
          <w:marRight w:val="0"/>
          <w:marTop w:val="0"/>
          <w:marBottom w:val="0"/>
          <w:divBdr>
            <w:top w:val="none" w:sz="0" w:space="0" w:color="auto"/>
            <w:left w:val="none" w:sz="0" w:space="0" w:color="auto"/>
            <w:bottom w:val="none" w:sz="0" w:space="0" w:color="auto"/>
            <w:right w:val="none" w:sz="0" w:space="0" w:color="auto"/>
          </w:divBdr>
        </w:div>
        <w:div w:id="1217855623">
          <w:marLeft w:val="0"/>
          <w:marRight w:val="0"/>
          <w:marTop w:val="0"/>
          <w:marBottom w:val="0"/>
          <w:divBdr>
            <w:top w:val="none" w:sz="0" w:space="0" w:color="auto"/>
            <w:left w:val="none" w:sz="0" w:space="0" w:color="auto"/>
            <w:bottom w:val="none" w:sz="0" w:space="0" w:color="auto"/>
            <w:right w:val="none" w:sz="0" w:space="0" w:color="auto"/>
          </w:divBdr>
        </w:div>
        <w:div w:id="1289315232">
          <w:marLeft w:val="0"/>
          <w:marRight w:val="0"/>
          <w:marTop w:val="0"/>
          <w:marBottom w:val="0"/>
          <w:divBdr>
            <w:top w:val="none" w:sz="0" w:space="0" w:color="auto"/>
            <w:left w:val="none" w:sz="0" w:space="0" w:color="auto"/>
            <w:bottom w:val="none" w:sz="0" w:space="0" w:color="auto"/>
            <w:right w:val="none" w:sz="0" w:space="0" w:color="auto"/>
          </w:divBdr>
        </w:div>
        <w:div w:id="690574096">
          <w:marLeft w:val="0"/>
          <w:marRight w:val="0"/>
          <w:marTop w:val="0"/>
          <w:marBottom w:val="0"/>
          <w:divBdr>
            <w:top w:val="none" w:sz="0" w:space="0" w:color="auto"/>
            <w:left w:val="none" w:sz="0" w:space="0" w:color="auto"/>
            <w:bottom w:val="none" w:sz="0" w:space="0" w:color="auto"/>
            <w:right w:val="none" w:sz="0" w:space="0" w:color="auto"/>
          </w:divBdr>
        </w:div>
        <w:div w:id="525757758">
          <w:marLeft w:val="0"/>
          <w:marRight w:val="0"/>
          <w:marTop w:val="0"/>
          <w:marBottom w:val="0"/>
          <w:divBdr>
            <w:top w:val="none" w:sz="0" w:space="0" w:color="auto"/>
            <w:left w:val="none" w:sz="0" w:space="0" w:color="auto"/>
            <w:bottom w:val="none" w:sz="0" w:space="0" w:color="auto"/>
            <w:right w:val="none" w:sz="0" w:space="0" w:color="auto"/>
          </w:divBdr>
        </w:div>
        <w:div w:id="206649851">
          <w:marLeft w:val="0"/>
          <w:marRight w:val="0"/>
          <w:marTop w:val="0"/>
          <w:marBottom w:val="0"/>
          <w:divBdr>
            <w:top w:val="none" w:sz="0" w:space="0" w:color="auto"/>
            <w:left w:val="none" w:sz="0" w:space="0" w:color="auto"/>
            <w:bottom w:val="none" w:sz="0" w:space="0" w:color="auto"/>
            <w:right w:val="none" w:sz="0" w:space="0" w:color="auto"/>
          </w:divBdr>
        </w:div>
        <w:div w:id="1683899120">
          <w:marLeft w:val="0"/>
          <w:marRight w:val="0"/>
          <w:marTop w:val="0"/>
          <w:marBottom w:val="0"/>
          <w:divBdr>
            <w:top w:val="none" w:sz="0" w:space="0" w:color="auto"/>
            <w:left w:val="none" w:sz="0" w:space="0" w:color="auto"/>
            <w:bottom w:val="none" w:sz="0" w:space="0" w:color="auto"/>
            <w:right w:val="none" w:sz="0" w:space="0" w:color="auto"/>
          </w:divBdr>
        </w:div>
      </w:divsChild>
    </w:div>
    <w:div w:id="358436221">
      <w:bodyDiv w:val="1"/>
      <w:marLeft w:val="0"/>
      <w:marRight w:val="0"/>
      <w:marTop w:val="0"/>
      <w:marBottom w:val="0"/>
      <w:divBdr>
        <w:top w:val="none" w:sz="0" w:space="0" w:color="auto"/>
        <w:left w:val="none" w:sz="0" w:space="0" w:color="auto"/>
        <w:bottom w:val="none" w:sz="0" w:space="0" w:color="auto"/>
        <w:right w:val="none" w:sz="0" w:space="0" w:color="auto"/>
      </w:divBdr>
    </w:div>
    <w:div w:id="372190909">
      <w:bodyDiv w:val="1"/>
      <w:marLeft w:val="0"/>
      <w:marRight w:val="0"/>
      <w:marTop w:val="0"/>
      <w:marBottom w:val="0"/>
      <w:divBdr>
        <w:top w:val="none" w:sz="0" w:space="0" w:color="auto"/>
        <w:left w:val="none" w:sz="0" w:space="0" w:color="auto"/>
        <w:bottom w:val="none" w:sz="0" w:space="0" w:color="auto"/>
        <w:right w:val="none" w:sz="0" w:space="0" w:color="auto"/>
      </w:divBdr>
    </w:div>
    <w:div w:id="453983495">
      <w:bodyDiv w:val="1"/>
      <w:marLeft w:val="0"/>
      <w:marRight w:val="0"/>
      <w:marTop w:val="0"/>
      <w:marBottom w:val="0"/>
      <w:divBdr>
        <w:top w:val="none" w:sz="0" w:space="0" w:color="auto"/>
        <w:left w:val="none" w:sz="0" w:space="0" w:color="auto"/>
        <w:bottom w:val="none" w:sz="0" w:space="0" w:color="auto"/>
        <w:right w:val="none" w:sz="0" w:space="0" w:color="auto"/>
      </w:divBdr>
      <w:divsChild>
        <w:div w:id="1604848421">
          <w:marLeft w:val="0"/>
          <w:marRight w:val="1"/>
          <w:marTop w:val="0"/>
          <w:marBottom w:val="0"/>
          <w:divBdr>
            <w:top w:val="none" w:sz="0" w:space="0" w:color="auto"/>
            <w:left w:val="none" w:sz="0" w:space="0" w:color="auto"/>
            <w:bottom w:val="none" w:sz="0" w:space="0" w:color="auto"/>
            <w:right w:val="none" w:sz="0" w:space="0" w:color="auto"/>
          </w:divBdr>
          <w:divsChild>
            <w:div w:id="1494178881">
              <w:marLeft w:val="0"/>
              <w:marRight w:val="0"/>
              <w:marTop w:val="0"/>
              <w:marBottom w:val="0"/>
              <w:divBdr>
                <w:top w:val="none" w:sz="0" w:space="0" w:color="auto"/>
                <w:left w:val="none" w:sz="0" w:space="0" w:color="auto"/>
                <w:bottom w:val="none" w:sz="0" w:space="0" w:color="auto"/>
                <w:right w:val="none" w:sz="0" w:space="0" w:color="auto"/>
              </w:divBdr>
              <w:divsChild>
                <w:div w:id="739716121">
                  <w:marLeft w:val="0"/>
                  <w:marRight w:val="1"/>
                  <w:marTop w:val="0"/>
                  <w:marBottom w:val="0"/>
                  <w:divBdr>
                    <w:top w:val="none" w:sz="0" w:space="0" w:color="auto"/>
                    <w:left w:val="none" w:sz="0" w:space="0" w:color="auto"/>
                    <w:bottom w:val="none" w:sz="0" w:space="0" w:color="auto"/>
                    <w:right w:val="none" w:sz="0" w:space="0" w:color="auto"/>
                  </w:divBdr>
                  <w:divsChild>
                    <w:div w:id="757018678">
                      <w:marLeft w:val="0"/>
                      <w:marRight w:val="0"/>
                      <w:marTop w:val="0"/>
                      <w:marBottom w:val="0"/>
                      <w:divBdr>
                        <w:top w:val="none" w:sz="0" w:space="0" w:color="auto"/>
                        <w:left w:val="none" w:sz="0" w:space="0" w:color="auto"/>
                        <w:bottom w:val="none" w:sz="0" w:space="0" w:color="auto"/>
                        <w:right w:val="none" w:sz="0" w:space="0" w:color="auto"/>
                      </w:divBdr>
                      <w:divsChild>
                        <w:div w:id="1676035785">
                          <w:marLeft w:val="0"/>
                          <w:marRight w:val="0"/>
                          <w:marTop w:val="0"/>
                          <w:marBottom w:val="0"/>
                          <w:divBdr>
                            <w:top w:val="none" w:sz="0" w:space="0" w:color="auto"/>
                            <w:left w:val="none" w:sz="0" w:space="0" w:color="auto"/>
                            <w:bottom w:val="none" w:sz="0" w:space="0" w:color="auto"/>
                            <w:right w:val="none" w:sz="0" w:space="0" w:color="auto"/>
                          </w:divBdr>
                          <w:divsChild>
                            <w:div w:id="188182648">
                              <w:marLeft w:val="0"/>
                              <w:marRight w:val="0"/>
                              <w:marTop w:val="120"/>
                              <w:marBottom w:val="360"/>
                              <w:divBdr>
                                <w:top w:val="none" w:sz="0" w:space="0" w:color="auto"/>
                                <w:left w:val="none" w:sz="0" w:space="0" w:color="auto"/>
                                <w:bottom w:val="none" w:sz="0" w:space="0" w:color="auto"/>
                                <w:right w:val="none" w:sz="0" w:space="0" w:color="auto"/>
                              </w:divBdr>
                              <w:divsChild>
                                <w:div w:id="1336497118">
                                  <w:marLeft w:val="0"/>
                                  <w:marRight w:val="0"/>
                                  <w:marTop w:val="0"/>
                                  <w:marBottom w:val="0"/>
                                  <w:divBdr>
                                    <w:top w:val="none" w:sz="0" w:space="0" w:color="auto"/>
                                    <w:left w:val="none" w:sz="0" w:space="0" w:color="auto"/>
                                    <w:bottom w:val="none" w:sz="0" w:space="0" w:color="auto"/>
                                    <w:right w:val="none" w:sz="0" w:space="0" w:color="auto"/>
                                  </w:divBdr>
                                </w:div>
                                <w:div w:id="179976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0812">
      <w:bodyDiv w:val="1"/>
      <w:marLeft w:val="0"/>
      <w:marRight w:val="0"/>
      <w:marTop w:val="0"/>
      <w:marBottom w:val="0"/>
      <w:divBdr>
        <w:top w:val="none" w:sz="0" w:space="0" w:color="auto"/>
        <w:left w:val="none" w:sz="0" w:space="0" w:color="auto"/>
        <w:bottom w:val="none" w:sz="0" w:space="0" w:color="auto"/>
        <w:right w:val="none" w:sz="0" w:space="0" w:color="auto"/>
      </w:divBdr>
    </w:div>
    <w:div w:id="548689110">
      <w:bodyDiv w:val="1"/>
      <w:marLeft w:val="0"/>
      <w:marRight w:val="0"/>
      <w:marTop w:val="0"/>
      <w:marBottom w:val="0"/>
      <w:divBdr>
        <w:top w:val="none" w:sz="0" w:space="0" w:color="auto"/>
        <w:left w:val="none" w:sz="0" w:space="0" w:color="auto"/>
        <w:bottom w:val="none" w:sz="0" w:space="0" w:color="auto"/>
        <w:right w:val="none" w:sz="0" w:space="0" w:color="auto"/>
      </w:divBdr>
      <w:divsChild>
        <w:div w:id="1176111280">
          <w:marLeft w:val="0"/>
          <w:marRight w:val="0"/>
          <w:marTop w:val="0"/>
          <w:marBottom w:val="0"/>
          <w:divBdr>
            <w:top w:val="none" w:sz="0" w:space="0" w:color="auto"/>
            <w:left w:val="none" w:sz="0" w:space="0" w:color="auto"/>
            <w:bottom w:val="none" w:sz="0" w:space="0" w:color="auto"/>
            <w:right w:val="none" w:sz="0" w:space="0" w:color="auto"/>
          </w:divBdr>
        </w:div>
        <w:div w:id="1302075210">
          <w:marLeft w:val="0"/>
          <w:marRight w:val="0"/>
          <w:marTop w:val="0"/>
          <w:marBottom w:val="0"/>
          <w:divBdr>
            <w:top w:val="none" w:sz="0" w:space="0" w:color="auto"/>
            <w:left w:val="none" w:sz="0" w:space="0" w:color="auto"/>
            <w:bottom w:val="none" w:sz="0" w:space="0" w:color="auto"/>
            <w:right w:val="none" w:sz="0" w:space="0" w:color="auto"/>
          </w:divBdr>
        </w:div>
        <w:div w:id="11078038">
          <w:marLeft w:val="0"/>
          <w:marRight w:val="0"/>
          <w:marTop w:val="0"/>
          <w:marBottom w:val="0"/>
          <w:divBdr>
            <w:top w:val="none" w:sz="0" w:space="0" w:color="auto"/>
            <w:left w:val="none" w:sz="0" w:space="0" w:color="auto"/>
            <w:bottom w:val="none" w:sz="0" w:space="0" w:color="auto"/>
            <w:right w:val="none" w:sz="0" w:space="0" w:color="auto"/>
          </w:divBdr>
        </w:div>
        <w:div w:id="1177381736">
          <w:marLeft w:val="0"/>
          <w:marRight w:val="0"/>
          <w:marTop w:val="0"/>
          <w:marBottom w:val="0"/>
          <w:divBdr>
            <w:top w:val="none" w:sz="0" w:space="0" w:color="auto"/>
            <w:left w:val="none" w:sz="0" w:space="0" w:color="auto"/>
            <w:bottom w:val="none" w:sz="0" w:space="0" w:color="auto"/>
            <w:right w:val="none" w:sz="0" w:space="0" w:color="auto"/>
          </w:divBdr>
        </w:div>
        <w:div w:id="347565149">
          <w:marLeft w:val="0"/>
          <w:marRight w:val="0"/>
          <w:marTop w:val="0"/>
          <w:marBottom w:val="0"/>
          <w:divBdr>
            <w:top w:val="none" w:sz="0" w:space="0" w:color="auto"/>
            <w:left w:val="none" w:sz="0" w:space="0" w:color="auto"/>
            <w:bottom w:val="none" w:sz="0" w:space="0" w:color="auto"/>
            <w:right w:val="none" w:sz="0" w:space="0" w:color="auto"/>
          </w:divBdr>
        </w:div>
        <w:div w:id="1601447709">
          <w:marLeft w:val="0"/>
          <w:marRight w:val="0"/>
          <w:marTop w:val="0"/>
          <w:marBottom w:val="0"/>
          <w:divBdr>
            <w:top w:val="none" w:sz="0" w:space="0" w:color="auto"/>
            <w:left w:val="none" w:sz="0" w:space="0" w:color="auto"/>
            <w:bottom w:val="none" w:sz="0" w:space="0" w:color="auto"/>
            <w:right w:val="none" w:sz="0" w:space="0" w:color="auto"/>
          </w:divBdr>
        </w:div>
        <w:div w:id="361439719">
          <w:marLeft w:val="0"/>
          <w:marRight w:val="0"/>
          <w:marTop w:val="0"/>
          <w:marBottom w:val="0"/>
          <w:divBdr>
            <w:top w:val="none" w:sz="0" w:space="0" w:color="auto"/>
            <w:left w:val="none" w:sz="0" w:space="0" w:color="auto"/>
            <w:bottom w:val="none" w:sz="0" w:space="0" w:color="auto"/>
            <w:right w:val="none" w:sz="0" w:space="0" w:color="auto"/>
          </w:divBdr>
        </w:div>
        <w:div w:id="510417285">
          <w:marLeft w:val="0"/>
          <w:marRight w:val="0"/>
          <w:marTop w:val="0"/>
          <w:marBottom w:val="0"/>
          <w:divBdr>
            <w:top w:val="none" w:sz="0" w:space="0" w:color="auto"/>
            <w:left w:val="none" w:sz="0" w:space="0" w:color="auto"/>
            <w:bottom w:val="none" w:sz="0" w:space="0" w:color="auto"/>
            <w:right w:val="none" w:sz="0" w:space="0" w:color="auto"/>
          </w:divBdr>
        </w:div>
        <w:div w:id="2022317502">
          <w:marLeft w:val="0"/>
          <w:marRight w:val="0"/>
          <w:marTop w:val="0"/>
          <w:marBottom w:val="0"/>
          <w:divBdr>
            <w:top w:val="none" w:sz="0" w:space="0" w:color="auto"/>
            <w:left w:val="none" w:sz="0" w:space="0" w:color="auto"/>
            <w:bottom w:val="none" w:sz="0" w:space="0" w:color="auto"/>
            <w:right w:val="none" w:sz="0" w:space="0" w:color="auto"/>
          </w:divBdr>
        </w:div>
      </w:divsChild>
    </w:div>
    <w:div w:id="580138086">
      <w:bodyDiv w:val="1"/>
      <w:marLeft w:val="0"/>
      <w:marRight w:val="0"/>
      <w:marTop w:val="0"/>
      <w:marBottom w:val="0"/>
      <w:divBdr>
        <w:top w:val="none" w:sz="0" w:space="0" w:color="auto"/>
        <w:left w:val="none" w:sz="0" w:space="0" w:color="auto"/>
        <w:bottom w:val="none" w:sz="0" w:space="0" w:color="auto"/>
        <w:right w:val="none" w:sz="0" w:space="0" w:color="auto"/>
      </w:divBdr>
      <w:divsChild>
        <w:div w:id="846558004">
          <w:marLeft w:val="0"/>
          <w:marRight w:val="0"/>
          <w:marTop w:val="0"/>
          <w:marBottom w:val="0"/>
          <w:divBdr>
            <w:top w:val="none" w:sz="0" w:space="0" w:color="auto"/>
            <w:left w:val="none" w:sz="0" w:space="0" w:color="auto"/>
            <w:bottom w:val="none" w:sz="0" w:space="0" w:color="auto"/>
            <w:right w:val="none" w:sz="0" w:space="0" w:color="auto"/>
          </w:divBdr>
        </w:div>
        <w:div w:id="994190766">
          <w:marLeft w:val="0"/>
          <w:marRight w:val="0"/>
          <w:marTop w:val="0"/>
          <w:marBottom w:val="0"/>
          <w:divBdr>
            <w:top w:val="none" w:sz="0" w:space="0" w:color="auto"/>
            <w:left w:val="none" w:sz="0" w:space="0" w:color="auto"/>
            <w:bottom w:val="none" w:sz="0" w:space="0" w:color="auto"/>
            <w:right w:val="none" w:sz="0" w:space="0" w:color="auto"/>
          </w:divBdr>
        </w:div>
      </w:divsChild>
    </w:div>
    <w:div w:id="613711113">
      <w:bodyDiv w:val="1"/>
      <w:marLeft w:val="0"/>
      <w:marRight w:val="0"/>
      <w:marTop w:val="0"/>
      <w:marBottom w:val="0"/>
      <w:divBdr>
        <w:top w:val="none" w:sz="0" w:space="0" w:color="auto"/>
        <w:left w:val="none" w:sz="0" w:space="0" w:color="auto"/>
        <w:bottom w:val="none" w:sz="0" w:space="0" w:color="auto"/>
        <w:right w:val="none" w:sz="0" w:space="0" w:color="auto"/>
      </w:divBdr>
    </w:div>
    <w:div w:id="669987661">
      <w:bodyDiv w:val="1"/>
      <w:marLeft w:val="0"/>
      <w:marRight w:val="0"/>
      <w:marTop w:val="0"/>
      <w:marBottom w:val="0"/>
      <w:divBdr>
        <w:top w:val="none" w:sz="0" w:space="0" w:color="auto"/>
        <w:left w:val="none" w:sz="0" w:space="0" w:color="auto"/>
        <w:bottom w:val="none" w:sz="0" w:space="0" w:color="auto"/>
        <w:right w:val="none" w:sz="0" w:space="0" w:color="auto"/>
      </w:divBdr>
    </w:div>
    <w:div w:id="763918979">
      <w:bodyDiv w:val="1"/>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1740709845">
          <w:marLeft w:val="0"/>
          <w:marRight w:val="0"/>
          <w:marTop w:val="0"/>
          <w:marBottom w:val="0"/>
          <w:divBdr>
            <w:top w:val="none" w:sz="0" w:space="0" w:color="auto"/>
            <w:left w:val="none" w:sz="0" w:space="0" w:color="auto"/>
            <w:bottom w:val="none" w:sz="0" w:space="0" w:color="auto"/>
            <w:right w:val="none" w:sz="0" w:space="0" w:color="auto"/>
          </w:divBdr>
        </w:div>
        <w:div w:id="772438840">
          <w:marLeft w:val="0"/>
          <w:marRight w:val="0"/>
          <w:marTop w:val="0"/>
          <w:marBottom w:val="0"/>
          <w:divBdr>
            <w:top w:val="none" w:sz="0" w:space="0" w:color="auto"/>
            <w:left w:val="none" w:sz="0" w:space="0" w:color="auto"/>
            <w:bottom w:val="none" w:sz="0" w:space="0" w:color="auto"/>
            <w:right w:val="none" w:sz="0" w:space="0" w:color="auto"/>
          </w:divBdr>
        </w:div>
        <w:div w:id="1021785049">
          <w:marLeft w:val="0"/>
          <w:marRight w:val="0"/>
          <w:marTop w:val="0"/>
          <w:marBottom w:val="0"/>
          <w:divBdr>
            <w:top w:val="none" w:sz="0" w:space="0" w:color="auto"/>
            <w:left w:val="none" w:sz="0" w:space="0" w:color="auto"/>
            <w:bottom w:val="none" w:sz="0" w:space="0" w:color="auto"/>
            <w:right w:val="none" w:sz="0" w:space="0" w:color="auto"/>
          </w:divBdr>
        </w:div>
        <w:div w:id="592780407">
          <w:marLeft w:val="0"/>
          <w:marRight w:val="0"/>
          <w:marTop w:val="0"/>
          <w:marBottom w:val="0"/>
          <w:divBdr>
            <w:top w:val="none" w:sz="0" w:space="0" w:color="auto"/>
            <w:left w:val="none" w:sz="0" w:space="0" w:color="auto"/>
            <w:bottom w:val="none" w:sz="0" w:space="0" w:color="auto"/>
            <w:right w:val="none" w:sz="0" w:space="0" w:color="auto"/>
          </w:divBdr>
        </w:div>
        <w:div w:id="351341253">
          <w:marLeft w:val="0"/>
          <w:marRight w:val="0"/>
          <w:marTop w:val="0"/>
          <w:marBottom w:val="0"/>
          <w:divBdr>
            <w:top w:val="none" w:sz="0" w:space="0" w:color="auto"/>
            <w:left w:val="none" w:sz="0" w:space="0" w:color="auto"/>
            <w:bottom w:val="none" w:sz="0" w:space="0" w:color="auto"/>
            <w:right w:val="none" w:sz="0" w:space="0" w:color="auto"/>
          </w:divBdr>
        </w:div>
        <w:div w:id="953942691">
          <w:marLeft w:val="0"/>
          <w:marRight w:val="0"/>
          <w:marTop w:val="0"/>
          <w:marBottom w:val="0"/>
          <w:divBdr>
            <w:top w:val="none" w:sz="0" w:space="0" w:color="auto"/>
            <w:left w:val="none" w:sz="0" w:space="0" w:color="auto"/>
            <w:bottom w:val="none" w:sz="0" w:space="0" w:color="auto"/>
            <w:right w:val="none" w:sz="0" w:space="0" w:color="auto"/>
          </w:divBdr>
        </w:div>
      </w:divsChild>
    </w:div>
    <w:div w:id="769397630">
      <w:bodyDiv w:val="1"/>
      <w:marLeft w:val="0"/>
      <w:marRight w:val="0"/>
      <w:marTop w:val="0"/>
      <w:marBottom w:val="0"/>
      <w:divBdr>
        <w:top w:val="none" w:sz="0" w:space="0" w:color="auto"/>
        <w:left w:val="none" w:sz="0" w:space="0" w:color="auto"/>
        <w:bottom w:val="none" w:sz="0" w:space="0" w:color="auto"/>
        <w:right w:val="none" w:sz="0" w:space="0" w:color="auto"/>
      </w:divBdr>
    </w:div>
    <w:div w:id="973220552">
      <w:bodyDiv w:val="1"/>
      <w:marLeft w:val="0"/>
      <w:marRight w:val="0"/>
      <w:marTop w:val="0"/>
      <w:marBottom w:val="0"/>
      <w:divBdr>
        <w:top w:val="none" w:sz="0" w:space="0" w:color="auto"/>
        <w:left w:val="none" w:sz="0" w:space="0" w:color="auto"/>
        <w:bottom w:val="none" w:sz="0" w:space="0" w:color="auto"/>
        <w:right w:val="none" w:sz="0" w:space="0" w:color="auto"/>
      </w:divBdr>
    </w:div>
    <w:div w:id="983435886">
      <w:bodyDiv w:val="1"/>
      <w:marLeft w:val="0"/>
      <w:marRight w:val="0"/>
      <w:marTop w:val="0"/>
      <w:marBottom w:val="0"/>
      <w:divBdr>
        <w:top w:val="none" w:sz="0" w:space="0" w:color="auto"/>
        <w:left w:val="none" w:sz="0" w:space="0" w:color="auto"/>
        <w:bottom w:val="none" w:sz="0" w:space="0" w:color="auto"/>
        <w:right w:val="none" w:sz="0" w:space="0" w:color="auto"/>
      </w:divBdr>
      <w:divsChild>
        <w:div w:id="38823908">
          <w:marLeft w:val="0"/>
          <w:marRight w:val="0"/>
          <w:marTop w:val="0"/>
          <w:marBottom w:val="0"/>
          <w:divBdr>
            <w:top w:val="none" w:sz="0" w:space="0" w:color="auto"/>
            <w:left w:val="none" w:sz="0" w:space="0" w:color="auto"/>
            <w:bottom w:val="none" w:sz="0" w:space="0" w:color="auto"/>
            <w:right w:val="none" w:sz="0" w:space="0" w:color="auto"/>
          </w:divBdr>
        </w:div>
        <w:div w:id="400715754">
          <w:marLeft w:val="0"/>
          <w:marRight w:val="0"/>
          <w:marTop w:val="0"/>
          <w:marBottom w:val="0"/>
          <w:divBdr>
            <w:top w:val="none" w:sz="0" w:space="0" w:color="auto"/>
            <w:left w:val="none" w:sz="0" w:space="0" w:color="auto"/>
            <w:bottom w:val="none" w:sz="0" w:space="0" w:color="auto"/>
            <w:right w:val="none" w:sz="0" w:space="0" w:color="auto"/>
          </w:divBdr>
        </w:div>
      </w:divsChild>
    </w:div>
    <w:div w:id="993602495">
      <w:bodyDiv w:val="1"/>
      <w:marLeft w:val="0"/>
      <w:marRight w:val="0"/>
      <w:marTop w:val="0"/>
      <w:marBottom w:val="0"/>
      <w:divBdr>
        <w:top w:val="none" w:sz="0" w:space="0" w:color="auto"/>
        <w:left w:val="none" w:sz="0" w:space="0" w:color="auto"/>
        <w:bottom w:val="none" w:sz="0" w:space="0" w:color="auto"/>
        <w:right w:val="none" w:sz="0" w:space="0" w:color="auto"/>
      </w:divBdr>
      <w:divsChild>
        <w:div w:id="1000544725">
          <w:marLeft w:val="0"/>
          <w:marRight w:val="0"/>
          <w:marTop w:val="0"/>
          <w:marBottom w:val="0"/>
          <w:divBdr>
            <w:top w:val="none" w:sz="0" w:space="0" w:color="auto"/>
            <w:left w:val="none" w:sz="0" w:space="0" w:color="auto"/>
            <w:bottom w:val="none" w:sz="0" w:space="0" w:color="auto"/>
            <w:right w:val="none" w:sz="0" w:space="0" w:color="auto"/>
          </w:divBdr>
        </w:div>
        <w:div w:id="19942214">
          <w:marLeft w:val="0"/>
          <w:marRight w:val="0"/>
          <w:marTop w:val="0"/>
          <w:marBottom w:val="0"/>
          <w:divBdr>
            <w:top w:val="none" w:sz="0" w:space="0" w:color="auto"/>
            <w:left w:val="none" w:sz="0" w:space="0" w:color="auto"/>
            <w:bottom w:val="none" w:sz="0" w:space="0" w:color="auto"/>
            <w:right w:val="none" w:sz="0" w:space="0" w:color="auto"/>
          </w:divBdr>
        </w:div>
        <w:div w:id="1277374185">
          <w:marLeft w:val="0"/>
          <w:marRight w:val="0"/>
          <w:marTop w:val="0"/>
          <w:marBottom w:val="0"/>
          <w:divBdr>
            <w:top w:val="none" w:sz="0" w:space="0" w:color="auto"/>
            <w:left w:val="none" w:sz="0" w:space="0" w:color="auto"/>
            <w:bottom w:val="none" w:sz="0" w:space="0" w:color="auto"/>
            <w:right w:val="none" w:sz="0" w:space="0" w:color="auto"/>
          </w:divBdr>
        </w:div>
        <w:div w:id="681054485">
          <w:marLeft w:val="0"/>
          <w:marRight w:val="0"/>
          <w:marTop w:val="0"/>
          <w:marBottom w:val="0"/>
          <w:divBdr>
            <w:top w:val="none" w:sz="0" w:space="0" w:color="auto"/>
            <w:left w:val="none" w:sz="0" w:space="0" w:color="auto"/>
            <w:bottom w:val="none" w:sz="0" w:space="0" w:color="auto"/>
            <w:right w:val="none" w:sz="0" w:space="0" w:color="auto"/>
          </w:divBdr>
        </w:div>
        <w:div w:id="1346981436">
          <w:marLeft w:val="0"/>
          <w:marRight w:val="0"/>
          <w:marTop w:val="0"/>
          <w:marBottom w:val="0"/>
          <w:divBdr>
            <w:top w:val="none" w:sz="0" w:space="0" w:color="auto"/>
            <w:left w:val="none" w:sz="0" w:space="0" w:color="auto"/>
            <w:bottom w:val="none" w:sz="0" w:space="0" w:color="auto"/>
            <w:right w:val="none" w:sz="0" w:space="0" w:color="auto"/>
          </w:divBdr>
        </w:div>
        <w:div w:id="665188">
          <w:marLeft w:val="0"/>
          <w:marRight w:val="0"/>
          <w:marTop w:val="0"/>
          <w:marBottom w:val="0"/>
          <w:divBdr>
            <w:top w:val="none" w:sz="0" w:space="0" w:color="auto"/>
            <w:left w:val="none" w:sz="0" w:space="0" w:color="auto"/>
            <w:bottom w:val="none" w:sz="0" w:space="0" w:color="auto"/>
            <w:right w:val="none" w:sz="0" w:space="0" w:color="auto"/>
          </w:divBdr>
        </w:div>
        <w:div w:id="1527526784">
          <w:marLeft w:val="0"/>
          <w:marRight w:val="0"/>
          <w:marTop w:val="0"/>
          <w:marBottom w:val="0"/>
          <w:divBdr>
            <w:top w:val="none" w:sz="0" w:space="0" w:color="auto"/>
            <w:left w:val="none" w:sz="0" w:space="0" w:color="auto"/>
            <w:bottom w:val="none" w:sz="0" w:space="0" w:color="auto"/>
            <w:right w:val="none" w:sz="0" w:space="0" w:color="auto"/>
          </w:divBdr>
        </w:div>
        <w:div w:id="2057579742">
          <w:marLeft w:val="0"/>
          <w:marRight w:val="0"/>
          <w:marTop w:val="0"/>
          <w:marBottom w:val="0"/>
          <w:divBdr>
            <w:top w:val="none" w:sz="0" w:space="0" w:color="auto"/>
            <w:left w:val="none" w:sz="0" w:space="0" w:color="auto"/>
            <w:bottom w:val="none" w:sz="0" w:space="0" w:color="auto"/>
            <w:right w:val="none" w:sz="0" w:space="0" w:color="auto"/>
          </w:divBdr>
        </w:div>
        <w:div w:id="1603688562">
          <w:marLeft w:val="0"/>
          <w:marRight w:val="0"/>
          <w:marTop w:val="0"/>
          <w:marBottom w:val="0"/>
          <w:divBdr>
            <w:top w:val="none" w:sz="0" w:space="0" w:color="auto"/>
            <w:left w:val="none" w:sz="0" w:space="0" w:color="auto"/>
            <w:bottom w:val="none" w:sz="0" w:space="0" w:color="auto"/>
            <w:right w:val="none" w:sz="0" w:space="0" w:color="auto"/>
          </w:divBdr>
        </w:div>
        <w:div w:id="1079444865">
          <w:marLeft w:val="0"/>
          <w:marRight w:val="0"/>
          <w:marTop w:val="0"/>
          <w:marBottom w:val="0"/>
          <w:divBdr>
            <w:top w:val="none" w:sz="0" w:space="0" w:color="auto"/>
            <w:left w:val="none" w:sz="0" w:space="0" w:color="auto"/>
            <w:bottom w:val="none" w:sz="0" w:space="0" w:color="auto"/>
            <w:right w:val="none" w:sz="0" w:space="0" w:color="auto"/>
          </w:divBdr>
        </w:div>
      </w:divsChild>
    </w:div>
    <w:div w:id="997071958">
      <w:bodyDiv w:val="1"/>
      <w:marLeft w:val="0"/>
      <w:marRight w:val="0"/>
      <w:marTop w:val="0"/>
      <w:marBottom w:val="0"/>
      <w:divBdr>
        <w:top w:val="none" w:sz="0" w:space="0" w:color="auto"/>
        <w:left w:val="none" w:sz="0" w:space="0" w:color="auto"/>
        <w:bottom w:val="none" w:sz="0" w:space="0" w:color="auto"/>
        <w:right w:val="none" w:sz="0" w:space="0" w:color="auto"/>
      </w:divBdr>
      <w:divsChild>
        <w:div w:id="817770818">
          <w:marLeft w:val="0"/>
          <w:marRight w:val="0"/>
          <w:marTop w:val="0"/>
          <w:marBottom w:val="0"/>
          <w:divBdr>
            <w:top w:val="none" w:sz="0" w:space="0" w:color="auto"/>
            <w:left w:val="none" w:sz="0" w:space="0" w:color="auto"/>
            <w:bottom w:val="none" w:sz="0" w:space="0" w:color="auto"/>
            <w:right w:val="none" w:sz="0" w:space="0" w:color="auto"/>
          </w:divBdr>
        </w:div>
        <w:div w:id="1443845955">
          <w:marLeft w:val="0"/>
          <w:marRight w:val="0"/>
          <w:marTop w:val="0"/>
          <w:marBottom w:val="0"/>
          <w:divBdr>
            <w:top w:val="none" w:sz="0" w:space="0" w:color="auto"/>
            <w:left w:val="none" w:sz="0" w:space="0" w:color="auto"/>
            <w:bottom w:val="none" w:sz="0" w:space="0" w:color="auto"/>
            <w:right w:val="none" w:sz="0" w:space="0" w:color="auto"/>
          </w:divBdr>
        </w:div>
      </w:divsChild>
    </w:div>
    <w:div w:id="1025329185">
      <w:bodyDiv w:val="1"/>
      <w:marLeft w:val="0"/>
      <w:marRight w:val="0"/>
      <w:marTop w:val="0"/>
      <w:marBottom w:val="0"/>
      <w:divBdr>
        <w:top w:val="none" w:sz="0" w:space="0" w:color="auto"/>
        <w:left w:val="none" w:sz="0" w:space="0" w:color="auto"/>
        <w:bottom w:val="none" w:sz="0" w:space="0" w:color="auto"/>
        <w:right w:val="none" w:sz="0" w:space="0" w:color="auto"/>
      </w:divBdr>
    </w:div>
    <w:div w:id="1128087254">
      <w:bodyDiv w:val="1"/>
      <w:marLeft w:val="0"/>
      <w:marRight w:val="0"/>
      <w:marTop w:val="0"/>
      <w:marBottom w:val="0"/>
      <w:divBdr>
        <w:top w:val="none" w:sz="0" w:space="0" w:color="auto"/>
        <w:left w:val="none" w:sz="0" w:space="0" w:color="auto"/>
        <w:bottom w:val="none" w:sz="0" w:space="0" w:color="auto"/>
        <w:right w:val="none" w:sz="0" w:space="0" w:color="auto"/>
      </w:divBdr>
    </w:div>
    <w:div w:id="1149203060">
      <w:bodyDiv w:val="1"/>
      <w:marLeft w:val="0"/>
      <w:marRight w:val="0"/>
      <w:marTop w:val="0"/>
      <w:marBottom w:val="0"/>
      <w:divBdr>
        <w:top w:val="none" w:sz="0" w:space="0" w:color="auto"/>
        <w:left w:val="none" w:sz="0" w:space="0" w:color="auto"/>
        <w:bottom w:val="none" w:sz="0" w:space="0" w:color="auto"/>
        <w:right w:val="none" w:sz="0" w:space="0" w:color="auto"/>
      </w:divBdr>
      <w:divsChild>
        <w:div w:id="408385532">
          <w:marLeft w:val="0"/>
          <w:marRight w:val="0"/>
          <w:marTop w:val="0"/>
          <w:marBottom w:val="0"/>
          <w:divBdr>
            <w:top w:val="none" w:sz="0" w:space="0" w:color="auto"/>
            <w:left w:val="none" w:sz="0" w:space="0" w:color="auto"/>
            <w:bottom w:val="none" w:sz="0" w:space="0" w:color="auto"/>
            <w:right w:val="none" w:sz="0" w:space="0" w:color="auto"/>
          </w:divBdr>
        </w:div>
        <w:div w:id="461385509">
          <w:marLeft w:val="0"/>
          <w:marRight w:val="0"/>
          <w:marTop w:val="0"/>
          <w:marBottom w:val="0"/>
          <w:divBdr>
            <w:top w:val="none" w:sz="0" w:space="0" w:color="auto"/>
            <w:left w:val="none" w:sz="0" w:space="0" w:color="auto"/>
            <w:bottom w:val="none" w:sz="0" w:space="0" w:color="auto"/>
            <w:right w:val="none" w:sz="0" w:space="0" w:color="auto"/>
          </w:divBdr>
        </w:div>
      </w:divsChild>
    </w:div>
    <w:div w:id="1238124902">
      <w:bodyDiv w:val="1"/>
      <w:marLeft w:val="0"/>
      <w:marRight w:val="0"/>
      <w:marTop w:val="0"/>
      <w:marBottom w:val="0"/>
      <w:divBdr>
        <w:top w:val="none" w:sz="0" w:space="0" w:color="auto"/>
        <w:left w:val="none" w:sz="0" w:space="0" w:color="auto"/>
        <w:bottom w:val="none" w:sz="0" w:space="0" w:color="auto"/>
        <w:right w:val="none" w:sz="0" w:space="0" w:color="auto"/>
      </w:divBdr>
    </w:div>
    <w:div w:id="1244531690">
      <w:bodyDiv w:val="1"/>
      <w:marLeft w:val="0"/>
      <w:marRight w:val="0"/>
      <w:marTop w:val="0"/>
      <w:marBottom w:val="0"/>
      <w:divBdr>
        <w:top w:val="none" w:sz="0" w:space="0" w:color="auto"/>
        <w:left w:val="none" w:sz="0" w:space="0" w:color="auto"/>
        <w:bottom w:val="none" w:sz="0" w:space="0" w:color="auto"/>
        <w:right w:val="none" w:sz="0" w:space="0" w:color="auto"/>
      </w:divBdr>
      <w:divsChild>
        <w:div w:id="1542546509">
          <w:marLeft w:val="0"/>
          <w:marRight w:val="0"/>
          <w:marTop w:val="0"/>
          <w:marBottom w:val="0"/>
          <w:divBdr>
            <w:top w:val="none" w:sz="0" w:space="0" w:color="auto"/>
            <w:left w:val="none" w:sz="0" w:space="0" w:color="auto"/>
            <w:bottom w:val="none" w:sz="0" w:space="0" w:color="auto"/>
            <w:right w:val="none" w:sz="0" w:space="0" w:color="auto"/>
          </w:divBdr>
        </w:div>
        <w:div w:id="337467750">
          <w:marLeft w:val="0"/>
          <w:marRight w:val="0"/>
          <w:marTop w:val="0"/>
          <w:marBottom w:val="0"/>
          <w:divBdr>
            <w:top w:val="none" w:sz="0" w:space="0" w:color="auto"/>
            <w:left w:val="none" w:sz="0" w:space="0" w:color="auto"/>
            <w:bottom w:val="none" w:sz="0" w:space="0" w:color="auto"/>
            <w:right w:val="none" w:sz="0" w:space="0" w:color="auto"/>
          </w:divBdr>
        </w:div>
        <w:div w:id="838424795">
          <w:marLeft w:val="0"/>
          <w:marRight w:val="0"/>
          <w:marTop w:val="0"/>
          <w:marBottom w:val="0"/>
          <w:divBdr>
            <w:top w:val="none" w:sz="0" w:space="0" w:color="auto"/>
            <w:left w:val="none" w:sz="0" w:space="0" w:color="auto"/>
            <w:bottom w:val="none" w:sz="0" w:space="0" w:color="auto"/>
            <w:right w:val="none" w:sz="0" w:space="0" w:color="auto"/>
          </w:divBdr>
        </w:div>
        <w:div w:id="1736124956">
          <w:marLeft w:val="0"/>
          <w:marRight w:val="0"/>
          <w:marTop w:val="0"/>
          <w:marBottom w:val="0"/>
          <w:divBdr>
            <w:top w:val="none" w:sz="0" w:space="0" w:color="auto"/>
            <w:left w:val="none" w:sz="0" w:space="0" w:color="auto"/>
            <w:bottom w:val="none" w:sz="0" w:space="0" w:color="auto"/>
            <w:right w:val="none" w:sz="0" w:space="0" w:color="auto"/>
          </w:divBdr>
        </w:div>
        <w:div w:id="1133186">
          <w:marLeft w:val="0"/>
          <w:marRight w:val="0"/>
          <w:marTop w:val="0"/>
          <w:marBottom w:val="0"/>
          <w:divBdr>
            <w:top w:val="none" w:sz="0" w:space="0" w:color="auto"/>
            <w:left w:val="none" w:sz="0" w:space="0" w:color="auto"/>
            <w:bottom w:val="none" w:sz="0" w:space="0" w:color="auto"/>
            <w:right w:val="none" w:sz="0" w:space="0" w:color="auto"/>
          </w:divBdr>
        </w:div>
        <w:div w:id="1784497015">
          <w:marLeft w:val="0"/>
          <w:marRight w:val="0"/>
          <w:marTop w:val="0"/>
          <w:marBottom w:val="0"/>
          <w:divBdr>
            <w:top w:val="none" w:sz="0" w:space="0" w:color="auto"/>
            <w:left w:val="none" w:sz="0" w:space="0" w:color="auto"/>
            <w:bottom w:val="none" w:sz="0" w:space="0" w:color="auto"/>
            <w:right w:val="none" w:sz="0" w:space="0" w:color="auto"/>
          </w:divBdr>
        </w:div>
        <w:div w:id="1005137025">
          <w:marLeft w:val="0"/>
          <w:marRight w:val="0"/>
          <w:marTop w:val="0"/>
          <w:marBottom w:val="0"/>
          <w:divBdr>
            <w:top w:val="none" w:sz="0" w:space="0" w:color="auto"/>
            <w:left w:val="none" w:sz="0" w:space="0" w:color="auto"/>
            <w:bottom w:val="none" w:sz="0" w:space="0" w:color="auto"/>
            <w:right w:val="none" w:sz="0" w:space="0" w:color="auto"/>
          </w:divBdr>
        </w:div>
        <w:div w:id="1793940018">
          <w:marLeft w:val="0"/>
          <w:marRight w:val="0"/>
          <w:marTop w:val="0"/>
          <w:marBottom w:val="0"/>
          <w:divBdr>
            <w:top w:val="none" w:sz="0" w:space="0" w:color="auto"/>
            <w:left w:val="none" w:sz="0" w:space="0" w:color="auto"/>
            <w:bottom w:val="none" w:sz="0" w:space="0" w:color="auto"/>
            <w:right w:val="none" w:sz="0" w:space="0" w:color="auto"/>
          </w:divBdr>
        </w:div>
      </w:divsChild>
    </w:div>
    <w:div w:id="1330448766">
      <w:bodyDiv w:val="1"/>
      <w:marLeft w:val="0"/>
      <w:marRight w:val="0"/>
      <w:marTop w:val="0"/>
      <w:marBottom w:val="0"/>
      <w:divBdr>
        <w:top w:val="none" w:sz="0" w:space="0" w:color="auto"/>
        <w:left w:val="none" w:sz="0" w:space="0" w:color="auto"/>
        <w:bottom w:val="none" w:sz="0" w:space="0" w:color="auto"/>
        <w:right w:val="none" w:sz="0" w:space="0" w:color="auto"/>
      </w:divBdr>
      <w:divsChild>
        <w:div w:id="2103868582">
          <w:marLeft w:val="0"/>
          <w:marRight w:val="0"/>
          <w:marTop w:val="0"/>
          <w:marBottom w:val="0"/>
          <w:divBdr>
            <w:top w:val="none" w:sz="0" w:space="0" w:color="auto"/>
            <w:left w:val="none" w:sz="0" w:space="0" w:color="auto"/>
            <w:bottom w:val="none" w:sz="0" w:space="0" w:color="auto"/>
            <w:right w:val="none" w:sz="0" w:space="0" w:color="auto"/>
          </w:divBdr>
        </w:div>
        <w:div w:id="469370399">
          <w:marLeft w:val="0"/>
          <w:marRight w:val="0"/>
          <w:marTop w:val="0"/>
          <w:marBottom w:val="0"/>
          <w:divBdr>
            <w:top w:val="none" w:sz="0" w:space="0" w:color="auto"/>
            <w:left w:val="none" w:sz="0" w:space="0" w:color="auto"/>
            <w:bottom w:val="none" w:sz="0" w:space="0" w:color="auto"/>
            <w:right w:val="none" w:sz="0" w:space="0" w:color="auto"/>
          </w:divBdr>
        </w:div>
        <w:div w:id="1791438798">
          <w:marLeft w:val="0"/>
          <w:marRight w:val="0"/>
          <w:marTop w:val="0"/>
          <w:marBottom w:val="0"/>
          <w:divBdr>
            <w:top w:val="none" w:sz="0" w:space="0" w:color="auto"/>
            <w:left w:val="none" w:sz="0" w:space="0" w:color="auto"/>
            <w:bottom w:val="none" w:sz="0" w:space="0" w:color="auto"/>
            <w:right w:val="none" w:sz="0" w:space="0" w:color="auto"/>
          </w:divBdr>
        </w:div>
        <w:div w:id="450125804">
          <w:marLeft w:val="0"/>
          <w:marRight w:val="0"/>
          <w:marTop w:val="0"/>
          <w:marBottom w:val="0"/>
          <w:divBdr>
            <w:top w:val="none" w:sz="0" w:space="0" w:color="auto"/>
            <w:left w:val="none" w:sz="0" w:space="0" w:color="auto"/>
            <w:bottom w:val="none" w:sz="0" w:space="0" w:color="auto"/>
            <w:right w:val="none" w:sz="0" w:space="0" w:color="auto"/>
          </w:divBdr>
        </w:div>
        <w:div w:id="33695158">
          <w:marLeft w:val="0"/>
          <w:marRight w:val="0"/>
          <w:marTop w:val="0"/>
          <w:marBottom w:val="0"/>
          <w:divBdr>
            <w:top w:val="none" w:sz="0" w:space="0" w:color="auto"/>
            <w:left w:val="none" w:sz="0" w:space="0" w:color="auto"/>
            <w:bottom w:val="none" w:sz="0" w:space="0" w:color="auto"/>
            <w:right w:val="none" w:sz="0" w:space="0" w:color="auto"/>
          </w:divBdr>
        </w:div>
      </w:divsChild>
    </w:div>
    <w:div w:id="1361011400">
      <w:bodyDiv w:val="1"/>
      <w:marLeft w:val="0"/>
      <w:marRight w:val="0"/>
      <w:marTop w:val="0"/>
      <w:marBottom w:val="0"/>
      <w:divBdr>
        <w:top w:val="none" w:sz="0" w:space="0" w:color="auto"/>
        <w:left w:val="none" w:sz="0" w:space="0" w:color="auto"/>
        <w:bottom w:val="none" w:sz="0" w:space="0" w:color="auto"/>
        <w:right w:val="none" w:sz="0" w:space="0" w:color="auto"/>
      </w:divBdr>
      <w:divsChild>
        <w:div w:id="2015185778">
          <w:marLeft w:val="0"/>
          <w:marRight w:val="0"/>
          <w:marTop w:val="0"/>
          <w:marBottom w:val="0"/>
          <w:divBdr>
            <w:top w:val="none" w:sz="0" w:space="0" w:color="auto"/>
            <w:left w:val="none" w:sz="0" w:space="0" w:color="auto"/>
            <w:bottom w:val="none" w:sz="0" w:space="0" w:color="auto"/>
            <w:right w:val="none" w:sz="0" w:space="0" w:color="auto"/>
          </w:divBdr>
        </w:div>
        <w:div w:id="2042044717">
          <w:marLeft w:val="0"/>
          <w:marRight w:val="0"/>
          <w:marTop w:val="0"/>
          <w:marBottom w:val="0"/>
          <w:divBdr>
            <w:top w:val="none" w:sz="0" w:space="0" w:color="auto"/>
            <w:left w:val="none" w:sz="0" w:space="0" w:color="auto"/>
            <w:bottom w:val="none" w:sz="0" w:space="0" w:color="auto"/>
            <w:right w:val="none" w:sz="0" w:space="0" w:color="auto"/>
          </w:divBdr>
        </w:div>
        <w:div w:id="1097139644">
          <w:marLeft w:val="0"/>
          <w:marRight w:val="0"/>
          <w:marTop w:val="0"/>
          <w:marBottom w:val="0"/>
          <w:divBdr>
            <w:top w:val="none" w:sz="0" w:space="0" w:color="auto"/>
            <w:left w:val="none" w:sz="0" w:space="0" w:color="auto"/>
            <w:bottom w:val="none" w:sz="0" w:space="0" w:color="auto"/>
            <w:right w:val="none" w:sz="0" w:space="0" w:color="auto"/>
          </w:divBdr>
        </w:div>
        <w:div w:id="154540244">
          <w:marLeft w:val="0"/>
          <w:marRight w:val="0"/>
          <w:marTop w:val="0"/>
          <w:marBottom w:val="0"/>
          <w:divBdr>
            <w:top w:val="none" w:sz="0" w:space="0" w:color="auto"/>
            <w:left w:val="none" w:sz="0" w:space="0" w:color="auto"/>
            <w:bottom w:val="none" w:sz="0" w:space="0" w:color="auto"/>
            <w:right w:val="none" w:sz="0" w:space="0" w:color="auto"/>
          </w:divBdr>
        </w:div>
        <w:div w:id="2134710060">
          <w:marLeft w:val="0"/>
          <w:marRight w:val="0"/>
          <w:marTop w:val="0"/>
          <w:marBottom w:val="0"/>
          <w:divBdr>
            <w:top w:val="none" w:sz="0" w:space="0" w:color="auto"/>
            <w:left w:val="none" w:sz="0" w:space="0" w:color="auto"/>
            <w:bottom w:val="none" w:sz="0" w:space="0" w:color="auto"/>
            <w:right w:val="none" w:sz="0" w:space="0" w:color="auto"/>
          </w:divBdr>
        </w:div>
        <w:div w:id="2000881029">
          <w:marLeft w:val="0"/>
          <w:marRight w:val="0"/>
          <w:marTop w:val="0"/>
          <w:marBottom w:val="0"/>
          <w:divBdr>
            <w:top w:val="none" w:sz="0" w:space="0" w:color="auto"/>
            <w:left w:val="none" w:sz="0" w:space="0" w:color="auto"/>
            <w:bottom w:val="none" w:sz="0" w:space="0" w:color="auto"/>
            <w:right w:val="none" w:sz="0" w:space="0" w:color="auto"/>
          </w:divBdr>
        </w:div>
        <w:div w:id="1512912878">
          <w:marLeft w:val="0"/>
          <w:marRight w:val="0"/>
          <w:marTop w:val="0"/>
          <w:marBottom w:val="0"/>
          <w:divBdr>
            <w:top w:val="none" w:sz="0" w:space="0" w:color="auto"/>
            <w:left w:val="none" w:sz="0" w:space="0" w:color="auto"/>
            <w:bottom w:val="none" w:sz="0" w:space="0" w:color="auto"/>
            <w:right w:val="none" w:sz="0" w:space="0" w:color="auto"/>
          </w:divBdr>
        </w:div>
      </w:divsChild>
    </w:div>
    <w:div w:id="1388338905">
      <w:bodyDiv w:val="1"/>
      <w:marLeft w:val="0"/>
      <w:marRight w:val="0"/>
      <w:marTop w:val="0"/>
      <w:marBottom w:val="0"/>
      <w:divBdr>
        <w:top w:val="none" w:sz="0" w:space="0" w:color="auto"/>
        <w:left w:val="none" w:sz="0" w:space="0" w:color="auto"/>
        <w:bottom w:val="none" w:sz="0" w:space="0" w:color="auto"/>
        <w:right w:val="none" w:sz="0" w:space="0" w:color="auto"/>
      </w:divBdr>
      <w:divsChild>
        <w:div w:id="1105736973">
          <w:marLeft w:val="0"/>
          <w:marRight w:val="0"/>
          <w:marTop w:val="0"/>
          <w:marBottom w:val="0"/>
          <w:divBdr>
            <w:top w:val="none" w:sz="0" w:space="0" w:color="auto"/>
            <w:left w:val="none" w:sz="0" w:space="0" w:color="auto"/>
            <w:bottom w:val="none" w:sz="0" w:space="0" w:color="auto"/>
            <w:right w:val="none" w:sz="0" w:space="0" w:color="auto"/>
          </w:divBdr>
          <w:divsChild>
            <w:div w:id="19021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77858">
      <w:bodyDiv w:val="1"/>
      <w:marLeft w:val="0"/>
      <w:marRight w:val="0"/>
      <w:marTop w:val="0"/>
      <w:marBottom w:val="0"/>
      <w:divBdr>
        <w:top w:val="none" w:sz="0" w:space="0" w:color="auto"/>
        <w:left w:val="none" w:sz="0" w:space="0" w:color="auto"/>
        <w:bottom w:val="none" w:sz="0" w:space="0" w:color="auto"/>
        <w:right w:val="none" w:sz="0" w:space="0" w:color="auto"/>
      </w:divBdr>
    </w:div>
    <w:div w:id="1496409308">
      <w:bodyDiv w:val="1"/>
      <w:marLeft w:val="0"/>
      <w:marRight w:val="0"/>
      <w:marTop w:val="0"/>
      <w:marBottom w:val="0"/>
      <w:divBdr>
        <w:top w:val="none" w:sz="0" w:space="0" w:color="auto"/>
        <w:left w:val="none" w:sz="0" w:space="0" w:color="auto"/>
        <w:bottom w:val="none" w:sz="0" w:space="0" w:color="auto"/>
        <w:right w:val="none" w:sz="0" w:space="0" w:color="auto"/>
      </w:divBdr>
      <w:divsChild>
        <w:div w:id="630132823">
          <w:marLeft w:val="0"/>
          <w:marRight w:val="0"/>
          <w:marTop w:val="0"/>
          <w:marBottom w:val="0"/>
          <w:divBdr>
            <w:top w:val="none" w:sz="0" w:space="0" w:color="auto"/>
            <w:left w:val="none" w:sz="0" w:space="0" w:color="auto"/>
            <w:bottom w:val="none" w:sz="0" w:space="0" w:color="auto"/>
            <w:right w:val="none" w:sz="0" w:space="0" w:color="auto"/>
          </w:divBdr>
          <w:divsChild>
            <w:div w:id="161505170">
              <w:marLeft w:val="0"/>
              <w:marRight w:val="0"/>
              <w:marTop w:val="0"/>
              <w:marBottom w:val="0"/>
              <w:divBdr>
                <w:top w:val="none" w:sz="0" w:space="0" w:color="auto"/>
                <w:left w:val="none" w:sz="0" w:space="0" w:color="auto"/>
                <w:bottom w:val="none" w:sz="0" w:space="0" w:color="auto"/>
                <w:right w:val="none" w:sz="0" w:space="0" w:color="auto"/>
              </w:divBdr>
            </w:div>
            <w:div w:id="240993618">
              <w:marLeft w:val="0"/>
              <w:marRight w:val="0"/>
              <w:marTop w:val="0"/>
              <w:marBottom w:val="0"/>
              <w:divBdr>
                <w:top w:val="none" w:sz="0" w:space="0" w:color="auto"/>
                <w:left w:val="none" w:sz="0" w:space="0" w:color="auto"/>
                <w:bottom w:val="none" w:sz="0" w:space="0" w:color="auto"/>
                <w:right w:val="none" w:sz="0" w:space="0" w:color="auto"/>
              </w:divBdr>
            </w:div>
            <w:div w:id="2028285102">
              <w:marLeft w:val="0"/>
              <w:marRight w:val="0"/>
              <w:marTop w:val="0"/>
              <w:marBottom w:val="0"/>
              <w:divBdr>
                <w:top w:val="none" w:sz="0" w:space="0" w:color="auto"/>
                <w:left w:val="none" w:sz="0" w:space="0" w:color="auto"/>
                <w:bottom w:val="none" w:sz="0" w:space="0" w:color="auto"/>
                <w:right w:val="none" w:sz="0" w:space="0" w:color="auto"/>
              </w:divBdr>
            </w:div>
            <w:div w:id="429206004">
              <w:marLeft w:val="0"/>
              <w:marRight w:val="0"/>
              <w:marTop w:val="0"/>
              <w:marBottom w:val="0"/>
              <w:divBdr>
                <w:top w:val="none" w:sz="0" w:space="0" w:color="auto"/>
                <w:left w:val="none" w:sz="0" w:space="0" w:color="auto"/>
                <w:bottom w:val="none" w:sz="0" w:space="0" w:color="auto"/>
                <w:right w:val="none" w:sz="0" w:space="0" w:color="auto"/>
              </w:divBdr>
            </w:div>
            <w:div w:id="385183728">
              <w:marLeft w:val="0"/>
              <w:marRight w:val="0"/>
              <w:marTop w:val="0"/>
              <w:marBottom w:val="0"/>
              <w:divBdr>
                <w:top w:val="none" w:sz="0" w:space="0" w:color="auto"/>
                <w:left w:val="none" w:sz="0" w:space="0" w:color="auto"/>
                <w:bottom w:val="none" w:sz="0" w:space="0" w:color="auto"/>
                <w:right w:val="none" w:sz="0" w:space="0" w:color="auto"/>
              </w:divBdr>
            </w:div>
            <w:div w:id="2137289583">
              <w:marLeft w:val="0"/>
              <w:marRight w:val="0"/>
              <w:marTop w:val="0"/>
              <w:marBottom w:val="0"/>
              <w:divBdr>
                <w:top w:val="none" w:sz="0" w:space="0" w:color="auto"/>
                <w:left w:val="none" w:sz="0" w:space="0" w:color="auto"/>
                <w:bottom w:val="none" w:sz="0" w:space="0" w:color="auto"/>
                <w:right w:val="none" w:sz="0" w:space="0" w:color="auto"/>
              </w:divBdr>
            </w:div>
            <w:div w:id="239141642">
              <w:marLeft w:val="0"/>
              <w:marRight w:val="0"/>
              <w:marTop w:val="0"/>
              <w:marBottom w:val="0"/>
              <w:divBdr>
                <w:top w:val="none" w:sz="0" w:space="0" w:color="auto"/>
                <w:left w:val="none" w:sz="0" w:space="0" w:color="auto"/>
                <w:bottom w:val="none" w:sz="0" w:space="0" w:color="auto"/>
                <w:right w:val="none" w:sz="0" w:space="0" w:color="auto"/>
              </w:divBdr>
            </w:div>
            <w:div w:id="450175642">
              <w:marLeft w:val="0"/>
              <w:marRight w:val="0"/>
              <w:marTop w:val="0"/>
              <w:marBottom w:val="0"/>
              <w:divBdr>
                <w:top w:val="none" w:sz="0" w:space="0" w:color="auto"/>
                <w:left w:val="none" w:sz="0" w:space="0" w:color="auto"/>
                <w:bottom w:val="none" w:sz="0" w:space="0" w:color="auto"/>
                <w:right w:val="none" w:sz="0" w:space="0" w:color="auto"/>
              </w:divBdr>
            </w:div>
            <w:div w:id="2081558728">
              <w:marLeft w:val="0"/>
              <w:marRight w:val="0"/>
              <w:marTop w:val="0"/>
              <w:marBottom w:val="0"/>
              <w:divBdr>
                <w:top w:val="none" w:sz="0" w:space="0" w:color="auto"/>
                <w:left w:val="none" w:sz="0" w:space="0" w:color="auto"/>
                <w:bottom w:val="none" w:sz="0" w:space="0" w:color="auto"/>
                <w:right w:val="none" w:sz="0" w:space="0" w:color="auto"/>
              </w:divBdr>
            </w:div>
            <w:div w:id="1478572939">
              <w:marLeft w:val="0"/>
              <w:marRight w:val="0"/>
              <w:marTop w:val="0"/>
              <w:marBottom w:val="0"/>
              <w:divBdr>
                <w:top w:val="none" w:sz="0" w:space="0" w:color="auto"/>
                <w:left w:val="none" w:sz="0" w:space="0" w:color="auto"/>
                <w:bottom w:val="none" w:sz="0" w:space="0" w:color="auto"/>
                <w:right w:val="none" w:sz="0" w:space="0" w:color="auto"/>
              </w:divBdr>
            </w:div>
            <w:div w:id="1593126404">
              <w:marLeft w:val="0"/>
              <w:marRight w:val="0"/>
              <w:marTop w:val="0"/>
              <w:marBottom w:val="0"/>
              <w:divBdr>
                <w:top w:val="none" w:sz="0" w:space="0" w:color="auto"/>
                <w:left w:val="none" w:sz="0" w:space="0" w:color="auto"/>
                <w:bottom w:val="none" w:sz="0" w:space="0" w:color="auto"/>
                <w:right w:val="none" w:sz="0" w:space="0" w:color="auto"/>
              </w:divBdr>
            </w:div>
            <w:div w:id="1597328526">
              <w:marLeft w:val="0"/>
              <w:marRight w:val="0"/>
              <w:marTop w:val="0"/>
              <w:marBottom w:val="0"/>
              <w:divBdr>
                <w:top w:val="none" w:sz="0" w:space="0" w:color="auto"/>
                <w:left w:val="none" w:sz="0" w:space="0" w:color="auto"/>
                <w:bottom w:val="none" w:sz="0" w:space="0" w:color="auto"/>
                <w:right w:val="none" w:sz="0" w:space="0" w:color="auto"/>
              </w:divBdr>
            </w:div>
            <w:div w:id="2083135993">
              <w:marLeft w:val="0"/>
              <w:marRight w:val="0"/>
              <w:marTop w:val="0"/>
              <w:marBottom w:val="0"/>
              <w:divBdr>
                <w:top w:val="none" w:sz="0" w:space="0" w:color="auto"/>
                <w:left w:val="none" w:sz="0" w:space="0" w:color="auto"/>
                <w:bottom w:val="none" w:sz="0" w:space="0" w:color="auto"/>
                <w:right w:val="none" w:sz="0" w:space="0" w:color="auto"/>
              </w:divBdr>
            </w:div>
            <w:div w:id="1285771330">
              <w:marLeft w:val="0"/>
              <w:marRight w:val="0"/>
              <w:marTop w:val="0"/>
              <w:marBottom w:val="0"/>
              <w:divBdr>
                <w:top w:val="none" w:sz="0" w:space="0" w:color="auto"/>
                <w:left w:val="none" w:sz="0" w:space="0" w:color="auto"/>
                <w:bottom w:val="none" w:sz="0" w:space="0" w:color="auto"/>
                <w:right w:val="none" w:sz="0" w:space="0" w:color="auto"/>
              </w:divBdr>
            </w:div>
            <w:div w:id="644746332">
              <w:marLeft w:val="0"/>
              <w:marRight w:val="0"/>
              <w:marTop w:val="0"/>
              <w:marBottom w:val="0"/>
              <w:divBdr>
                <w:top w:val="none" w:sz="0" w:space="0" w:color="auto"/>
                <w:left w:val="none" w:sz="0" w:space="0" w:color="auto"/>
                <w:bottom w:val="none" w:sz="0" w:space="0" w:color="auto"/>
                <w:right w:val="none" w:sz="0" w:space="0" w:color="auto"/>
              </w:divBdr>
            </w:div>
            <w:div w:id="53766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68411">
      <w:bodyDiv w:val="1"/>
      <w:marLeft w:val="0"/>
      <w:marRight w:val="0"/>
      <w:marTop w:val="0"/>
      <w:marBottom w:val="0"/>
      <w:divBdr>
        <w:top w:val="none" w:sz="0" w:space="0" w:color="auto"/>
        <w:left w:val="none" w:sz="0" w:space="0" w:color="auto"/>
        <w:bottom w:val="none" w:sz="0" w:space="0" w:color="auto"/>
        <w:right w:val="none" w:sz="0" w:space="0" w:color="auto"/>
      </w:divBdr>
    </w:div>
    <w:div w:id="1534002396">
      <w:bodyDiv w:val="1"/>
      <w:marLeft w:val="0"/>
      <w:marRight w:val="0"/>
      <w:marTop w:val="0"/>
      <w:marBottom w:val="0"/>
      <w:divBdr>
        <w:top w:val="none" w:sz="0" w:space="0" w:color="auto"/>
        <w:left w:val="none" w:sz="0" w:space="0" w:color="auto"/>
        <w:bottom w:val="none" w:sz="0" w:space="0" w:color="auto"/>
        <w:right w:val="none" w:sz="0" w:space="0" w:color="auto"/>
      </w:divBdr>
    </w:div>
    <w:div w:id="1581721458">
      <w:bodyDiv w:val="1"/>
      <w:marLeft w:val="0"/>
      <w:marRight w:val="0"/>
      <w:marTop w:val="0"/>
      <w:marBottom w:val="0"/>
      <w:divBdr>
        <w:top w:val="none" w:sz="0" w:space="0" w:color="auto"/>
        <w:left w:val="none" w:sz="0" w:space="0" w:color="auto"/>
        <w:bottom w:val="none" w:sz="0" w:space="0" w:color="auto"/>
        <w:right w:val="none" w:sz="0" w:space="0" w:color="auto"/>
      </w:divBdr>
      <w:divsChild>
        <w:div w:id="34473356">
          <w:marLeft w:val="0"/>
          <w:marRight w:val="0"/>
          <w:marTop w:val="0"/>
          <w:marBottom w:val="0"/>
          <w:divBdr>
            <w:top w:val="none" w:sz="0" w:space="0" w:color="auto"/>
            <w:left w:val="none" w:sz="0" w:space="0" w:color="auto"/>
            <w:bottom w:val="none" w:sz="0" w:space="0" w:color="auto"/>
            <w:right w:val="none" w:sz="0" w:space="0" w:color="auto"/>
          </w:divBdr>
        </w:div>
        <w:div w:id="927881075">
          <w:marLeft w:val="0"/>
          <w:marRight w:val="0"/>
          <w:marTop w:val="0"/>
          <w:marBottom w:val="0"/>
          <w:divBdr>
            <w:top w:val="none" w:sz="0" w:space="0" w:color="auto"/>
            <w:left w:val="none" w:sz="0" w:space="0" w:color="auto"/>
            <w:bottom w:val="none" w:sz="0" w:space="0" w:color="auto"/>
            <w:right w:val="none" w:sz="0" w:space="0" w:color="auto"/>
          </w:divBdr>
        </w:div>
      </w:divsChild>
    </w:div>
    <w:div w:id="1625961934">
      <w:bodyDiv w:val="1"/>
      <w:marLeft w:val="0"/>
      <w:marRight w:val="0"/>
      <w:marTop w:val="0"/>
      <w:marBottom w:val="0"/>
      <w:divBdr>
        <w:top w:val="none" w:sz="0" w:space="0" w:color="auto"/>
        <w:left w:val="none" w:sz="0" w:space="0" w:color="auto"/>
        <w:bottom w:val="none" w:sz="0" w:space="0" w:color="auto"/>
        <w:right w:val="none" w:sz="0" w:space="0" w:color="auto"/>
      </w:divBdr>
    </w:div>
    <w:div w:id="1654989452">
      <w:bodyDiv w:val="1"/>
      <w:marLeft w:val="0"/>
      <w:marRight w:val="0"/>
      <w:marTop w:val="0"/>
      <w:marBottom w:val="0"/>
      <w:divBdr>
        <w:top w:val="none" w:sz="0" w:space="0" w:color="auto"/>
        <w:left w:val="none" w:sz="0" w:space="0" w:color="auto"/>
        <w:bottom w:val="none" w:sz="0" w:space="0" w:color="auto"/>
        <w:right w:val="none" w:sz="0" w:space="0" w:color="auto"/>
      </w:divBdr>
    </w:div>
    <w:div w:id="1655448248">
      <w:bodyDiv w:val="1"/>
      <w:marLeft w:val="0"/>
      <w:marRight w:val="0"/>
      <w:marTop w:val="0"/>
      <w:marBottom w:val="0"/>
      <w:divBdr>
        <w:top w:val="none" w:sz="0" w:space="0" w:color="auto"/>
        <w:left w:val="none" w:sz="0" w:space="0" w:color="auto"/>
        <w:bottom w:val="none" w:sz="0" w:space="0" w:color="auto"/>
        <w:right w:val="none" w:sz="0" w:space="0" w:color="auto"/>
      </w:divBdr>
      <w:divsChild>
        <w:div w:id="1776099005">
          <w:marLeft w:val="0"/>
          <w:marRight w:val="0"/>
          <w:marTop w:val="0"/>
          <w:marBottom w:val="0"/>
          <w:divBdr>
            <w:top w:val="none" w:sz="0" w:space="0" w:color="auto"/>
            <w:left w:val="none" w:sz="0" w:space="0" w:color="auto"/>
            <w:bottom w:val="none" w:sz="0" w:space="0" w:color="auto"/>
            <w:right w:val="none" w:sz="0" w:space="0" w:color="auto"/>
          </w:divBdr>
        </w:div>
        <w:div w:id="1242522944">
          <w:marLeft w:val="0"/>
          <w:marRight w:val="0"/>
          <w:marTop w:val="0"/>
          <w:marBottom w:val="0"/>
          <w:divBdr>
            <w:top w:val="none" w:sz="0" w:space="0" w:color="auto"/>
            <w:left w:val="none" w:sz="0" w:space="0" w:color="auto"/>
            <w:bottom w:val="none" w:sz="0" w:space="0" w:color="auto"/>
            <w:right w:val="none" w:sz="0" w:space="0" w:color="auto"/>
          </w:divBdr>
        </w:div>
        <w:div w:id="1562255029">
          <w:marLeft w:val="0"/>
          <w:marRight w:val="0"/>
          <w:marTop w:val="0"/>
          <w:marBottom w:val="0"/>
          <w:divBdr>
            <w:top w:val="none" w:sz="0" w:space="0" w:color="auto"/>
            <w:left w:val="none" w:sz="0" w:space="0" w:color="auto"/>
            <w:bottom w:val="none" w:sz="0" w:space="0" w:color="auto"/>
            <w:right w:val="none" w:sz="0" w:space="0" w:color="auto"/>
          </w:divBdr>
        </w:div>
        <w:div w:id="582422912">
          <w:marLeft w:val="0"/>
          <w:marRight w:val="0"/>
          <w:marTop w:val="0"/>
          <w:marBottom w:val="0"/>
          <w:divBdr>
            <w:top w:val="none" w:sz="0" w:space="0" w:color="auto"/>
            <w:left w:val="none" w:sz="0" w:space="0" w:color="auto"/>
            <w:bottom w:val="none" w:sz="0" w:space="0" w:color="auto"/>
            <w:right w:val="none" w:sz="0" w:space="0" w:color="auto"/>
          </w:divBdr>
        </w:div>
        <w:div w:id="2032678356">
          <w:marLeft w:val="0"/>
          <w:marRight w:val="0"/>
          <w:marTop w:val="0"/>
          <w:marBottom w:val="0"/>
          <w:divBdr>
            <w:top w:val="none" w:sz="0" w:space="0" w:color="auto"/>
            <w:left w:val="none" w:sz="0" w:space="0" w:color="auto"/>
            <w:bottom w:val="none" w:sz="0" w:space="0" w:color="auto"/>
            <w:right w:val="none" w:sz="0" w:space="0" w:color="auto"/>
          </w:divBdr>
        </w:div>
        <w:div w:id="543953721">
          <w:marLeft w:val="0"/>
          <w:marRight w:val="0"/>
          <w:marTop w:val="0"/>
          <w:marBottom w:val="0"/>
          <w:divBdr>
            <w:top w:val="none" w:sz="0" w:space="0" w:color="auto"/>
            <w:left w:val="none" w:sz="0" w:space="0" w:color="auto"/>
            <w:bottom w:val="none" w:sz="0" w:space="0" w:color="auto"/>
            <w:right w:val="none" w:sz="0" w:space="0" w:color="auto"/>
          </w:divBdr>
        </w:div>
        <w:div w:id="2078476950">
          <w:marLeft w:val="0"/>
          <w:marRight w:val="0"/>
          <w:marTop w:val="0"/>
          <w:marBottom w:val="0"/>
          <w:divBdr>
            <w:top w:val="none" w:sz="0" w:space="0" w:color="auto"/>
            <w:left w:val="none" w:sz="0" w:space="0" w:color="auto"/>
            <w:bottom w:val="none" w:sz="0" w:space="0" w:color="auto"/>
            <w:right w:val="none" w:sz="0" w:space="0" w:color="auto"/>
          </w:divBdr>
        </w:div>
        <w:div w:id="438916744">
          <w:marLeft w:val="0"/>
          <w:marRight w:val="0"/>
          <w:marTop w:val="0"/>
          <w:marBottom w:val="0"/>
          <w:divBdr>
            <w:top w:val="none" w:sz="0" w:space="0" w:color="auto"/>
            <w:left w:val="none" w:sz="0" w:space="0" w:color="auto"/>
            <w:bottom w:val="none" w:sz="0" w:space="0" w:color="auto"/>
            <w:right w:val="none" w:sz="0" w:space="0" w:color="auto"/>
          </w:divBdr>
        </w:div>
        <w:div w:id="1240409447">
          <w:marLeft w:val="0"/>
          <w:marRight w:val="0"/>
          <w:marTop w:val="0"/>
          <w:marBottom w:val="0"/>
          <w:divBdr>
            <w:top w:val="none" w:sz="0" w:space="0" w:color="auto"/>
            <w:left w:val="none" w:sz="0" w:space="0" w:color="auto"/>
            <w:bottom w:val="none" w:sz="0" w:space="0" w:color="auto"/>
            <w:right w:val="none" w:sz="0" w:space="0" w:color="auto"/>
          </w:divBdr>
        </w:div>
        <w:div w:id="2139688096">
          <w:marLeft w:val="0"/>
          <w:marRight w:val="0"/>
          <w:marTop w:val="0"/>
          <w:marBottom w:val="0"/>
          <w:divBdr>
            <w:top w:val="none" w:sz="0" w:space="0" w:color="auto"/>
            <w:left w:val="none" w:sz="0" w:space="0" w:color="auto"/>
            <w:bottom w:val="none" w:sz="0" w:space="0" w:color="auto"/>
            <w:right w:val="none" w:sz="0" w:space="0" w:color="auto"/>
          </w:divBdr>
        </w:div>
        <w:div w:id="1683897288">
          <w:marLeft w:val="0"/>
          <w:marRight w:val="0"/>
          <w:marTop w:val="0"/>
          <w:marBottom w:val="0"/>
          <w:divBdr>
            <w:top w:val="none" w:sz="0" w:space="0" w:color="auto"/>
            <w:left w:val="none" w:sz="0" w:space="0" w:color="auto"/>
            <w:bottom w:val="none" w:sz="0" w:space="0" w:color="auto"/>
            <w:right w:val="none" w:sz="0" w:space="0" w:color="auto"/>
          </w:divBdr>
        </w:div>
        <w:div w:id="332268256">
          <w:marLeft w:val="0"/>
          <w:marRight w:val="0"/>
          <w:marTop w:val="0"/>
          <w:marBottom w:val="0"/>
          <w:divBdr>
            <w:top w:val="none" w:sz="0" w:space="0" w:color="auto"/>
            <w:left w:val="none" w:sz="0" w:space="0" w:color="auto"/>
            <w:bottom w:val="none" w:sz="0" w:space="0" w:color="auto"/>
            <w:right w:val="none" w:sz="0" w:space="0" w:color="auto"/>
          </w:divBdr>
        </w:div>
      </w:divsChild>
    </w:div>
    <w:div w:id="1686057210">
      <w:bodyDiv w:val="1"/>
      <w:marLeft w:val="0"/>
      <w:marRight w:val="0"/>
      <w:marTop w:val="0"/>
      <w:marBottom w:val="0"/>
      <w:divBdr>
        <w:top w:val="none" w:sz="0" w:space="0" w:color="auto"/>
        <w:left w:val="none" w:sz="0" w:space="0" w:color="auto"/>
        <w:bottom w:val="none" w:sz="0" w:space="0" w:color="auto"/>
        <w:right w:val="none" w:sz="0" w:space="0" w:color="auto"/>
      </w:divBdr>
    </w:div>
    <w:div w:id="1709060363">
      <w:bodyDiv w:val="1"/>
      <w:marLeft w:val="0"/>
      <w:marRight w:val="0"/>
      <w:marTop w:val="0"/>
      <w:marBottom w:val="0"/>
      <w:divBdr>
        <w:top w:val="none" w:sz="0" w:space="0" w:color="auto"/>
        <w:left w:val="none" w:sz="0" w:space="0" w:color="auto"/>
        <w:bottom w:val="none" w:sz="0" w:space="0" w:color="auto"/>
        <w:right w:val="none" w:sz="0" w:space="0" w:color="auto"/>
      </w:divBdr>
      <w:divsChild>
        <w:div w:id="1545756648">
          <w:marLeft w:val="0"/>
          <w:marRight w:val="0"/>
          <w:marTop w:val="0"/>
          <w:marBottom w:val="0"/>
          <w:divBdr>
            <w:top w:val="none" w:sz="0" w:space="0" w:color="auto"/>
            <w:left w:val="none" w:sz="0" w:space="0" w:color="auto"/>
            <w:bottom w:val="none" w:sz="0" w:space="0" w:color="auto"/>
            <w:right w:val="none" w:sz="0" w:space="0" w:color="auto"/>
          </w:divBdr>
          <w:divsChild>
            <w:div w:id="170678516">
              <w:marLeft w:val="0"/>
              <w:marRight w:val="0"/>
              <w:marTop w:val="0"/>
              <w:marBottom w:val="0"/>
              <w:divBdr>
                <w:top w:val="none" w:sz="0" w:space="0" w:color="auto"/>
                <w:left w:val="none" w:sz="0" w:space="0" w:color="auto"/>
                <w:bottom w:val="none" w:sz="0" w:space="0" w:color="auto"/>
                <w:right w:val="none" w:sz="0" w:space="0" w:color="auto"/>
              </w:divBdr>
            </w:div>
            <w:div w:id="423110898">
              <w:marLeft w:val="0"/>
              <w:marRight w:val="0"/>
              <w:marTop w:val="0"/>
              <w:marBottom w:val="0"/>
              <w:divBdr>
                <w:top w:val="none" w:sz="0" w:space="0" w:color="auto"/>
                <w:left w:val="none" w:sz="0" w:space="0" w:color="auto"/>
                <w:bottom w:val="none" w:sz="0" w:space="0" w:color="auto"/>
                <w:right w:val="none" w:sz="0" w:space="0" w:color="auto"/>
              </w:divBdr>
            </w:div>
            <w:div w:id="1619137950">
              <w:marLeft w:val="0"/>
              <w:marRight w:val="0"/>
              <w:marTop w:val="0"/>
              <w:marBottom w:val="0"/>
              <w:divBdr>
                <w:top w:val="none" w:sz="0" w:space="0" w:color="auto"/>
                <w:left w:val="none" w:sz="0" w:space="0" w:color="auto"/>
                <w:bottom w:val="none" w:sz="0" w:space="0" w:color="auto"/>
                <w:right w:val="none" w:sz="0" w:space="0" w:color="auto"/>
              </w:divBdr>
            </w:div>
            <w:div w:id="1623075950">
              <w:marLeft w:val="0"/>
              <w:marRight w:val="0"/>
              <w:marTop w:val="0"/>
              <w:marBottom w:val="0"/>
              <w:divBdr>
                <w:top w:val="none" w:sz="0" w:space="0" w:color="auto"/>
                <w:left w:val="none" w:sz="0" w:space="0" w:color="auto"/>
                <w:bottom w:val="none" w:sz="0" w:space="0" w:color="auto"/>
                <w:right w:val="none" w:sz="0" w:space="0" w:color="auto"/>
              </w:divBdr>
            </w:div>
            <w:div w:id="42870761">
              <w:marLeft w:val="0"/>
              <w:marRight w:val="0"/>
              <w:marTop w:val="0"/>
              <w:marBottom w:val="0"/>
              <w:divBdr>
                <w:top w:val="none" w:sz="0" w:space="0" w:color="auto"/>
                <w:left w:val="none" w:sz="0" w:space="0" w:color="auto"/>
                <w:bottom w:val="none" w:sz="0" w:space="0" w:color="auto"/>
                <w:right w:val="none" w:sz="0" w:space="0" w:color="auto"/>
              </w:divBdr>
            </w:div>
            <w:div w:id="639305658">
              <w:marLeft w:val="0"/>
              <w:marRight w:val="0"/>
              <w:marTop w:val="0"/>
              <w:marBottom w:val="0"/>
              <w:divBdr>
                <w:top w:val="none" w:sz="0" w:space="0" w:color="auto"/>
                <w:left w:val="none" w:sz="0" w:space="0" w:color="auto"/>
                <w:bottom w:val="none" w:sz="0" w:space="0" w:color="auto"/>
                <w:right w:val="none" w:sz="0" w:space="0" w:color="auto"/>
              </w:divBdr>
            </w:div>
            <w:div w:id="2098359765">
              <w:marLeft w:val="0"/>
              <w:marRight w:val="0"/>
              <w:marTop w:val="0"/>
              <w:marBottom w:val="0"/>
              <w:divBdr>
                <w:top w:val="none" w:sz="0" w:space="0" w:color="auto"/>
                <w:left w:val="none" w:sz="0" w:space="0" w:color="auto"/>
                <w:bottom w:val="none" w:sz="0" w:space="0" w:color="auto"/>
                <w:right w:val="none" w:sz="0" w:space="0" w:color="auto"/>
              </w:divBdr>
            </w:div>
            <w:div w:id="499153316">
              <w:marLeft w:val="0"/>
              <w:marRight w:val="0"/>
              <w:marTop w:val="0"/>
              <w:marBottom w:val="0"/>
              <w:divBdr>
                <w:top w:val="none" w:sz="0" w:space="0" w:color="auto"/>
                <w:left w:val="none" w:sz="0" w:space="0" w:color="auto"/>
                <w:bottom w:val="none" w:sz="0" w:space="0" w:color="auto"/>
                <w:right w:val="none" w:sz="0" w:space="0" w:color="auto"/>
              </w:divBdr>
            </w:div>
            <w:div w:id="809131538">
              <w:marLeft w:val="0"/>
              <w:marRight w:val="0"/>
              <w:marTop w:val="0"/>
              <w:marBottom w:val="0"/>
              <w:divBdr>
                <w:top w:val="none" w:sz="0" w:space="0" w:color="auto"/>
                <w:left w:val="none" w:sz="0" w:space="0" w:color="auto"/>
                <w:bottom w:val="none" w:sz="0" w:space="0" w:color="auto"/>
                <w:right w:val="none" w:sz="0" w:space="0" w:color="auto"/>
              </w:divBdr>
            </w:div>
            <w:div w:id="2020037433">
              <w:marLeft w:val="0"/>
              <w:marRight w:val="0"/>
              <w:marTop w:val="0"/>
              <w:marBottom w:val="0"/>
              <w:divBdr>
                <w:top w:val="none" w:sz="0" w:space="0" w:color="auto"/>
                <w:left w:val="none" w:sz="0" w:space="0" w:color="auto"/>
                <w:bottom w:val="none" w:sz="0" w:space="0" w:color="auto"/>
                <w:right w:val="none" w:sz="0" w:space="0" w:color="auto"/>
              </w:divBdr>
            </w:div>
            <w:div w:id="1363751568">
              <w:marLeft w:val="0"/>
              <w:marRight w:val="0"/>
              <w:marTop w:val="0"/>
              <w:marBottom w:val="0"/>
              <w:divBdr>
                <w:top w:val="none" w:sz="0" w:space="0" w:color="auto"/>
                <w:left w:val="none" w:sz="0" w:space="0" w:color="auto"/>
                <w:bottom w:val="none" w:sz="0" w:space="0" w:color="auto"/>
                <w:right w:val="none" w:sz="0" w:space="0" w:color="auto"/>
              </w:divBdr>
            </w:div>
            <w:div w:id="1708484943">
              <w:marLeft w:val="0"/>
              <w:marRight w:val="0"/>
              <w:marTop w:val="0"/>
              <w:marBottom w:val="0"/>
              <w:divBdr>
                <w:top w:val="none" w:sz="0" w:space="0" w:color="auto"/>
                <w:left w:val="none" w:sz="0" w:space="0" w:color="auto"/>
                <w:bottom w:val="none" w:sz="0" w:space="0" w:color="auto"/>
                <w:right w:val="none" w:sz="0" w:space="0" w:color="auto"/>
              </w:divBdr>
            </w:div>
            <w:div w:id="698120666">
              <w:marLeft w:val="0"/>
              <w:marRight w:val="0"/>
              <w:marTop w:val="0"/>
              <w:marBottom w:val="0"/>
              <w:divBdr>
                <w:top w:val="none" w:sz="0" w:space="0" w:color="auto"/>
                <w:left w:val="none" w:sz="0" w:space="0" w:color="auto"/>
                <w:bottom w:val="none" w:sz="0" w:space="0" w:color="auto"/>
                <w:right w:val="none" w:sz="0" w:space="0" w:color="auto"/>
              </w:divBdr>
            </w:div>
            <w:div w:id="1397359180">
              <w:marLeft w:val="0"/>
              <w:marRight w:val="0"/>
              <w:marTop w:val="0"/>
              <w:marBottom w:val="0"/>
              <w:divBdr>
                <w:top w:val="none" w:sz="0" w:space="0" w:color="auto"/>
                <w:left w:val="none" w:sz="0" w:space="0" w:color="auto"/>
                <w:bottom w:val="none" w:sz="0" w:space="0" w:color="auto"/>
                <w:right w:val="none" w:sz="0" w:space="0" w:color="auto"/>
              </w:divBdr>
            </w:div>
            <w:div w:id="468595910">
              <w:marLeft w:val="0"/>
              <w:marRight w:val="0"/>
              <w:marTop w:val="0"/>
              <w:marBottom w:val="0"/>
              <w:divBdr>
                <w:top w:val="none" w:sz="0" w:space="0" w:color="auto"/>
                <w:left w:val="none" w:sz="0" w:space="0" w:color="auto"/>
                <w:bottom w:val="none" w:sz="0" w:space="0" w:color="auto"/>
                <w:right w:val="none" w:sz="0" w:space="0" w:color="auto"/>
              </w:divBdr>
            </w:div>
            <w:div w:id="7094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853323">
      <w:bodyDiv w:val="1"/>
      <w:marLeft w:val="0"/>
      <w:marRight w:val="0"/>
      <w:marTop w:val="0"/>
      <w:marBottom w:val="0"/>
      <w:divBdr>
        <w:top w:val="none" w:sz="0" w:space="0" w:color="auto"/>
        <w:left w:val="none" w:sz="0" w:space="0" w:color="auto"/>
        <w:bottom w:val="none" w:sz="0" w:space="0" w:color="auto"/>
        <w:right w:val="none" w:sz="0" w:space="0" w:color="auto"/>
      </w:divBdr>
    </w:div>
    <w:div w:id="1794323184">
      <w:bodyDiv w:val="1"/>
      <w:marLeft w:val="0"/>
      <w:marRight w:val="0"/>
      <w:marTop w:val="0"/>
      <w:marBottom w:val="0"/>
      <w:divBdr>
        <w:top w:val="none" w:sz="0" w:space="0" w:color="auto"/>
        <w:left w:val="none" w:sz="0" w:space="0" w:color="auto"/>
        <w:bottom w:val="none" w:sz="0" w:space="0" w:color="auto"/>
        <w:right w:val="none" w:sz="0" w:space="0" w:color="auto"/>
      </w:divBdr>
    </w:div>
    <w:div w:id="1799643886">
      <w:bodyDiv w:val="1"/>
      <w:marLeft w:val="0"/>
      <w:marRight w:val="0"/>
      <w:marTop w:val="0"/>
      <w:marBottom w:val="0"/>
      <w:divBdr>
        <w:top w:val="none" w:sz="0" w:space="0" w:color="auto"/>
        <w:left w:val="none" w:sz="0" w:space="0" w:color="auto"/>
        <w:bottom w:val="none" w:sz="0" w:space="0" w:color="auto"/>
        <w:right w:val="none" w:sz="0" w:space="0" w:color="auto"/>
      </w:divBdr>
    </w:div>
    <w:div w:id="1893881179">
      <w:bodyDiv w:val="1"/>
      <w:marLeft w:val="0"/>
      <w:marRight w:val="0"/>
      <w:marTop w:val="0"/>
      <w:marBottom w:val="0"/>
      <w:divBdr>
        <w:top w:val="none" w:sz="0" w:space="0" w:color="auto"/>
        <w:left w:val="none" w:sz="0" w:space="0" w:color="auto"/>
        <w:bottom w:val="none" w:sz="0" w:space="0" w:color="auto"/>
        <w:right w:val="none" w:sz="0" w:space="0" w:color="auto"/>
      </w:divBdr>
      <w:divsChild>
        <w:div w:id="595794244">
          <w:marLeft w:val="0"/>
          <w:marRight w:val="0"/>
          <w:marTop w:val="0"/>
          <w:marBottom w:val="0"/>
          <w:divBdr>
            <w:top w:val="none" w:sz="0" w:space="0" w:color="auto"/>
            <w:left w:val="none" w:sz="0" w:space="0" w:color="auto"/>
            <w:bottom w:val="none" w:sz="0" w:space="0" w:color="auto"/>
            <w:right w:val="none" w:sz="0" w:space="0" w:color="auto"/>
          </w:divBdr>
        </w:div>
        <w:div w:id="1571773076">
          <w:marLeft w:val="0"/>
          <w:marRight w:val="0"/>
          <w:marTop w:val="0"/>
          <w:marBottom w:val="0"/>
          <w:divBdr>
            <w:top w:val="none" w:sz="0" w:space="0" w:color="auto"/>
            <w:left w:val="none" w:sz="0" w:space="0" w:color="auto"/>
            <w:bottom w:val="none" w:sz="0" w:space="0" w:color="auto"/>
            <w:right w:val="none" w:sz="0" w:space="0" w:color="auto"/>
          </w:divBdr>
        </w:div>
        <w:div w:id="75783073">
          <w:marLeft w:val="0"/>
          <w:marRight w:val="0"/>
          <w:marTop w:val="0"/>
          <w:marBottom w:val="0"/>
          <w:divBdr>
            <w:top w:val="none" w:sz="0" w:space="0" w:color="auto"/>
            <w:left w:val="none" w:sz="0" w:space="0" w:color="auto"/>
            <w:bottom w:val="none" w:sz="0" w:space="0" w:color="auto"/>
            <w:right w:val="none" w:sz="0" w:space="0" w:color="auto"/>
          </w:divBdr>
        </w:div>
        <w:div w:id="1416853042">
          <w:marLeft w:val="0"/>
          <w:marRight w:val="0"/>
          <w:marTop w:val="0"/>
          <w:marBottom w:val="0"/>
          <w:divBdr>
            <w:top w:val="none" w:sz="0" w:space="0" w:color="auto"/>
            <w:left w:val="none" w:sz="0" w:space="0" w:color="auto"/>
            <w:bottom w:val="none" w:sz="0" w:space="0" w:color="auto"/>
            <w:right w:val="none" w:sz="0" w:space="0" w:color="auto"/>
          </w:divBdr>
        </w:div>
        <w:div w:id="355470540">
          <w:marLeft w:val="0"/>
          <w:marRight w:val="0"/>
          <w:marTop w:val="0"/>
          <w:marBottom w:val="0"/>
          <w:divBdr>
            <w:top w:val="none" w:sz="0" w:space="0" w:color="auto"/>
            <w:left w:val="none" w:sz="0" w:space="0" w:color="auto"/>
            <w:bottom w:val="none" w:sz="0" w:space="0" w:color="auto"/>
            <w:right w:val="none" w:sz="0" w:space="0" w:color="auto"/>
          </w:divBdr>
        </w:div>
        <w:div w:id="2071003424">
          <w:marLeft w:val="0"/>
          <w:marRight w:val="0"/>
          <w:marTop w:val="0"/>
          <w:marBottom w:val="0"/>
          <w:divBdr>
            <w:top w:val="none" w:sz="0" w:space="0" w:color="auto"/>
            <w:left w:val="none" w:sz="0" w:space="0" w:color="auto"/>
            <w:bottom w:val="none" w:sz="0" w:space="0" w:color="auto"/>
            <w:right w:val="none" w:sz="0" w:space="0" w:color="auto"/>
          </w:divBdr>
        </w:div>
        <w:div w:id="616134103">
          <w:marLeft w:val="0"/>
          <w:marRight w:val="0"/>
          <w:marTop w:val="0"/>
          <w:marBottom w:val="0"/>
          <w:divBdr>
            <w:top w:val="none" w:sz="0" w:space="0" w:color="auto"/>
            <w:left w:val="none" w:sz="0" w:space="0" w:color="auto"/>
            <w:bottom w:val="none" w:sz="0" w:space="0" w:color="auto"/>
            <w:right w:val="none" w:sz="0" w:space="0" w:color="auto"/>
          </w:divBdr>
        </w:div>
        <w:div w:id="1758483542">
          <w:marLeft w:val="0"/>
          <w:marRight w:val="0"/>
          <w:marTop w:val="0"/>
          <w:marBottom w:val="0"/>
          <w:divBdr>
            <w:top w:val="none" w:sz="0" w:space="0" w:color="auto"/>
            <w:left w:val="none" w:sz="0" w:space="0" w:color="auto"/>
            <w:bottom w:val="none" w:sz="0" w:space="0" w:color="auto"/>
            <w:right w:val="none" w:sz="0" w:space="0" w:color="auto"/>
          </w:divBdr>
        </w:div>
        <w:div w:id="183327587">
          <w:marLeft w:val="0"/>
          <w:marRight w:val="0"/>
          <w:marTop w:val="0"/>
          <w:marBottom w:val="0"/>
          <w:divBdr>
            <w:top w:val="none" w:sz="0" w:space="0" w:color="auto"/>
            <w:left w:val="none" w:sz="0" w:space="0" w:color="auto"/>
            <w:bottom w:val="none" w:sz="0" w:space="0" w:color="auto"/>
            <w:right w:val="none" w:sz="0" w:space="0" w:color="auto"/>
          </w:divBdr>
        </w:div>
        <w:div w:id="230434339">
          <w:marLeft w:val="0"/>
          <w:marRight w:val="0"/>
          <w:marTop w:val="0"/>
          <w:marBottom w:val="0"/>
          <w:divBdr>
            <w:top w:val="none" w:sz="0" w:space="0" w:color="auto"/>
            <w:left w:val="none" w:sz="0" w:space="0" w:color="auto"/>
            <w:bottom w:val="none" w:sz="0" w:space="0" w:color="auto"/>
            <w:right w:val="none" w:sz="0" w:space="0" w:color="auto"/>
          </w:divBdr>
        </w:div>
        <w:div w:id="243805710">
          <w:marLeft w:val="0"/>
          <w:marRight w:val="0"/>
          <w:marTop w:val="0"/>
          <w:marBottom w:val="0"/>
          <w:divBdr>
            <w:top w:val="none" w:sz="0" w:space="0" w:color="auto"/>
            <w:left w:val="none" w:sz="0" w:space="0" w:color="auto"/>
            <w:bottom w:val="none" w:sz="0" w:space="0" w:color="auto"/>
            <w:right w:val="none" w:sz="0" w:space="0" w:color="auto"/>
          </w:divBdr>
        </w:div>
      </w:divsChild>
    </w:div>
    <w:div w:id="1919557538">
      <w:bodyDiv w:val="1"/>
      <w:marLeft w:val="0"/>
      <w:marRight w:val="0"/>
      <w:marTop w:val="0"/>
      <w:marBottom w:val="0"/>
      <w:divBdr>
        <w:top w:val="none" w:sz="0" w:space="0" w:color="auto"/>
        <w:left w:val="none" w:sz="0" w:space="0" w:color="auto"/>
        <w:bottom w:val="none" w:sz="0" w:space="0" w:color="auto"/>
        <w:right w:val="none" w:sz="0" w:space="0" w:color="auto"/>
      </w:divBdr>
    </w:div>
    <w:div w:id="2100632562">
      <w:bodyDiv w:val="1"/>
      <w:marLeft w:val="0"/>
      <w:marRight w:val="0"/>
      <w:marTop w:val="0"/>
      <w:marBottom w:val="0"/>
      <w:divBdr>
        <w:top w:val="none" w:sz="0" w:space="0" w:color="auto"/>
        <w:left w:val="none" w:sz="0" w:space="0" w:color="auto"/>
        <w:bottom w:val="none" w:sz="0" w:space="0" w:color="auto"/>
        <w:right w:val="none" w:sz="0" w:space="0" w:color="auto"/>
      </w:divBdr>
      <w:divsChild>
        <w:div w:id="1503158211">
          <w:marLeft w:val="0"/>
          <w:marRight w:val="0"/>
          <w:marTop w:val="0"/>
          <w:marBottom w:val="0"/>
          <w:divBdr>
            <w:top w:val="none" w:sz="0" w:space="0" w:color="auto"/>
            <w:left w:val="none" w:sz="0" w:space="0" w:color="auto"/>
            <w:bottom w:val="none" w:sz="0" w:space="0" w:color="auto"/>
            <w:right w:val="none" w:sz="0" w:space="0" w:color="auto"/>
          </w:divBdr>
        </w:div>
        <w:div w:id="16780016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18" Type="http://schemas.openxmlformats.org/officeDocument/2006/relationships/image" Target="media/image9.t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t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image" Target="media/image6.tif"/><Relationship Id="rId23" Type="http://schemas.openxmlformats.org/officeDocument/2006/relationships/theme" Target="theme/theme1.xml"/><Relationship Id="rId10" Type="http://schemas.openxmlformats.org/officeDocument/2006/relationships/image" Target="media/image1.tif"/><Relationship Id="rId19" Type="http://schemas.openxmlformats.org/officeDocument/2006/relationships/image" Target="media/image10.tif"/><Relationship Id="rId4" Type="http://schemas.openxmlformats.org/officeDocument/2006/relationships/settings" Target="settings.xml"/><Relationship Id="rId9" Type="http://schemas.openxmlformats.org/officeDocument/2006/relationships/hyperlink" Target="mailto:alisan.kahraman@uk-essen.de" TargetMode="Externa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002CB-841D-4CA6-80AB-FF04D662D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24427</Words>
  <Characters>139235</Characters>
  <Application>Microsoft Office Word</Application>
  <DocSecurity>0</DocSecurity>
  <Lines>1160</Lines>
  <Paragraphs>326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Hochschule Bochum</Company>
  <LinksUpToDate>false</LinksUpToDate>
  <CharactersWithSpaces>163336</CharactersWithSpaces>
  <SharedDoc>false</SharedDoc>
  <HLinks>
    <vt:vector size="6" baseType="variant">
      <vt:variant>
        <vt:i4>3145743</vt:i4>
      </vt:variant>
      <vt:variant>
        <vt:i4>0</vt:i4>
      </vt:variant>
      <vt:variant>
        <vt:i4>0</vt:i4>
      </vt:variant>
      <vt:variant>
        <vt:i4>5</vt:i4>
      </vt:variant>
      <vt:variant>
        <vt:lpwstr>mailto:alisan.kahraman@uk-essen.de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Hochschulverwaltung</dc:creator>
  <cp:lastModifiedBy>Na Ma</cp:lastModifiedBy>
  <cp:revision>2</cp:revision>
  <cp:lastPrinted>2016-11-21T15:34:00Z</cp:lastPrinted>
  <dcterms:created xsi:type="dcterms:W3CDTF">2018-03-03T03:09:00Z</dcterms:created>
  <dcterms:modified xsi:type="dcterms:W3CDTF">2018-03-03T03:09:00Z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id="AjnxP0hW"/&gt;&lt;style id="http://www.zotero.org/styles/world-journal-of-gastroenterology"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