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98" w:rsidRPr="00F76351" w:rsidRDefault="00ED4098" w:rsidP="00A941E2">
      <w:pPr>
        <w:spacing w:line="360" w:lineRule="auto"/>
        <w:jc w:val="left"/>
        <w:rPr>
          <w:rFonts w:ascii="Book Antiqua" w:hAnsi="Book Antiqua" w:cs="Tahoma"/>
          <w:b/>
          <w:sz w:val="24"/>
        </w:rPr>
      </w:pPr>
      <w:r w:rsidRPr="00F76351">
        <w:rPr>
          <w:rFonts w:ascii="Book Antiqua" w:hAnsi="Book Antiqua" w:cs="Tahoma"/>
          <w:b/>
          <w:sz w:val="24"/>
        </w:rPr>
        <w:t>Name of journal: World Journal of Gastroenterology</w:t>
      </w:r>
    </w:p>
    <w:p w:rsidR="00ED4098" w:rsidRPr="00F76351" w:rsidRDefault="00ED4098" w:rsidP="00A941E2">
      <w:pPr>
        <w:spacing w:line="360" w:lineRule="auto"/>
        <w:rPr>
          <w:rFonts w:ascii="Book Antiqua" w:hAnsi="Book Antiqua" w:cs="Tahoma"/>
          <w:b/>
          <w:sz w:val="24"/>
        </w:rPr>
      </w:pPr>
      <w:r w:rsidRPr="00F76351">
        <w:rPr>
          <w:rFonts w:ascii="Book Antiqua" w:hAnsi="Book Antiqua" w:cs="Tahoma"/>
          <w:b/>
          <w:sz w:val="24"/>
        </w:rPr>
        <w:t>ESPS Manuscript NO: 3808</w:t>
      </w:r>
    </w:p>
    <w:p w:rsidR="00ED4098" w:rsidRPr="00F76351" w:rsidRDefault="00ED4098" w:rsidP="00A941E2">
      <w:pPr>
        <w:spacing w:line="360" w:lineRule="auto"/>
        <w:rPr>
          <w:rFonts w:ascii="Book Antiqua" w:hAnsi="Book Antiqua" w:cs="Tahoma"/>
          <w:b/>
          <w:sz w:val="24"/>
        </w:rPr>
      </w:pPr>
      <w:r w:rsidRPr="00F76351">
        <w:rPr>
          <w:rFonts w:ascii="Book Antiqua" w:hAnsi="Book Antiqua" w:cs="Tahoma"/>
          <w:b/>
          <w:sz w:val="24"/>
        </w:rPr>
        <w:t>Columns: BRIEF ARTICLE</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Style w:val="hps"/>
          <w:rFonts w:ascii="Book Antiqua" w:hAnsi="Book Antiqua"/>
          <w:sz w:val="24"/>
        </w:rPr>
      </w:pPr>
      <w:proofErr w:type="spellStart"/>
      <w:proofErr w:type="gramStart"/>
      <w:r w:rsidRPr="00F76351">
        <w:rPr>
          <w:rFonts w:ascii="Book Antiqua" w:hAnsi="Book Antiqua"/>
          <w:sz w:val="24"/>
        </w:rPr>
        <w:t>siRNA</w:t>
      </w:r>
      <w:proofErr w:type="spellEnd"/>
      <w:proofErr w:type="gramEnd"/>
      <w:r w:rsidRPr="00F76351">
        <w:rPr>
          <w:rFonts w:ascii="Book Antiqua" w:hAnsi="Book Antiqua"/>
          <w:sz w:val="24"/>
        </w:rPr>
        <w:t xml:space="preserve"> targeted inhibition of growth hormone receptor in human colon cancer SW480 cells </w:t>
      </w:r>
    </w:p>
    <w:p w:rsidR="00ED4098" w:rsidRPr="00F76351" w:rsidRDefault="00ED4098" w:rsidP="000F1768">
      <w:pPr>
        <w:spacing w:line="360" w:lineRule="auto"/>
        <w:jc w:val="center"/>
        <w:rPr>
          <w:rFonts w:ascii="Book Antiqua" w:hAnsi="Book Antiqua"/>
          <w:sz w:val="24"/>
        </w:rPr>
      </w:pPr>
    </w:p>
    <w:p w:rsidR="00ED4098" w:rsidRPr="00A5165C" w:rsidRDefault="00ED4098" w:rsidP="000F1768">
      <w:pPr>
        <w:spacing w:line="360" w:lineRule="auto"/>
        <w:rPr>
          <w:rFonts w:ascii="Book Antiqua" w:hAnsi="Book Antiqua" w:cs="Arial Unicode MS"/>
          <w:sz w:val="24"/>
        </w:rPr>
      </w:pPr>
      <w:bookmarkStart w:id="0" w:name="OLE_LINK36"/>
      <w:bookmarkStart w:id="1" w:name="OLE_LINK37"/>
      <w:bookmarkStart w:id="2" w:name="OLE_LINK156"/>
      <w:bookmarkStart w:id="3" w:name="OLE_LINK48"/>
      <w:bookmarkStart w:id="4" w:name="OLE_LINK49"/>
      <w:r w:rsidRPr="00A5165C">
        <w:rPr>
          <w:rFonts w:ascii="Book Antiqua" w:hAnsi="Book Antiqua"/>
          <w:sz w:val="24"/>
        </w:rPr>
        <w:t xml:space="preserve">Zhou D </w:t>
      </w:r>
      <w:r w:rsidRPr="00A5165C">
        <w:rPr>
          <w:rFonts w:ascii="Book Antiqua" w:hAnsi="Book Antiqua"/>
          <w:i/>
          <w:sz w:val="24"/>
        </w:rPr>
        <w:t>et al</w:t>
      </w:r>
      <w:r w:rsidRPr="00A5165C">
        <w:rPr>
          <w:rFonts w:ascii="Book Antiqua" w:hAnsi="Book Antiqua"/>
          <w:sz w:val="24"/>
        </w:rPr>
        <w:t xml:space="preserve">. </w:t>
      </w:r>
      <w:proofErr w:type="spellStart"/>
      <w:r w:rsidRPr="00A5165C">
        <w:rPr>
          <w:rFonts w:ascii="Book Antiqua" w:hAnsi="Book Antiqua"/>
          <w:sz w:val="24"/>
        </w:rPr>
        <w:t>siRNA</w:t>
      </w:r>
      <w:proofErr w:type="spellEnd"/>
      <w:r w:rsidRPr="00A5165C">
        <w:rPr>
          <w:rFonts w:ascii="Book Antiqua" w:hAnsi="Book Antiqua"/>
          <w:sz w:val="24"/>
        </w:rPr>
        <w:t xml:space="preserve"> targeted inhibition of growth hormone receptor</w:t>
      </w:r>
    </w:p>
    <w:bookmarkEnd w:id="0"/>
    <w:bookmarkEnd w:id="1"/>
    <w:bookmarkEnd w:id="2"/>
    <w:bookmarkEnd w:id="3"/>
    <w:bookmarkEnd w:id="4"/>
    <w:p w:rsidR="00ED4098" w:rsidRPr="00F76351" w:rsidRDefault="00ED4098" w:rsidP="000F1768">
      <w:pPr>
        <w:spacing w:line="360" w:lineRule="auto"/>
        <w:jc w:val="center"/>
        <w:rPr>
          <w:rFonts w:ascii="Book Antiqua" w:hAnsi="Book Antiqua"/>
          <w:sz w:val="24"/>
        </w:rPr>
      </w:pPr>
    </w:p>
    <w:p w:rsidR="00ED4098" w:rsidRPr="00F76351" w:rsidRDefault="00ED4098" w:rsidP="00386AA8">
      <w:pPr>
        <w:spacing w:line="360" w:lineRule="auto"/>
        <w:jc w:val="left"/>
        <w:rPr>
          <w:rFonts w:ascii="Book Antiqua" w:hAnsi="Book Antiqua"/>
          <w:sz w:val="24"/>
        </w:rPr>
      </w:pPr>
      <w:bookmarkStart w:id="5" w:name="OLE_LINK161"/>
      <w:bookmarkStart w:id="6" w:name="OLE_LINK162"/>
      <w:r w:rsidRPr="00F76351">
        <w:rPr>
          <w:rFonts w:ascii="Book Antiqua" w:hAnsi="Book Antiqua"/>
          <w:sz w:val="24"/>
        </w:rPr>
        <w:t xml:space="preserve">Dong Zhou, </w:t>
      </w:r>
      <w:proofErr w:type="spellStart"/>
      <w:r w:rsidRPr="00F76351">
        <w:rPr>
          <w:rFonts w:ascii="Book Antiqua" w:hAnsi="Book Antiqua"/>
          <w:sz w:val="24"/>
        </w:rPr>
        <w:t>Jie</w:t>
      </w:r>
      <w:proofErr w:type="spellEnd"/>
      <w:r w:rsidRPr="00F76351">
        <w:rPr>
          <w:rFonts w:ascii="Book Antiqua" w:hAnsi="Book Antiqua"/>
          <w:sz w:val="24"/>
        </w:rPr>
        <w:t xml:space="preserve"> Yang, Wei</w:t>
      </w:r>
      <w:r w:rsidR="005F5566">
        <w:rPr>
          <w:rFonts w:ascii="Book Antiqua" w:hAnsi="Book Antiqua" w:hint="eastAsia"/>
          <w:sz w:val="24"/>
        </w:rPr>
        <w:t>-</w:t>
      </w:r>
      <w:r w:rsidR="005F5566" w:rsidRPr="00F76351">
        <w:rPr>
          <w:rFonts w:ascii="Book Antiqua" w:hAnsi="Book Antiqua"/>
          <w:sz w:val="24"/>
        </w:rPr>
        <w:t>D</w:t>
      </w:r>
      <w:r w:rsidRPr="00F76351">
        <w:rPr>
          <w:rFonts w:ascii="Book Antiqua" w:hAnsi="Book Antiqua"/>
          <w:sz w:val="24"/>
        </w:rPr>
        <w:t xml:space="preserve">ong Huang, Jun Wang, </w:t>
      </w:r>
      <w:proofErr w:type="spellStart"/>
      <w:r w:rsidRPr="00F76351">
        <w:rPr>
          <w:rFonts w:ascii="Book Antiqua" w:hAnsi="Book Antiqua"/>
          <w:sz w:val="24"/>
        </w:rPr>
        <w:t>Qiang</w:t>
      </w:r>
      <w:proofErr w:type="spellEnd"/>
      <w:r w:rsidRPr="00F76351">
        <w:rPr>
          <w:rFonts w:ascii="Book Antiqua" w:hAnsi="Book Antiqua"/>
          <w:sz w:val="24"/>
        </w:rPr>
        <w:t xml:space="preserve"> Zhang</w:t>
      </w:r>
    </w:p>
    <w:bookmarkEnd w:id="5"/>
    <w:bookmarkEnd w:id="6"/>
    <w:p w:rsidR="00ED4098" w:rsidRPr="00F76351" w:rsidRDefault="00ED4098" w:rsidP="00386AA8">
      <w:pPr>
        <w:spacing w:line="360" w:lineRule="auto"/>
        <w:jc w:val="left"/>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sz w:val="24"/>
        </w:rPr>
        <w:t xml:space="preserve">Dong Zhou, </w:t>
      </w:r>
      <w:proofErr w:type="spellStart"/>
      <w:r w:rsidRPr="00F76351">
        <w:rPr>
          <w:rFonts w:ascii="Book Antiqua" w:hAnsi="Book Antiqua"/>
          <w:b/>
          <w:sz w:val="24"/>
        </w:rPr>
        <w:t>Jie</w:t>
      </w:r>
      <w:proofErr w:type="spellEnd"/>
      <w:r w:rsidRPr="00F76351">
        <w:rPr>
          <w:rFonts w:ascii="Book Antiqua" w:hAnsi="Book Antiqua"/>
          <w:b/>
          <w:sz w:val="24"/>
        </w:rPr>
        <w:t xml:space="preserve"> Yang, Wei-Dong Huang, Jun Wang, </w:t>
      </w:r>
      <w:proofErr w:type="spellStart"/>
      <w:r w:rsidRPr="00F76351">
        <w:rPr>
          <w:rFonts w:ascii="Book Antiqua" w:hAnsi="Book Antiqua"/>
          <w:b/>
          <w:sz w:val="24"/>
        </w:rPr>
        <w:t>Qiang</w:t>
      </w:r>
      <w:proofErr w:type="spellEnd"/>
      <w:r w:rsidRPr="00F76351">
        <w:rPr>
          <w:rFonts w:ascii="Book Antiqua" w:hAnsi="Book Antiqua"/>
          <w:b/>
          <w:sz w:val="24"/>
        </w:rPr>
        <w:t xml:space="preserve"> Zhang, </w:t>
      </w:r>
      <w:r w:rsidRPr="00F76351">
        <w:rPr>
          <w:rFonts w:ascii="Book Antiqua" w:hAnsi="Book Antiqua"/>
          <w:sz w:val="24"/>
        </w:rPr>
        <w:t xml:space="preserve">Department of General Surgery of </w:t>
      </w:r>
      <w:proofErr w:type="spellStart"/>
      <w:r w:rsidRPr="00F76351">
        <w:rPr>
          <w:rFonts w:ascii="Book Antiqua" w:hAnsi="Book Antiqua"/>
          <w:sz w:val="24"/>
        </w:rPr>
        <w:t>Xiangyang</w:t>
      </w:r>
      <w:proofErr w:type="spellEnd"/>
      <w:r w:rsidRPr="00F76351">
        <w:rPr>
          <w:rFonts w:ascii="Book Antiqua" w:hAnsi="Book Antiqua"/>
          <w:sz w:val="24"/>
        </w:rPr>
        <w:t xml:space="preserve"> Hospital Affiliated to Hubei University of Medicine, </w:t>
      </w:r>
      <w:proofErr w:type="spellStart"/>
      <w:r w:rsidRPr="00F76351">
        <w:rPr>
          <w:rFonts w:ascii="Book Antiqua" w:hAnsi="Book Antiqua"/>
          <w:sz w:val="24"/>
        </w:rPr>
        <w:t>Xiangyang</w:t>
      </w:r>
      <w:proofErr w:type="spellEnd"/>
      <w:r w:rsidRPr="00F76351">
        <w:rPr>
          <w:rFonts w:ascii="Book Antiqua" w:hAnsi="Book Antiqua"/>
          <w:sz w:val="24"/>
        </w:rPr>
        <w:t xml:space="preserve"> 441000, Hubei Province, China</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sz w:val="24"/>
        </w:rPr>
      </w:pPr>
      <w:bookmarkStart w:id="7" w:name="OLE_LINK38"/>
      <w:bookmarkStart w:id="8" w:name="OLE_LINK47"/>
      <w:bookmarkStart w:id="9" w:name="OLE_LINK83"/>
      <w:bookmarkStart w:id="10" w:name="OLE_LINK103"/>
      <w:bookmarkStart w:id="11" w:name="OLE_LINK104"/>
      <w:bookmarkStart w:id="12" w:name="OLE_LINK112"/>
      <w:bookmarkStart w:id="13" w:name="OLE_LINK189"/>
      <w:bookmarkStart w:id="14" w:name="OLE_LINK40"/>
      <w:bookmarkStart w:id="15" w:name="OLE_LINK41"/>
      <w:r w:rsidRPr="00F76351">
        <w:rPr>
          <w:rFonts w:ascii="Book Antiqua" w:eastAsia="MS Mincho" w:hAnsi="Book Antiqua"/>
          <w:b/>
          <w:sz w:val="24"/>
          <w:lang w:eastAsia="ja-JP"/>
        </w:rPr>
        <w:t>Author contributions</w:t>
      </w:r>
      <w:bookmarkEnd w:id="7"/>
      <w:bookmarkEnd w:id="8"/>
      <w:r w:rsidRPr="00F76351">
        <w:rPr>
          <w:rFonts w:ascii="Book Antiqua" w:eastAsia="MS Mincho" w:hAnsi="Book Antiqua"/>
          <w:b/>
          <w:sz w:val="24"/>
          <w:lang w:eastAsia="ja-JP"/>
        </w:rPr>
        <w:t>:</w:t>
      </w:r>
      <w:bookmarkEnd w:id="9"/>
      <w:bookmarkEnd w:id="10"/>
      <w:bookmarkEnd w:id="11"/>
      <w:bookmarkEnd w:id="12"/>
      <w:bookmarkEnd w:id="13"/>
      <w:r w:rsidRPr="00F76351">
        <w:rPr>
          <w:rFonts w:ascii="Book Antiqua" w:hAnsi="Book Antiqua"/>
          <w:b/>
          <w:sz w:val="24"/>
        </w:rPr>
        <w:t xml:space="preserve"> </w:t>
      </w:r>
      <w:bookmarkEnd w:id="14"/>
      <w:bookmarkEnd w:id="15"/>
      <w:r w:rsidRPr="00F76351">
        <w:rPr>
          <w:rFonts w:ascii="Book Antiqua" w:hAnsi="Book Antiqua"/>
          <w:sz w:val="24"/>
        </w:rPr>
        <w:t>Zhou D performed the majority of the experiments; Yang J provided vital reagents and analytical tools and was also involved in editing the manuscript; Huang WD and Wang J coordinated and collected the human material, in addition to providing financial support for this work; Zhang Q designed the study and wrote the manuscript.</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t xml:space="preserve">Correspondence to: Dong Zhou, MD, </w:t>
      </w:r>
      <w:r w:rsidRPr="00F76351">
        <w:rPr>
          <w:rFonts w:ascii="Book Antiqua" w:hAnsi="Book Antiqua"/>
          <w:sz w:val="24"/>
        </w:rPr>
        <w:t xml:space="preserve">Department of General Surgery, </w:t>
      </w:r>
      <w:proofErr w:type="spellStart"/>
      <w:r w:rsidRPr="00F76351">
        <w:rPr>
          <w:rFonts w:ascii="Book Antiqua" w:hAnsi="Book Antiqua"/>
          <w:sz w:val="24"/>
        </w:rPr>
        <w:t>Xiangyang</w:t>
      </w:r>
      <w:proofErr w:type="spellEnd"/>
      <w:r w:rsidRPr="00F76351">
        <w:rPr>
          <w:rFonts w:ascii="Book Antiqua" w:hAnsi="Book Antiqua"/>
          <w:sz w:val="24"/>
        </w:rPr>
        <w:t xml:space="preserve"> Hospital Affiliated to Hubei University of Medicine, </w:t>
      </w:r>
      <w:proofErr w:type="spellStart"/>
      <w:r w:rsidRPr="00F76351">
        <w:rPr>
          <w:rFonts w:ascii="Book Antiqua" w:hAnsi="Book Antiqua"/>
          <w:sz w:val="24"/>
        </w:rPr>
        <w:t>Xiangyang</w:t>
      </w:r>
      <w:proofErr w:type="spellEnd"/>
      <w:r w:rsidRPr="00F76351">
        <w:rPr>
          <w:rFonts w:ascii="Book Antiqua" w:hAnsi="Book Antiqua"/>
          <w:sz w:val="24"/>
        </w:rPr>
        <w:t xml:space="preserve"> 441000, Hubei Province, China. tbw120@163.com</w:t>
      </w:r>
    </w:p>
    <w:p w:rsidR="00ED4098" w:rsidRPr="00F76351" w:rsidRDefault="00ED4098" w:rsidP="000F1768">
      <w:pPr>
        <w:spacing w:line="360" w:lineRule="auto"/>
        <w:rPr>
          <w:rFonts w:ascii="Book Antiqua" w:hAnsi="Book Antiqua"/>
          <w:sz w:val="24"/>
        </w:rPr>
      </w:pPr>
      <w:r w:rsidRPr="00F76351">
        <w:rPr>
          <w:rFonts w:ascii="Book Antiqua" w:hAnsi="Book Antiqua"/>
          <w:b/>
          <w:sz w:val="24"/>
        </w:rPr>
        <w:t xml:space="preserve">Telephone: </w:t>
      </w:r>
      <w:r w:rsidRPr="00F76351">
        <w:rPr>
          <w:rFonts w:ascii="Book Antiqua" w:hAnsi="Book Antiqua"/>
          <w:sz w:val="24"/>
        </w:rPr>
        <w:t>+86-710-3420052</w:t>
      </w:r>
      <w:r w:rsidRPr="00F76351">
        <w:rPr>
          <w:rFonts w:ascii="Book Antiqua" w:hAnsi="Book Antiqua"/>
          <w:b/>
          <w:sz w:val="24"/>
        </w:rPr>
        <w:t xml:space="preserve">   Fax: </w:t>
      </w:r>
      <w:r w:rsidRPr="00F76351">
        <w:rPr>
          <w:rFonts w:ascii="Book Antiqua" w:hAnsi="Book Antiqua"/>
          <w:sz w:val="24"/>
        </w:rPr>
        <w:t>+86-710-3420176</w:t>
      </w:r>
    </w:p>
    <w:p w:rsidR="00ED4098" w:rsidRPr="00F76351" w:rsidRDefault="00ED4098" w:rsidP="000F1768">
      <w:pPr>
        <w:spacing w:line="360" w:lineRule="auto"/>
        <w:rPr>
          <w:rFonts w:ascii="Book Antiqua" w:hAnsi="Book Antiqua"/>
          <w:sz w:val="24"/>
        </w:rPr>
      </w:pPr>
    </w:p>
    <w:p w:rsidR="00ED4098" w:rsidRPr="00F76351" w:rsidRDefault="00ED4098" w:rsidP="00760D0A">
      <w:pPr>
        <w:spacing w:line="360" w:lineRule="auto"/>
        <w:rPr>
          <w:rFonts w:ascii="Book Antiqua" w:hAnsi="Book Antiqua"/>
          <w:b/>
          <w:sz w:val="24"/>
        </w:rPr>
      </w:pPr>
      <w:r w:rsidRPr="00F76351">
        <w:rPr>
          <w:rFonts w:ascii="Book Antiqua" w:hAnsi="Book Antiqua"/>
          <w:b/>
          <w:sz w:val="24"/>
        </w:rPr>
        <w:t>Received:</w:t>
      </w:r>
      <w:bookmarkStart w:id="16" w:name="OLE_LINK131"/>
      <w:bookmarkStart w:id="17" w:name="OLE_LINK132"/>
      <w:bookmarkStart w:id="18" w:name="OLE_LINK141"/>
      <w:bookmarkStart w:id="19" w:name="OLE_LINK151"/>
      <w:r w:rsidRPr="00F76351">
        <w:rPr>
          <w:rFonts w:ascii="Book Antiqua" w:hAnsi="Book Antiqua"/>
          <w:sz w:val="24"/>
        </w:rPr>
        <w:t xml:space="preserve"> May</w:t>
      </w:r>
      <w:bookmarkEnd w:id="16"/>
      <w:bookmarkEnd w:id="17"/>
      <w:bookmarkEnd w:id="18"/>
      <w:bookmarkEnd w:id="19"/>
      <w:r w:rsidRPr="00F76351">
        <w:rPr>
          <w:rFonts w:ascii="Book Antiqua" w:hAnsi="Book Antiqua"/>
          <w:sz w:val="24"/>
        </w:rPr>
        <w:t xml:space="preserve"> 24, 2013  </w:t>
      </w:r>
      <w:r w:rsidRPr="00F76351">
        <w:rPr>
          <w:rFonts w:ascii="Book Antiqua" w:hAnsi="Book Antiqua"/>
          <w:b/>
          <w:sz w:val="24"/>
        </w:rPr>
        <w:t xml:space="preserve"> </w:t>
      </w:r>
      <w:r w:rsidRPr="00F76351">
        <w:rPr>
          <w:rFonts w:ascii="Book Antiqua" w:hAnsi="Book Antiqua"/>
          <w:sz w:val="24"/>
        </w:rPr>
        <w:t xml:space="preserve">     </w:t>
      </w:r>
      <w:r w:rsidRPr="00F76351">
        <w:rPr>
          <w:rFonts w:ascii="Book Antiqua" w:hAnsi="Book Antiqua"/>
          <w:b/>
          <w:sz w:val="24"/>
        </w:rPr>
        <w:t xml:space="preserve">Revised: </w:t>
      </w:r>
      <w:r w:rsidRPr="00DA24D2">
        <w:rPr>
          <w:rFonts w:ascii="Book Antiqua" w:hAnsi="Book Antiqua"/>
          <w:sz w:val="24"/>
        </w:rPr>
        <w:t xml:space="preserve">October </w:t>
      </w:r>
      <w:r w:rsidRPr="00F76351">
        <w:rPr>
          <w:rFonts w:ascii="Book Antiqua" w:hAnsi="Book Antiqua"/>
          <w:sz w:val="24"/>
        </w:rPr>
        <w:t>12, 2013</w:t>
      </w:r>
    </w:p>
    <w:p w:rsidR="005F5566" w:rsidRPr="00DE65F2" w:rsidRDefault="00ED4098" w:rsidP="005F5566">
      <w:pPr>
        <w:rPr>
          <w:rFonts w:ascii="Book Antiqua" w:hAnsi="Book Antiqua"/>
          <w:sz w:val="24"/>
        </w:rPr>
      </w:pPr>
      <w:r w:rsidRPr="00F76351">
        <w:rPr>
          <w:rFonts w:ascii="Book Antiqua" w:hAnsi="Book Antiqua"/>
          <w:b/>
          <w:sz w:val="24"/>
        </w:rPr>
        <w:t xml:space="preserve">Accepted: </w:t>
      </w:r>
      <w:r w:rsidR="005F5566" w:rsidRPr="00DE65F2">
        <w:rPr>
          <w:rFonts w:ascii="Book Antiqua" w:hAnsi="Book Antiqua"/>
          <w:sz w:val="24"/>
        </w:rPr>
        <w:t>October 19, 2013</w:t>
      </w:r>
    </w:p>
    <w:p w:rsidR="00ED4098" w:rsidRPr="00F76351" w:rsidRDefault="00ED4098" w:rsidP="00760D0A">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t xml:space="preserve">Published online: </w:t>
      </w:r>
      <w:r w:rsidRPr="00F76351">
        <w:rPr>
          <w:rFonts w:ascii="Book Antiqua" w:hAnsi="Book Antiqua"/>
          <w:b/>
          <w:sz w:val="24"/>
        </w:rPr>
        <w:br w:type="page"/>
      </w:r>
      <w:r w:rsidRPr="00F76351">
        <w:rPr>
          <w:rFonts w:ascii="Book Antiqua" w:hAnsi="Book Antiqua"/>
          <w:b/>
          <w:sz w:val="24"/>
        </w:rPr>
        <w:lastRenderedPageBreak/>
        <w:t>Abstract</w:t>
      </w:r>
    </w:p>
    <w:p w:rsidR="00ED4098" w:rsidRPr="00F76351" w:rsidRDefault="00ED4098" w:rsidP="000F1768">
      <w:pPr>
        <w:spacing w:line="360" w:lineRule="auto"/>
        <w:rPr>
          <w:rFonts w:ascii="Book Antiqua" w:hAnsi="Book Antiqua"/>
          <w:sz w:val="24"/>
        </w:rPr>
      </w:pPr>
      <w:r w:rsidRPr="00F76351">
        <w:rPr>
          <w:rFonts w:ascii="Book Antiqua" w:hAnsi="Book Antiqua"/>
          <w:b/>
          <w:sz w:val="24"/>
        </w:rPr>
        <w:t xml:space="preserve">AIM: </w:t>
      </w:r>
      <w:r w:rsidRPr="00F76351">
        <w:rPr>
          <w:rFonts w:ascii="Book Antiqua" w:hAnsi="Book Antiqua"/>
          <w:sz w:val="24"/>
        </w:rPr>
        <w:t xml:space="preserve">To determine the effects of growth hormone receptor (GHR) gene </w:t>
      </w:r>
      <w:proofErr w:type="spellStart"/>
      <w:r w:rsidRPr="00F76351">
        <w:rPr>
          <w:rFonts w:ascii="Book Antiqua" w:hAnsi="Book Antiqua"/>
          <w:sz w:val="24"/>
        </w:rPr>
        <w:t>RNAi</w:t>
      </w:r>
      <w:proofErr w:type="spellEnd"/>
      <w:r w:rsidRPr="00F76351">
        <w:rPr>
          <w:rFonts w:ascii="Book Antiqua" w:hAnsi="Book Antiqua"/>
          <w:sz w:val="24"/>
        </w:rPr>
        <w:t xml:space="preserve">-mediated inhibition on tumors and colon cancer cells </w:t>
      </w:r>
      <w:r w:rsidRPr="00F76351">
        <w:rPr>
          <w:rFonts w:ascii="Book Antiqua" w:hAnsi="Book Antiqua"/>
          <w:i/>
          <w:sz w:val="24"/>
        </w:rPr>
        <w:t>in vivo</w:t>
      </w:r>
      <w:r w:rsidRPr="00F76351">
        <w:rPr>
          <w:rFonts w:ascii="Book Antiqua" w:hAnsi="Book Antiqua"/>
          <w:sz w:val="24"/>
        </w:rPr>
        <w:t>.</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sz w:val="24"/>
        </w:rPr>
        <w:t>METHODS</w:t>
      </w:r>
      <w:r w:rsidRPr="00F76351">
        <w:rPr>
          <w:rFonts w:ascii="Book Antiqua" w:hAnsi="Book Antiqua"/>
          <w:sz w:val="24"/>
        </w:rPr>
        <w:t xml:space="preserve">: Construction of eukaryotic vector for the human GHR expression vector - </w:t>
      </w:r>
      <w:proofErr w:type="spellStart"/>
      <w:r w:rsidRPr="00F76351">
        <w:rPr>
          <w:rFonts w:ascii="Book Antiqua" w:hAnsi="Book Antiqua"/>
          <w:sz w:val="24"/>
        </w:rPr>
        <w:t>pcDNA</w:t>
      </w:r>
      <w:proofErr w:type="spellEnd"/>
      <w:r w:rsidRPr="00F76351">
        <w:rPr>
          <w:rFonts w:ascii="Book Antiqua" w:hAnsi="Book Antiqua"/>
          <w:sz w:val="24"/>
        </w:rPr>
        <w:t xml:space="preserve"> ™ 6.2-GW/</w:t>
      </w:r>
      <w:proofErr w:type="spellStart"/>
      <w:r w:rsidRPr="00F76351">
        <w:rPr>
          <w:rFonts w:ascii="Book Antiqua" w:hAnsi="Book Antiqua"/>
          <w:sz w:val="24"/>
        </w:rPr>
        <w:t>EmGFP</w:t>
      </w:r>
      <w:proofErr w:type="spellEnd"/>
      <w:r w:rsidRPr="00F76351">
        <w:rPr>
          <w:rFonts w:ascii="Book Antiqua" w:hAnsi="Book Antiqua"/>
          <w:sz w:val="24"/>
        </w:rPr>
        <w:t>-</w:t>
      </w:r>
      <w:proofErr w:type="spellStart"/>
      <w:r w:rsidRPr="00F76351">
        <w:rPr>
          <w:rFonts w:ascii="Book Antiqua" w:hAnsi="Book Antiqua"/>
          <w:sz w:val="24"/>
        </w:rPr>
        <w:t>siRNA</w:t>
      </w:r>
      <w:proofErr w:type="spellEnd"/>
      <w:r w:rsidRPr="00F76351">
        <w:rPr>
          <w:rFonts w:ascii="Book Antiqua" w:hAnsi="Book Antiqua"/>
          <w:sz w:val="24"/>
        </w:rPr>
        <w:t>-GHR was used to inhibit GHR expression. Thirty-six BALB/c nude mice were randomly divided into groups and treated with NS, G</w:t>
      </w:r>
      <w:r w:rsidRPr="00F76351">
        <w:rPr>
          <w:rFonts w:ascii="Book Antiqua" w:hAnsi="Book Antiqua"/>
          <w:sz w:val="24"/>
          <w:vertAlign w:val="subscript"/>
        </w:rPr>
        <w:t>2</w:t>
      </w:r>
      <w:r w:rsidRPr="00F76351">
        <w:rPr>
          <w:rFonts w:ascii="Book Antiqua" w:hAnsi="Book Antiqua"/>
          <w:sz w:val="24"/>
        </w:rPr>
        <w:t>, GH, FU, G</w:t>
      </w:r>
      <w:r w:rsidRPr="00F76351">
        <w:rPr>
          <w:rFonts w:ascii="Book Antiqua" w:hAnsi="Book Antiqua"/>
          <w:sz w:val="24"/>
          <w:vertAlign w:val="subscript"/>
        </w:rPr>
        <w:t>2</w:t>
      </w:r>
      <w:r w:rsidRPr="00F76351">
        <w:rPr>
          <w:rFonts w:ascii="Book Antiqua" w:hAnsi="Book Antiqua"/>
          <w:sz w:val="24"/>
        </w:rPr>
        <w:t>+FU or G</w:t>
      </w:r>
      <w:r w:rsidRPr="00F76351">
        <w:rPr>
          <w:rFonts w:ascii="Book Antiqua" w:hAnsi="Book Antiqua"/>
          <w:sz w:val="24"/>
          <w:vertAlign w:val="subscript"/>
        </w:rPr>
        <w:t>2</w:t>
      </w:r>
      <w:r w:rsidRPr="00F76351">
        <w:rPr>
          <w:rFonts w:ascii="Book Antiqua" w:hAnsi="Book Antiqua"/>
          <w:sz w:val="24"/>
        </w:rPr>
        <w:t>+FU+GH. Each nude mouse was subcutaneously inoculated with 1×10</w:t>
      </w:r>
      <w:r w:rsidRPr="00F76351">
        <w:rPr>
          <w:rFonts w:ascii="Book Antiqua" w:hAnsi="Book Antiqua"/>
          <w:sz w:val="24"/>
          <w:vertAlign w:val="superscript"/>
        </w:rPr>
        <w:t>7</w:t>
      </w:r>
      <w:r w:rsidRPr="00F76351">
        <w:rPr>
          <w:rFonts w:ascii="Book Antiqua" w:hAnsi="Book Antiqua"/>
          <w:sz w:val="24"/>
        </w:rPr>
        <w:t xml:space="preserve"> human colon cancer SW480 cells; the nude mice were weighed before inoculation and on the 2nd, 5th, 8th, 11th, 14th and 17th day after inoculation. </w:t>
      </w:r>
      <w:r w:rsidRPr="00F76351">
        <w:rPr>
          <w:sz w:val="24"/>
        </w:rPr>
        <w:t>all nude mice were sacrificed after 17 days</w:t>
      </w:r>
      <w:r w:rsidRPr="00F76351">
        <w:rPr>
          <w:rFonts w:hint="eastAsia"/>
          <w:sz w:val="24"/>
        </w:rPr>
        <w:t>，</w:t>
      </w:r>
      <w:r w:rsidRPr="00F76351">
        <w:rPr>
          <w:rFonts w:ascii="Book Antiqua" w:hAnsi="Book Antiqua"/>
          <w:sz w:val="24"/>
        </w:rPr>
        <w:t xml:space="preserve">Each subcutaneous tumor Specimen of nude mice were removed and </w:t>
      </w:r>
      <w:proofErr w:type="spellStart"/>
      <w:r w:rsidRPr="00F76351">
        <w:rPr>
          <w:rFonts w:ascii="Book Antiqua" w:hAnsi="Book Antiqua"/>
          <w:sz w:val="24"/>
        </w:rPr>
        <w:t>detected,Tumor</w:t>
      </w:r>
      <w:proofErr w:type="spellEnd"/>
      <w:r w:rsidRPr="00F76351">
        <w:rPr>
          <w:rFonts w:ascii="Book Antiqua" w:hAnsi="Book Antiqua"/>
          <w:sz w:val="24"/>
        </w:rPr>
        <w:t xml:space="preserve"> volume was measured on the 5th, 8th, 11th, 14th and 17th day after inoculation. The expression of GHR protein in the tumor tissue was detected by western blot analysis, and the differences in GHR mRNA expression in the tumor tissue were detected by</w:t>
      </w:r>
      <w:r w:rsidRPr="00F76351">
        <w:rPr>
          <w:sz w:val="24"/>
        </w:rPr>
        <w:t xml:space="preserve"> </w:t>
      </w:r>
      <w:r w:rsidRPr="00F76351">
        <w:rPr>
          <w:rFonts w:ascii="Book Antiqua" w:hAnsi="Book Antiqua"/>
          <w:sz w:val="24"/>
        </w:rPr>
        <w:t xml:space="preserve">real time quantitative reverse transcription-polymerase chain reaction. </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sz w:val="24"/>
        </w:rPr>
        <w:t>RESULTS</w:t>
      </w:r>
      <w:r w:rsidRPr="00F76351">
        <w:rPr>
          <w:rFonts w:ascii="Book Antiqua" w:hAnsi="Book Antiqua"/>
          <w:sz w:val="24"/>
        </w:rPr>
        <w:t>: Compared to the control group, the weight of tumor volume in the inoculated nude mice (recombinant plasmid G</w:t>
      </w:r>
      <w:r w:rsidRPr="00F76351">
        <w:rPr>
          <w:rFonts w:ascii="Book Antiqua" w:hAnsi="Book Antiqua"/>
          <w:sz w:val="24"/>
          <w:vertAlign w:val="subscript"/>
        </w:rPr>
        <w:t xml:space="preserve">2, </w:t>
      </w:r>
      <w:r w:rsidRPr="00F76351">
        <w:rPr>
          <w:rFonts w:ascii="Book Antiqua" w:hAnsi="Book Antiqua"/>
          <w:sz w:val="24"/>
        </w:rPr>
        <w:t>G</w:t>
      </w:r>
      <w:r w:rsidRPr="00F76351">
        <w:rPr>
          <w:rFonts w:ascii="Book Antiqua" w:hAnsi="Book Antiqua"/>
          <w:sz w:val="24"/>
          <w:vertAlign w:val="subscript"/>
        </w:rPr>
        <w:t xml:space="preserve">2 </w:t>
      </w:r>
      <w:r w:rsidRPr="00F76351">
        <w:rPr>
          <w:rFonts w:ascii="Book Antiqua" w:hAnsi="Book Antiqua"/>
          <w:sz w:val="24"/>
        </w:rPr>
        <w:t xml:space="preserve">21.60 ± </w:t>
      </w:r>
      <w:smartTag w:uri="urn:schemas-microsoft-com:office:smarttags" w:element="chmetcnv">
        <w:smartTagPr>
          <w:attr w:name="UnitName" w:val="g"/>
          <w:attr w:name="SourceValue" w:val=".71"/>
          <w:attr w:name="HasSpace" w:val="False"/>
          <w:attr w:name="Negative" w:val="False"/>
          <w:attr w:name="NumberType" w:val="1"/>
          <w:attr w:name="TCSC" w:val="0"/>
        </w:smartTagPr>
        <w:r w:rsidRPr="00F76351">
          <w:rPr>
            <w:rFonts w:ascii="Book Antiqua" w:hAnsi="Book Antiqua"/>
            <w:sz w:val="24"/>
          </w:rPr>
          <w:t>0.71g</w:t>
        </w:r>
      </w:smartTag>
      <w:r w:rsidRPr="00F76351">
        <w:rPr>
          <w:rFonts w:ascii="Book Antiqua" w:hAnsi="Book Antiqua"/>
          <w:sz w:val="24"/>
        </w:rPr>
        <w:t xml:space="preserve">, growth hormone,GH21.64 ± </w:t>
      </w:r>
      <w:smartTag w:uri="urn:schemas-microsoft-com:office:smarttags" w:element="chmetcnv">
        <w:smartTagPr>
          <w:attr w:name="UnitName" w:val="g"/>
          <w:attr w:name="SourceValue" w:val=".45"/>
          <w:attr w:name="HasSpace" w:val="False"/>
          <w:attr w:name="Negative" w:val="False"/>
          <w:attr w:name="NumberType" w:val="1"/>
          <w:attr w:name="TCSC" w:val="0"/>
        </w:smartTagPr>
        <w:r w:rsidRPr="00F76351">
          <w:rPr>
            <w:rFonts w:ascii="Book Antiqua" w:hAnsi="Book Antiqua"/>
            <w:sz w:val="24"/>
          </w:rPr>
          <w:t>0.45g</w:t>
        </w:r>
      </w:smartTag>
      <w:r w:rsidRPr="00F76351">
        <w:rPr>
          <w:rFonts w:ascii="Book Antiqua" w:hAnsi="Book Antiqua"/>
          <w:sz w:val="24"/>
        </w:rPr>
        <w:t xml:space="preserve">, 5-Fluorouracil,FU18.94 ± </w:t>
      </w:r>
      <w:smartTag w:uri="urn:schemas-microsoft-com:office:smarttags" w:element="chmetcnv">
        <w:smartTagPr>
          <w:attr w:name="UnitName" w:val="g"/>
          <w:attr w:name="SourceValue" w:val=".47"/>
          <w:attr w:name="HasSpace" w:val="False"/>
          <w:attr w:name="Negative" w:val="False"/>
          <w:attr w:name="NumberType" w:val="1"/>
          <w:attr w:name="TCSC" w:val="0"/>
        </w:smartTagPr>
        <w:r w:rsidRPr="00F76351">
          <w:rPr>
            <w:rFonts w:ascii="Book Antiqua" w:hAnsi="Book Antiqua"/>
            <w:sz w:val="24"/>
          </w:rPr>
          <w:t>0.47g</w:t>
        </w:r>
      </w:smartTag>
      <w:r w:rsidRPr="00F76351">
        <w:rPr>
          <w:rFonts w:ascii="Book Antiqua" w:hAnsi="Book Antiqua"/>
          <w:sz w:val="24"/>
        </w:rPr>
        <w:t xml:space="preserve"> , FU+G</w:t>
      </w:r>
      <w:r w:rsidRPr="00F76351">
        <w:rPr>
          <w:rFonts w:ascii="Book Antiqua" w:hAnsi="Book Antiqua"/>
          <w:sz w:val="24"/>
          <w:vertAlign w:val="subscript"/>
        </w:rPr>
        <w:t>2</w:t>
      </w:r>
      <w:r w:rsidRPr="00F76351">
        <w:rPr>
          <w:rFonts w:ascii="Book Antiqua" w:hAnsi="Book Antiqua"/>
          <w:sz w:val="24"/>
        </w:rPr>
        <w:t xml:space="preserve"> 19.40 ± </w:t>
      </w:r>
      <w:smartTag w:uri="urn:schemas-microsoft-com:office:smarttags" w:element="chmetcnv">
        <w:smartTagPr>
          <w:attr w:name="UnitName" w:val="g"/>
          <w:attr w:name="SourceValue" w:val=".6"/>
          <w:attr w:name="HasSpace" w:val="False"/>
          <w:attr w:name="Negative" w:val="False"/>
          <w:attr w:name="NumberType" w:val="1"/>
          <w:attr w:name="TCSC" w:val="0"/>
        </w:smartTagPr>
        <w:r w:rsidRPr="00F76351">
          <w:rPr>
            <w:rFonts w:ascii="Book Antiqua" w:hAnsi="Book Antiqua"/>
            <w:sz w:val="24"/>
          </w:rPr>
          <w:t>0.60g</w:t>
        </w:r>
      </w:smartTag>
      <w:r w:rsidRPr="00F76351">
        <w:rPr>
          <w:rFonts w:ascii="Book Antiqua" w:hAnsi="Book Antiqua"/>
          <w:sz w:val="24"/>
        </w:rPr>
        <w:t xml:space="preserve"> , G</w:t>
      </w:r>
      <w:r w:rsidRPr="00F76351">
        <w:rPr>
          <w:rFonts w:ascii="Book Antiqua" w:hAnsi="Book Antiqua"/>
          <w:sz w:val="24"/>
          <w:vertAlign w:val="subscript"/>
        </w:rPr>
        <w:t>2</w:t>
      </w:r>
      <w:r w:rsidRPr="00F76351">
        <w:rPr>
          <w:rFonts w:ascii="Book Antiqua" w:hAnsi="Book Antiqua"/>
          <w:sz w:val="24"/>
        </w:rPr>
        <w:t xml:space="preserve">+FU+GH 21.04 ± </w:t>
      </w:r>
      <w:smartTag w:uri="urn:schemas-microsoft-com:office:smarttags" w:element="chmetcnv">
        <w:smartTagPr>
          <w:attr w:name="UnitName" w:val="g"/>
          <w:attr w:name="SourceValue" w:val=".78"/>
          <w:attr w:name="HasSpace" w:val="False"/>
          <w:attr w:name="Negative" w:val="False"/>
          <w:attr w:name="NumberType" w:val="1"/>
          <w:attr w:name="TCSC" w:val="0"/>
        </w:smartTagPr>
        <w:r w:rsidRPr="00F76351">
          <w:rPr>
            <w:rFonts w:ascii="Book Antiqua" w:hAnsi="Book Antiqua"/>
            <w:sz w:val="24"/>
          </w:rPr>
          <w:t>0.78g</w:t>
        </w:r>
      </w:smartTag>
      <w:r w:rsidRPr="00F76351">
        <w:rPr>
          <w:rFonts w:ascii="Book Antiqua" w:hAnsi="Book Antiqua"/>
          <w:sz w:val="24"/>
        </w:rPr>
        <w:t xml:space="preserve"> </w:t>
      </w:r>
      <w:proofErr w:type="spellStart"/>
      <w:r w:rsidRPr="00F76351">
        <w:rPr>
          <w:rFonts w:ascii="Book Antiqua" w:hAnsi="Book Antiqua"/>
          <w:i/>
          <w:sz w:val="24"/>
        </w:rPr>
        <w:t>vs</w:t>
      </w:r>
      <w:proofErr w:type="spellEnd"/>
      <w:r w:rsidRPr="00F76351">
        <w:rPr>
          <w:rFonts w:ascii="Book Antiqua" w:hAnsi="Book Antiqua"/>
          <w:sz w:val="24"/>
        </w:rPr>
        <w:t xml:space="preserve"> NS 20.68 ± </w:t>
      </w:r>
      <w:smartTag w:uri="urn:schemas-microsoft-com:office:smarttags" w:element="chmetcnv">
        <w:smartTagPr>
          <w:attr w:name="UnitName" w:val="g"/>
          <w:attr w:name="SourceValue" w:val=".66"/>
          <w:attr w:name="HasSpace" w:val="False"/>
          <w:attr w:name="Negative" w:val="False"/>
          <w:attr w:name="NumberType" w:val="1"/>
          <w:attr w:name="TCSC" w:val="0"/>
        </w:smartTagPr>
        <w:r w:rsidRPr="00F76351">
          <w:rPr>
            <w:rFonts w:ascii="Book Antiqua" w:hAnsi="Book Antiqua"/>
            <w:sz w:val="24"/>
          </w:rPr>
          <w:t>0.66g</w:t>
        </w:r>
      </w:smartTag>
      <w:r w:rsidRPr="00F76351">
        <w:rPr>
          <w:rFonts w:ascii="Book Antiqua" w:hAnsi="Book Antiqua"/>
          <w:sz w:val="24"/>
        </w:rPr>
        <w:t xml:space="preserve">, </w:t>
      </w:r>
      <w:r w:rsidRPr="00F76351">
        <w:rPr>
          <w:rFonts w:ascii="Book Antiqua" w:hAnsi="Book Antiqua"/>
          <w:i/>
          <w:sz w:val="24"/>
        </w:rPr>
        <w:t xml:space="preserve">P </w:t>
      </w:r>
      <w:r w:rsidRPr="00F76351">
        <w:rPr>
          <w:rFonts w:ascii="Book Antiqua" w:hAnsi="Book Antiqua"/>
          <w:sz w:val="24"/>
        </w:rPr>
        <w:t>&lt; 0.05), the tumor volume of the subcutaneous inoculation (G</w:t>
      </w:r>
      <w:r w:rsidRPr="00F76351">
        <w:rPr>
          <w:rFonts w:ascii="Book Antiqua" w:hAnsi="Book Antiqua"/>
          <w:sz w:val="24"/>
          <w:vertAlign w:val="subscript"/>
        </w:rPr>
        <w:t xml:space="preserve">2 </w:t>
      </w:r>
      <w:r w:rsidRPr="00F76351">
        <w:rPr>
          <w:rFonts w:ascii="Book Antiqua" w:hAnsi="Book Antiqua"/>
          <w:sz w:val="24"/>
        </w:rPr>
        <w:t xml:space="preserve">9.71 ± </w:t>
      </w:r>
      <w:smartTag w:uri="urn:schemas-microsoft-com:office:smarttags" w:element="chmetcnv">
        <w:smartTagPr>
          <w:attr w:name="UnitName" w:val="mm"/>
          <w:attr w:name="SourceValue" w:val="3.82"/>
          <w:attr w:name="HasSpace" w:val="True"/>
          <w:attr w:name="Negative" w:val="False"/>
          <w:attr w:name="NumberType" w:val="1"/>
          <w:attr w:name="TCSC" w:val="0"/>
        </w:smartTagPr>
        <w:r w:rsidRPr="00F76351">
          <w:rPr>
            <w:rFonts w:ascii="Book Antiqua" w:hAnsi="Book Antiqua"/>
            <w:sz w:val="24"/>
          </w:rPr>
          <w:t>3.82 mm</w:t>
        </w:r>
      </w:smartTag>
      <w:r w:rsidRPr="00F76351">
        <w:rPr>
          <w:rFonts w:ascii="Book Antiqua" w:hAnsi="Book Antiqua"/>
          <w:sz w:val="24"/>
          <w:vertAlign w:val="superscript"/>
        </w:rPr>
        <w:t>3</w:t>
      </w:r>
      <w:r w:rsidRPr="00F76351">
        <w:rPr>
          <w:rFonts w:ascii="Book Antiqua" w:hAnsi="Book Antiqua"/>
          <w:sz w:val="24"/>
        </w:rPr>
        <w:t xml:space="preserve">, FU 11.54 ± </w:t>
      </w:r>
      <w:smartTag w:uri="urn:schemas-microsoft-com:office:smarttags" w:element="chmetcnv">
        <w:smartTagPr>
          <w:attr w:name="UnitName" w:val="mm"/>
          <w:attr w:name="SourceValue" w:val="2.42"/>
          <w:attr w:name="HasSpace" w:val="True"/>
          <w:attr w:name="Negative" w:val="False"/>
          <w:attr w:name="NumberType" w:val="1"/>
          <w:attr w:name="TCSC" w:val="0"/>
        </w:smartTagPr>
        <w:r w:rsidRPr="00F76351">
          <w:rPr>
            <w:rFonts w:ascii="Book Antiqua" w:hAnsi="Book Antiqua"/>
            <w:sz w:val="24"/>
          </w:rPr>
          <w:t>2.42 mm</w:t>
        </w:r>
      </w:smartTag>
      <w:r w:rsidRPr="00F76351">
        <w:rPr>
          <w:rFonts w:ascii="Book Antiqua" w:hAnsi="Book Antiqua"/>
          <w:sz w:val="24"/>
          <w:vertAlign w:val="superscript"/>
        </w:rPr>
        <w:t>3</w:t>
      </w:r>
      <w:r w:rsidRPr="00F76351">
        <w:rPr>
          <w:rFonts w:ascii="Book Antiqua" w:hAnsi="Book Antiqua"/>
          <w:sz w:val="24"/>
        </w:rPr>
        <w:t>, FU+G</w:t>
      </w:r>
      <w:r w:rsidRPr="00F76351">
        <w:rPr>
          <w:rFonts w:ascii="Book Antiqua" w:hAnsi="Book Antiqua"/>
          <w:sz w:val="24"/>
          <w:vertAlign w:val="subscript"/>
        </w:rPr>
        <w:t xml:space="preserve">2 </w:t>
      </w:r>
      <w:r w:rsidRPr="00F76351">
        <w:rPr>
          <w:rFonts w:ascii="Book Antiqua" w:hAnsi="Book Antiqua"/>
          <w:sz w:val="24"/>
        </w:rPr>
        <w:t xml:space="preserve">11.42 ± </w:t>
      </w:r>
      <w:smartTag w:uri="urn:schemas-microsoft-com:office:smarttags" w:element="chmetcnv">
        <w:smartTagPr>
          <w:attr w:name="UnitName" w:val="mm"/>
          <w:attr w:name="SourceValue" w:val="1.11"/>
          <w:attr w:name="HasSpace" w:val="True"/>
          <w:attr w:name="Negative" w:val="False"/>
          <w:attr w:name="NumberType" w:val="1"/>
          <w:attr w:name="TCSC" w:val="0"/>
        </w:smartTagPr>
        <w:r w:rsidRPr="00F76351">
          <w:rPr>
            <w:rFonts w:ascii="Book Antiqua" w:hAnsi="Book Antiqua"/>
            <w:sz w:val="24"/>
          </w:rPr>
          <w:t>1.11 mm</w:t>
        </w:r>
      </w:smartTag>
      <w:r w:rsidRPr="00F76351">
        <w:rPr>
          <w:rFonts w:ascii="Book Antiqua" w:hAnsi="Book Antiqua"/>
          <w:sz w:val="24"/>
          <w:vertAlign w:val="superscript"/>
        </w:rPr>
        <w:t>3</w:t>
      </w:r>
      <w:r w:rsidRPr="00F76351">
        <w:rPr>
          <w:rFonts w:ascii="Book Antiqua" w:hAnsi="Book Antiqua"/>
          <w:sz w:val="24"/>
        </w:rPr>
        <w:t>, G</w:t>
      </w:r>
      <w:r w:rsidRPr="00F76351">
        <w:rPr>
          <w:rFonts w:ascii="Book Antiqua" w:hAnsi="Book Antiqua"/>
          <w:sz w:val="24"/>
          <w:vertAlign w:val="subscript"/>
        </w:rPr>
        <w:t>2</w:t>
      </w:r>
      <w:r w:rsidRPr="00F76351">
        <w:rPr>
          <w:rFonts w:ascii="Book Antiqua" w:hAnsi="Book Antiqua"/>
          <w:sz w:val="24"/>
        </w:rPr>
        <w:t xml:space="preserve">+FU+GH 10.47 ± </w:t>
      </w:r>
      <w:smartTag w:uri="urn:schemas-microsoft-com:office:smarttags" w:element="chmetcnv">
        <w:smartTagPr>
          <w:attr w:name="UnitName" w:val="mm"/>
          <w:attr w:name="SourceValue" w:val="1.02"/>
          <w:attr w:name="HasSpace" w:val="True"/>
          <w:attr w:name="Negative" w:val="False"/>
          <w:attr w:name="NumberType" w:val="1"/>
          <w:attr w:name="TCSC" w:val="0"/>
        </w:smartTagPr>
        <w:r w:rsidRPr="00F76351">
          <w:rPr>
            <w:rFonts w:ascii="Book Antiqua" w:hAnsi="Book Antiqua"/>
            <w:sz w:val="24"/>
          </w:rPr>
          <w:t>1.02 mm</w:t>
        </w:r>
      </w:smartTag>
      <w:r w:rsidRPr="00F76351">
        <w:rPr>
          <w:rFonts w:ascii="Book Antiqua" w:hAnsi="Book Antiqua"/>
          <w:sz w:val="24"/>
          <w:vertAlign w:val="superscript"/>
        </w:rPr>
        <w:t>3</w:t>
      </w:r>
      <w:r w:rsidRPr="00F76351">
        <w:rPr>
          <w:rFonts w:ascii="Book Antiqua" w:hAnsi="Book Antiqua"/>
          <w:sz w:val="24"/>
        </w:rPr>
        <w:t xml:space="preserve"> </w:t>
      </w:r>
      <w:proofErr w:type="spellStart"/>
      <w:r w:rsidRPr="00F76351">
        <w:rPr>
          <w:rFonts w:ascii="Book Antiqua" w:hAnsi="Book Antiqua"/>
          <w:i/>
          <w:sz w:val="24"/>
        </w:rPr>
        <w:t>vs</w:t>
      </w:r>
      <w:proofErr w:type="spellEnd"/>
      <w:r w:rsidRPr="00F76351">
        <w:rPr>
          <w:rFonts w:ascii="Book Antiqua" w:hAnsi="Book Antiqua"/>
          <w:sz w:val="24"/>
        </w:rPr>
        <w:t xml:space="preserve"> NS 116.81 ± </w:t>
      </w:r>
      <w:smartTag w:uri="urn:schemas-microsoft-com:office:smarttags" w:element="chmetcnv">
        <w:smartTagPr>
          <w:attr w:name="UnitName" w:val="mm"/>
          <w:attr w:name="SourceValue" w:val="10.61"/>
          <w:attr w:name="HasSpace" w:val="True"/>
          <w:attr w:name="Negative" w:val="False"/>
          <w:attr w:name="NumberType" w:val="1"/>
          <w:attr w:name="TCSC" w:val="0"/>
        </w:smartTagPr>
        <w:r w:rsidRPr="00F76351">
          <w:rPr>
            <w:rFonts w:ascii="Book Antiqua" w:hAnsi="Book Antiqua"/>
            <w:sz w:val="24"/>
          </w:rPr>
          <w:t>10.61 mm</w:t>
        </w:r>
      </w:smartTag>
      <w:r w:rsidRPr="00F76351">
        <w:rPr>
          <w:rFonts w:ascii="Book Antiqua" w:hAnsi="Book Antiqua"/>
          <w:sz w:val="24"/>
          <w:vertAlign w:val="superscript"/>
        </w:rPr>
        <w:t>3</w:t>
      </w:r>
      <w:r w:rsidRPr="00F76351">
        <w:rPr>
          <w:rFonts w:ascii="Book Antiqua" w:hAnsi="Book Antiqua"/>
          <w:sz w:val="24"/>
        </w:rPr>
        <w:t xml:space="preserve">, </w:t>
      </w:r>
      <w:r w:rsidRPr="00F76351">
        <w:rPr>
          <w:rFonts w:ascii="Book Antiqua" w:hAnsi="Book Antiqua"/>
          <w:i/>
          <w:sz w:val="24"/>
        </w:rPr>
        <w:t xml:space="preserve">P </w:t>
      </w:r>
      <w:r w:rsidRPr="00F76351">
        <w:rPr>
          <w:rFonts w:ascii="Book Antiqua" w:hAnsi="Book Antiqua"/>
          <w:sz w:val="24"/>
        </w:rPr>
        <w:t>&lt; 0.05), Compared to the GH group, the tumor volume of the subcutaneous inoculation were significantly decreased in the experimental groups (G</w:t>
      </w:r>
      <w:r w:rsidRPr="00F76351">
        <w:rPr>
          <w:rFonts w:ascii="Book Antiqua" w:hAnsi="Book Antiqua"/>
          <w:sz w:val="24"/>
          <w:vertAlign w:val="subscript"/>
        </w:rPr>
        <w:t xml:space="preserve">2 </w:t>
      </w:r>
      <w:r w:rsidRPr="00F76351">
        <w:rPr>
          <w:rFonts w:ascii="Book Antiqua" w:hAnsi="Book Antiqua"/>
          <w:sz w:val="24"/>
        </w:rPr>
        <w:t xml:space="preserve">9.71 ± </w:t>
      </w:r>
      <w:smartTag w:uri="urn:schemas-microsoft-com:office:smarttags" w:element="chmetcnv">
        <w:smartTagPr>
          <w:attr w:name="UnitName" w:val="mm"/>
          <w:attr w:name="SourceValue" w:val="3.82"/>
          <w:attr w:name="HasSpace" w:val="True"/>
          <w:attr w:name="Negative" w:val="False"/>
          <w:attr w:name="NumberType" w:val="1"/>
          <w:attr w:name="TCSC" w:val="0"/>
        </w:smartTagPr>
        <w:r w:rsidRPr="00F76351">
          <w:rPr>
            <w:rFonts w:ascii="Book Antiqua" w:hAnsi="Book Antiqua"/>
            <w:sz w:val="24"/>
          </w:rPr>
          <w:t>3.82 mm</w:t>
        </w:r>
      </w:smartTag>
      <w:r w:rsidRPr="00F76351">
        <w:rPr>
          <w:rFonts w:ascii="Book Antiqua" w:hAnsi="Book Antiqua"/>
          <w:sz w:val="24"/>
          <w:vertAlign w:val="superscript"/>
        </w:rPr>
        <w:t>3</w:t>
      </w:r>
      <w:r w:rsidRPr="00F76351">
        <w:rPr>
          <w:rFonts w:ascii="Book Antiqua" w:hAnsi="Book Antiqua"/>
          <w:sz w:val="24"/>
        </w:rPr>
        <w:t xml:space="preserve">, FU 11.54 ± </w:t>
      </w:r>
      <w:smartTag w:uri="urn:schemas-microsoft-com:office:smarttags" w:element="chmetcnv">
        <w:smartTagPr>
          <w:attr w:name="UnitName" w:val="mm"/>
          <w:attr w:name="SourceValue" w:val="2.42"/>
          <w:attr w:name="HasSpace" w:val="True"/>
          <w:attr w:name="Negative" w:val="False"/>
          <w:attr w:name="NumberType" w:val="1"/>
          <w:attr w:name="TCSC" w:val="0"/>
        </w:smartTagPr>
        <w:r w:rsidRPr="00F76351">
          <w:rPr>
            <w:rFonts w:ascii="Book Antiqua" w:hAnsi="Book Antiqua"/>
            <w:sz w:val="24"/>
          </w:rPr>
          <w:t>2.42 mm</w:t>
        </w:r>
      </w:smartTag>
      <w:r w:rsidRPr="00F76351">
        <w:rPr>
          <w:rFonts w:ascii="Book Antiqua" w:hAnsi="Book Antiqua"/>
          <w:sz w:val="24"/>
          <w:vertAlign w:val="superscript"/>
        </w:rPr>
        <w:t>3</w:t>
      </w:r>
      <w:r w:rsidRPr="00F76351">
        <w:rPr>
          <w:rFonts w:ascii="Book Antiqua" w:hAnsi="Book Antiqua"/>
          <w:sz w:val="24"/>
        </w:rPr>
        <w:t>, FU+G</w:t>
      </w:r>
      <w:r w:rsidRPr="00F76351">
        <w:rPr>
          <w:rFonts w:ascii="Book Antiqua" w:hAnsi="Book Antiqua"/>
          <w:sz w:val="24"/>
          <w:vertAlign w:val="subscript"/>
        </w:rPr>
        <w:t xml:space="preserve">2 </w:t>
      </w:r>
      <w:r w:rsidRPr="00F76351">
        <w:rPr>
          <w:rFonts w:ascii="Book Antiqua" w:hAnsi="Book Antiqua"/>
          <w:sz w:val="24"/>
        </w:rPr>
        <w:t xml:space="preserve">11.42 ± </w:t>
      </w:r>
      <w:smartTag w:uri="urn:schemas-microsoft-com:office:smarttags" w:element="chmetcnv">
        <w:smartTagPr>
          <w:attr w:name="UnitName" w:val="mm"/>
          <w:attr w:name="SourceValue" w:val="1.11"/>
          <w:attr w:name="HasSpace" w:val="True"/>
          <w:attr w:name="Negative" w:val="False"/>
          <w:attr w:name="NumberType" w:val="1"/>
          <w:attr w:name="TCSC" w:val="0"/>
        </w:smartTagPr>
        <w:r w:rsidRPr="00F76351">
          <w:rPr>
            <w:rFonts w:ascii="Book Antiqua" w:hAnsi="Book Antiqua"/>
            <w:sz w:val="24"/>
          </w:rPr>
          <w:t>1.11 mm</w:t>
        </w:r>
      </w:smartTag>
      <w:r w:rsidRPr="00F76351">
        <w:rPr>
          <w:rFonts w:ascii="Book Antiqua" w:hAnsi="Book Antiqua"/>
          <w:sz w:val="24"/>
          <w:vertAlign w:val="superscript"/>
        </w:rPr>
        <w:t>3</w:t>
      </w:r>
      <w:r w:rsidRPr="00F76351">
        <w:rPr>
          <w:rFonts w:ascii="Book Antiqua" w:hAnsi="Book Antiqua"/>
          <w:sz w:val="24"/>
        </w:rPr>
        <w:t>, G</w:t>
      </w:r>
      <w:r w:rsidRPr="00F76351">
        <w:rPr>
          <w:rFonts w:ascii="Book Antiqua" w:hAnsi="Book Antiqua"/>
          <w:sz w:val="24"/>
          <w:vertAlign w:val="subscript"/>
        </w:rPr>
        <w:t>2</w:t>
      </w:r>
      <w:r w:rsidRPr="00F76351">
        <w:rPr>
          <w:rFonts w:ascii="Book Antiqua" w:hAnsi="Book Antiqua"/>
          <w:sz w:val="24"/>
        </w:rPr>
        <w:t xml:space="preserve">+FU+GH 10.47 ± </w:t>
      </w:r>
      <w:smartTag w:uri="urn:schemas-microsoft-com:office:smarttags" w:element="chmetcnv">
        <w:smartTagPr>
          <w:attr w:name="UnitName" w:val="mm"/>
          <w:attr w:name="SourceValue" w:val="1.02"/>
          <w:attr w:name="HasSpace" w:val="True"/>
          <w:attr w:name="Negative" w:val="False"/>
          <w:attr w:name="NumberType" w:val="1"/>
          <w:attr w:name="TCSC" w:val="0"/>
        </w:smartTagPr>
        <w:r w:rsidRPr="00F76351">
          <w:rPr>
            <w:rFonts w:ascii="Book Antiqua" w:hAnsi="Book Antiqua"/>
            <w:sz w:val="24"/>
          </w:rPr>
          <w:t>1.02 mm</w:t>
        </w:r>
      </w:smartTag>
      <w:r w:rsidRPr="00F76351">
        <w:rPr>
          <w:rFonts w:ascii="Book Antiqua" w:hAnsi="Book Antiqua"/>
          <w:sz w:val="24"/>
          <w:vertAlign w:val="superscript"/>
        </w:rPr>
        <w:t>3</w:t>
      </w:r>
      <w:r w:rsidRPr="00F76351">
        <w:rPr>
          <w:rFonts w:ascii="Book Antiqua" w:hAnsi="Book Antiqua"/>
          <w:sz w:val="24"/>
        </w:rPr>
        <w:t xml:space="preserve"> NS 116.81 ± </w:t>
      </w:r>
      <w:smartTag w:uri="urn:schemas-microsoft-com:office:smarttags" w:element="chmetcnv">
        <w:smartTagPr>
          <w:attr w:name="UnitName" w:val="mm"/>
          <w:attr w:name="SourceValue" w:val="10.61"/>
          <w:attr w:name="HasSpace" w:val="True"/>
          <w:attr w:name="Negative" w:val="False"/>
          <w:attr w:name="NumberType" w:val="1"/>
          <w:attr w:name="TCSC" w:val="0"/>
        </w:smartTagPr>
        <w:r w:rsidRPr="00F76351">
          <w:rPr>
            <w:rFonts w:ascii="Book Antiqua" w:hAnsi="Book Antiqua"/>
            <w:sz w:val="24"/>
          </w:rPr>
          <w:t>10.61 mm</w:t>
        </w:r>
      </w:smartTag>
      <w:r w:rsidRPr="00F76351">
        <w:rPr>
          <w:rFonts w:ascii="Book Antiqua" w:hAnsi="Book Antiqua"/>
          <w:sz w:val="24"/>
          <w:vertAlign w:val="superscript"/>
        </w:rPr>
        <w:t>3</w:t>
      </w:r>
      <w:r w:rsidRPr="00F76351">
        <w:rPr>
          <w:rFonts w:ascii="Book Antiqua" w:hAnsi="Book Antiqua"/>
          <w:sz w:val="24"/>
        </w:rPr>
        <w:t xml:space="preserve"> </w:t>
      </w:r>
      <w:proofErr w:type="spellStart"/>
      <w:r w:rsidRPr="00F76351">
        <w:rPr>
          <w:rFonts w:ascii="Book Antiqua" w:hAnsi="Book Antiqua"/>
          <w:sz w:val="24"/>
        </w:rPr>
        <w:t>vs</w:t>
      </w:r>
      <w:proofErr w:type="spellEnd"/>
      <w:r w:rsidRPr="00F76351">
        <w:rPr>
          <w:rFonts w:ascii="Book Antiqua" w:hAnsi="Book Antiqua"/>
          <w:sz w:val="24"/>
        </w:rPr>
        <w:t xml:space="preserve"> GH 149.01±3.02. </w:t>
      </w:r>
      <w:r w:rsidRPr="00F76351">
        <w:rPr>
          <w:rFonts w:ascii="Book Antiqua" w:hAnsi="Book Antiqua"/>
          <w:i/>
          <w:sz w:val="24"/>
        </w:rPr>
        <w:t xml:space="preserve">P </w:t>
      </w:r>
      <w:r w:rsidRPr="00F76351">
        <w:rPr>
          <w:rFonts w:ascii="Book Antiqua" w:hAnsi="Book Antiqua"/>
          <w:sz w:val="24"/>
        </w:rPr>
        <w:t>&lt; 0.05).the GHR protein expression (G</w:t>
      </w:r>
      <w:r w:rsidRPr="00F76351">
        <w:rPr>
          <w:rFonts w:ascii="Book Antiqua" w:hAnsi="Book Antiqua"/>
          <w:sz w:val="24"/>
          <w:vertAlign w:val="subscript"/>
        </w:rPr>
        <w:t xml:space="preserve">2 </w:t>
      </w:r>
      <w:r w:rsidRPr="00F76351">
        <w:rPr>
          <w:rFonts w:ascii="Book Antiqua" w:hAnsi="Book Antiqua"/>
          <w:sz w:val="24"/>
        </w:rPr>
        <w:t>0.39 ± 0.02, FU 0.40 ± 0.02, FU+G</w:t>
      </w:r>
      <w:r w:rsidRPr="00F76351">
        <w:rPr>
          <w:rFonts w:ascii="Book Antiqua" w:hAnsi="Book Antiqua"/>
          <w:sz w:val="24"/>
          <w:vertAlign w:val="subscript"/>
        </w:rPr>
        <w:t xml:space="preserve">2 </w:t>
      </w:r>
      <w:r w:rsidRPr="00F76351">
        <w:rPr>
          <w:rFonts w:ascii="Book Antiqua" w:hAnsi="Book Antiqua"/>
          <w:sz w:val="24"/>
        </w:rPr>
        <w:t>0.38 ± 0.01, G</w:t>
      </w:r>
      <w:r w:rsidRPr="00F76351">
        <w:rPr>
          <w:rFonts w:ascii="Book Antiqua" w:hAnsi="Book Antiqua"/>
          <w:sz w:val="24"/>
          <w:vertAlign w:val="subscript"/>
        </w:rPr>
        <w:t>2</w:t>
      </w:r>
      <w:r w:rsidRPr="00F76351">
        <w:rPr>
          <w:rFonts w:ascii="Book Antiqua" w:hAnsi="Book Antiqua"/>
          <w:sz w:val="24"/>
        </w:rPr>
        <w:t xml:space="preserve">+FU+GH 0.39 ± 0.01 </w:t>
      </w:r>
      <w:proofErr w:type="spellStart"/>
      <w:r w:rsidRPr="00F76351">
        <w:rPr>
          <w:rFonts w:ascii="Book Antiqua" w:hAnsi="Book Antiqua"/>
          <w:i/>
          <w:sz w:val="24"/>
        </w:rPr>
        <w:t>vs</w:t>
      </w:r>
      <w:proofErr w:type="spellEnd"/>
      <w:r w:rsidRPr="00F76351">
        <w:rPr>
          <w:rFonts w:ascii="Book Antiqua" w:hAnsi="Book Antiqua"/>
          <w:sz w:val="24"/>
        </w:rPr>
        <w:t xml:space="preserve"> NS 0.94 ± 0.02, </w:t>
      </w:r>
      <w:r w:rsidRPr="00F76351">
        <w:rPr>
          <w:rFonts w:ascii="Book Antiqua" w:hAnsi="Book Antiqua"/>
          <w:i/>
          <w:sz w:val="24"/>
        </w:rPr>
        <w:t xml:space="preserve">P </w:t>
      </w:r>
      <w:r w:rsidRPr="00F76351">
        <w:rPr>
          <w:rFonts w:ascii="Book Antiqua" w:hAnsi="Book Antiqua"/>
          <w:sz w:val="24"/>
        </w:rPr>
        <w:t xml:space="preserve">&lt; 0.05) and the GHR mRNA </w:t>
      </w:r>
      <w:r w:rsidRPr="00F76351">
        <w:rPr>
          <w:rFonts w:ascii="Book Antiqua" w:hAnsi="Book Antiqua"/>
          <w:sz w:val="24"/>
        </w:rPr>
        <w:lastRenderedPageBreak/>
        <w:t>expression were significantly decreased in the experimental groups (G</w:t>
      </w:r>
      <w:r w:rsidRPr="00F76351">
        <w:rPr>
          <w:rFonts w:ascii="Book Antiqua" w:hAnsi="Book Antiqua"/>
          <w:sz w:val="24"/>
          <w:vertAlign w:val="subscript"/>
        </w:rPr>
        <w:t xml:space="preserve">2 </w:t>
      </w:r>
      <w:r w:rsidRPr="00F76351">
        <w:rPr>
          <w:rFonts w:ascii="Book Antiqua" w:hAnsi="Book Antiqua"/>
          <w:sz w:val="24"/>
        </w:rPr>
        <w:t>14.12 ± 0.10, FU 15.15 ± 0.44, FU+G</w:t>
      </w:r>
      <w:r w:rsidRPr="00F76351">
        <w:rPr>
          <w:rFonts w:ascii="Book Antiqua" w:hAnsi="Book Antiqua"/>
          <w:sz w:val="24"/>
          <w:vertAlign w:val="subscript"/>
        </w:rPr>
        <w:t xml:space="preserve">2 </w:t>
      </w:r>
      <w:r w:rsidRPr="00F76351">
        <w:rPr>
          <w:rFonts w:ascii="Book Antiqua" w:hAnsi="Book Antiqua"/>
          <w:sz w:val="24"/>
        </w:rPr>
        <w:t>16.46 ± 0.27, G</w:t>
      </w:r>
      <w:r w:rsidRPr="00F76351">
        <w:rPr>
          <w:rFonts w:ascii="Book Antiqua" w:hAnsi="Book Antiqua"/>
          <w:sz w:val="24"/>
          <w:vertAlign w:val="subscript"/>
        </w:rPr>
        <w:t>2</w:t>
      </w:r>
      <w:r w:rsidRPr="00F76351">
        <w:rPr>
          <w:rFonts w:ascii="Book Antiqua" w:hAnsi="Book Antiqua"/>
          <w:sz w:val="24"/>
        </w:rPr>
        <w:t xml:space="preserve">+FU+GH 15.37 ± 0.57 </w:t>
      </w:r>
      <w:proofErr w:type="spellStart"/>
      <w:r w:rsidRPr="00F76351">
        <w:rPr>
          <w:rFonts w:ascii="Book Antiqua" w:hAnsi="Book Antiqua"/>
          <w:i/>
          <w:sz w:val="24"/>
        </w:rPr>
        <w:t>vs</w:t>
      </w:r>
      <w:proofErr w:type="spellEnd"/>
      <w:r w:rsidRPr="00F76351">
        <w:rPr>
          <w:rFonts w:ascii="Book Antiqua" w:hAnsi="Book Antiqua"/>
          <w:sz w:val="24"/>
        </w:rPr>
        <w:t xml:space="preserve"> NS 12.63 ± 0.14, </w:t>
      </w:r>
      <w:r w:rsidRPr="00F76351">
        <w:rPr>
          <w:rFonts w:ascii="Book Antiqua" w:hAnsi="Book Antiqua"/>
          <w:i/>
          <w:sz w:val="24"/>
        </w:rPr>
        <w:t xml:space="preserve">P </w:t>
      </w:r>
      <w:r w:rsidRPr="00F76351">
        <w:rPr>
          <w:rFonts w:ascii="Book Antiqua" w:hAnsi="Book Antiqua"/>
          <w:sz w:val="24"/>
        </w:rPr>
        <w:t xml:space="preserve">&lt; 0.05). </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sz w:val="24"/>
        </w:rPr>
        <w:t>CONCLUSION</w:t>
      </w:r>
      <w:r w:rsidRPr="00F76351">
        <w:rPr>
          <w:rFonts w:ascii="Book Antiqua" w:hAnsi="Book Antiqua"/>
          <w:sz w:val="24"/>
        </w:rPr>
        <w:t xml:space="preserve">: Inhibition of GHR in human colon cancer SW480 cells resulted in anti-tumor effects in nude mice. </w:t>
      </w:r>
    </w:p>
    <w:p w:rsidR="00ED4098" w:rsidRPr="00F76351" w:rsidRDefault="00ED4098" w:rsidP="000F1768">
      <w:pPr>
        <w:spacing w:line="360" w:lineRule="auto"/>
        <w:rPr>
          <w:rFonts w:ascii="Book Antiqua" w:hAnsi="Book Antiqua"/>
          <w:b/>
          <w:sz w:val="24"/>
        </w:rPr>
      </w:pPr>
    </w:p>
    <w:p w:rsidR="00ED4098" w:rsidRPr="00F76351" w:rsidRDefault="00ED4098" w:rsidP="004F0A1C">
      <w:pPr>
        <w:spacing w:line="360" w:lineRule="auto"/>
        <w:rPr>
          <w:rFonts w:ascii="Book Antiqua" w:hAnsi="Book Antiqua"/>
          <w:sz w:val="24"/>
        </w:rPr>
      </w:pPr>
      <w:r w:rsidRPr="00F76351">
        <w:rPr>
          <w:rFonts w:ascii="Book Antiqua" w:hAnsi="Book Antiqua"/>
          <w:sz w:val="24"/>
        </w:rPr>
        <w:t xml:space="preserve">© 2013 </w:t>
      </w:r>
      <w:proofErr w:type="spellStart"/>
      <w:r w:rsidRPr="00F76351">
        <w:rPr>
          <w:rFonts w:ascii="Book Antiqua" w:hAnsi="Book Antiqua"/>
          <w:sz w:val="24"/>
        </w:rPr>
        <w:t>Baishideng</w:t>
      </w:r>
      <w:proofErr w:type="spellEnd"/>
      <w:r w:rsidRPr="00F76351">
        <w:rPr>
          <w:rFonts w:ascii="Book Antiqua" w:hAnsi="Book Antiqua"/>
          <w:sz w:val="24"/>
        </w:rPr>
        <w:t>. All rights reserved.</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cs="Arial Unicode MS"/>
          <w:b/>
          <w:sz w:val="24"/>
        </w:rPr>
      </w:pPr>
      <w:bookmarkStart w:id="20" w:name="OLE_LINK191"/>
      <w:bookmarkStart w:id="21" w:name="OLE_LINK192"/>
      <w:r w:rsidRPr="00F76351">
        <w:rPr>
          <w:rFonts w:ascii="Book Antiqua" w:hAnsi="Book Antiqua" w:cs="Arial Unicode MS"/>
          <w:b/>
          <w:sz w:val="24"/>
        </w:rPr>
        <w:t>Key words:</w:t>
      </w:r>
      <w:r w:rsidRPr="00F76351">
        <w:rPr>
          <w:rFonts w:ascii="Book Antiqua" w:hAnsi="Book Antiqua"/>
          <w:kern w:val="0"/>
          <w:sz w:val="24"/>
        </w:rPr>
        <w:t xml:space="preserve"> Growth hormone receptor; </w:t>
      </w:r>
      <w:proofErr w:type="spellStart"/>
      <w:r w:rsidRPr="00F76351">
        <w:rPr>
          <w:rFonts w:ascii="Book Antiqua" w:hAnsi="Book Antiqua"/>
          <w:sz w:val="24"/>
        </w:rPr>
        <w:t>siRNA</w:t>
      </w:r>
      <w:proofErr w:type="spellEnd"/>
      <w:r w:rsidRPr="00F76351">
        <w:rPr>
          <w:rFonts w:ascii="Book Antiqua" w:hAnsi="Book Antiqua"/>
          <w:sz w:val="24"/>
        </w:rPr>
        <w:t>; Colon cancer; Gene therapy; Signaling pathway</w:t>
      </w:r>
    </w:p>
    <w:p w:rsidR="00ED4098" w:rsidRPr="00F76351" w:rsidRDefault="00ED4098" w:rsidP="000F1768">
      <w:pPr>
        <w:spacing w:line="360" w:lineRule="auto"/>
        <w:rPr>
          <w:rFonts w:ascii="Book Antiqua" w:hAnsi="Book Antiqua" w:cs="Arial Unicode MS"/>
          <w:b/>
          <w:sz w:val="24"/>
        </w:rPr>
      </w:pPr>
      <w:bookmarkStart w:id="22" w:name="OLE_LINK173"/>
      <w:bookmarkStart w:id="23" w:name="OLE_LINK174"/>
      <w:bookmarkEnd w:id="20"/>
      <w:bookmarkEnd w:id="21"/>
    </w:p>
    <w:p w:rsidR="00ED4098" w:rsidRPr="00F76351" w:rsidRDefault="00ED4098" w:rsidP="000F1768">
      <w:pPr>
        <w:spacing w:line="360" w:lineRule="auto"/>
        <w:rPr>
          <w:rFonts w:ascii="Book Antiqua" w:hAnsi="Book Antiqua"/>
          <w:kern w:val="0"/>
          <w:sz w:val="24"/>
        </w:rPr>
      </w:pPr>
      <w:r w:rsidRPr="00F76351">
        <w:rPr>
          <w:rFonts w:ascii="Book Antiqua" w:hAnsi="Book Antiqua" w:cs="Arial Unicode MS"/>
          <w:b/>
          <w:sz w:val="24"/>
        </w:rPr>
        <w:t xml:space="preserve">Core tip: </w:t>
      </w:r>
      <w:bookmarkEnd w:id="22"/>
      <w:bookmarkEnd w:id="23"/>
      <w:r w:rsidRPr="00F76351">
        <w:rPr>
          <w:rFonts w:ascii="Book Antiqua" w:hAnsi="Book Antiqua"/>
          <w:kern w:val="0"/>
          <w:sz w:val="24"/>
        </w:rPr>
        <w:t xml:space="preserve">Human growth hormone receptor (GHR) is highly expressed in colon cancer tissues. GH/GHR plays an important role in colon cancer emergence and development. After specific binding of GH to GHR in tumor tissues, the JAK-STAT signaling pathway is activated, resulting in improved cell growth and proliferation. </w:t>
      </w:r>
      <w:proofErr w:type="spellStart"/>
      <w:r w:rsidRPr="00F76351">
        <w:rPr>
          <w:rFonts w:ascii="Book Antiqua" w:hAnsi="Book Antiqua"/>
          <w:kern w:val="0"/>
          <w:sz w:val="24"/>
        </w:rPr>
        <w:t>siRNA</w:t>
      </w:r>
      <w:proofErr w:type="spellEnd"/>
      <w:r w:rsidRPr="00F76351">
        <w:rPr>
          <w:rFonts w:ascii="Book Antiqua" w:hAnsi="Book Antiqua"/>
          <w:kern w:val="0"/>
          <w:sz w:val="24"/>
        </w:rPr>
        <w:t xml:space="preserve"> targeted inhibition of the human GHR gene was used to investigate its impact on the emergence and development of colon cancer and to determine how human colon cancer cells respond to GHR suppression. The </w:t>
      </w:r>
      <w:proofErr w:type="spellStart"/>
      <w:r w:rsidRPr="00F76351">
        <w:rPr>
          <w:rFonts w:ascii="Book Antiqua" w:hAnsi="Book Antiqua"/>
          <w:kern w:val="0"/>
          <w:sz w:val="24"/>
        </w:rPr>
        <w:t>siRNA</w:t>
      </w:r>
      <w:proofErr w:type="spellEnd"/>
      <w:r w:rsidRPr="00F76351">
        <w:rPr>
          <w:rFonts w:ascii="Book Antiqua" w:hAnsi="Book Antiqua"/>
          <w:kern w:val="0"/>
          <w:sz w:val="24"/>
        </w:rPr>
        <w:t xml:space="preserve"> containing plasmid could suppress GHR expression in colon cancer cells and exhibited anti-tumor effects in nude mice.</w:t>
      </w:r>
    </w:p>
    <w:p w:rsidR="00ED4098" w:rsidRPr="00F76351" w:rsidRDefault="00ED4098" w:rsidP="000F1768">
      <w:pPr>
        <w:spacing w:line="360" w:lineRule="auto"/>
        <w:rPr>
          <w:rFonts w:ascii="Book Antiqua" w:hAnsi="Book Antiqua"/>
          <w:kern w:val="0"/>
          <w:sz w:val="24"/>
        </w:rPr>
      </w:pPr>
    </w:p>
    <w:p w:rsidR="00ED4098" w:rsidRPr="00F76351" w:rsidRDefault="00ED4098" w:rsidP="00CD3000">
      <w:pPr>
        <w:spacing w:line="360" w:lineRule="auto"/>
        <w:jc w:val="left"/>
        <w:rPr>
          <w:rFonts w:ascii="Book Antiqua" w:hAnsi="Book Antiqua"/>
          <w:sz w:val="24"/>
        </w:rPr>
      </w:pPr>
      <w:r w:rsidRPr="00F76351">
        <w:rPr>
          <w:rFonts w:ascii="Book Antiqua" w:hAnsi="Book Antiqua"/>
          <w:sz w:val="24"/>
        </w:rPr>
        <w:t xml:space="preserve">Zhou D, Yang J, Huang WD, Wang J, Zhang Q. </w:t>
      </w:r>
      <w:proofErr w:type="spellStart"/>
      <w:r w:rsidRPr="00F76351">
        <w:rPr>
          <w:rFonts w:ascii="Book Antiqua" w:hAnsi="Book Antiqua"/>
          <w:sz w:val="24"/>
        </w:rPr>
        <w:t>siRNA</w:t>
      </w:r>
      <w:proofErr w:type="spellEnd"/>
      <w:r w:rsidRPr="00F76351">
        <w:rPr>
          <w:rFonts w:ascii="Book Antiqua" w:hAnsi="Book Antiqua"/>
          <w:sz w:val="24"/>
        </w:rPr>
        <w:t xml:space="preserve"> targeted inhibition of GHR in human colon cancer SW480 cells.</w:t>
      </w:r>
    </w:p>
    <w:p w:rsidR="00ED4098" w:rsidRPr="00F76351" w:rsidRDefault="00ED4098" w:rsidP="00CD3000">
      <w:pPr>
        <w:spacing w:line="360" w:lineRule="auto"/>
        <w:jc w:val="left"/>
        <w:rPr>
          <w:rFonts w:ascii="Book Antiqua" w:hAnsi="Book Antiqua"/>
          <w:sz w:val="24"/>
        </w:rPr>
      </w:pPr>
    </w:p>
    <w:p w:rsidR="00ED4098" w:rsidRPr="00F76351" w:rsidRDefault="00ED4098" w:rsidP="00CD3000">
      <w:pPr>
        <w:spacing w:line="360" w:lineRule="auto"/>
        <w:rPr>
          <w:rFonts w:ascii="Book Antiqua" w:hAnsi="Book Antiqua"/>
          <w:b/>
          <w:sz w:val="24"/>
        </w:rPr>
      </w:pPr>
      <w:bookmarkStart w:id="24" w:name="OLE_LINK61"/>
      <w:bookmarkStart w:id="25" w:name="OLE_LINK84"/>
      <w:bookmarkStart w:id="26" w:name="OLE_LINK90"/>
      <w:r w:rsidRPr="00F76351">
        <w:rPr>
          <w:rFonts w:ascii="Book Antiqua" w:hAnsi="Book Antiqua"/>
          <w:b/>
          <w:sz w:val="24"/>
        </w:rPr>
        <w:t xml:space="preserve">Available from: URL: </w:t>
      </w:r>
    </w:p>
    <w:p w:rsidR="00ED4098" w:rsidRPr="00F76351" w:rsidRDefault="00ED4098" w:rsidP="00CD3000">
      <w:pPr>
        <w:spacing w:line="360" w:lineRule="auto"/>
        <w:rPr>
          <w:rFonts w:ascii="Book Antiqua" w:hAnsi="Book Antiqua"/>
          <w:b/>
          <w:sz w:val="24"/>
        </w:rPr>
      </w:pPr>
      <w:r w:rsidRPr="00F76351">
        <w:rPr>
          <w:rFonts w:ascii="Book Antiqua" w:hAnsi="Book Antiqua"/>
          <w:b/>
          <w:sz w:val="24"/>
        </w:rPr>
        <w:t>DOI:</w:t>
      </w:r>
    </w:p>
    <w:bookmarkEnd w:id="24"/>
    <w:bookmarkEnd w:id="25"/>
    <w:bookmarkEnd w:id="26"/>
    <w:p w:rsidR="00ED4098" w:rsidRPr="00F76351" w:rsidRDefault="00ED4098" w:rsidP="00CD3000">
      <w:pPr>
        <w:spacing w:line="360" w:lineRule="auto"/>
        <w:jc w:val="left"/>
        <w:rPr>
          <w:rStyle w:val="hps"/>
          <w:rFonts w:ascii="Book Antiqua" w:hAnsi="Book Antiqua"/>
          <w:sz w:val="24"/>
        </w:rPr>
      </w:pPr>
      <w:r w:rsidRPr="00F76351">
        <w:rPr>
          <w:rFonts w:ascii="Book Antiqua" w:hAnsi="Book Antiqua"/>
          <w:sz w:val="24"/>
        </w:rPr>
        <w:t xml:space="preserve"> </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br w:type="page"/>
      </w:r>
      <w:r w:rsidRPr="00F76351">
        <w:rPr>
          <w:rFonts w:ascii="Book Antiqua" w:hAnsi="Book Antiqua"/>
          <w:b/>
          <w:sz w:val="24"/>
        </w:rPr>
        <w:lastRenderedPageBreak/>
        <w:t>INTRODUCTION</w:t>
      </w:r>
    </w:p>
    <w:p w:rsidR="00ED4098" w:rsidRPr="00F76351" w:rsidRDefault="00ED4098" w:rsidP="000F1768">
      <w:pPr>
        <w:spacing w:line="360" w:lineRule="auto"/>
        <w:rPr>
          <w:rFonts w:ascii="Book Antiqua" w:hAnsi="Book Antiqua"/>
          <w:kern w:val="0"/>
          <w:sz w:val="24"/>
        </w:rPr>
      </w:pPr>
      <w:r w:rsidRPr="00F76351">
        <w:rPr>
          <w:rFonts w:ascii="Book Antiqua" w:hAnsi="Book Antiqua"/>
          <w:sz w:val="24"/>
        </w:rPr>
        <w:t xml:space="preserve">As shown previously by our team, human </w:t>
      </w:r>
      <w:r w:rsidRPr="00F76351">
        <w:rPr>
          <w:rFonts w:ascii="Book Antiqua" w:hAnsi="Book Antiqua"/>
          <w:kern w:val="0"/>
          <w:sz w:val="24"/>
        </w:rPr>
        <w:t xml:space="preserve">growth hormone receptor (GHR) </w:t>
      </w:r>
      <w:r w:rsidRPr="00F76351">
        <w:rPr>
          <w:rFonts w:ascii="Book Antiqua" w:hAnsi="Book Antiqua"/>
          <w:sz w:val="24"/>
        </w:rPr>
        <w:t xml:space="preserve">is highly expressed </w:t>
      </w:r>
      <w:r w:rsidRPr="00F76351">
        <w:rPr>
          <w:rFonts w:ascii="Book Antiqua" w:hAnsi="Book Antiqua"/>
          <w:kern w:val="0"/>
          <w:sz w:val="24"/>
        </w:rPr>
        <w:t xml:space="preserve">in colon cancer tissues. Additionally, less </w:t>
      </w:r>
      <w:r w:rsidRPr="00F76351">
        <w:rPr>
          <w:rFonts w:ascii="Book Antiqua" w:hAnsi="Book Antiqua"/>
          <w:sz w:val="24"/>
        </w:rPr>
        <w:t>differentiated tumor tissues have higher levels of GHR expression. During tumor development, the expression of GHR demonstrates an upward tendency</w:t>
      </w:r>
      <w:r w:rsidRPr="00F76351">
        <w:rPr>
          <w:rFonts w:ascii="Book Antiqua" w:hAnsi="Book Antiqua"/>
          <w:sz w:val="24"/>
          <w:vertAlign w:val="superscript"/>
        </w:rPr>
        <w:t>[1,2]</w:t>
      </w:r>
      <w:r w:rsidRPr="00F76351">
        <w:rPr>
          <w:rFonts w:ascii="Book Antiqua" w:hAnsi="Book Antiqua"/>
          <w:sz w:val="24"/>
        </w:rPr>
        <w:t>. Some researchers</w:t>
      </w:r>
      <w:r w:rsidRPr="00F76351">
        <w:rPr>
          <w:rFonts w:ascii="Book Antiqua" w:hAnsi="Book Antiqua"/>
          <w:sz w:val="24"/>
          <w:vertAlign w:val="superscript"/>
        </w:rPr>
        <w:t xml:space="preserve">[3-6] </w:t>
      </w:r>
      <w:r w:rsidRPr="00F76351">
        <w:rPr>
          <w:rFonts w:ascii="Book Antiqua" w:hAnsi="Book Antiqua"/>
          <w:sz w:val="24"/>
        </w:rPr>
        <w:t xml:space="preserve">believe that the expression of GHR in tumor tissue is linked with the </w:t>
      </w:r>
      <w:r w:rsidRPr="00F76351">
        <w:rPr>
          <w:rFonts w:ascii="Book Antiqua" w:hAnsi="Book Antiqua"/>
          <w:bCs/>
          <w:kern w:val="36"/>
          <w:sz w:val="24"/>
        </w:rPr>
        <w:t xml:space="preserve">vegetative state of the tumor and that </w:t>
      </w:r>
      <w:r w:rsidRPr="00F76351">
        <w:rPr>
          <w:rFonts w:ascii="Book Antiqua" w:hAnsi="Book Antiqua"/>
          <w:sz w:val="24"/>
        </w:rPr>
        <w:t xml:space="preserve">GH and GHR play important roles in the emergence and development of colon cancer. After specific binding of GH to GHR in tumor tissues, the JAK-STAT signal </w:t>
      </w:r>
      <w:r w:rsidRPr="00F76351">
        <w:rPr>
          <w:rFonts w:ascii="Book Antiqua" w:hAnsi="Book Antiqua"/>
          <w:kern w:val="0"/>
          <w:sz w:val="24"/>
        </w:rPr>
        <w:t xml:space="preserve">transduction pathway </w:t>
      </w:r>
      <w:r w:rsidRPr="00F76351">
        <w:rPr>
          <w:rFonts w:ascii="Book Antiqua" w:hAnsi="Book Antiqua"/>
          <w:sz w:val="24"/>
        </w:rPr>
        <w:t xml:space="preserve">is activated, resulting in improved cell growth and </w:t>
      </w:r>
      <w:r w:rsidRPr="00F76351">
        <w:rPr>
          <w:rFonts w:ascii="Book Antiqua" w:hAnsi="Book Antiqua"/>
          <w:kern w:val="0"/>
          <w:sz w:val="24"/>
        </w:rPr>
        <w:t>proliferation</w:t>
      </w:r>
      <w:r w:rsidRPr="00F76351">
        <w:rPr>
          <w:rFonts w:ascii="Book Antiqua" w:hAnsi="Book Antiqua"/>
          <w:sz w:val="24"/>
          <w:vertAlign w:val="superscript"/>
        </w:rPr>
        <w:t>[7-10]</w:t>
      </w:r>
      <w:r w:rsidRPr="00F76351">
        <w:rPr>
          <w:rFonts w:ascii="Book Antiqua" w:hAnsi="Book Antiqua"/>
          <w:kern w:val="0"/>
          <w:sz w:val="24"/>
        </w:rPr>
        <w:t>. S</w:t>
      </w:r>
      <w:r w:rsidRPr="00F76351">
        <w:rPr>
          <w:rFonts w:ascii="Book Antiqua" w:hAnsi="Book Antiqua"/>
          <w:sz w:val="24"/>
        </w:rPr>
        <w:t>ignal transduction therapy is a commonly used chemotherapy strategy, and currently, treatment often involves the use of small interfering RNAs (</w:t>
      </w:r>
      <w:proofErr w:type="spellStart"/>
      <w:r w:rsidRPr="00F76351">
        <w:rPr>
          <w:rFonts w:ascii="Book Antiqua" w:hAnsi="Book Antiqua"/>
          <w:sz w:val="24"/>
        </w:rPr>
        <w:t>siRNAs</w:t>
      </w:r>
      <w:proofErr w:type="spellEnd"/>
      <w:r w:rsidRPr="00F76351">
        <w:rPr>
          <w:rFonts w:ascii="Book Antiqua" w:hAnsi="Book Antiqua"/>
          <w:sz w:val="24"/>
        </w:rPr>
        <w:t>) that target different signal transduction pathways</w:t>
      </w:r>
      <w:r w:rsidRPr="00F76351">
        <w:rPr>
          <w:rFonts w:ascii="Book Antiqua" w:hAnsi="Book Antiqua"/>
          <w:sz w:val="24"/>
          <w:vertAlign w:val="superscript"/>
        </w:rPr>
        <w:t>[11-13]</w:t>
      </w:r>
      <w:r w:rsidRPr="00F76351">
        <w:rPr>
          <w:rFonts w:ascii="Book Antiqua" w:hAnsi="Book Antiqua"/>
          <w:sz w:val="24"/>
        </w:rPr>
        <w:t>.</w:t>
      </w:r>
    </w:p>
    <w:p w:rsidR="00ED4098" w:rsidRPr="00F76351" w:rsidRDefault="00ED4098" w:rsidP="000F1768">
      <w:pPr>
        <w:spacing w:line="360" w:lineRule="auto"/>
        <w:ind w:firstLine="720"/>
        <w:rPr>
          <w:rFonts w:ascii="Book Antiqua" w:hAnsi="Book Antiqua"/>
          <w:sz w:val="24"/>
        </w:rPr>
      </w:pPr>
      <w:r w:rsidRPr="00F76351">
        <w:rPr>
          <w:rFonts w:ascii="Book Antiqua" w:hAnsi="Book Antiqua"/>
          <w:sz w:val="24"/>
        </w:rPr>
        <w:t xml:space="preserve">In this study, </w:t>
      </w:r>
      <w:proofErr w:type="spellStart"/>
      <w:r w:rsidRPr="00F76351">
        <w:rPr>
          <w:rFonts w:ascii="Book Antiqua" w:hAnsi="Book Antiqua"/>
          <w:sz w:val="24"/>
        </w:rPr>
        <w:t>siRNA</w:t>
      </w:r>
      <w:proofErr w:type="spellEnd"/>
      <w:r w:rsidRPr="00F76351">
        <w:rPr>
          <w:rFonts w:ascii="Book Antiqua" w:hAnsi="Book Antiqua"/>
          <w:sz w:val="24"/>
        </w:rPr>
        <w:t xml:space="preserve"> targeting the human GHR gene was used to investigate the impact that GHR has on the emergence and development of colon cancer and to determine how human colon cancer cells respond to the suppression of GHR expression.</w:t>
      </w:r>
    </w:p>
    <w:p w:rsidR="00ED4098" w:rsidRPr="00F76351" w:rsidRDefault="00ED4098" w:rsidP="000F1768">
      <w:pPr>
        <w:spacing w:line="360" w:lineRule="auto"/>
        <w:ind w:firstLine="720"/>
        <w:rPr>
          <w:rFonts w:ascii="Book Antiqua" w:hAnsi="Book Antiqua"/>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t>MATERIALS AND METHODS</w:t>
      </w: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Experimental animals and cell lines</w:t>
      </w:r>
    </w:p>
    <w:p w:rsidR="00ED4098" w:rsidRPr="00F76351" w:rsidRDefault="00ED4098" w:rsidP="000F1768">
      <w:pPr>
        <w:spacing w:line="360" w:lineRule="auto"/>
        <w:rPr>
          <w:rFonts w:ascii="Book Antiqua" w:hAnsi="Book Antiqua"/>
          <w:sz w:val="24"/>
        </w:rPr>
      </w:pPr>
      <w:r w:rsidRPr="00F76351">
        <w:rPr>
          <w:rFonts w:ascii="Book Antiqua" w:hAnsi="Book Antiqua"/>
          <w:sz w:val="24"/>
        </w:rPr>
        <w:t xml:space="preserve">Thirty-six 8-week old, female BALB/c nude mice, weighing between 20 and </w:t>
      </w:r>
      <w:smartTag w:uri="urn:schemas-microsoft-com:office:smarttags" w:element="chmetcnv">
        <w:smartTagPr>
          <w:attr w:name="UnitName" w:val="g"/>
          <w:attr w:name="SourceValue" w:val="22"/>
          <w:attr w:name="HasSpace" w:val="True"/>
          <w:attr w:name="Negative" w:val="False"/>
          <w:attr w:name="NumberType" w:val="1"/>
          <w:attr w:name="TCSC" w:val="0"/>
        </w:smartTagPr>
        <w:r w:rsidRPr="00F76351">
          <w:rPr>
            <w:rFonts w:ascii="Book Antiqua" w:hAnsi="Book Antiqua"/>
            <w:sz w:val="24"/>
          </w:rPr>
          <w:t>22 g</w:t>
        </w:r>
      </w:smartTag>
      <w:r w:rsidRPr="00F76351">
        <w:rPr>
          <w:rFonts w:ascii="Book Antiqua" w:hAnsi="Book Antiqua"/>
          <w:sz w:val="24"/>
        </w:rPr>
        <w:t xml:space="preserve">, were purchased from Vital River Laboratories (VRL) with license No. SCXK(Jing)2006-0009. The mice were kept in the SPF environment of the animal experiment center in Kunming Medical University. The human colon cancer cell line SW480 was obtained from the cell resource center of Shanghai Institutes for Biological Sciences, Chinese Academy of Science. </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Laboratory reagents</w:t>
      </w:r>
    </w:p>
    <w:p w:rsidR="00ED4098" w:rsidRPr="00F76351" w:rsidRDefault="00ED4098" w:rsidP="000F1768">
      <w:pPr>
        <w:spacing w:line="360" w:lineRule="auto"/>
        <w:rPr>
          <w:rFonts w:ascii="Book Antiqua" w:hAnsi="Book Antiqua"/>
          <w:sz w:val="24"/>
        </w:rPr>
      </w:pPr>
      <w:r w:rsidRPr="00F76351">
        <w:rPr>
          <w:rFonts w:ascii="Book Antiqua" w:hAnsi="Book Antiqua"/>
          <w:sz w:val="24"/>
        </w:rPr>
        <w:t xml:space="preserve">The HQ high purity plasmid extraction kit was purchased from Invitrogen </w:t>
      </w:r>
      <w:r w:rsidRPr="00F76351">
        <w:rPr>
          <w:rFonts w:ascii="Book Antiqua" w:hAnsi="Book Antiqua"/>
          <w:sz w:val="24"/>
        </w:rPr>
        <w:lastRenderedPageBreak/>
        <w:t>(Invitrogen,</w:t>
      </w:r>
      <w:r w:rsidRPr="00F76351">
        <w:rPr>
          <w:rFonts w:ascii="Arial" w:hAnsi="Arial" w:cs="Arial"/>
          <w:sz w:val="20"/>
          <w:szCs w:val="20"/>
        </w:rPr>
        <w:t xml:space="preserve"> </w:t>
      </w:r>
      <w:r w:rsidRPr="00F76351">
        <w:rPr>
          <w:rFonts w:ascii="Book Antiqua" w:hAnsi="Book Antiqua"/>
          <w:sz w:val="24"/>
        </w:rPr>
        <w:t xml:space="preserve">Carlsbad city, California, </w:t>
      </w:r>
      <w:bookmarkStart w:id="27" w:name="OLE_LINK144"/>
      <w:bookmarkStart w:id="28" w:name="OLE_LINK145"/>
      <w:r w:rsidRPr="00F76351">
        <w:rPr>
          <w:rFonts w:ascii="Book Antiqua" w:hAnsi="Book Antiqua" w:cs="Garamond"/>
          <w:kern w:val="0"/>
          <w:sz w:val="24"/>
        </w:rPr>
        <w:t>United States</w:t>
      </w:r>
      <w:bookmarkEnd w:id="27"/>
      <w:bookmarkEnd w:id="28"/>
      <w:r w:rsidRPr="00F76351">
        <w:rPr>
          <w:rFonts w:ascii="Book Antiqua" w:hAnsi="Book Antiqua"/>
          <w:sz w:val="24"/>
        </w:rPr>
        <w:t>). The BCA protein concentration kit (</w:t>
      </w:r>
      <w:proofErr w:type="spellStart"/>
      <w:r w:rsidRPr="00F76351">
        <w:rPr>
          <w:rFonts w:ascii="Book Antiqua" w:hAnsi="Book Antiqua"/>
          <w:sz w:val="24"/>
        </w:rPr>
        <w:t>Tiangen</w:t>
      </w:r>
      <w:proofErr w:type="spellEnd"/>
      <w:r w:rsidRPr="00F76351">
        <w:rPr>
          <w:rFonts w:ascii="Book Antiqua" w:hAnsi="Book Antiqua"/>
          <w:sz w:val="24"/>
        </w:rPr>
        <w:t xml:space="preserve"> Biology and Chemistry) and the molecular mass albumin standard were purchased from </w:t>
      </w:r>
      <w:proofErr w:type="spellStart"/>
      <w:r w:rsidRPr="00F76351">
        <w:rPr>
          <w:rFonts w:ascii="Book Antiqua" w:hAnsi="Book Antiqua"/>
          <w:sz w:val="24"/>
        </w:rPr>
        <w:t>Tiangen</w:t>
      </w:r>
      <w:proofErr w:type="spellEnd"/>
      <w:r w:rsidRPr="00F76351">
        <w:rPr>
          <w:rFonts w:ascii="Book Antiqua" w:hAnsi="Book Antiqua"/>
          <w:sz w:val="24"/>
        </w:rPr>
        <w:t xml:space="preserve"> Biology and Chemistry (</w:t>
      </w:r>
      <w:proofErr w:type="spellStart"/>
      <w:r w:rsidRPr="00F76351">
        <w:rPr>
          <w:rFonts w:ascii="Book Antiqua" w:hAnsi="Book Antiqua"/>
          <w:sz w:val="24"/>
        </w:rPr>
        <w:t>Fermentas</w:t>
      </w:r>
      <w:proofErr w:type="spellEnd"/>
      <w:r w:rsidRPr="00F76351">
        <w:rPr>
          <w:rFonts w:ascii="Book Antiqua" w:hAnsi="Book Antiqua"/>
          <w:sz w:val="24"/>
        </w:rPr>
        <w:t xml:space="preserve"> Company). The mouse monoclonal anti-human GHR antibody was obtained from R and D Company (MAB1210), and the goat secondary anti-mouse </w:t>
      </w:r>
      <w:proofErr w:type="spellStart"/>
      <w:r w:rsidRPr="00F76351">
        <w:rPr>
          <w:rFonts w:ascii="Book Antiqua" w:hAnsi="Book Antiqua"/>
          <w:sz w:val="24"/>
        </w:rPr>
        <w:t>IgG</w:t>
      </w:r>
      <w:proofErr w:type="spellEnd"/>
      <w:r w:rsidRPr="00F76351">
        <w:rPr>
          <w:rFonts w:ascii="Book Antiqua" w:hAnsi="Book Antiqua"/>
          <w:sz w:val="24"/>
        </w:rPr>
        <w:t xml:space="preserve">-HRP antibody was purchased from </w:t>
      </w:r>
      <w:proofErr w:type="spellStart"/>
      <w:r w:rsidRPr="00F76351">
        <w:rPr>
          <w:rFonts w:ascii="Book Antiqua" w:hAnsi="Book Antiqua"/>
          <w:sz w:val="24"/>
        </w:rPr>
        <w:t>Abmart</w:t>
      </w:r>
      <w:proofErr w:type="spellEnd"/>
      <w:r w:rsidRPr="00F76351">
        <w:rPr>
          <w:rFonts w:ascii="Book Antiqua" w:hAnsi="Book Antiqua"/>
          <w:sz w:val="24"/>
        </w:rPr>
        <w:t xml:space="preserve"> Company. </w:t>
      </w:r>
      <w:proofErr w:type="spellStart"/>
      <w:r w:rsidRPr="00F76351">
        <w:rPr>
          <w:rFonts w:ascii="Book Antiqua" w:hAnsi="Book Antiqua"/>
          <w:sz w:val="24"/>
        </w:rPr>
        <w:t>RNase</w:t>
      </w:r>
      <w:proofErr w:type="spellEnd"/>
      <w:r w:rsidRPr="00F76351">
        <w:rPr>
          <w:rFonts w:ascii="Book Antiqua" w:hAnsi="Book Antiqua"/>
          <w:sz w:val="24"/>
        </w:rPr>
        <w:t xml:space="preserve"> H was obtained from Invitrogen, and the Golden </w:t>
      </w:r>
      <w:proofErr w:type="spellStart"/>
      <w:r w:rsidRPr="00F76351">
        <w:rPr>
          <w:rFonts w:ascii="Book Antiqua" w:hAnsi="Book Antiqua"/>
          <w:sz w:val="24"/>
        </w:rPr>
        <w:t>Taq</w:t>
      </w:r>
      <w:proofErr w:type="spellEnd"/>
      <w:r w:rsidRPr="00F76351">
        <w:rPr>
          <w:rFonts w:ascii="Book Antiqua" w:hAnsi="Book Antiqua"/>
          <w:sz w:val="24"/>
        </w:rPr>
        <w:t xml:space="preserve"> PCR kit was purchased from </w:t>
      </w:r>
      <w:proofErr w:type="spellStart"/>
      <w:r w:rsidRPr="00F76351">
        <w:rPr>
          <w:rFonts w:ascii="Book Antiqua" w:hAnsi="Book Antiqua"/>
          <w:sz w:val="24"/>
        </w:rPr>
        <w:t>Tiangen</w:t>
      </w:r>
      <w:proofErr w:type="spellEnd"/>
      <w:r w:rsidRPr="00F76351">
        <w:rPr>
          <w:rFonts w:ascii="Book Antiqua" w:hAnsi="Book Antiqua"/>
          <w:sz w:val="24"/>
        </w:rPr>
        <w:t xml:space="preserve"> Biology and Chemistry. SYBR Green-Real Master Mix was purchased from </w:t>
      </w:r>
      <w:proofErr w:type="spellStart"/>
      <w:r w:rsidRPr="00F76351">
        <w:rPr>
          <w:rFonts w:ascii="Book Antiqua" w:hAnsi="Book Antiqua"/>
          <w:sz w:val="24"/>
        </w:rPr>
        <w:t>Tiangen</w:t>
      </w:r>
      <w:proofErr w:type="spellEnd"/>
      <w:r w:rsidRPr="00F76351">
        <w:rPr>
          <w:rFonts w:ascii="Book Antiqua" w:hAnsi="Book Antiqua"/>
          <w:sz w:val="24"/>
        </w:rPr>
        <w:t xml:space="preserve"> Biology and Chemistry, and all primers used in the study were obtained from Invitrogen. </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Preparation of cell suspension</w:t>
      </w:r>
    </w:p>
    <w:p w:rsidR="00ED4098" w:rsidRPr="00F76351" w:rsidRDefault="00ED4098" w:rsidP="000F1768">
      <w:pPr>
        <w:spacing w:line="360" w:lineRule="auto"/>
        <w:rPr>
          <w:rFonts w:ascii="Book Antiqua" w:hAnsi="Book Antiqua"/>
          <w:sz w:val="24"/>
        </w:rPr>
      </w:pPr>
      <w:r w:rsidRPr="00F76351">
        <w:rPr>
          <w:rFonts w:ascii="Book Antiqua" w:hAnsi="Book Antiqua"/>
          <w:sz w:val="24"/>
        </w:rPr>
        <w:t>Colon cancer SW480 cells were cultivated in RPMI 1640 nutrient solution supplemented with 10% fetal calf serum (FCS), 10.0×10</w:t>
      </w:r>
      <w:r w:rsidRPr="00F76351">
        <w:rPr>
          <w:rFonts w:ascii="Book Antiqua" w:hAnsi="Book Antiqua"/>
          <w:sz w:val="24"/>
          <w:vertAlign w:val="superscript"/>
        </w:rPr>
        <w:t>3</w:t>
      </w:r>
      <w:r w:rsidRPr="00F76351">
        <w:rPr>
          <w:rFonts w:ascii="Book Antiqua" w:hAnsi="Book Antiqua"/>
          <w:sz w:val="24"/>
        </w:rPr>
        <w:t xml:space="preserve"> U/L </w:t>
      </w:r>
      <w:r w:rsidRPr="00F76351">
        <w:rPr>
          <w:rFonts w:ascii="Book Antiqua" w:hAnsi="Book Antiqua"/>
          <w:bCs/>
          <w:sz w:val="24"/>
        </w:rPr>
        <w:t xml:space="preserve">penicillin, </w:t>
      </w:r>
      <w:r w:rsidRPr="00F76351">
        <w:rPr>
          <w:rFonts w:ascii="Book Antiqua" w:hAnsi="Book Antiqua"/>
          <w:sz w:val="24"/>
        </w:rPr>
        <w:t xml:space="preserve">and 100 mg/L streptomycin </w:t>
      </w:r>
      <w:r w:rsidRPr="00F76351">
        <w:rPr>
          <w:rFonts w:ascii="Book Antiqua" w:hAnsi="Book Antiqua"/>
          <w:bCs/>
          <w:sz w:val="24"/>
        </w:rPr>
        <w:t xml:space="preserve">in a </w:t>
      </w:r>
      <w:r w:rsidRPr="00F76351">
        <w:rPr>
          <w:rFonts w:ascii="Book Antiqua" w:hAnsi="Book Antiqua"/>
          <w:sz w:val="24"/>
        </w:rPr>
        <w:t>37°C incubator with 50mL/L CO</w:t>
      </w:r>
      <w:r w:rsidRPr="00F76351">
        <w:rPr>
          <w:rFonts w:ascii="Book Antiqua" w:hAnsi="Book Antiqua"/>
          <w:sz w:val="24"/>
          <w:vertAlign w:val="subscript"/>
        </w:rPr>
        <w:t>2</w:t>
      </w:r>
      <w:r w:rsidRPr="00F76351">
        <w:rPr>
          <w:rFonts w:ascii="Book Antiqua" w:hAnsi="Book Antiqua"/>
          <w:sz w:val="24"/>
        </w:rPr>
        <w:t xml:space="preserve">. This is an adherent cell line. Cells in the exponential growth phase were harvested using 0.25% trypsin, and the cells were </w:t>
      </w:r>
      <w:proofErr w:type="spellStart"/>
      <w:r w:rsidRPr="00F76351">
        <w:rPr>
          <w:rFonts w:ascii="Book Antiqua" w:hAnsi="Book Antiqua"/>
          <w:sz w:val="24"/>
        </w:rPr>
        <w:t>resuspended</w:t>
      </w:r>
      <w:proofErr w:type="spellEnd"/>
      <w:r w:rsidRPr="00F76351">
        <w:rPr>
          <w:rFonts w:ascii="Book Antiqua" w:hAnsi="Book Antiqua"/>
          <w:sz w:val="24"/>
        </w:rPr>
        <w:t xml:space="preserve"> using a machine. The cells were then centrifuged at 2000 rpm for 5 min. Then, the supernatant was removed, and the cells were </w:t>
      </w:r>
      <w:proofErr w:type="spellStart"/>
      <w:r w:rsidRPr="00F76351">
        <w:rPr>
          <w:rFonts w:ascii="Book Antiqua" w:hAnsi="Book Antiqua"/>
          <w:sz w:val="24"/>
        </w:rPr>
        <w:t>resuspended</w:t>
      </w:r>
      <w:proofErr w:type="spellEnd"/>
      <w:r w:rsidRPr="00F76351">
        <w:rPr>
          <w:rFonts w:ascii="Book Antiqua" w:hAnsi="Book Antiqua"/>
          <w:sz w:val="24"/>
        </w:rPr>
        <w:t xml:space="preserve"> in </w:t>
      </w:r>
      <w:r w:rsidRPr="00F76351">
        <w:rPr>
          <w:rFonts w:ascii="Book Antiqua" w:hAnsi="Book Antiqua"/>
          <w:bCs/>
          <w:sz w:val="24"/>
        </w:rPr>
        <w:t>physiological saline</w:t>
      </w:r>
      <w:r w:rsidRPr="00F76351">
        <w:rPr>
          <w:rFonts w:ascii="Book Antiqua" w:hAnsi="Book Antiqua"/>
          <w:sz w:val="24"/>
        </w:rPr>
        <w:t> at a concentration of 1×10</w:t>
      </w:r>
      <w:r w:rsidRPr="00F76351">
        <w:rPr>
          <w:rFonts w:ascii="Book Antiqua" w:hAnsi="Book Antiqua"/>
          <w:sz w:val="24"/>
          <w:vertAlign w:val="superscript"/>
        </w:rPr>
        <w:t>7</w:t>
      </w:r>
      <w:r w:rsidRPr="00F76351">
        <w:rPr>
          <w:rFonts w:ascii="Book Antiqua" w:hAnsi="Book Antiqua"/>
          <w:sz w:val="24"/>
        </w:rPr>
        <w:t xml:space="preserve"> cells/</w:t>
      </w:r>
      <w:proofErr w:type="spellStart"/>
      <w:r w:rsidRPr="00F76351">
        <w:rPr>
          <w:rFonts w:ascii="Book Antiqua" w:hAnsi="Book Antiqua"/>
          <w:sz w:val="24"/>
        </w:rPr>
        <w:t>mL.</w:t>
      </w:r>
      <w:proofErr w:type="spellEnd"/>
      <w:r w:rsidRPr="00F76351">
        <w:rPr>
          <w:rFonts w:ascii="Book Antiqua" w:hAnsi="Book Antiqua"/>
          <w:sz w:val="24"/>
        </w:rPr>
        <w:t xml:space="preserve"> </w:t>
      </w:r>
      <w:proofErr w:type="spellStart"/>
      <w:r w:rsidRPr="00F76351">
        <w:rPr>
          <w:rFonts w:ascii="Book Antiqua" w:hAnsi="Book Antiqua"/>
          <w:sz w:val="24"/>
        </w:rPr>
        <w:t>Trypan</w:t>
      </w:r>
      <w:proofErr w:type="spellEnd"/>
      <w:r w:rsidRPr="00F76351">
        <w:rPr>
          <w:rFonts w:ascii="Book Antiqua" w:hAnsi="Book Antiqua"/>
          <w:sz w:val="24"/>
        </w:rPr>
        <w:t xml:space="preserve"> blue staining was used to ensure that cell viability was above 95%, after </w:t>
      </w:r>
      <w:proofErr w:type="spellStart"/>
      <w:r w:rsidRPr="00F76351">
        <w:rPr>
          <w:rFonts w:ascii="Book Antiqua" w:hAnsi="Book Antiqua"/>
          <w:sz w:val="24"/>
        </w:rPr>
        <w:t>resuspension</w:t>
      </w:r>
      <w:proofErr w:type="spellEnd"/>
      <w:r w:rsidRPr="00F76351">
        <w:rPr>
          <w:rFonts w:ascii="Book Antiqua" w:hAnsi="Book Antiqua"/>
          <w:sz w:val="24"/>
        </w:rPr>
        <w:t xml:space="preserve"> the cells were stored in an ice bath</w:t>
      </w:r>
    </w:p>
    <w:p w:rsidR="00ED4098" w:rsidRPr="00F76351" w:rsidRDefault="00ED4098" w:rsidP="000F1768">
      <w:pPr>
        <w:spacing w:line="360" w:lineRule="auto"/>
        <w:rPr>
          <w:rFonts w:ascii="Book Antiqua" w:hAnsi="Book Antiqua"/>
          <w:sz w:val="24"/>
        </w:rPr>
      </w:pPr>
      <w:r w:rsidRPr="00F76351">
        <w:rPr>
          <w:rFonts w:ascii="Book Antiqua" w:hAnsi="Book Antiqua"/>
          <w:sz w:val="24"/>
        </w:rPr>
        <w:t>.</w:t>
      </w: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 xml:space="preserve">Construction of </w:t>
      </w:r>
      <w:proofErr w:type="spellStart"/>
      <w:r w:rsidRPr="00F76351">
        <w:rPr>
          <w:rFonts w:ascii="Book Antiqua" w:hAnsi="Book Antiqua"/>
          <w:b/>
          <w:i/>
          <w:sz w:val="24"/>
        </w:rPr>
        <w:t>siRNA</w:t>
      </w:r>
      <w:proofErr w:type="spellEnd"/>
      <w:r w:rsidRPr="00F76351">
        <w:rPr>
          <w:rFonts w:ascii="Book Antiqua" w:hAnsi="Book Antiqua"/>
          <w:b/>
          <w:i/>
          <w:sz w:val="24"/>
        </w:rPr>
        <w:t xml:space="preserve"> and eukaryotic expression vectors</w:t>
      </w:r>
    </w:p>
    <w:p w:rsidR="00ED4098" w:rsidRPr="00F76351" w:rsidRDefault="00ED4098" w:rsidP="000F1768">
      <w:pPr>
        <w:spacing w:line="360" w:lineRule="auto"/>
        <w:rPr>
          <w:rFonts w:ascii="Book Antiqua" w:hAnsi="Book Antiqua"/>
          <w:sz w:val="24"/>
        </w:rPr>
      </w:pPr>
      <w:proofErr w:type="spellStart"/>
      <w:r w:rsidRPr="00F76351">
        <w:rPr>
          <w:rFonts w:ascii="Book Antiqua" w:hAnsi="Book Antiqua"/>
          <w:sz w:val="24"/>
        </w:rPr>
        <w:t>siRNA</w:t>
      </w:r>
      <w:proofErr w:type="spellEnd"/>
      <w:r w:rsidRPr="00F76351">
        <w:rPr>
          <w:rFonts w:ascii="Book Antiqua" w:hAnsi="Book Antiqua"/>
          <w:sz w:val="24"/>
        </w:rPr>
        <w:t xml:space="preserve"> oligonucleotides were designed against the mRNA sequence of human GHR found in </w:t>
      </w:r>
      <w:proofErr w:type="spellStart"/>
      <w:r w:rsidRPr="00F76351">
        <w:rPr>
          <w:rFonts w:ascii="Book Antiqua" w:hAnsi="Book Antiqua"/>
          <w:sz w:val="24"/>
        </w:rPr>
        <w:t>GenBank</w:t>
      </w:r>
      <w:proofErr w:type="spellEnd"/>
      <w:r w:rsidRPr="00F76351">
        <w:rPr>
          <w:rFonts w:ascii="Book Antiqua" w:hAnsi="Book Antiqua"/>
          <w:sz w:val="24"/>
        </w:rPr>
        <w:t xml:space="preserve">, which had a total length of 4414 </w:t>
      </w:r>
      <w:proofErr w:type="spellStart"/>
      <w:r w:rsidRPr="00F76351">
        <w:rPr>
          <w:rFonts w:ascii="Book Antiqua" w:hAnsi="Book Antiqua"/>
          <w:sz w:val="24"/>
        </w:rPr>
        <w:t>bp</w:t>
      </w:r>
      <w:proofErr w:type="spellEnd"/>
      <w:r w:rsidRPr="00F76351">
        <w:rPr>
          <w:rFonts w:ascii="Book Antiqua" w:hAnsi="Book Antiqua"/>
          <w:sz w:val="24"/>
        </w:rPr>
        <w:t xml:space="preserve"> (Accession No.: X06562, GI: 31737). We used the </w:t>
      </w:r>
      <w:proofErr w:type="spellStart"/>
      <w:r w:rsidRPr="00F76351">
        <w:rPr>
          <w:rFonts w:ascii="Book Antiqua" w:hAnsi="Book Antiqua"/>
          <w:sz w:val="24"/>
        </w:rPr>
        <w:t>RNAi</w:t>
      </w:r>
      <w:proofErr w:type="spellEnd"/>
      <w:r w:rsidRPr="00F76351">
        <w:rPr>
          <w:rFonts w:ascii="Book Antiqua" w:hAnsi="Book Antiqua"/>
          <w:sz w:val="24"/>
        </w:rPr>
        <w:t xml:space="preserve"> Designer website (</w:t>
      </w:r>
      <w:hyperlink r:id="rId8" w:history="1">
        <w:r w:rsidRPr="00F76351">
          <w:rPr>
            <w:rStyle w:val="a6"/>
            <w:rFonts w:ascii="Book Antiqua" w:hAnsi="Book Antiqua"/>
            <w:color w:val="auto"/>
            <w:sz w:val="24"/>
          </w:rPr>
          <w:t>http://bioinfo.clontech.com/rnaidesigner</w:t>
        </w:r>
      </w:hyperlink>
      <w:r w:rsidRPr="00F76351">
        <w:rPr>
          <w:rFonts w:ascii="Book Antiqua" w:hAnsi="Book Antiqua"/>
          <w:sz w:val="24"/>
        </w:rPr>
        <w:t xml:space="preserve">) to design the </w:t>
      </w:r>
      <w:proofErr w:type="spellStart"/>
      <w:r w:rsidRPr="00F76351">
        <w:rPr>
          <w:rFonts w:ascii="Book Antiqua" w:hAnsi="Book Antiqua"/>
          <w:sz w:val="24"/>
        </w:rPr>
        <w:t>siRNA</w:t>
      </w:r>
      <w:proofErr w:type="spellEnd"/>
      <w:r w:rsidRPr="00F76351">
        <w:rPr>
          <w:rFonts w:ascii="Book Antiqua" w:hAnsi="Book Antiqua"/>
          <w:sz w:val="24"/>
        </w:rPr>
        <w:t xml:space="preserve"> that targeted the </w:t>
      </w:r>
      <w:proofErr w:type="spellStart"/>
      <w:r w:rsidRPr="00F76351">
        <w:rPr>
          <w:rFonts w:ascii="Book Antiqua" w:hAnsi="Book Antiqua"/>
          <w:sz w:val="24"/>
        </w:rPr>
        <w:t>hGHR</w:t>
      </w:r>
      <w:proofErr w:type="spellEnd"/>
      <w:r w:rsidRPr="00F76351">
        <w:rPr>
          <w:rFonts w:ascii="Book Antiqua" w:hAnsi="Book Antiqua"/>
          <w:sz w:val="24"/>
        </w:rPr>
        <w:t xml:space="preserve"> mRNA (527-547: GTCAGTTTAACTGGGATTCAT). Using the BLAST search program (</w:t>
      </w:r>
      <w:hyperlink r:id="rId9" w:history="1">
        <w:r w:rsidRPr="00F76351">
          <w:rPr>
            <w:rStyle w:val="a6"/>
            <w:rFonts w:ascii="Book Antiqua" w:hAnsi="Book Antiqua"/>
            <w:color w:val="auto"/>
            <w:sz w:val="24"/>
          </w:rPr>
          <w:t>http://blast.ncbi.nlm.nih.gov/Blast.cgi</w:t>
        </w:r>
      </w:hyperlink>
      <w:r w:rsidRPr="00F76351">
        <w:rPr>
          <w:rFonts w:ascii="Book Antiqua" w:hAnsi="Book Antiqua"/>
          <w:sz w:val="24"/>
        </w:rPr>
        <w:t xml:space="preserve">) to search the </w:t>
      </w:r>
      <w:r w:rsidRPr="00F76351">
        <w:rPr>
          <w:rFonts w:ascii="Book Antiqua" w:hAnsi="Book Antiqua"/>
          <w:sz w:val="24"/>
        </w:rPr>
        <w:lastRenderedPageBreak/>
        <w:t xml:space="preserve">EST database, we found that the </w:t>
      </w:r>
      <w:proofErr w:type="spellStart"/>
      <w:r w:rsidRPr="00F76351">
        <w:rPr>
          <w:rFonts w:ascii="Book Antiqua" w:hAnsi="Book Antiqua"/>
          <w:sz w:val="24"/>
        </w:rPr>
        <w:t>siRNA</w:t>
      </w:r>
      <w:proofErr w:type="spellEnd"/>
      <w:r w:rsidRPr="00F76351">
        <w:rPr>
          <w:rFonts w:ascii="Book Antiqua" w:hAnsi="Book Antiqua"/>
          <w:sz w:val="24"/>
        </w:rPr>
        <w:t xml:space="preserve"> was not homologous to another gene and would be an effective </w:t>
      </w:r>
      <w:proofErr w:type="spellStart"/>
      <w:r w:rsidRPr="00F76351">
        <w:rPr>
          <w:rFonts w:ascii="Book Antiqua" w:hAnsi="Book Antiqua"/>
          <w:sz w:val="24"/>
        </w:rPr>
        <w:t>siRNA</w:t>
      </w:r>
      <w:proofErr w:type="spellEnd"/>
      <w:r w:rsidRPr="00F76351">
        <w:rPr>
          <w:rFonts w:ascii="Book Antiqua" w:hAnsi="Book Antiqua"/>
          <w:sz w:val="24"/>
        </w:rPr>
        <w:t xml:space="preserve"> sequence. The complementary single strand primer was incubated at 94°C in annealing buffer solution for 3 min, and the oligonucleotides were annealed at 37 °C for 1 h. The annealed oligonucleotides were then phosphorylated at 37 °C for 30 min with T4 DNA-PNK. The oligonucleotides were then ligated into the linearized (</w:t>
      </w:r>
      <w:proofErr w:type="spellStart"/>
      <w:r w:rsidRPr="00F76351">
        <w:rPr>
          <w:rFonts w:ascii="Book Antiqua" w:hAnsi="Book Antiqua"/>
          <w:sz w:val="24"/>
        </w:rPr>
        <w:t>BamHI</w:t>
      </w:r>
      <w:proofErr w:type="spellEnd"/>
      <w:r w:rsidRPr="00F76351">
        <w:rPr>
          <w:rFonts w:ascii="Book Antiqua" w:hAnsi="Book Antiqua"/>
          <w:sz w:val="24"/>
        </w:rPr>
        <w:t>/</w:t>
      </w:r>
      <w:proofErr w:type="spellStart"/>
      <w:r w:rsidRPr="00F76351">
        <w:rPr>
          <w:rFonts w:ascii="Book Antiqua" w:hAnsi="Book Antiqua"/>
          <w:sz w:val="24"/>
        </w:rPr>
        <w:t>HindIII</w:t>
      </w:r>
      <w:proofErr w:type="spellEnd"/>
      <w:r w:rsidRPr="00F76351">
        <w:rPr>
          <w:rFonts w:ascii="Book Antiqua" w:hAnsi="Book Antiqua"/>
          <w:sz w:val="24"/>
        </w:rPr>
        <w:t>) pcDNA™6.2-GW/</w:t>
      </w:r>
      <w:proofErr w:type="spellStart"/>
      <w:r w:rsidRPr="00F76351">
        <w:rPr>
          <w:rFonts w:ascii="Book Antiqua" w:hAnsi="Book Antiqua"/>
          <w:sz w:val="24"/>
        </w:rPr>
        <w:t>EmGFP</w:t>
      </w:r>
      <w:proofErr w:type="spellEnd"/>
      <w:r w:rsidRPr="00F76351">
        <w:rPr>
          <w:rFonts w:ascii="Book Antiqua" w:hAnsi="Book Antiqua"/>
          <w:sz w:val="24"/>
        </w:rPr>
        <w:t>-GHR-</w:t>
      </w:r>
      <w:proofErr w:type="spellStart"/>
      <w:r w:rsidRPr="00F76351">
        <w:rPr>
          <w:rFonts w:ascii="Book Antiqua" w:hAnsi="Book Antiqua"/>
          <w:sz w:val="24"/>
        </w:rPr>
        <w:t>siRNA</w:t>
      </w:r>
      <w:proofErr w:type="spellEnd"/>
      <w:r w:rsidRPr="00F76351">
        <w:rPr>
          <w:rFonts w:ascii="Book Antiqua" w:hAnsi="Book Antiqua"/>
          <w:sz w:val="24"/>
        </w:rPr>
        <w:t xml:space="preserve"> plasmid using T4 DNA ligase. The final product was transformed in competent </w:t>
      </w:r>
      <w:r w:rsidRPr="00F76351">
        <w:rPr>
          <w:rFonts w:ascii="Book Antiqua" w:hAnsi="Book Antiqua"/>
          <w:i/>
          <w:sz w:val="24"/>
        </w:rPr>
        <w:t>E. coli</w:t>
      </w:r>
      <w:r w:rsidRPr="00F76351">
        <w:rPr>
          <w:rFonts w:ascii="Book Antiqua" w:hAnsi="Book Antiqua"/>
          <w:sz w:val="24"/>
        </w:rPr>
        <w:t xml:space="preserve"> DH5</w:t>
      </w:r>
      <w:r w:rsidRPr="00F76351">
        <w:rPr>
          <w:rFonts w:ascii="Book Antiqua" w:hAnsi="Book Antiqua"/>
          <w:sz w:val="24"/>
        </w:rPr>
        <w:sym w:font="Symbol" w:char="F061"/>
      </w:r>
      <w:r w:rsidRPr="00F76351">
        <w:rPr>
          <w:rFonts w:ascii="Book Antiqua" w:hAnsi="Book Antiqua"/>
          <w:sz w:val="24"/>
        </w:rPr>
        <w:t xml:space="preserve"> cells, and the </w:t>
      </w:r>
      <w:proofErr w:type="spellStart"/>
      <w:r w:rsidRPr="00F76351">
        <w:rPr>
          <w:rFonts w:ascii="Book Antiqua" w:hAnsi="Book Antiqua"/>
          <w:sz w:val="24"/>
        </w:rPr>
        <w:t>transformants</w:t>
      </w:r>
      <w:proofErr w:type="spellEnd"/>
      <w:r w:rsidRPr="00F76351">
        <w:rPr>
          <w:rFonts w:ascii="Book Antiqua" w:hAnsi="Book Antiqua"/>
          <w:sz w:val="24"/>
        </w:rPr>
        <w:t xml:space="preserve"> were spread on transformation plates containing 50 </w:t>
      </w:r>
      <w:proofErr w:type="spellStart"/>
      <w:r w:rsidRPr="00F76351">
        <w:rPr>
          <w:rFonts w:ascii="Book Antiqua" w:hAnsi="Book Antiqua" w:cs="American Typewriter"/>
          <w:sz w:val="24"/>
        </w:rPr>
        <w:t>μ</w:t>
      </w:r>
      <w:r w:rsidRPr="00F76351">
        <w:rPr>
          <w:rFonts w:ascii="Book Antiqua" w:hAnsi="Book Antiqua"/>
          <w:sz w:val="24"/>
        </w:rPr>
        <w:t>g</w:t>
      </w:r>
      <w:proofErr w:type="spellEnd"/>
      <w:r w:rsidRPr="00F76351">
        <w:rPr>
          <w:rFonts w:ascii="Book Antiqua" w:hAnsi="Book Antiqua"/>
          <w:sz w:val="24"/>
        </w:rPr>
        <w:t xml:space="preserve">/mL </w:t>
      </w:r>
      <w:proofErr w:type="spellStart"/>
      <w:r w:rsidRPr="00F76351">
        <w:rPr>
          <w:rFonts w:ascii="Book Antiqua" w:hAnsi="Book Antiqua"/>
          <w:sz w:val="24"/>
        </w:rPr>
        <w:t>spectinomycin</w:t>
      </w:r>
      <w:proofErr w:type="spellEnd"/>
      <w:r w:rsidRPr="00F76351">
        <w:rPr>
          <w:rFonts w:ascii="Book Antiqua" w:hAnsi="Book Antiqua"/>
          <w:sz w:val="24"/>
        </w:rPr>
        <w:t xml:space="preserve"> </w:t>
      </w:r>
      <w:proofErr w:type="spellStart"/>
      <w:r w:rsidRPr="00F76351">
        <w:rPr>
          <w:rFonts w:ascii="Book Antiqua" w:hAnsi="Book Antiqua"/>
          <w:sz w:val="24"/>
        </w:rPr>
        <w:t>dihydrochloride</w:t>
      </w:r>
      <w:proofErr w:type="spellEnd"/>
      <w:r w:rsidRPr="00F76351">
        <w:rPr>
          <w:rFonts w:ascii="Book Antiqua" w:hAnsi="Book Antiqua"/>
          <w:sz w:val="24"/>
        </w:rPr>
        <w:t xml:space="preserve"> (Sigma, Catalog no. S4014). The plates were kept in a 37°C incubator overnight, and three coenobium clones were picked from each plate and </w:t>
      </w:r>
      <w:proofErr w:type="spellStart"/>
      <w:r w:rsidRPr="00F76351">
        <w:rPr>
          <w:rFonts w:ascii="Book Antiqua" w:hAnsi="Book Antiqua"/>
          <w:sz w:val="24"/>
        </w:rPr>
        <w:t>subcultured</w:t>
      </w:r>
      <w:proofErr w:type="spellEnd"/>
      <w:r w:rsidRPr="00F76351">
        <w:rPr>
          <w:rFonts w:ascii="Book Antiqua" w:hAnsi="Book Antiqua"/>
          <w:sz w:val="24"/>
        </w:rPr>
        <w:t xml:space="preserve">. The plasmids were extracted using plasmid extraction kits, and the plasmids were confirmed by restriction enzyme digestion with </w:t>
      </w:r>
      <w:proofErr w:type="spellStart"/>
      <w:r w:rsidRPr="00F76351">
        <w:rPr>
          <w:rFonts w:ascii="Book Antiqua" w:hAnsi="Book Antiqua"/>
          <w:sz w:val="24"/>
        </w:rPr>
        <w:t>EcoR</w:t>
      </w:r>
      <w:proofErr w:type="spellEnd"/>
      <w:r w:rsidRPr="00F76351">
        <w:rPr>
          <w:rFonts w:ascii="Book Antiqua" w:hAnsi="Book Antiqua"/>
          <w:sz w:val="24"/>
        </w:rPr>
        <w:t xml:space="preserve"> I, Sac I</w:t>
      </w:r>
      <w:r w:rsidRPr="00F76351">
        <w:rPr>
          <w:rFonts w:ascii="Book Antiqua" w:hAnsi="Book Antiqua" w:cs="American Typewriter"/>
          <w:sz w:val="24"/>
        </w:rPr>
        <w:t xml:space="preserve"> </w:t>
      </w:r>
      <w:r w:rsidRPr="00F76351">
        <w:rPr>
          <w:rFonts w:ascii="Book Antiqua" w:hAnsi="Book Antiqua"/>
          <w:sz w:val="24"/>
        </w:rPr>
        <w:t>and Sal I. The transformation liquid was also sequenced to ensure that recombination had not occurred in the insert fragments during the cloning process. Finally, the pcDNA™6.2-GW/</w:t>
      </w:r>
      <w:proofErr w:type="spellStart"/>
      <w:r w:rsidRPr="00F76351">
        <w:rPr>
          <w:rFonts w:ascii="Book Antiqua" w:hAnsi="Book Antiqua"/>
          <w:sz w:val="24"/>
        </w:rPr>
        <w:t>EmGFP</w:t>
      </w:r>
      <w:proofErr w:type="spellEnd"/>
      <w:r w:rsidRPr="00F76351">
        <w:rPr>
          <w:rFonts w:ascii="Book Antiqua" w:hAnsi="Book Antiqua"/>
          <w:sz w:val="24"/>
        </w:rPr>
        <w:t>-GHR-</w:t>
      </w:r>
      <w:proofErr w:type="spellStart"/>
      <w:r w:rsidRPr="00F76351">
        <w:rPr>
          <w:rFonts w:ascii="Book Antiqua" w:hAnsi="Book Antiqua"/>
          <w:sz w:val="24"/>
        </w:rPr>
        <w:t>siRNA</w:t>
      </w:r>
      <w:proofErr w:type="spellEnd"/>
      <w:r w:rsidRPr="00F76351">
        <w:rPr>
          <w:rFonts w:ascii="Book Antiqua" w:hAnsi="Book Antiqua"/>
          <w:sz w:val="24"/>
        </w:rPr>
        <w:t xml:space="preserve"> plasmids were constructed successfully and are referred to as G</w:t>
      </w:r>
      <w:r w:rsidRPr="00F76351">
        <w:rPr>
          <w:rFonts w:ascii="Book Antiqua" w:hAnsi="Book Antiqua"/>
          <w:sz w:val="24"/>
          <w:vertAlign w:val="subscript"/>
        </w:rPr>
        <w:t>2</w:t>
      </w:r>
      <w:r w:rsidRPr="00F76351">
        <w:rPr>
          <w:rFonts w:ascii="Book Antiqua" w:hAnsi="Book Antiqua"/>
          <w:sz w:val="24"/>
        </w:rPr>
        <w:t xml:space="preserve"> throughout the paper. Additionally, the plasmids were extracted and diluted in DMEM as a precaution.</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Groups and method of drug distribution</w:t>
      </w:r>
    </w:p>
    <w:p w:rsidR="00ED4098" w:rsidRPr="00F76351" w:rsidRDefault="00ED4098" w:rsidP="0085400E">
      <w:pPr>
        <w:spacing w:line="360" w:lineRule="auto"/>
        <w:rPr>
          <w:rFonts w:ascii="Book Antiqua" w:hAnsi="Book Antiqua"/>
          <w:sz w:val="24"/>
        </w:rPr>
      </w:pPr>
      <w:r w:rsidRPr="00F76351">
        <w:rPr>
          <w:rFonts w:ascii="Book Antiqua" w:hAnsi="Book Antiqua"/>
          <w:sz w:val="24"/>
        </w:rPr>
        <w:t>We subcutaneously injected 1×10</w:t>
      </w:r>
      <w:r w:rsidRPr="00F76351">
        <w:rPr>
          <w:rFonts w:ascii="Book Antiqua" w:hAnsi="Book Antiqua"/>
          <w:sz w:val="24"/>
          <w:vertAlign w:val="superscript"/>
        </w:rPr>
        <w:t>7</w:t>
      </w:r>
      <w:r w:rsidRPr="00F76351">
        <w:rPr>
          <w:rFonts w:ascii="Book Antiqua" w:hAnsi="Book Antiqua"/>
          <w:sz w:val="24"/>
        </w:rPr>
        <w:t xml:space="preserve"> human colon cancer SW480 cells into BALB/c nude mice. On the first day after the injection, the mice were divided into six groups and administered the indicated drug and dose. </w:t>
      </w:r>
      <w:r w:rsidRPr="00F76351">
        <w:rPr>
          <w:rFonts w:ascii="Book Antiqua" w:hAnsi="Book Antiqua"/>
          <w:bCs/>
          <w:sz w:val="24"/>
        </w:rPr>
        <w:t xml:space="preserve">(1) Normal saline (NS): 10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NS was injected into the abdominal cavity of each mouse; (2) Plasmid (G</w:t>
      </w:r>
      <w:r w:rsidRPr="00F76351">
        <w:rPr>
          <w:rFonts w:ascii="Book Antiqua" w:hAnsi="Book Antiqua"/>
          <w:sz w:val="24"/>
          <w:vertAlign w:val="subscript"/>
        </w:rPr>
        <w:t>2</w:t>
      </w:r>
      <w:r w:rsidRPr="00F76351">
        <w:rPr>
          <w:rFonts w:ascii="Book Antiqua" w:hAnsi="Book Antiqua"/>
          <w:sz w:val="24"/>
        </w:rPr>
        <w:t xml:space="preserve">): 10 </w:t>
      </w:r>
      <w:proofErr w:type="spellStart"/>
      <w:r w:rsidRPr="00F76351">
        <w:rPr>
          <w:rFonts w:ascii="Book Antiqua" w:hAnsi="Book Antiqua" w:cs="American Typewriter"/>
          <w:sz w:val="24"/>
        </w:rPr>
        <w:t>μ</w:t>
      </w:r>
      <w:r w:rsidRPr="00F76351">
        <w:rPr>
          <w:rFonts w:ascii="Book Antiqua" w:hAnsi="Book Antiqua"/>
          <w:sz w:val="24"/>
        </w:rPr>
        <w:t>g</w:t>
      </w:r>
      <w:proofErr w:type="spellEnd"/>
      <w:r w:rsidRPr="00F76351">
        <w:rPr>
          <w:rFonts w:ascii="Book Antiqua" w:hAnsi="Book Antiqua"/>
          <w:sz w:val="24"/>
        </w:rPr>
        <w:t xml:space="preserve"> of the G</w:t>
      </w:r>
      <w:r w:rsidRPr="00F76351">
        <w:rPr>
          <w:rFonts w:ascii="Book Antiqua" w:hAnsi="Book Antiqua"/>
          <w:sz w:val="24"/>
          <w:vertAlign w:val="subscript"/>
        </w:rPr>
        <w:t>2</w:t>
      </w:r>
      <w:r w:rsidRPr="00F76351">
        <w:rPr>
          <w:rFonts w:ascii="Book Antiqua" w:hAnsi="Book Antiqua"/>
          <w:sz w:val="24"/>
        </w:rPr>
        <w:t xml:space="preserve"> eukaryotic expression plasmid was injected subcutaneously into each mouse; (3) Growth hormone (GH): 2 IU/kg </w:t>
      </w:r>
      <w:proofErr w:type="spellStart"/>
      <w:r w:rsidRPr="00F76351">
        <w:rPr>
          <w:rFonts w:ascii="Book Antiqua" w:hAnsi="Book Antiqua"/>
          <w:sz w:val="24"/>
        </w:rPr>
        <w:t>rhGH</w:t>
      </w:r>
      <w:proofErr w:type="spellEnd"/>
      <w:r w:rsidRPr="00F76351">
        <w:rPr>
          <w:rFonts w:ascii="Book Antiqua" w:hAnsi="Book Antiqua"/>
          <w:sz w:val="24"/>
        </w:rPr>
        <w:t xml:space="preserve">, a </w:t>
      </w:r>
      <w:r w:rsidRPr="00F76351">
        <w:rPr>
          <w:rFonts w:ascii="Book Antiqua" w:hAnsi="Book Antiqua"/>
          <w:kern w:val="0"/>
          <w:sz w:val="24"/>
        </w:rPr>
        <w:t xml:space="preserve">physiological dose of GH, was </w:t>
      </w:r>
      <w:r w:rsidRPr="00F76351">
        <w:rPr>
          <w:rFonts w:ascii="Book Antiqua" w:hAnsi="Book Antiqua"/>
          <w:sz w:val="24"/>
        </w:rPr>
        <w:t xml:space="preserve">hypodermically injected into each mouse; (4) 5-FU (FU): 20 mg/kg 5-FU was injected into the abdominal cavity of each </w:t>
      </w:r>
      <w:r w:rsidRPr="00F76351">
        <w:rPr>
          <w:rFonts w:ascii="Book Antiqua" w:hAnsi="Book Antiqua"/>
          <w:sz w:val="24"/>
        </w:rPr>
        <w:lastRenderedPageBreak/>
        <w:t>mouse; (5) 5-FU+plasmid (FU+G</w:t>
      </w:r>
      <w:r w:rsidRPr="00F76351">
        <w:rPr>
          <w:rFonts w:ascii="Book Antiqua" w:hAnsi="Book Antiqua"/>
          <w:sz w:val="24"/>
          <w:vertAlign w:val="subscript"/>
        </w:rPr>
        <w:t>2</w:t>
      </w:r>
      <w:r w:rsidRPr="00F76351">
        <w:rPr>
          <w:rFonts w:ascii="Book Antiqua" w:hAnsi="Book Antiqua"/>
          <w:sz w:val="24"/>
        </w:rPr>
        <w:t xml:space="preserve">): 20 mg/kg 5-FU and 10 </w:t>
      </w:r>
      <w:r w:rsidRPr="00F76351">
        <w:rPr>
          <w:rFonts w:ascii="Book Antiqua" w:hAnsi="Book Antiqua"/>
          <w:sz w:val="24"/>
        </w:rPr>
        <w:sym w:font="Symbol" w:char="F06D"/>
      </w:r>
      <w:r w:rsidRPr="00F76351">
        <w:rPr>
          <w:rFonts w:ascii="Book Antiqua" w:hAnsi="Book Antiqua"/>
          <w:sz w:val="24"/>
        </w:rPr>
        <w:t>g of the G</w:t>
      </w:r>
      <w:r w:rsidRPr="00F76351">
        <w:rPr>
          <w:rFonts w:ascii="Book Antiqua" w:hAnsi="Book Antiqua"/>
          <w:sz w:val="24"/>
          <w:vertAlign w:val="subscript"/>
        </w:rPr>
        <w:t>2</w:t>
      </w:r>
      <w:r w:rsidRPr="00F76351">
        <w:rPr>
          <w:rFonts w:ascii="Book Antiqua" w:hAnsi="Book Antiqua"/>
          <w:sz w:val="24"/>
        </w:rPr>
        <w:t xml:space="preserve"> plasmid were injected into the abdominal cavity of each mouse; (6) 5-FU+GH+plasmid (FU+GH+G</w:t>
      </w:r>
      <w:r w:rsidRPr="00F76351">
        <w:rPr>
          <w:rFonts w:ascii="Book Antiqua" w:hAnsi="Book Antiqua"/>
          <w:sz w:val="24"/>
          <w:vertAlign w:val="subscript"/>
        </w:rPr>
        <w:t>2</w:t>
      </w:r>
      <w:r w:rsidRPr="00F76351">
        <w:rPr>
          <w:rFonts w:ascii="Book Antiqua" w:hAnsi="Book Antiqua"/>
          <w:sz w:val="24"/>
        </w:rPr>
        <w:t xml:space="preserve">): 20 mg/kg 5-FU, 10 </w:t>
      </w:r>
      <w:proofErr w:type="spellStart"/>
      <w:r w:rsidRPr="00F76351">
        <w:rPr>
          <w:rFonts w:ascii="Book Antiqua" w:hAnsi="Book Antiqua" w:cs="American Typewriter"/>
          <w:sz w:val="24"/>
        </w:rPr>
        <w:t>μ</w:t>
      </w:r>
      <w:r w:rsidRPr="00F76351">
        <w:rPr>
          <w:rFonts w:ascii="Book Antiqua" w:hAnsi="Book Antiqua"/>
          <w:sz w:val="24"/>
        </w:rPr>
        <w:t>g</w:t>
      </w:r>
      <w:proofErr w:type="spellEnd"/>
      <w:r w:rsidRPr="00F76351">
        <w:rPr>
          <w:rFonts w:ascii="Book Antiqua" w:hAnsi="Book Antiqua"/>
          <w:sz w:val="24"/>
        </w:rPr>
        <w:t xml:space="preserve"> of the G</w:t>
      </w:r>
      <w:r w:rsidRPr="00F76351">
        <w:rPr>
          <w:rFonts w:ascii="Book Antiqua" w:hAnsi="Book Antiqua"/>
          <w:sz w:val="24"/>
          <w:vertAlign w:val="subscript"/>
        </w:rPr>
        <w:t>2</w:t>
      </w:r>
      <w:r w:rsidRPr="00F76351">
        <w:rPr>
          <w:rFonts w:ascii="Book Antiqua" w:hAnsi="Book Antiqua"/>
          <w:sz w:val="24"/>
        </w:rPr>
        <w:t xml:space="preserve"> plasmid, and 2 IU/kg </w:t>
      </w:r>
      <w:proofErr w:type="spellStart"/>
      <w:r w:rsidRPr="00F76351">
        <w:rPr>
          <w:rFonts w:ascii="Book Antiqua" w:hAnsi="Book Antiqua"/>
          <w:sz w:val="24"/>
        </w:rPr>
        <w:t>rhGH</w:t>
      </w:r>
      <w:proofErr w:type="spellEnd"/>
      <w:r w:rsidRPr="00F76351">
        <w:rPr>
          <w:rFonts w:ascii="Book Antiqua" w:hAnsi="Book Antiqua"/>
          <w:sz w:val="24"/>
        </w:rPr>
        <w:t xml:space="preserve"> were injected into the abdominal cavity of each mouse; and (7) Each of the above groups was treated every five days for three rounds of treatment. </w:t>
      </w:r>
    </w:p>
    <w:p w:rsidR="00ED4098" w:rsidRPr="00F76351" w:rsidRDefault="00ED4098" w:rsidP="0085400E">
      <w:pPr>
        <w:spacing w:line="360" w:lineRule="auto"/>
        <w:ind w:left="360"/>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Observation index</w:t>
      </w:r>
    </w:p>
    <w:p w:rsidR="00ED4098" w:rsidRPr="00F76351" w:rsidRDefault="00ED4098" w:rsidP="000F1768">
      <w:pPr>
        <w:spacing w:line="360" w:lineRule="auto"/>
        <w:rPr>
          <w:sz w:val="24"/>
        </w:rPr>
      </w:pPr>
      <w:r w:rsidRPr="00F76351">
        <w:rPr>
          <w:rFonts w:ascii="Book Antiqua" w:hAnsi="Book Antiqua"/>
          <w:b/>
          <w:sz w:val="24"/>
        </w:rPr>
        <w:t xml:space="preserve">Observation of weight and tumor volume of nude mice: </w:t>
      </w:r>
      <w:r w:rsidRPr="00F76351">
        <w:rPr>
          <w:rFonts w:ascii="Book Antiqua" w:hAnsi="Book Antiqua"/>
          <w:sz w:val="24"/>
        </w:rPr>
        <w:t>The weight of the nude mice was recorded before injection of the SW480 cells and on the 2nd, 5th, 8th, 11th, 14th and 17th day after injection. The length and the minimum diameter of the tumors were recorded, and the tumor volume was calculated on the 5</w:t>
      </w:r>
      <w:r w:rsidRPr="00F76351">
        <w:rPr>
          <w:rFonts w:ascii="Book Antiqua" w:hAnsi="Book Antiqua"/>
          <w:sz w:val="24"/>
          <w:vertAlign w:val="superscript"/>
        </w:rPr>
        <w:t>th</w:t>
      </w:r>
      <w:r w:rsidRPr="00F76351">
        <w:rPr>
          <w:rFonts w:ascii="Book Antiqua" w:hAnsi="Book Antiqua"/>
          <w:sz w:val="24"/>
        </w:rPr>
        <w:t>, 8</w:t>
      </w:r>
      <w:r w:rsidRPr="00F76351">
        <w:rPr>
          <w:rFonts w:ascii="Book Antiqua" w:hAnsi="Book Antiqua"/>
          <w:sz w:val="24"/>
          <w:vertAlign w:val="superscript"/>
        </w:rPr>
        <w:t>th</w:t>
      </w:r>
      <w:r w:rsidRPr="00F76351">
        <w:rPr>
          <w:rFonts w:ascii="Book Antiqua" w:hAnsi="Book Antiqua"/>
          <w:sz w:val="24"/>
        </w:rPr>
        <w:t>, 11</w:t>
      </w:r>
      <w:r w:rsidRPr="00F76351">
        <w:rPr>
          <w:rFonts w:ascii="Book Antiqua" w:hAnsi="Book Antiqua"/>
          <w:sz w:val="24"/>
          <w:vertAlign w:val="superscript"/>
        </w:rPr>
        <w:t>th</w:t>
      </w:r>
      <w:r w:rsidRPr="00F76351">
        <w:rPr>
          <w:rFonts w:ascii="Book Antiqua" w:hAnsi="Book Antiqua"/>
          <w:sz w:val="24"/>
        </w:rPr>
        <w:t>, 14</w:t>
      </w:r>
      <w:r w:rsidRPr="00F76351">
        <w:rPr>
          <w:rFonts w:ascii="Book Antiqua" w:hAnsi="Book Antiqua"/>
          <w:sz w:val="24"/>
          <w:vertAlign w:val="superscript"/>
        </w:rPr>
        <w:t xml:space="preserve">th </w:t>
      </w:r>
      <w:r w:rsidRPr="00F76351">
        <w:rPr>
          <w:rFonts w:ascii="Book Antiqua" w:hAnsi="Book Antiqua"/>
          <w:sz w:val="24"/>
        </w:rPr>
        <w:t>and 17</w:t>
      </w:r>
      <w:r w:rsidRPr="00F76351">
        <w:rPr>
          <w:rFonts w:ascii="Book Antiqua" w:hAnsi="Book Antiqua"/>
          <w:sz w:val="24"/>
          <w:vertAlign w:val="superscript"/>
        </w:rPr>
        <w:t>th</w:t>
      </w:r>
      <w:r w:rsidRPr="00F76351">
        <w:rPr>
          <w:rFonts w:ascii="Book Antiqua" w:hAnsi="Book Antiqua"/>
          <w:sz w:val="24"/>
        </w:rPr>
        <w:t xml:space="preserve"> day after hypodermic injection of human colon cancer SW480 cells The following equation was used to calculated the tumor volume: V=(A×B</w:t>
      </w:r>
      <w:r w:rsidRPr="00F76351">
        <w:rPr>
          <w:rFonts w:ascii="Book Antiqua" w:hAnsi="Book Antiqua"/>
          <w:sz w:val="24"/>
          <w:vertAlign w:val="superscript"/>
        </w:rPr>
        <w:t>2</w:t>
      </w:r>
      <w:r w:rsidRPr="00F76351">
        <w:rPr>
          <w:rFonts w:ascii="Book Antiqua" w:hAnsi="Book Antiqua"/>
          <w:sz w:val="24"/>
        </w:rPr>
        <w:t xml:space="preserve">)/2, where A represents the major diameter and B represents the minimum diameter. The results are represented as </w:t>
      </w:r>
      <w:r w:rsidRPr="00F76351">
        <w:rPr>
          <w:sz w:val="24"/>
        </w:rPr>
        <w:ruby>
          <w:rubyPr>
            <w:rubyAlign w:val="distributeSpace"/>
            <w:hps w:val="11"/>
            <w:hpsRaise w:val="8"/>
            <w:hpsBaseText w:val="24"/>
            <w:lid w:val="zh-CN"/>
          </w:rubyPr>
          <w:rt>
            <w:r w:rsidR="00ED4098" w:rsidRPr="00F76351">
              <w:rPr>
                <w:sz w:val="24"/>
              </w:rPr>
              <w:t>—</w:t>
            </w:r>
          </w:rt>
          <w:rubyBase>
            <w:r w:rsidR="00ED4098" w:rsidRPr="00F76351">
              <w:rPr>
                <w:sz w:val="24"/>
              </w:rPr>
              <w:t>χ</w:t>
            </w:r>
          </w:rubyBase>
        </w:ruby>
      </w:r>
      <w:r w:rsidRPr="00F76351">
        <w:rPr>
          <w:rFonts w:ascii="宋体" w:hAnsi="宋体" w:hint="eastAsia"/>
          <w:sz w:val="24"/>
        </w:rPr>
        <w:t>±</w:t>
      </w:r>
      <w:r w:rsidRPr="00F76351">
        <w:rPr>
          <w:sz w:val="24"/>
        </w:rPr>
        <w:t>SD.</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Expression of GHR in tumor tissues as detected by western blot analysis</w:t>
      </w:r>
    </w:p>
    <w:p w:rsidR="00ED4098" w:rsidRPr="00F76351" w:rsidRDefault="00ED4098" w:rsidP="000F1768">
      <w:pPr>
        <w:spacing w:line="360" w:lineRule="auto"/>
        <w:rPr>
          <w:rFonts w:ascii="Book Antiqua" w:hAnsi="Book Antiqua"/>
          <w:sz w:val="24"/>
        </w:rPr>
      </w:pPr>
      <w:r w:rsidRPr="00F76351">
        <w:rPr>
          <w:rFonts w:ascii="Book Antiqua" w:hAnsi="Book Antiqua"/>
          <w:sz w:val="24"/>
        </w:rPr>
        <w:t xml:space="preserve">A sample of each tumor was removed from the nude mice and cut into pieces. Cleanser lysate solution containing PMSF (400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was added to the tumor sample in a </w:t>
      </w:r>
      <w:r w:rsidRPr="00F76351">
        <w:rPr>
          <w:rFonts w:ascii="Book Antiqua" w:hAnsi="Book Antiqua"/>
          <w:kern w:val="0"/>
          <w:sz w:val="24"/>
        </w:rPr>
        <w:t xml:space="preserve">homogenizer. After </w:t>
      </w:r>
      <w:r w:rsidRPr="00F76351">
        <w:rPr>
          <w:rFonts w:ascii="Book Antiqua" w:hAnsi="Book Antiqua"/>
          <w:bCs/>
          <w:sz w:val="24"/>
        </w:rPr>
        <w:t xml:space="preserve">the cells were lysed for 30 min, the homogenate was </w:t>
      </w:r>
      <w:r w:rsidRPr="00F76351">
        <w:rPr>
          <w:rFonts w:ascii="Book Antiqua" w:hAnsi="Book Antiqua"/>
          <w:sz w:val="24"/>
        </w:rPr>
        <w:t xml:space="preserve">centrifuged at 12000 rpm for 5 min at 4°C. The </w:t>
      </w:r>
      <w:r w:rsidRPr="00F76351">
        <w:rPr>
          <w:rFonts w:ascii="Book Antiqua" w:hAnsi="Book Antiqua"/>
          <w:bCs/>
          <w:sz w:val="24"/>
          <w:shd w:val="clear" w:color="auto" w:fill="FFFFFF"/>
        </w:rPr>
        <w:t xml:space="preserve">supernatant was removed, placed in 0.5 mL </w:t>
      </w:r>
      <w:r w:rsidRPr="00F76351">
        <w:rPr>
          <w:rFonts w:ascii="Book Antiqua" w:hAnsi="Book Antiqua"/>
          <w:kern w:val="0"/>
          <w:sz w:val="24"/>
        </w:rPr>
        <w:t xml:space="preserve">centrifuge tubes, and stored at </w:t>
      </w:r>
      <w:r w:rsidRPr="00F76351">
        <w:rPr>
          <w:rFonts w:ascii="Book Antiqua" w:hAnsi="Book Antiqua"/>
          <w:sz w:val="24"/>
        </w:rPr>
        <w:t xml:space="preserve">-20°C. Then, 20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the lysate sample was separated and analyzed using SDS-PAGE; the proteins were </w:t>
      </w:r>
      <w:proofErr w:type="spellStart"/>
      <w:r w:rsidRPr="00F76351">
        <w:rPr>
          <w:rFonts w:ascii="Book Antiqua" w:hAnsi="Book Antiqua"/>
          <w:kern w:val="0"/>
          <w:sz w:val="24"/>
        </w:rPr>
        <w:t>electrotransferred</w:t>
      </w:r>
      <w:proofErr w:type="spellEnd"/>
      <w:r w:rsidRPr="00F76351">
        <w:rPr>
          <w:rFonts w:ascii="Book Antiqua" w:hAnsi="Book Antiqua"/>
          <w:kern w:val="0"/>
          <w:sz w:val="24"/>
        </w:rPr>
        <w:t xml:space="preserve"> onto </w:t>
      </w:r>
      <w:r w:rsidRPr="00F76351">
        <w:rPr>
          <w:rFonts w:ascii="Book Antiqua" w:hAnsi="Book Antiqua"/>
          <w:sz w:val="24"/>
        </w:rPr>
        <w:t xml:space="preserve">nitrocellulose membranes and detected using a </w:t>
      </w:r>
      <w:proofErr w:type="spellStart"/>
      <w:r w:rsidRPr="00F76351">
        <w:rPr>
          <w:rFonts w:ascii="Book Antiqua" w:hAnsi="Book Antiqua"/>
          <w:sz w:val="24"/>
        </w:rPr>
        <w:t>chemiluminescent</w:t>
      </w:r>
      <w:proofErr w:type="spellEnd"/>
      <w:r w:rsidRPr="00F76351">
        <w:rPr>
          <w:rFonts w:ascii="Book Antiqua" w:hAnsi="Book Antiqua"/>
          <w:sz w:val="24"/>
        </w:rPr>
        <w:t xml:space="preserve"> detection system. Beta-actin was used as a loading control. The images were analyzed using the BandScan5.0 program. The ratio of GHR expression to beta-actin expression was analyzed using the integral </w:t>
      </w:r>
      <w:r w:rsidRPr="00F76351">
        <w:rPr>
          <w:rFonts w:ascii="Book Antiqua" w:hAnsi="Book Antiqua"/>
          <w:bCs/>
          <w:sz w:val="24"/>
          <w:shd w:val="clear" w:color="auto" w:fill="FFFFFF"/>
        </w:rPr>
        <w:t>optical density value</w:t>
      </w:r>
      <w:r w:rsidRPr="00F76351">
        <w:rPr>
          <w:rFonts w:ascii="Book Antiqua" w:hAnsi="Book Antiqua"/>
          <w:sz w:val="24"/>
        </w:rPr>
        <w:t xml:space="preserve"> (RV) of the band in the same sample. The results are shown as the expression of GHR relative to beta-actin, and the results were </w:t>
      </w:r>
      <w:r w:rsidRPr="00F76351">
        <w:rPr>
          <w:rFonts w:ascii="Book Antiqua" w:hAnsi="Book Antiqua"/>
          <w:sz w:val="24"/>
        </w:rPr>
        <w:lastRenderedPageBreak/>
        <w:t xml:space="preserve">measured as </w:t>
      </w:r>
      <w:r w:rsidRPr="00F76351">
        <w:rPr>
          <w:sz w:val="24"/>
        </w:rPr>
        <w:ruby>
          <w:rubyPr>
            <w:rubyAlign w:val="distributeSpace"/>
            <w:hps w:val="11"/>
            <w:hpsRaise w:val="8"/>
            <w:hpsBaseText w:val="24"/>
            <w:lid w:val="zh-CN"/>
          </w:rubyPr>
          <w:rt>
            <w:r w:rsidR="00ED4098" w:rsidRPr="00F76351">
              <w:rPr>
                <w:sz w:val="24"/>
              </w:rPr>
              <w:t>—</w:t>
            </w:r>
          </w:rt>
          <w:rubyBase>
            <w:r w:rsidR="00ED4098" w:rsidRPr="00F76351">
              <w:rPr>
                <w:sz w:val="24"/>
              </w:rPr>
              <w:t>χ</w:t>
            </w:r>
          </w:rubyBase>
        </w:ruby>
      </w:r>
      <w:r w:rsidRPr="00F76351">
        <w:rPr>
          <w:sz w:val="24"/>
        </w:rPr>
        <w:t xml:space="preserve"> </w:t>
      </w:r>
      <w:r w:rsidRPr="00F76351">
        <w:rPr>
          <w:rFonts w:ascii="Book Antiqua" w:hAnsi="Book Antiqua"/>
          <w:sz w:val="24"/>
        </w:rPr>
        <w:t>± s and mean ± SD.</w:t>
      </w:r>
    </w:p>
    <w:p w:rsidR="00ED4098" w:rsidRPr="00F76351" w:rsidRDefault="00ED4098" w:rsidP="000F1768">
      <w:pPr>
        <w:spacing w:line="360" w:lineRule="auto"/>
        <w:rPr>
          <w:rFonts w:ascii="Book Antiqua" w:hAnsi="Book Antiqua"/>
          <w:kern w:val="0"/>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 xml:space="preserve">The expression of GHR mRNA in tumor tissue was detected by quantitative reverse transcription-polymerase chain reaction </w:t>
      </w:r>
    </w:p>
    <w:p w:rsidR="00ED4098" w:rsidRPr="00F76351" w:rsidRDefault="00ED4098" w:rsidP="000F1768">
      <w:pPr>
        <w:spacing w:line="360" w:lineRule="auto"/>
        <w:rPr>
          <w:rFonts w:ascii="Book Antiqua" w:hAnsi="Book Antiqua"/>
          <w:sz w:val="24"/>
        </w:rPr>
      </w:pPr>
      <w:r w:rsidRPr="00F76351">
        <w:rPr>
          <w:rFonts w:ascii="Book Antiqua" w:hAnsi="Book Antiqua"/>
          <w:sz w:val="24"/>
        </w:rPr>
        <w:t xml:space="preserve">Twenty microliters of the lysate sample was centrifuged at 5000 rpm for 10 min. </w:t>
      </w:r>
      <w:proofErr w:type="spellStart"/>
      <w:r w:rsidRPr="00F76351">
        <w:rPr>
          <w:rFonts w:ascii="Book Antiqua" w:hAnsi="Book Antiqua"/>
          <w:sz w:val="24"/>
        </w:rPr>
        <w:t>Prechilled</w:t>
      </w:r>
      <w:proofErr w:type="spellEnd"/>
      <w:r w:rsidRPr="00F76351">
        <w:rPr>
          <w:rFonts w:ascii="Book Antiqua" w:hAnsi="Book Antiqua"/>
          <w:sz w:val="24"/>
        </w:rPr>
        <w:t xml:space="preserve"> PBS was used to wash the cells, and total RNA was extracted using the </w:t>
      </w:r>
      <w:proofErr w:type="spellStart"/>
      <w:r w:rsidRPr="00F76351">
        <w:rPr>
          <w:rFonts w:ascii="Book Antiqua" w:hAnsi="Book Antiqua"/>
          <w:sz w:val="24"/>
        </w:rPr>
        <w:t>Trizol</w:t>
      </w:r>
      <w:proofErr w:type="spellEnd"/>
      <w:r w:rsidRPr="00F76351">
        <w:rPr>
          <w:rFonts w:ascii="Book Antiqua" w:hAnsi="Book Antiqua"/>
          <w:sz w:val="24"/>
        </w:rPr>
        <w:t xml:space="preserve"> reagent in a one-step method. For first strand synthesis, 1 </w:t>
      </w:r>
      <w:proofErr w:type="spellStart"/>
      <w:r w:rsidRPr="00F76351">
        <w:rPr>
          <w:rFonts w:ascii="Book Antiqua" w:hAnsi="Book Antiqua" w:cs="American Typewriter"/>
          <w:sz w:val="24"/>
        </w:rPr>
        <w:t>μ</w:t>
      </w:r>
      <w:r w:rsidRPr="00F76351">
        <w:rPr>
          <w:rFonts w:ascii="Book Antiqua" w:hAnsi="Book Antiqua"/>
          <w:sz w:val="24"/>
        </w:rPr>
        <w:t>g</w:t>
      </w:r>
      <w:proofErr w:type="spellEnd"/>
      <w:r w:rsidRPr="00F76351">
        <w:rPr>
          <w:rFonts w:ascii="Book Antiqua" w:hAnsi="Book Antiqua"/>
          <w:sz w:val="24"/>
        </w:rPr>
        <w:t xml:space="preserve"> of total RNA was combined with 1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0.5 </w:t>
      </w:r>
      <w:proofErr w:type="spellStart"/>
      <w:r w:rsidRPr="00F76351">
        <w:rPr>
          <w:rFonts w:ascii="Book Antiqua" w:hAnsi="Book Antiqua" w:cs="American Typewriter"/>
          <w:sz w:val="24"/>
        </w:rPr>
        <w:t>μ</w:t>
      </w:r>
      <w:r w:rsidRPr="00F76351">
        <w:rPr>
          <w:rFonts w:ascii="Book Antiqua" w:hAnsi="Book Antiqua"/>
          <w:sz w:val="24"/>
        </w:rPr>
        <w:t>g</w:t>
      </w:r>
      <w:proofErr w:type="spellEnd"/>
      <w:r w:rsidRPr="00F76351">
        <w:rPr>
          <w:rFonts w:ascii="Book Antiqua" w:hAnsi="Book Antiqua"/>
          <w:sz w:val="24"/>
        </w:rPr>
        <w:t>/</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w:t>
      </w:r>
      <w:proofErr w:type="spellStart"/>
      <w:r w:rsidRPr="00F76351">
        <w:rPr>
          <w:rFonts w:ascii="Book Antiqua" w:hAnsi="Book Antiqua"/>
          <w:sz w:val="24"/>
        </w:rPr>
        <w:t>oligo</w:t>
      </w:r>
      <w:proofErr w:type="spellEnd"/>
      <w:r w:rsidRPr="00F76351">
        <w:rPr>
          <w:rFonts w:ascii="Book Antiqua" w:hAnsi="Book Antiqua"/>
          <w:sz w:val="24"/>
        </w:rPr>
        <w:t xml:space="preserve"> primer and 12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deionized water. The mixture was then incubated at 70°C for 5 min. Then, the samples were quenched in a bath of ice water and centrifuged at 5000 rpm for 4 s. Next, 4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sidDel="00993BC8">
        <w:rPr>
          <w:rFonts w:ascii="Book Antiqua" w:hAnsi="Book Antiqua"/>
          <w:sz w:val="24"/>
        </w:rPr>
        <w:t xml:space="preserve"> </w:t>
      </w:r>
      <w:r w:rsidRPr="00F76351">
        <w:rPr>
          <w:rFonts w:ascii="Book Antiqua" w:hAnsi="Book Antiqua"/>
          <w:sz w:val="24"/>
        </w:rPr>
        <w:t xml:space="preserve">of 5× reaction buffer, 1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20 U/</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w:t>
      </w:r>
      <w:proofErr w:type="spellStart"/>
      <w:r w:rsidRPr="00F76351">
        <w:rPr>
          <w:rFonts w:ascii="Book Antiqua" w:hAnsi="Book Antiqua"/>
          <w:sz w:val="24"/>
        </w:rPr>
        <w:t>ribonuclease</w:t>
      </w:r>
      <w:proofErr w:type="spellEnd"/>
      <w:r w:rsidRPr="00F76351">
        <w:rPr>
          <w:rFonts w:ascii="Book Antiqua" w:hAnsi="Book Antiqua"/>
          <w:sz w:val="24"/>
        </w:rPr>
        <w:t xml:space="preserve">, and 2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10 </w:t>
      </w:r>
      <w:proofErr w:type="spellStart"/>
      <w:r w:rsidRPr="00F76351">
        <w:rPr>
          <w:rFonts w:ascii="Book Antiqua" w:hAnsi="Book Antiqua" w:cs="American Typewriter"/>
          <w:sz w:val="24"/>
        </w:rPr>
        <w:t>μ</w:t>
      </w:r>
      <w:r w:rsidRPr="00F76351">
        <w:rPr>
          <w:rFonts w:ascii="Book Antiqua" w:hAnsi="Book Antiqua"/>
          <w:sz w:val="24"/>
        </w:rPr>
        <w:t>mol</w:t>
      </w:r>
      <w:proofErr w:type="spellEnd"/>
      <w:r w:rsidRPr="00F76351">
        <w:rPr>
          <w:rFonts w:ascii="Book Antiqua" w:hAnsi="Book Antiqua"/>
          <w:sz w:val="24"/>
        </w:rPr>
        <w:t>/</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w:t>
      </w:r>
      <w:proofErr w:type="spellStart"/>
      <w:r w:rsidRPr="00F76351">
        <w:rPr>
          <w:rFonts w:ascii="Book Antiqua" w:hAnsi="Book Antiqua"/>
          <w:sz w:val="24"/>
        </w:rPr>
        <w:t>dNTPs</w:t>
      </w:r>
      <w:proofErr w:type="spellEnd"/>
      <w:r w:rsidRPr="00F76351">
        <w:rPr>
          <w:rFonts w:ascii="Book Antiqua" w:hAnsi="Book Antiqua"/>
          <w:sz w:val="24"/>
        </w:rPr>
        <w:t xml:space="preserve"> were added, and the mixture was incubated at 37°C for 5 min. Then, 1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w:t>
      </w:r>
      <w:r w:rsidRPr="00F76351" w:rsidDel="00993BC8">
        <w:rPr>
          <w:rFonts w:ascii="Book Antiqua" w:hAnsi="Book Antiqua"/>
          <w:sz w:val="24"/>
        </w:rPr>
        <w:t xml:space="preserve"> </w:t>
      </w:r>
      <w:r w:rsidRPr="00F76351">
        <w:rPr>
          <w:rFonts w:ascii="Book Antiqua" w:hAnsi="Book Antiqua"/>
          <w:sz w:val="24"/>
        </w:rPr>
        <w:t>200 U/</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sidDel="00993BC8">
        <w:rPr>
          <w:rFonts w:ascii="Book Antiqua" w:hAnsi="Book Antiqua"/>
          <w:sz w:val="24"/>
        </w:rPr>
        <w:t xml:space="preserve"> </w:t>
      </w:r>
      <w:r w:rsidRPr="00F76351">
        <w:rPr>
          <w:rFonts w:ascii="Book Antiqua" w:hAnsi="Book Antiqua"/>
          <w:sz w:val="24"/>
        </w:rPr>
        <w:t>reverse transcriptase was added, and the reaction was incubated at 42°C</w:t>
      </w:r>
      <w:r w:rsidRPr="00F76351">
        <w:rPr>
          <w:rFonts w:ascii="Book Antiqua" w:hAnsi="Book Antiqua" w:cs="American Typewriter"/>
          <w:sz w:val="24"/>
        </w:rPr>
        <w:t xml:space="preserve"> </w:t>
      </w:r>
      <w:r w:rsidRPr="00F76351">
        <w:rPr>
          <w:rFonts w:ascii="Book Antiqua" w:hAnsi="Book Antiqua"/>
          <w:sz w:val="24"/>
        </w:rPr>
        <w:t xml:space="preserve">for 60 min, followed by a 10 min incubation at 70°C. After the reaction, the </w:t>
      </w:r>
      <w:proofErr w:type="spellStart"/>
      <w:r w:rsidRPr="00F76351">
        <w:rPr>
          <w:rFonts w:ascii="Book Antiqua" w:hAnsi="Book Antiqua"/>
          <w:sz w:val="24"/>
        </w:rPr>
        <w:t>cDNA</w:t>
      </w:r>
      <w:proofErr w:type="spellEnd"/>
      <w:r w:rsidRPr="00F76351">
        <w:rPr>
          <w:rFonts w:ascii="Book Antiqua" w:hAnsi="Book Antiqua"/>
          <w:sz w:val="24"/>
        </w:rPr>
        <w:t xml:space="preserve"> was incubated at 0°C</w:t>
      </w:r>
      <w:r w:rsidRPr="00F76351">
        <w:rPr>
          <w:rFonts w:ascii="Book Antiqua" w:hAnsi="Book Antiqua" w:cs="American Typewriter"/>
          <w:sz w:val="24"/>
        </w:rPr>
        <w:t xml:space="preserve"> </w:t>
      </w:r>
      <w:r w:rsidRPr="00F76351">
        <w:rPr>
          <w:rFonts w:ascii="Book Antiqua" w:hAnsi="Book Antiqua"/>
          <w:sz w:val="24"/>
        </w:rPr>
        <w:t>and was stored</w:t>
      </w:r>
      <w:r w:rsidRPr="00F76351">
        <w:rPr>
          <w:rFonts w:ascii="Book Antiqua" w:hAnsi="Book Antiqua"/>
          <w:sz w:val="24"/>
          <w:shd w:val="clear" w:color="auto" w:fill="FFFFFF"/>
        </w:rPr>
        <w:t xml:space="preserve"> at </w:t>
      </w:r>
      <w:r w:rsidRPr="00F76351">
        <w:rPr>
          <w:rFonts w:ascii="Book Antiqua" w:hAnsi="Book Antiqua"/>
          <w:sz w:val="24"/>
        </w:rPr>
        <w:t>-20°C</w:t>
      </w:r>
      <w:r w:rsidRPr="00F76351">
        <w:rPr>
          <w:rFonts w:ascii="Book Antiqua" w:hAnsi="Book Antiqua"/>
          <w:sz w:val="24"/>
          <w:shd w:val="clear" w:color="auto" w:fill="FFFFFF"/>
        </w:rPr>
        <w:t xml:space="preserve">. Real time PCR with the </w:t>
      </w:r>
      <w:r w:rsidRPr="00F76351">
        <w:rPr>
          <w:rFonts w:ascii="Book Antiqua" w:hAnsi="Book Antiqua"/>
          <w:sz w:val="24"/>
        </w:rPr>
        <w:t xml:space="preserve">SYBR-Green </w:t>
      </w:r>
      <w:proofErr w:type="spellStart"/>
      <w:r w:rsidRPr="00F76351">
        <w:rPr>
          <w:rFonts w:ascii="Book Antiqua" w:hAnsi="Book Antiqua"/>
          <w:sz w:val="24"/>
        </w:rPr>
        <w:t>fluorochrome</w:t>
      </w:r>
      <w:proofErr w:type="spellEnd"/>
      <w:r w:rsidRPr="00F76351">
        <w:rPr>
          <w:rFonts w:ascii="Book Antiqua" w:hAnsi="Book Antiqua"/>
          <w:sz w:val="24"/>
        </w:rPr>
        <w:t xml:space="preserve"> was used to detect the expression of GHR mRNA. For this reaction,</w:t>
      </w:r>
      <w:r w:rsidRPr="00F76351">
        <w:rPr>
          <w:rFonts w:ascii="Book Antiqua" w:hAnsi="Book Antiqua"/>
          <w:kern w:val="0"/>
          <w:sz w:val="24"/>
        </w:rPr>
        <w:t xml:space="preserve"> 10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kern w:val="0"/>
          <w:sz w:val="24"/>
        </w:rPr>
        <w:t xml:space="preserve"> of </w:t>
      </w:r>
      <w:proofErr w:type="spellStart"/>
      <w:r w:rsidRPr="00F76351">
        <w:rPr>
          <w:rFonts w:ascii="Book Antiqua" w:hAnsi="Book Antiqua"/>
          <w:kern w:val="0"/>
          <w:sz w:val="24"/>
        </w:rPr>
        <w:t>cDNA</w:t>
      </w:r>
      <w:proofErr w:type="spellEnd"/>
      <w:r w:rsidRPr="00F76351">
        <w:rPr>
          <w:rFonts w:ascii="Book Antiqua" w:hAnsi="Book Antiqua"/>
          <w:sz w:val="24"/>
        </w:rPr>
        <w:t xml:space="preserve">, 2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both forward and reverse primers, 10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buffer solution, 4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ddH</w:t>
      </w:r>
      <w:r w:rsidRPr="00F76351">
        <w:rPr>
          <w:rFonts w:ascii="Book Antiqua" w:hAnsi="Book Antiqua"/>
          <w:sz w:val="24"/>
          <w:vertAlign w:val="subscript"/>
        </w:rPr>
        <w:t>2</w:t>
      </w:r>
      <w:r w:rsidRPr="00F76351">
        <w:rPr>
          <w:rFonts w:ascii="Book Antiqua" w:hAnsi="Book Antiqua"/>
          <w:sz w:val="24"/>
        </w:rPr>
        <w:t xml:space="preserve">O, and 1 </w:t>
      </w:r>
      <w:proofErr w:type="spellStart"/>
      <w:r w:rsidRPr="00F76351">
        <w:rPr>
          <w:rFonts w:ascii="Book Antiqua" w:hAnsi="Book Antiqua" w:cs="American Typewriter"/>
          <w:sz w:val="24"/>
        </w:rPr>
        <w:t>μ</w:t>
      </w:r>
      <w:r w:rsidRPr="00F76351">
        <w:rPr>
          <w:rFonts w:ascii="Book Antiqua" w:hAnsi="Book Antiqua"/>
          <w:sz w:val="24"/>
        </w:rPr>
        <w:t>L</w:t>
      </w:r>
      <w:proofErr w:type="spellEnd"/>
      <w:r w:rsidRPr="00F76351">
        <w:rPr>
          <w:rFonts w:ascii="Book Antiqua" w:hAnsi="Book Antiqua"/>
          <w:sz w:val="24"/>
        </w:rPr>
        <w:t xml:space="preserve"> of the ROX </w:t>
      </w:r>
      <w:proofErr w:type="spellStart"/>
      <w:r w:rsidRPr="00F76351">
        <w:rPr>
          <w:rFonts w:ascii="Book Antiqua" w:hAnsi="Book Antiqua"/>
          <w:sz w:val="24"/>
        </w:rPr>
        <w:t>fluorochrome</w:t>
      </w:r>
      <w:proofErr w:type="spellEnd"/>
      <w:r w:rsidRPr="00F76351">
        <w:rPr>
          <w:rFonts w:ascii="Book Antiqua" w:hAnsi="Book Antiqua"/>
          <w:sz w:val="24"/>
        </w:rPr>
        <w:t xml:space="preserve"> were incubated at 95°C for 10 min, followed by 35 cycles of 94°C for 10 s, 56°C for 30 s, and 72°C for 30 s; a final extension time of 5 min at 72°C ended the reaction. GAPDH was used as a negative control. The following primers were used in this experiment: GHR forward: GCAGCTATCCTTAGCAGAGCAC; GHR reverse: AAGTCTCTCGCTCAGGTGAACG; GAPDH forward: GGTCTCCTCTGACTTCAACA; and GAPDH reverse: GAGGGTCTCTCTCTTCCT. The levels of GHR mRNA in the transfection group and the control group were determined by quantitative PCR, and the </w:t>
      </w:r>
      <w:r w:rsidRPr="00F76351">
        <w:rPr>
          <w:rFonts w:ascii="Cambria Math" w:hAnsi="Cambria Math" w:cs="Cambria Math"/>
          <w:sz w:val="24"/>
        </w:rPr>
        <w:t>△</w:t>
      </w:r>
      <w:r w:rsidRPr="00F76351">
        <w:rPr>
          <w:rFonts w:ascii="Book Antiqua" w:hAnsi="Book Antiqua"/>
          <w:sz w:val="24"/>
        </w:rPr>
        <w:t xml:space="preserve">CT value of the GHR mRNA </w:t>
      </w:r>
      <w:r w:rsidRPr="00F76351">
        <w:rPr>
          <w:rFonts w:ascii="Book Antiqua" w:hAnsi="Book Antiqua" w:cs="Cambria Math"/>
          <w:sz w:val="24"/>
        </w:rPr>
        <w:t>was determined between the two</w:t>
      </w:r>
      <w:r w:rsidRPr="00F76351">
        <w:rPr>
          <w:rFonts w:ascii="Book Antiqua" w:hAnsi="Book Antiqua"/>
          <w:sz w:val="24"/>
        </w:rPr>
        <w:t xml:space="preserve"> groups. It was demonstrated that a higher </w:t>
      </w:r>
      <w:r w:rsidRPr="00F76351">
        <w:rPr>
          <w:rFonts w:ascii="Cambria Math" w:hAnsi="Cambria Math" w:cs="Cambria Math"/>
          <w:sz w:val="24"/>
        </w:rPr>
        <w:t>△</w:t>
      </w:r>
      <w:r w:rsidRPr="00F76351">
        <w:rPr>
          <w:rFonts w:ascii="Book Antiqua" w:hAnsi="Book Antiqua"/>
          <w:sz w:val="24"/>
        </w:rPr>
        <w:t xml:space="preserve">CT value represented a larger </w:t>
      </w:r>
      <w:r w:rsidRPr="00F76351">
        <w:rPr>
          <w:rFonts w:ascii="Book Antiqua" w:hAnsi="Book Antiqua"/>
          <w:kern w:val="0"/>
          <w:sz w:val="24"/>
        </w:rPr>
        <w:t xml:space="preserve">inhibition of GHR </w:t>
      </w:r>
      <w:r w:rsidRPr="00F76351">
        <w:rPr>
          <w:rFonts w:ascii="Book Antiqua" w:hAnsi="Book Antiqua"/>
          <w:sz w:val="24"/>
        </w:rPr>
        <w:t xml:space="preserve">mRNA. The results are shown as </w:t>
      </w:r>
      <w:r w:rsidRPr="00F76351">
        <w:rPr>
          <w:rFonts w:ascii="Book Antiqua" w:hAnsi="Book Antiqua"/>
          <w:sz w:val="24"/>
        </w:rPr>
        <w:ruby>
          <w:rubyPr>
            <w:rubyAlign w:val="distributeSpace"/>
            <w:hps w:val="11"/>
            <w:hpsRaise w:val="8"/>
            <w:hpsBaseText w:val="24"/>
            <w:lid w:val="zh-CN"/>
          </w:rubyPr>
          <w:rt>
            <w:r w:rsidR="00ED4098" w:rsidRPr="00F76351">
              <w:rPr>
                <w:rFonts w:ascii="Book Antiqua" w:hAnsi="Book Antiqua"/>
                <w:sz w:val="24"/>
              </w:rPr>
              <w:t>—</w:t>
            </w:r>
          </w:rt>
          <w:rubyBase>
            <w:r w:rsidR="00ED4098" w:rsidRPr="00F76351">
              <w:rPr>
                <w:rFonts w:ascii="Book Antiqua" w:hAnsi="Book Antiqua"/>
                <w:sz w:val="24"/>
              </w:rPr>
              <w:t>χ</w:t>
            </w:r>
          </w:rubyBase>
        </w:ruby>
      </w:r>
      <w:r w:rsidRPr="00F76351">
        <w:rPr>
          <w:rFonts w:ascii="Book Antiqua" w:hAnsi="Book Antiqua"/>
          <w:sz w:val="24"/>
        </w:rPr>
        <w:t xml:space="preserve"> ± s.</w:t>
      </w:r>
    </w:p>
    <w:p w:rsidR="00ED4098" w:rsidRPr="00F76351" w:rsidRDefault="00ED4098" w:rsidP="000F1768">
      <w:pPr>
        <w:spacing w:line="360" w:lineRule="auto"/>
        <w:rPr>
          <w:rFonts w:ascii="Book Antiqua" w:hAnsi="Book Antiqua"/>
          <w:b/>
          <w:i/>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 xml:space="preserve">Statistical analysis </w:t>
      </w:r>
    </w:p>
    <w:p w:rsidR="00ED4098" w:rsidRPr="00F76351" w:rsidRDefault="00ED4098" w:rsidP="000F1768">
      <w:pPr>
        <w:spacing w:line="360" w:lineRule="auto"/>
        <w:rPr>
          <w:rFonts w:ascii="Book Antiqua" w:hAnsi="Book Antiqua"/>
          <w:sz w:val="24"/>
        </w:rPr>
      </w:pPr>
      <w:r w:rsidRPr="00F76351">
        <w:rPr>
          <w:rFonts w:ascii="Book Antiqua" w:hAnsi="Book Antiqua"/>
          <w:sz w:val="24"/>
        </w:rPr>
        <w:t>Data were expressed as the mean ± SD.</w:t>
      </w:r>
      <w:r w:rsidRPr="00F76351">
        <w:rPr>
          <w:rStyle w:val="hps"/>
          <w:rFonts w:ascii="Arial" w:hAnsi="Arial" w:cs="Arial"/>
        </w:rPr>
        <w:t xml:space="preserve"> </w:t>
      </w:r>
      <w:proofErr w:type="spellStart"/>
      <w:r w:rsidRPr="00F76351">
        <w:rPr>
          <w:rFonts w:ascii="Book Antiqua" w:hAnsi="Book Antiqua"/>
          <w:sz w:val="24"/>
        </w:rPr>
        <w:t>Univariate</w:t>
      </w:r>
      <w:proofErr w:type="spellEnd"/>
      <w:r w:rsidRPr="00F76351">
        <w:rPr>
          <w:rFonts w:ascii="Book Antiqua" w:hAnsi="Book Antiqua"/>
          <w:sz w:val="24"/>
        </w:rPr>
        <w:t xml:space="preserve"> or Multivariate</w:t>
      </w:r>
      <w:r w:rsidRPr="00F76351">
        <w:rPr>
          <w:rStyle w:val="hps"/>
          <w:rFonts w:ascii="Arial" w:hAnsi="Arial" w:cs="Arial"/>
        </w:rPr>
        <w:t xml:space="preserve"> </w:t>
      </w:r>
      <w:r w:rsidRPr="00F76351">
        <w:rPr>
          <w:rFonts w:ascii="Book Antiqua" w:hAnsi="Book Antiqua"/>
          <w:sz w:val="24"/>
        </w:rPr>
        <w:t>data were analyzed using variance analysis and</w:t>
      </w:r>
      <w:r w:rsidRPr="00F76351">
        <w:rPr>
          <w:rFonts w:ascii="Arial" w:hAnsi="Arial" w:cs="Arial"/>
        </w:rPr>
        <w:t xml:space="preserve"> </w:t>
      </w:r>
      <w:r w:rsidRPr="00F76351">
        <w:rPr>
          <w:rFonts w:ascii="Book Antiqua" w:hAnsi="Book Antiqua"/>
          <w:sz w:val="24"/>
        </w:rPr>
        <w:t xml:space="preserve">Pairwise comparison </w:t>
      </w:r>
      <w:r w:rsidRPr="00F76351">
        <w:rPr>
          <w:rFonts w:ascii="Book Antiqua" w:hAnsi="Book Antiqua"/>
          <w:i/>
          <w:sz w:val="24"/>
        </w:rPr>
        <w:t>q</w:t>
      </w:r>
      <w:r w:rsidRPr="00F76351">
        <w:rPr>
          <w:rFonts w:ascii="Book Antiqua" w:hAnsi="Book Antiqua"/>
          <w:sz w:val="24"/>
        </w:rPr>
        <w:t xml:space="preserve"> test by </w:t>
      </w:r>
      <w:proofErr w:type="spellStart"/>
      <w:r w:rsidRPr="00F76351">
        <w:rPr>
          <w:rFonts w:ascii="Book Antiqua" w:hAnsi="Book Antiqua"/>
          <w:sz w:val="24"/>
        </w:rPr>
        <w:t>spss</w:t>
      </w:r>
      <w:proofErr w:type="spellEnd"/>
      <w:r w:rsidRPr="00F76351">
        <w:rPr>
          <w:rFonts w:ascii="Book Antiqua" w:hAnsi="Book Antiqua"/>
          <w:sz w:val="24"/>
        </w:rPr>
        <w:t xml:space="preserve"> 18.0 statistical software package.</w:t>
      </w:r>
      <w:r w:rsidRPr="00F76351">
        <w:rPr>
          <w:rFonts w:ascii="Book Antiqua" w:hAnsi="Book Antiqua"/>
          <w:i/>
          <w:sz w:val="24"/>
        </w:rPr>
        <w:t xml:space="preserve"> </w:t>
      </w:r>
      <w:r w:rsidRPr="00F76351">
        <w:rPr>
          <w:rFonts w:ascii="Book Antiqua" w:hAnsi="Book Antiqua"/>
          <w:sz w:val="24"/>
        </w:rPr>
        <w:t xml:space="preserve">Statistical significance was considered at </w:t>
      </w:r>
      <w:r w:rsidRPr="00F76351">
        <w:rPr>
          <w:rFonts w:ascii="Book Antiqua" w:hAnsi="Book Antiqua"/>
          <w:i/>
          <w:sz w:val="24"/>
        </w:rPr>
        <w:t xml:space="preserve">P </w:t>
      </w:r>
      <w:r w:rsidRPr="00F76351">
        <w:rPr>
          <w:rFonts w:ascii="Book Antiqua" w:hAnsi="Book Antiqua"/>
          <w:sz w:val="24"/>
        </w:rPr>
        <w:t>≤ 0.05.</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t>RESULTS</w:t>
      </w: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Weight changes in the tumor-bearing mice</w:t>
      </w:r>
    </w:p>
    <w:p w:rsidR="00ED4098" w:rsidRPr="00F76351" w:rsidRDefault="00ED4098" w:rsidP="000F1768">
      <w:pPr>
        <w:spacing w:line="360" w:lineRule="auto"/>
        <w:rPr>
          <w:rFonts w:ascii="Book Antiqua" w:hAnsi="Book Antiqua"/>
          <w:sz w:val="24"/>
        </w:rPr>
      </w:pPr>
      <w:r w:rsidRPr="00F76351">
        <w:rPr>
          <w:rFonts w:ascii="Book Antiqua" w:hAnsi="Book Antiqua"/>
          <w:sz w:val="24"/>
        </w:rPr>
        <w:t>At the end of the experiment, all 36 tumor-bearing mice survived from Inoculation 2d to 17d, except for the NS group. After injection, there was a statistically significant difference (</w:t>
      </w:r>
      <w:r w:rsidRPr="00F76351">
        <w:rPr>
          <w:rFonts w:ascii="Book Antiqua" w:hAnsi="Book Antiqua"/>
          <w:i/>
          <w:sz w:val="24"/>
        </w:rPr>
        <w:t xml:space="preserve">P </w:t>
      </w:r>
      <w:r w:rsidRPr="00F76351">
        <w:rPr>
          <w:rFonts w:ascii="Book Antiqua" w:hAnsi="Book Antiqua"/>
          <w:sz w:val="24"/>
        </w:rPr>
        <w:t>&lt; 0.05) in the weight of the mice compared with their weight before injection. The weight of the GH group increased after inoculation with SW480 cells, while the other groups decreased in weight (</w:t>
      </w:r>
      <w:r w:rsidRPr="00F76351">
        <w:rPr>
          <w:rFonts w:ascii="Book Antiqua" w:hAnsi="Book Antiqua"/>
          <w:i/>
          <w:sz w:val="24"/>
        </w:rPr>
        <w:t xml:space="preserve">P </w:t>
      </w:r>
      <w:r w:rsidRPr="00F76351">
        <w:rPr>
          <w:rFonts w:ascii="Book Antiqua" w:hAnsi="Book Antiqua"/>
          <w:sz w:val="24"/>
        </w:rPr>
        <w:t>&lt; 0.05). The weight of the G</w:t>
      </w:r>
      <w:r w:rsidRPr="00F76351">
        <w:rPr>
          <w:rFonts w:ascii="Book Antiqua" w:hAnsi="Book Antiqua"/>
          <w:sz w:val="24"/>
          <w:vertAlign w:val="subscript"/>
        </w:rPr>
        <w:t>2</w:t>
      </w:r>
      <w:r w:rsidRPr="00F76351">
        <w:rPr>
          <w:rFonts w:ascii="Book Antiqua" w:hAnsi="Book Antiqua"/>
          <w:sz w:val="24"/>
        </w:rPr>
        <w:t>, FU, and G</w:t>
      </w:r>
      <w:r w:rsidRPr="00F76351">
        <w:rPr>
          <w:rFonts w:ascii="Book Antiqua" w:hAnsi="Book Antiqua"/>
          <w:sz w:val="24"/>
          <w:vertAlign w:val="subscript"/>
        </w:rPr>
        <w:t>2</w:t>
      </w:r>
      <w:r w:rsidRPr="00F76351">
        <w:rPr>
          <w:rFonts w:ascii="Book Antiqua" w:hAnsi="Book Antiqua"/>
          <w:sz w:val="24"/>
        </w:rPr>
        <w:t>+FU groups noticeably decreased (</w:t>
      </w:r>
      <w:r w:rsidRPr="00F76351">
        <w:rPr>
          <w:rFonts w:ascii="Book Antiqua" w:hAnsi="Book Antiqua"/>
          <w:i/>
          <w:sz w:val="24"/>
        </w:rPr>
        <w:t xml:space="preserve">P </w:t>
      </w:r>
      <w:r w:rsidRPr="00F76351">
        <w:rPr>
          <w:rFonts w:ascii="Book Antiqua" w:hAnsi="Book Antiqua"/>
          <w:sz w:val="24"/>
        </w:rPr>
        <w:t>&lt; 0.05) compared with the NS group. The weight of the FU and G</w:t>
      </w:r>
      <w:r w:rsidRPr="00F76351">
        <w:rPr>
          <w:rFonts w:ascii="Book Antiqua" w:hAnsi="Book Antiqua"/>
          <w:sz w:val="24"/>
          <w:vertAlign w:val="subscript"/>
        </w:rPr>
        <w:t>2</w:t>
      </w:r>
      <w:r w:rsidRPr="00F76351">
        <w:rPr>
          <w:rFonts w:ascii="Book Antiqua" w:hAnsi="Book Antiqua"/>
          <w:sz w:val="24"/>
        </w:rPr>
        <w:t>+FU groups decreased compared with the G</w:t>
      </w:r>
      <w:r w:rsidRPr="00F76351">
        <w:rPr>
          <w:rFonts w:ascii="Book Antiqua" w:hAnsi="Book Antiqua"/>
          <w:sz w:val="24"/>
          <w:vertAlign w:val="subscript"/>
        </w:rPr>
        <w:t>2</w:t>
      </w:r>
      <w:r w:rsidRPr="00F76351">
        <w:rPr>
          <w:rFonts w:ascii="Book Antiqua" w:hAnsi="Book Antiqua"/>
          <w:sz w:val="24"/>
        </w:rPr>
        <w:t xml:space="preserve"> group; however, this change was not significant. After the addition of GH, the weight of the G</w:t>
      </w:r>
      <w:r w:rsidRPr="00F76351">
        <w:rPr>
          <w:rFonts w:ascii="Book Antiqua" w:hAnsi="Book Antiqua"/>
          <w:sz w:val="24"/>
          <w:vertAlign w:val="subscript"/>
        </w:rPr>
        <w:t>2</w:t>
      </w:r>
      <w:r w:rsidRPr="00F76351">
        <w:rPr>
          <w:rFonts w:ascii="Book Antiqua" w:hAnsi="Book Antiqua"/>
          <w:sz w:val="24"/>
        </w:rPr>
        <w:t>+GH+FU group increased compared with the FU group in the same period (</w:t>
      </w:r>
      <w:r w:rsidRPr="00F76351">
        <w:rPr>
          <w:rFonts w:ascii="Book Antiqua" w:hAnsi="Book Antiqua"/>
          <w:i/>
          <w:sz w:val="24"/>
        </w:rPr>
        <w:t xml:space="preserve">P </w:t>
      </w:r>
      <w:r w:rsidRPr="00F76351">
        <w:rPr>
          <w:rFonts w:ascii="Book Antiqua" w:hAnsi="Book Antiqua"/>
          <w:sz w:val="24"/>
        </w:rPr>
        <w:t>&lt; 0.05; Table 1).</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i/>
          <w:sz w:val="24"/>
        </w:rPr>
        <w:t>Changes in tumor volume in the tumor-bearing mice of all groups</w:t>
      </w:r>
    </w:p>
    <w:p w:rsidR="00ED4098" w:rsidRPr="00F76351" w:rsidRDefault="00ED4098" w:rsidP="000F1768">
      <w:pPr>
        <w:spacing w:line="360" w:lineRule="auto"/>
        <w:rPr>
          <w:rFonts w:ascii="Book Antiqua" w:hAnsi="Book Antiqua"/>
          <w:sz w:val="24"/>
        </w:rPr>
      </w:pPr>
      <w:r w:rsidRPr="00F76351">
        <w:rPr>
          <w:rFonts w:ascii="Book Antiqua" w:hAnsi="Book Antiqua"/>
          <w:sz w:val="24"/>
        </w:rPr>
        <w:t>By the end of the experiment, the tumor volume of the mice in all groups increased compared to the fifth day after inoculation. The tumor volume of the GH group had the most dramatic increase, followed by the NS group. The tumor volumes of the G</w:t>
      </w:r>
      <w:r w:rsidRPr="00F76351">
        <w:rPr>
          <w:rFonts w:ascii="Book Antiqua" w:hAnsi="Book Antiqua"/>
          <w:sz w:val="24"/>
          <w:vertAlign w:val="subscript"/>
        </w:rPr>
        <w:t>2</w:t>
      </w:r>
      <w:r w:rsidRPr="00F76351">
        <w:rPr>
          <w:rFonts w:ascii="Book Antiqua" w:hAnsi="Book Antiqua"/>
          <w:sz w:val="24"/>
        </w:rPr>
        <w:t>, FU, G</w:t>
      </w:r>
      <w:r w:rsidRPr="00F76351">
        <w:rPr>
          <w:rFonts w:ascii="Book Antiqua" w:hAnsi="Book Antiqua"/>
          <w:sz w:val="24"/>
          <w:vertAlign w:val="subscript"/>
        </w:rPr>
        <w:t>2</w:t>
      </w:r>
      <w:r w:rsidRPr="00F76351">
        <w:rPr>
          <w:rFonts w:ascii="Book Antiqua" w:hAnsi="Book Antiqua"/>
          <w:sz w:val="24"/>
        </w:rPr>
        <w:t>+FU, and G</w:t>
      </w:r>
      <w:r w:rsidRPr="00F76351">
        <w:rPr>
          <w:rFonts w:ascii="Book Antiqua" w:hAnsi="Book Antiqua"/>
          <w:sz w:val="24"/>
          <w:vertAlign w:val="subscript"/>
        </w:rPr>
        <w:t>2</w:t>
      </w:r>
      <w:r w:rsidRPr="00F76351">
        <w:rPr>
          <w:rFonts w:ascii="Book Antiqua" w:hAnsi="Book Antiqua"/>
          <w:sz w:val="24"/>
        </w:rPr>
        <w:t>+GH+FU groups only slightly increased. Compared with the NS group in the same period, the tumor volume of the experimental group obviously decreased, whereas that of the GH group significantly increased (</w:t>
      </w:r>
      <w:r w:rsidRPr="00F76351">
        <w:rPr>
          <w:rFonts w:ascii="Book Antiqua" w:hAnsi="Book Antiqua"/>
          <w:i/>
          <w:sz w:val="24"/>
        </w:rPr>
        <w:t xml:space="preserve">P </w:t>
      </w:r>
      <w:r w:rsidRPr="00F76351">
        <w:rPr>
          <w:rFonts w:ascii="Book Antiqua" w:hAnsi="Book Antiqua"/>
          <w:sz w:val="24"/>
        </w:rPr>
        <w:t>&lt; 0.05). Compared with the G</w:t>
      </w:r>
      <w:r w:rsidRPr="00F76351">
        <w:rPr>
          <w:rFonts w:ascii="Book Antiqua" w:hAnsi="Book Antiqua"/>
          <w:sz w:val="24"/>
          <w:vertAlign w:val="subscript"/>
        </w:rPr>
        <w:t>2</w:t>
      </w:r>
      <w:r w:rsidRPr="00F76351">
        <w:rPr>
          <w:rFonts w:ascii="Book Antiqua" w:hAnsi="Book Antiqua"/>
          <w:sz w:val="24"/>
        </w:rPr>
        <w:t xml:space="preserve"> group</w:t>
      </w:r>
      <w:r w:rsidRPr="00F76351">
        <w:rPr>
          <w:rFonts w:ascii="Book Antiqua" w:hAnsi="Book Antiqua"/>
          <w:sz w:val="24"/>
          <w:vertAlign w:val="subscript"/>
        </w:rPr>
        <w:t xml:space="preserve">, </w:t>
      </w:r>
      <w:r w:rsidRPr="00F76351">
        <w:rPr>
          <w:rFonts w:ascii="Book Antiqua" w:hAnsi="Book Antiqua"/>
          <w:sz w:val="24"/>
        </w:rPr>
        <w:t>the G</w:t>
      </w:r>
      <w:r w:rsidRPr="00F76351">
        <w:rPr>
          <w:rFonts w:ascii="Book Antiqua" w:hAnsi="Book Antiqua"/>
          <w:sz w:val="24"/>
          <w:vertAlign w:val="subscript"/>
        </w:rPr>
        <w:t>2</w:t>
      </w:r>
      <w:r w:rsidRPr="00F76351">
        <w:rPr>
          <w:rFonts w:ascii="Book Antiqua" w:hAnsi="Book Antiqua"/>
          <w:sz w:val="24"/>
        </w:rPr>
        <w:t>+FU group had a more pronounced tumor inhibition (</w:t>
      </w:r>
      <w:r w:rsidRPr="00F76351">
        <w:rPr>
          <w:rFonts w:ascii="Book Antiqua" w:hAnsi="Book Antiqua"/>
          <w:i/>
          <w:sz w:val="24"/>
        </w:rPr>
        <w:t xml:space="preserve">P </w:t>
      </w:r>
      <w:r w:rsidRPr="00F76351">
        <w:rPr>
          <w:rFonts w:ascii="Book Antiqua" w:hAnsi="Book Antiqua"/>
          <w:sz w:val="24"/>
        </w:rPr>
        <w:t>&lt; 0.05). There was no obvious difference in the tumor volume of the G</w:t>
      </w:r>
      <w:r w:rsidRPr="00F76351">
        <w:rPr>
          <w:rFonts w:ascii="Book Antiqua" w:hAnsi="Book Antiqua"/>
          <w:sz w:val="24"/>
          <w:vertAlign w:val="subscript"/>
        </w:rPr>
        <w:t>2</w:t>
      </w:r>
      <w:r w:rsidRPr="00F76351">
        <w:rPr>
          <w:rFonts w:ascii="Book Antiqua" w:hAnsi="Book Antiqua"/>
          <w:sz w:val="24"/>
        </w:rPr>
        <w:t xml:space="preserve">+GH+FU group </w:t>
      </w:r>
      <w:r w:rsidRPr="00F76351">
        <w:rPr>
          <w:rFonts w:ascii="Book Antiqua" w:hAnsi="Book Antiqua"/>
          <w:sz w:val="24"/>
        </w:rPr>
        <w:lastRenderedPageBreak/>
        <w:t>compared with the G</w:t>
      </w:r>
      <w:r w:rsidRPr="00F76351">
        <w:rPr>
          <w:rFonts w:ascii="Book Antiqua" w:hAnsi="Book Antiqua"/>
          <w:sz w:val="24"/>
          <w:vertAlign w:val="subscript"/>
        </w:rPr>
        <w:t>2</w:t>
      </w:r>
      <w:r w:rsidRPr="00F76351">
        <w:rPr>
          <w:rFonts w:ascii="Book Antiqua" w:hAnsi="Book Antiqua"/>
          <w:sz w:val="24"/>
        </w:rPr>
        <w:t>, FU, and G</w:t>
      </w:r>
      <w:r w:rsidRPr="00F76351">
        <w:rPr>
          <w:rFonts w:ascii="Book Antiqua" w:hAnsi="Book Antiqua"/>
          <w:sz w:val="24"/>
          <w:vertAlign w:val="subscript"/>
        </w:rPr>
        <w:t>2</w:t>
      </w:r>
      <w:r w:rsidRPr="00F76351">
        <w:rPr>
          <w:rFonts w:ascii="Book Antiqua" w:hAnsi="Book Antiqua"/>
          <w:sz w:val="24"/>
        </w:rPr>
        <w:t>+FU groups in the same period (Table 2).</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b/>
          <w:i/>
          <w:sz w:val="24"/>
        </w:rPr>
      </w:pPr>
      <w:r w:rsidRPr="00F76351">
        <w:rPr>
          <w:rFonts w:ascii="Book Antiqua" w:hAnsi="Book Antiqua"/>
          <w:b/>
          <w:i/>
          <w:sz w:val="24"/>
        </w:rPr>
        <w:t>GHR protein expression in the subcutaneous tumors of tumor-bearing mice in all groups</w:t>
      </w:r>
    </w:p>
    <w:p w:rsidR="00ED4098" w:rsidRPr="00F76351" w:rsidRDefault="00ED4098" w:rsidP="000F1768">
      <w:pPr>
        <w:spacing w:line="360" w:lineRule="auto"/>
        <w:rPr>
          <w:rFonts w:ascii="Book Antiqua" w:hAnsi="Book Antiqua"/>
          <w:sz w:val="24"/>
        </w:rPr>
      </w:pPr>
      <w:r w:rsidRPr="00F76351">
        <w:rPr>
          <w:rFonts w:ascii="Book Antiqua" w:hAnsi="Book Antiqua"/>
          <w:sz w:val="24"/>
        </w:rPr>
        <w:t>The expression levels of GHR protein in the tumors of the GH and NS mice were significantly higher than the GHR levels in the G</w:t>
      </w:r>
      <w:r w:rsidRPr="00F76351">
        <w:rPr>
          <w:rFonts w:ascii="Book Antiqua" w:hAnsi="Book Antiqua"/>
          <w:sz w:val="24"/>
          <w:vertAlign w:val="subscript"/>
        </w:rPr>
        <w:t>2</w:t>
      </w:r>
      <w:r w:rsidRPr="00F76351">
        <w:rPr>
          <w:rFonts w:ascii="Book Antiqua" w:hAnsi="Book Antiqua"/>
          <w:sz w:val="24"/>
        </w:rPr>
        <w:t>, FU, G</w:t>
      </w:r>
      <w:r w:rsidRPr="00F76351">
        <w:rPr>
          <w:rFonts w:ascii="Book Antiqua" w:hAnsi="Book Antiqua"/>
          <w:sz w:val="24"/>
          <w:vertAlign w:val="subscript"/>
        </w:rPr>
        <w:t>2</w:t>
      </w:r>
      <w:r w:rsidRPr="00F76351">
        <w:rPr>
          <w:rFonts w:ascii="Book Antiqua" w:hAnsi="Book Antiqua"/>
          <w:sz w:val="24"/>
        </w:rPr>
        <w:t>+FU and G</w:t>
      </w:r>
      <w:r w:rsidRPr="00F76351">
        <w:rPr>
          <w:rFonts w:ascii="Book Antiqua" w:hAnsi="Book Antiqua"/>
          <w:sz w:val="24"/>
          <w:vertAlign w:val="subscript"/>
        </w:rPr>
        <w:t>2</w:t>
      </w:r>
      <w:r w:rsidRPr="00F76351">
        <w:rPr>
          <w:rFonts w:ascii="Book Antiqua" w:hAnsi="Book Antiqua"/>
          <w:sz w:val="24"/>
        </w:rPr>
        <w:t>+FU+GH mice. However, there was no significant difference between the G</w:t>
      </w:r>
      <w:r w:rsidRPr="00F76351">
        <w:rPr>
          <w:rFonts w:ascii="Book Antiqua" w:hAnsi="Book Antiqua"/>
          <w:sz w:val="24"/>
          <w:vertAlign w:val="subscript"/>
        </w:rPr>
        <w:t>2</w:t>
      </w:r>
      <w:r w:rsidRPr="00F76351">
        <w:rPr>
          <w:rFonts w:ascii="Book Antiqua" w:hAnsi="Book Antiqua"/>
          <w:sz w:val="24"/>
        </w:rPr>
        <w:t xml:space="preserve"> group and the FU, G</w:t>
      </w:r>
      <w:r w:rsidRPr="00F76351">
        <w:rPr>
          <w:rFonts w:ascii="Book Antiqua" w:hAnsi="Book Antiqua"/>
          <w:sz w:val="24"/>
          <w:vertAlign w:val="subscript"/>
        </w:rPr>
        <w:t>2</w:t>
      </w:r>
      <w:r w:rsidRPr="00F76351">
        <w:rPr>
          <w:rFonts w:ascii="Book Antiqua" w:hAnsi="Book Antiqua"/>
          <w:sz w:val="24"/>
        </w:rPr>
        <w:t>+FU, and G</w:t>
      </w:r>
      <w:r w:rsidRPr="00F76351">
        <w:rPr>
          <w:rFonts w:ascii="Book Antiqua" w:hAnsi="Book Antiqua"/>
          <w:sz w:val="24"/>
          <w:vertAlign w:val="subscript"/>
        </w:rPr>
        <w:t>2</w:t>
      </w:r>
      <w:r w:rsidRPr="00F76351">
        <w:rPr>
          <w:rFonts w:ascii="Book Antiqua" w:hAnsi="Book Antiqua"/>
          <w:sz w:val="24"/>
        </w:rPr>
        <w:t>+FU+GH groups (</w:t>
      </w:r>
      <w:r w:rsidRPr="00F76351">
        <w:rPr>
          <w:rFonts w:ascii="Book Antiqua" w:hAnsi="Book Antiqua"/>
          <w:i/>
          <w:sz w:val="24"/>
        </w:rPr>
        <w:t xml:space="preserve">P </w:t>
      </w:r>
      <w:r w:rsidRPr="00F76351">
        <w:rPr>
          <w:rFonts w:ascii="Book Antiqua" w:hAnsi="Book Antiqua"/>
          <w:sz w:val="24"/>
        </w:rPr>
        <w:t>&gt; 0.05; Table 3).</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rPr>
          <w:rFonts w:ascii="Book Antiqua" w:hAnsi="Book Antiqua"/>
          <w:sz w:val="24"/>
        </w:rPr>
      </w:pPr>
      <w:r w:rsidRPr="00F76351">
        <w:rPr>
          <w:rFonts w:ascii="Book Antiqua" w:hAnsi="Book Antiqua"/>
          <w:b/>
          <w:i/>
          <w:sz w:val="24"/>
        </w:rPr>
        <w:t>GHR mRNA expression in the subcutaneous tumors of tumor-bearing mice</w:t>
      </w:r>
    </w:p>
    <w:p w:rsidR="00ED4098" w:rsidRPr="00F76351" w:rsidRDefault="00ED4098" w:rsidP="000F1768">
      <w:pPr>
        <w:spacing w:line="360" w:lineRule="auto"/>
        <w:rPr>
          <w:rFonts w:ascii="Book Antiqua" w:hAnsi="Book Antiqua"/>
          <w:sz w:val="24"/>
        </w:rPr>
      </w:pPr>
      <w:r w:rsidRPr="00F76351">
        <w:rPr>
          <w:rFonts w:ascii="Book Antiqua" w:hAnsi="Book Antiqua"/>
          <w:sz w:val="24"/>
        </w:rPr>
        <w:t xml:space="preserve">Compared with the NS group and the control group that did not have a plasmid, the </w:t>
      </w:r>
      <w:r w:rsidRPr="00F76351">
        <w:rPr>
          <w:rFonts w:ascii="Cambria Math" w:hAnsi="Cambria Math" w:cs="Cambria Math"/>
          <w:sz w:val="24"/>
        </w:rPr>
        <w:t>△</w:t>
      </w:r>
      <w:r w:rsidRPr="00F76351">
        <w:rPr>
          <w:rFonts w:ascii="Book Antiqua" w:hAnsi="Book Antiqua"/>
          <w:sz w:val="24"/>
        </w:rPr>
        <w:t>CT value of the G</w:t>
      </w:r>
      <w:r w:rsidRPr="00F76351">
        <w:rPr>
          <w:rFonts w:ascii="Book Antiqua" w:hAnsi="Book Antiqua"/>
          <w:sz w:val="24"/>
          <w:vertAlign w:val="subscript"/>
        </w:rPr>
        <w:t>2</w:t>
      </w:r>
      <w:r w:rsidRPr="00F76351">
        <w:rPr>
          <w:rFonts w:ascii="Book Antiqua" w:hAnsi="Book Antiqua"/>
          <w:sz w:val="24"/>
        </w:rPr>
        <w:t>, FU, G</w:t>
      </w:r>
      <w:r w:rsidRPr="00F76351">
        <w:rPr>
          <w:rFonts w:ascii="Book Antiqua" w:hAnsi="Book Antiqua"/>
          <w:sz w:val="24"/>
          <w:vertAlign w:val="subscript"/>
        </w:rPr>
        <w:t>2</w:t>
      </w:r>
      <w:r w:rsidRPr="00F76351">
        <w:rPr>
          <w:rFonts w:ascii="Book Antiqua" w:hAnsi="Book Antiqua"/>
          <w:sz w:val="24"/>
        </w:rPr>
        <w:t>+FU, and G</w:t>
      </w:r>
      <w:r w:rsidRPr="00F76351">
        <w:rPr>
          <w:rFonts w:ascii="Book Antiqua" w:hAnsi="Book Antiqua"/>
          <w:sz w:val="24"/>
          <w:vertAlign w:val="subscript"/>
        </w:rPr>
        <w:t>2</w:t>
      </w:r>
      <w:r w:rsidRPr="00F76351">
        <w:rPr>
          <w:rFonts w:ascii="Book Antiqua" w:hAnsi="Book Antiqua"/>
          <w:sz w:val="24"/>
        </w:rPr>
        <w:t>+FU+GH groups significantly increased (</w:t>
      </w:r>
      <w:r w:rsidRPr="00F76351">
        <w:rPr>
          <w:rFonts w:ascii="Book Antiqua" w:hAnsi="Book Antiqua"/>
          <w:i/>
          <w:sz w:val="24"/>
        </w:rPr>
        <w:t xml:space="preserve">P </w:t>
      </w:r>
      <w:r w:rsidRPr="00F76351">
        <w:rPr>
          <w:rFonts w:ascii="Book Antiqua" w:hAnsi="Book Antiqua"/>
          <w:sz w:val="24"/>
        </w:rPr>
        <w:t xml:space="preserve">&lt; 0.05). In the experimental groups, the </w:t>
      </w:r>
      <w:r w:rsidRPr="00F76351">
        <w:rPr>
          <w:rFonts w:ascii="Book Antiqua" w:hAnsi="Book Antiqua"/>
          <w:kern w:val="0"/>
          <w:sz w:val="24"/>
        </w:rPr>
        <w:t xml:space="preserve">inhibition ratios of </w:t>
      </w:r>
      <w:r w:rsidRPr="00F76351">
        <w:rPr>
          <w:rFonts w:ascii="Book Antiqua" w:hAnsi="Book Antiqua"/>
          <w:sz w:val="24"/>
        </w:rPr>
        <w:t>the FU+G</w:t>
      </w:r>
      <w:r w:rsidRPr="00F76351">
        <w:rPr>
          <w:rFonts w:ascii="Book Antiqua" w:hAnsi="Book Antiqua"/>
          <w:sz w:val="24"/>
          <w:vertAlign w:val="subscript"/>
        </w:rPr>
        <w:t xml:space="preserve">2 </w:t>
      </w:r>
      <w:r w:rsidRPr="00F76351">
        <w:rPr>
          <w:rFonts w:ascii="Book Antiqua" w:hAnsi="Book Antiqua"/>
          <w:sz w:val="24"/>
        </w:rPr>
        <w:t>and FU+G</w:t>
      </w:r>
      <w:r w:rsidRPr="00F76351">
        <w:rPr>
          <w:rFonts w:ascii="Book Antiqua" w:hAnsi="Book Antiqua"/>
          <w:sz w:val="24"/>
          <w:vertAlign w:val="subscript"/>
        </w:rPr>
        <w:t>2</w:t>
      </w:r>
      <w:r w:rsidRPr="00F76351">
        <w:rPr>
          <w:rFonts w:ascii="Book Antiqua" w:hAnsi="Book Antiqua"/>
          <w:sz w:val="24"/>
        </w:rPr>
        <w:t>+GH groups against GHR mRNA were higher than that of the G</w:t>
      </w:r>
      <w:r w:rsidRPr="00F76351">
        <w:rPr>
          <w:rFonts w:ascii="Book Antiqua" w:hAnsi="Book Antiqua"/>
          <w:sz w:val="24"/>
          <w:vertAlign w:val="subscript"/>
        </w:rPr>
        <w:t>2</w:t>
      </w:r>
      <w:r w:rsidRPr="00F76351">
        <w:rPr>
          <w:rFonts w:ascii="Book Antiqua" w:hAnsi="Book Antiqua"/>
          <w:sz w:val="24"/>
        </w:rPr>
        <w:t xml:space="preserve"> group (</w:t>
      </w:r>
      <w:r w:rsidRPr="00F76351">
        <w:rPr>
          <w:rFonts w:ascii="Book Antiqua" w:hAnsi="Book Antiqua"/>
          <w:i/>
          <w:sz w:val="24"/>
        </w:rPr>
        <w:t xml:space="preserve">P </w:t>
      </w:r>
      <w:r w:rsidRPr="00F76351">
        <w:rPr>
          <w:rFonts w:ascii="Book Antiqua" w:hAnsi="Book Antiqua"/>
          <w:sz w:val="24"/>
        </w:rPr>
        <w:t>&lt; 0.05; Table 4).</w:t>
      </w:r>
    </w:p>
    <w:p w:rsidR="00ED4098" w:rsidRPr="00F76351" w:rsidRDefault="00ED4098" w:rsidP="000F1768">
      <w:pPr>
        <w:spacing w:line="360" w:lineRule="auto"/>
        <w:rPr>
          <w:rFonts w:ascii="Book Antiqua" w:hAnsi="Book Antiqua"/>
          <w:sz w:val="24"/>
        </w:rPr>
      </w:pPr>
    </w:p>
    <w:p w:rsidR="00ED4098" w:rsidRPr="00F76351" w:rsidRDefault="00ED4098" w:rsidP="000F1768">
      <w:pPr>
        <w:spacing w:line="360" w:lineRule="auto"/>
        <w:jc w:val="left"/>
        <w:rPr>
          <w:rFonts w:ascii="Book Antiqua" w:hAnsi="Book Antiqua"/>
          <w:b/>
          <w:sz w:val="24"/>
        </w:rPr>
      </w:pPr>
      <w:r w:rsidRPr="00F76351">
        <w:rPr>
          <w:rFonts w:ascii="Book Antiqua" w:hAnsi="Book Antiqua"/>
          <w:b/>
          <w:sz w:val="24"/>
        </w:rPr>
        <w:t>DISCUSSION</w:t>
      </w:r>
    </w:p>
    <w:p w:rsidR="00ED4098" w:rsidRPr="00F76351" w:rsidRDefault="00ED4098" w:rsidP="000F1768">
      <w:pPr>
        <w:spacing w:line="360" w:lineRule="auto"/>
        <w:rPr>
          <w:rFonts w:ascii="Book Antiqua" w:hAnsi="Book Antiqua"/>
          <w:kern w:val="0"/>
          <w:sz w:val="24"/>
        </w:rPr>
      </w:pPr>
      <w:r w:rsidRPr="00F76351">
        <w:rPr>
          <w:rFonts w:ascii="Book Antiqua" w:hAnsi="Book Antiqua"/>
          <w:sz w:val="24"/>
        </w:rPr>
        <w:t>Colon cancer is one of the most common malignant tumors</w:t>
      </w:r>
      <w:r w:rsidRPr="00F76351">
        <w:rPr>
          <w:rFonts w:ascii="Book Antiqua" w:hAnsi="Book Antiqua"/>
          <w:sz w:val="24"/>
          <w:vertAlign w:val="superscript"/>
        </w:rPr>
        <w:t>[14-16]</w:t>
      </w:r>
      <w:r w:rsidRPr="00F76351">
        <w:rPr>
          <w:rFonts w:ascii="Book Antiqua" w:hAnsi="Book Antiqua"/>
          <w:sz w:val="24"/>
        </w:rPr>
        <w:t xml:space="preserve">. Currently, the treatment for colon cancer is surgery combined with </w:t>
      </w:r>
      <w:r w:rsidRPr="00F76351">
        <w:rPr>
          <w:rFonts w:ascii="Book Antiqua" w:hAnsi="Book Antiqua"/>
          <w:kern w:val="0"/>
          <w:sz w:val="24"/>
        </w:rPr>
        <w:t xml:space="preserve">radiotherapy and </w:t>
      </w:r>
      <w:r w:rsidRPr="00F76351">
        <w:rPr>
          <w:rFonts w:ascii="Book Antiqua" w:hAnsi="Book Antiqua"/>
          <w:bCs/>
          <w:kern w:val="0"/>
          <w:sz w:val="24"/>
        </w:rPr>
        <w:t>chemotherapy</w:t>
      </w:r>
      <w:r w:rsidRPr="00F76351">
        <w:rPr>
          <w:rFonts w:ascii="Book Antiqua" w:hAnsi="Book Antiqua"/>
          <w:kern w:val="0"/>
          <w:sz w:val="24"/>
        </w:rPr>
        <w:t>. However, most patients cannot undergo operation or do not respond to chemotherapeutics, leading to the failure of the therapy. Determining the appropriate tumor target spot related to gene and specific therapy has become a hotspot of research in tumor therapy</w:t>
      </w:r>
      <w:r w:rsidRPr="00F76351">
        <w:rPr>
          <w:rFonts w:ascii="Book Antiqua" w:hAnsi="Book Antiqua"/>
          <w:sz w:val="24"/>
          <w:vertAlign w:val="superscript"/>
        </w:rPr>
        <w:t>[17]</w:t>
      </w:r>
      <w:r w:rsidRPr="00F76351">
        <w:rPr>
          <w:rFonts w:ascii="Book Antiqua" w:hAnsi="Book Antiqua"/>
          <w:kern w:val="0"/>
          <w:sz w:val="24"/>
        </w:rPr>
        <w:t xml:space="preserve">. </w:t>
      </w:r>
      <w:r w:rsidRPr="00F76351">
        <w:rPr>
          <w:rFonts w:ascii="Book Antiqua" w:hAnsi="Book Antiqua"/>
          <w:sz w:val="24"/>
        </w:rPr>
        <w:t>Due to its action as an anabolic agent and mitogen,</w:t>
      </w:r>
      <w:r w:rsidRPr="00F76351">
        <w:rPr>
          <w:rFonts w:ascii="Book Antiqua" w:hAnsi="Book Antiqua"/>
          <w:kern w:val="0"/>
          <w:sz w:val="24"/>
        </w:rPr>
        <w:t xml:space="preserve"> GH has a wide range of</w:t>
      </w:r>
      <w:r w:rsidRPr="00F76351">
        <w:rPr>
          <w:rFonts w:ascii="Book Antiqua" w:hAnsi="Book Antiqua"/>
          <w:sz w:val="24"/>
        </w:rPr>
        <w:t xml:space="preserve"> </w:t>
      </w:r>
      <w:r w:rsidRPr="00F76351">
        <w:rPr>
          <w:rFonts w:ascii="Book Antiqua" w:hAnsi="Book Antiqua"/>
          <w:kern w:val="0"/>
          <w:sz w:val="24"/>
        </w:rPr>
        <w:t xml:space="preserve">functions in substance metabolism and </w:t>
      </w:r>
      <w:r w:rsidRPr="00F76351">
        <w:rPr>
          <w:rFonts w:ascii="Book Antiqua" w:hAnsi="Book Antiqua"/>
          <w:sz w:val="24"/>
        </w:rPr>
        <w:t xml:space="preserve">body fluid equilibrium, which can accelerate the use of </w:t>
      </w:r>
      <w:r w:rsidRPr="00F76351">
        <w:rPr>
          <w:rFonts w:ascii="Book Antiqua" w:hAnsi="Book Antiqua"/>
          <w:kern w:val="0"/>
          <w:sz w:val="24"/>
        </w:rPr>
        <w:t xml:space="preserve">nitrogen and improve the </w:t>
      </w:r>
      <w:r w:rsidRPr="00F76351">
        <w:rPr>
          <w:rFonts w:ascii="Book Antiqua" w:hAnsi="Book Antiqua"/>
          <w:sz w:val="24"/>
        </w:rPr>
        <w:t xml:space="preserve">synthesis of liver and muscle proteins. The nutritional effect of GH has already been shown in </w:t>
      </w:r>
      <w:r w:rsidRPr="00F76351">
        <w:rPr>
          <w:rFonts w:ascii="Book Antiqua" w:hAnsi="Book Antiqua"/>
          <w:kern w:val="0"/>
          <w:sz w:val="24"/>
        </w:rPr>
        <w:t>cachexia</w:t>
      </w:r>
      <w:r w:rsidRPr="00F76351">
        <w:rPr>
          <w:rFonts w:ascii="Book Antiqua" w:hAnsi="Book Antiqua"/>
          <w:sz w:val="24"/>
          <w:vertAlign w:val="superscript"/>
        </w:rPr>
        <w:t>[18]</w:t>
      </w:r>
      <w:r w:rsidRPr="00F76351">
        <w:rPr>
          <w:rFonts w:ascii="Book Antiqua" w:hAnsi="Book Antiqua"/>
          <w:kern w:val="0"/>
          <w:sz w:val="24"/>
        </w:rPr>
        <w:t xml:space="preserve">. Because GH can increase the </w:t>
      </w:r>
      <w:r w:rsidRPr="00F76351">
        <w:rPr>
          <w:rFonts w:ascii="Book Antiqua" w:hAnsi="Book Antiqua"/>
          <w:sz w:val="24"/>
        </w:rPr>
        <w:t xml:space="preserve">brittleness of chromosomes, which, in turn, can cause </w:t>
      </w:r>
      <w:r w:rsidRPr="00F76351">
        <w:rPr>
          <w:rFonts w:ascii="Book Antiqua" w:hAnsi="Book Antiqua"/>
          <w:kern w:val="0"/>
          <w:sz w:val="24"/>
        </w:rPr>
        <w:t xml:space="preserve">malignant transformation of cells, and can increase tumor growth, GH has been excluded as a </w:t>
      </w:r>
      <w:r w:rsidRPr="00F76351">
        <w:rPr>
          <w:rFonts w:ascii="Book Antiqua" w:hAnsi="Book Antiqua"/>
          <w:bCs/>
          <w:sz w:val="24"/>
          <w:shd w:val="clear" w:color="auto" w:fill="FFFFFF"/>
        </w:rPr>
        <w:t>therapy option for the treatment of tumors</w:t>
      </w:r>
      <w:r w:rsidRPr="00F76351">
        <w:rPr>
          <w:rFonts w:ascii="Book Antiqua" w:hAnsi="Book Antiqua"/>
          <w:sz w:val="24"/>
          <w:vertAlign w:val="superscript"/>
        </w:rPr>
        <w:t>[19-20]</w:t>
      </w:r>
      <w:r w:rsidRPr="00F76351">
        <w:rPr>
          <w:rFonts w:ascii="Book Antiqua" w:hAnsi="Book Antiqua"/>
          <w:bCs/>
          <w:sz w:val="24"/>
          <w:shd w:val="clear" w:color="auto" w:fill="FFFFFF"/>
        </w:rPr>
        <w:t xml:space="preserve">. It has </w:t>
      </w:r>
      <w:r w:rsidRPr="00F76351">
        <w:rPr>
          <w:rFonts w:ascii="Book Antiqua" w:hAnsi="Book Antiqua"/>
          <w:bCs/>
          <w:sz w:val="24"/>
          <w:shd w:val="clear" w:color="auto" w:fill="FFFFFF"/>
        </w:rPr>
        <w:lastRenderedPageBreak/>
        <w:t xml:space="preserve">been demonstrated by many </w:t>
      </w:r>
      <w:r w:rsidRPr="00F76351">
        <w:rPr>
          <w:rFonts w:ascii="Book Antiqua" w:hAnsi="Book Antiqua"/>
          <w:sz w:val="24"/>
        </w:rPr>
        <w:t xml:space="preserve">epidemiological researchers that patients who receive long term treatment with </w:t>
      </w:r>
      <w:r w:rsidRPr="00F76351">
        <w:rPr>
          <w:rFonts w:ascii="Book Antiqua" w:hAnsi="Book Antiqua"/>
          <w:bCs/>
          <w:sz w:val="24"/>
          <w:shd w:val="clear" w:color="auto" w:fill="FFFFFF"/>
        </w:rPr>
        <w:t>growth hormone have an increased risk</w:t>
      </w:r>
      <w:r w:rsidRPr="00F76351">
        <w:rPr>
          <w:rFonts w:ascii="Book Antiqua" w:hAnsi="Book Antiqua"/>
          <w:kern w:val="0"/>
          <w:sz w:val="24"/>
        </w:rPr>
        <w:t xml:space="preserve"> of colon cancer</w:t>
      </w:r>
      <w:r w:rsidRPr="00F76351" w:rsidDel="00360665">
        <w:rPr>
          <w:rFonts w:ascii="Book Antiqua" w:hAnsi="Book Antiqua"/>
          <w:kern w:val="0"/>
          <w:sz w:val="24"/>
        </w:rPr>
        <w:t xml:space="preserve"> </w:t>
      </w:r>
      <w:r w:rsidRPr="00F76351">
        <w:rPr>
          <w:rFonts w:ascii="Book Antiqua" w:hAnsi="Book Antiqua"/>
          <w:sz w:val="24"/>
          <w:vertAlign w:val="superscript"/>
        </w:rPr>
        <w:t>[3,21]</w:t>
      </w:r>
      <w:r w:rsidRPr="00F76351">
        <w:rPr>
          <w:rFonts w:ascii="Book Antiqua" w:hAnsi="Book Antiqua"/>
          <w:kern w:val="0"/>
          <w:sz w:val="24"/>
        </w:rPr>
        <w:t xml:space="preserve">, and GHR expression in the </w:t>
      </w:r>
      <w:r w:rsidRPr="00F76351">
        <w:rPr>
          <w:rFonts w:ascii="Book Antiqua" w:hAnsi="Book Antiqua"/>
          <w:bCs/>
          <w:sz w:val="24"/>
        </w:rPr>
        <w:t>colon might relate to the occurrence, development and metastasis of these tumors</w:t>
      </w:r>
      <w:r w:rsidRPr="00F76351">
        <w:rPr>
          <w:rFonts w:ascii="Book Antiqua" w:hAnsi="Book Antiqua"/>
          <w:sz w:val="24"/>
          <w:vertAlign w:val="superscript"/>
        </w:rPr>
        <w:t>[1,22]</w:t>
      </w:r>
      <w:r w:rsidRPr="00F76351">
        <w:rPr>
          <w:rFonts w:ascii="Book Antiqua" w:hAnsi="Book Antiqua"/>
          <w:bCs/>
          <w:sz w:val="24"/>
        </w:rPr>
        <w:t>. The presence of GHR in the local tissue is a prerequisite for GH to play its role, which means that when determining whether to use</w:t>
      </w:r>
      <w:r w:rsidRPr="00F76351">
        <w:rPr>
          <w:rFonts w:ascii="Book Antiqua" w:hAnsi="Book Antiqua"/>
          <w:kern w:val="0"/>
          <w:sz w:val="24"/>
        </w:rPr>
        <w:t xml:space="preserve"> GH as a therapy, it is important to know the expression and distribution of GHR in a specific tumor cell. GHR is highly expressed in colon cancer tissues</w:t>
      </w:r>
      <w:r w:rsidRPr="00F76351">
        <w:rPr>
          <w:rFonts w:ascii="Book Antiqua" w:hAnsi="Book Antiqua"/>
          <w:sz w:val="24"/>
          <w:vertAlign w:val="superscript"/>
        </w:rPr>
        <w:t>[1,2]</w:t>
      </w:r>
      <w:r w:rsidRPr="00F76351">
        <w:rPr>
          <w:rFonts w:ascii="Book Antiqua" w:hAnsi="Book Antiqua"/>
          <w:kern w:val="0"/>
          <w:sz w:val="24"/>
        </w:rPr>
        <w:t xml:space="preserve">, and high GHR expression has been correlated with poor patient </w:t>
      </w:r>
      <w:r w:rsidRPr="00F76351">
        <w:rPr>
          <w:rFonts w:ascii="Book Antiqua" w:hAnsi="Book Antiqua"/>
          <w:bCs/>
          <w:sz w:val="24"/>
          <w:shd w:val="clear" w:color="auto" w:fill="FFFFFF"/>
        </w:rPr>
        <w:t>prognosis</w:t>
      </w:r>
      <w:r w:rsidRPr="00F76351">
        <w:rPr>
          <w:rFonts w:ascii="Book Antiqua" w:hAnsi="Book Antiqua"/>
          <w:sz w:val="24"/>
          <w:vertAlign w:val="superscript"/>
        </w:rPr>
        <w:t>[23]</w:t>
      </w:r>
      <w:r w:rsidRPr="00F76351">
        <w:rPr>
          <w:rFonts w:ascii="Book Antiqua" w:hAnsi="Book Antiqua"/>
          <w:bCs/>
          <w:sz w:val="24"/>
          <w:shd w:val="clear" w:color="auto" w:fill="FFFFFF"/>
        </w:rPr>
        <w:t>.</w:t>
      </w:r>
    </w:p>
    <w:p w:rsidR="00ED4098" w:rsidRPr="00F76351" w:rsidRDefault="00ED4098" w:rsidP="000F1768">
      <w:pPr>
        <w:spacing w:line="360" w:lineRule="auto"/>
        <w:ind w:firstLine="720"/>
        <w:rPr>
          <w:rFonts w:ascii="Book Antiqua" w:hAnsi="Book Antiqua"/>
          <w:kern w:val="0"/>
          <w:sz w:val="24"/>
        </w:rPr>
      </w:pPr>
      <w:proofErr w:type="spellStart"/>
      <w:r w:rsidRPr="00F76351">
        <w:rPr>
          <w:rFonts w:ascii="Book Antiqua" w:hAnsi="Book Antiqua"/>
          <w:sz w:val="24"/>
        </w:rPr>
        <w:t>RNAi</w:t>
      </w:r>
      <w:proofErr w:type="spellEnd"/>
      <w:r w:rsidRPr="00F76351">
        <w:rPr>
          <w:rFonts w:ascii="Book Antiqua" w:hAnsi="Book Antiqua"/>
          <w:sz w:val="24"/>
        </w:rPr>
        <w:t xml:space="preserve"> refers to </w:t>
      </w:r>
      <w:r w:rsidRPr="00F76351">
        <w:rPr>
          <w:rFonts w:ascii="Book Antiqua" w:hAnsi="Book Antiqua"/>
          <w:kern w:val="0"/>
          <w:sz w:val="24"/>
        </w:rPr>
        <w:t xml:space="preserve">complementary </w:t>
      </w:r>
      <w:r w:rsidRPr="00F76351">
        <w:rPr>
          <w:rFonts w:ascii="Book Antiqua" w:hAnsi="Book Antiqua"/>
          <w:sz w:val="24"/>
        </w:rPr>
        <w:t>double-stranded RNAs (</w:t>
      </w:r>
      <w:proofErr w:type="spellStart"/>
      <w:r w:rsidRPr="00F76351">
        <w:rPr>
          <w:rFonts w:ascii="Book Antiqua" w:hAnsi="Book Antiqua"/>
          <w:sz w:val="24"/>
        </w:rPr>
        <w:t>dsRNAs</w:t>
      </w:r>
      <w:proofErr w:type="spellEnd"/>
      <w:r w:rsidRPr="00F76351">
        <w:rPr>
          <w:rFonts w:ascii="Book Antiqua" w:hAnsi="Book Antiqua"/>
          <w:sz w:val="24"/>
        </w:rPr>
        <w:t xml:space="preserve">) that bind to specific </w:t>
      </w:r>
      <w:r w:rsidRPr="00F76351">
        <w:rPr>
          <w:rFonts w:ascii="Book Antiqua" w:hAnsi="Book Antiqua"/>
          <w:kern w:val="0"/>
          <w:sz w:val="24"/>
        </w:rPr>
        <w:t xml:space="preserve">endogenous </w:t>
      </w:r>
      <w:r w:rsidRPr="00F76351">
        <w:rPr>
          <w:rFonts w:ascii="Book Antiqua" w:hAnsi="Book Antiqua"/>
          <w:sz w:val="24"/>
        </w:rPr>
        <w:t>mRNAs, resulting in the degradation of those mRNAs and the silencing of gene expression</w:t>
      </w:r>
      <w:r w:rsidRPr="00F76351">
        <w:rPr>
          <w:rFonts w:ascii="Book Antiqua" w:hAnsi="Book Antiqua"/>
          <w:kern w:val="0"/>
          <w:sz w:val="24"/>
        </w:rPr>
        <w:t xml:space="preserve">. Aiming at the relevant signal of the </w:t>
      </w:r>
      <w:proofErr w:type="spellStart"/>
      <w:r w:rsidRPr="00F76351">
        <w:rPr>
          <w:rFonts w:ascii="Book Antiqua" w:hAnsi="Book Antiqua"/>
          <w:bCs/>
          <w:sz w:val="24"/>
          <w:shd w:val="clear" w:color="auto" w:fill="FFFFFF"/>
        </w:rPr>
        <w:t>auxanodifferentiation</w:t>
      </w:r>
      <w:proofErr w:type="spellEnd"/>
      <w:r w:rsidRPr="00F76351">
        <w:rPr>
          <w:rFonts w:ascii="Book Antiqua" w:hAnsi="Book Antiqua"/>
          <w:bCs/>
          <w:sz w:val="24"/>
          <w:shd w:val="clear" w:color="auto" w:fill="FFFFFF"/>
        </w:rPr>
        <w:t xml:space="preserve"> of tumor cells that </w:t>
      </w:r>
      <w:r w:rsidRPr="00F76351">
        <w:rPr>
          <w:rFonts w:ascii="Book Antiqua" w:hAnsi="Book Antiqua"/>
          <w:kern w:val="0"/>
          <w:sz w:val="24"/>
        </w:rPr>
        <w:t xml:space="preserve">transduces </w:t>
      </w:r>
      <w:proofErr w:type="spellStart"/>
      <w:r w:rsidRPr="00F76351">
        <w:rPr>
          <w:rFonts w:ascii="Book Antiqua" w:hAnsi="Book Antiqua"/>
          <w:kern w:val="0"/>
          <w:sz w:val="24"/>
        </w:rPr>
        <w:t>iter</w:t>
      </w:r>
      <w:proofErr w:type="spellEnd"/>
      <w:r w:rsidRPr="00F76351">
        <w:rPr>
          <w:rFonts w:ascii="Book Antiqua" w:hAnsi="Book Antiqua"/>
          <w:kern w:val="0"/>
          <w:sz w:val="24"/>
        </w:rPr>
        <w:t xml:space="preserve"> and targeting the interference of the expression of crucial proteins in </w:t>
      </w:r>
      <w:r w:rsidRPr="00F76351">
        <w:rPr>
          <w:rFonts w:ascii="Book Antiqua" w:hAnsi="Book Antiqua"/>
          <w:sz w:val="24"/>
        </w:rPr>
        <w:t>transduction pathways of cell signaling can inhibit the growth of a tumor specifically and highly efficiently</w:t>
      </w:r>
      <w:r w:rsidRPr="00F76351">
        <w:rPr>
          <w:rFonts w:ascii="Book Antiqua" w:hAnsi="Book Antiqua"/>
          <w:sz w:val="24"/>
          <w:vertAlign w:val="superscript"/>
        </w:rPr>
        <w:t>[24,25]</w:t>
      </w:r>
      <w:r w:rsidRPr="00F76351">
        <w:rPr>
          <w:rFonts w:ascii="Book Antiqua" w:hAnsi="Book Antiqua"/>
          <w:sz w:val="24"/>
        </w:rPr>
        <w:t xml:space="preserve">. </w:t>
      </w:r>
    </w:p>
    <w:p w:rsidR="00ED4098" w:rsidRPr="00F76351" w:rsidRDefault="00ED4098" w:rsidP="000F1768">
      <w:pPr>
        <w:spacing w:line="360" w:lineRule="auto"/>
        <w:ind w:firstLine="480"/>
        <w:rPr>
          <w:rFonts w:ascii="Book Antiqua" w:hAnsi="Book Antiqua"/>
          <w:sz w:val="24"/>
        </w:rPr>
      </w:pPr>
      <w:r w:rsidRPr="00F76351">
        <w:rPr>
          <w:rFonts w:ascii="Book Antiqua" w:hAnsi="Book Antiqua"/>
          <w:sz w:val="24"/>
        </w:rPr>
        <w:t xml:space="preserve">In this research, we constructed plasmids containing </w:t>
      </w:r>
      <w:proofErr w:type="spellStart"/>
      <w:r w:rsidRPr="00F76351">
        <w:rPr>
          <w:rFonts w:ascii="Book Antiqua" w:hAnsi="Book Antiqua"/>
          <w:sz w:val="24"/>
        </w:rPr>
        <w:t>siRNAs</w:t>
      </w:r>
      <w:proofErr w:type="spellEnd"/>
      <w:r w:rsidRPr="00F76351">
        <w:rPr>
          <w:rFonts w:ascii="Book Antiqua" w:hAnsi="Book Antiqua"/>
          <w:sz w:val="24"/>
        </w:rPr>
        <w:t xml:space="preserve"> that targeted the expression of GHR in colon cancer cells, thereby decreasing the expression of GHR in the colon cancer tissues and blocking the GHR-induced signal transduction that promotes tumor cell growth. The results demonstrated that, compared to the </w:t>
      </w:r>
      <w:r w:rsidRPr="00F76351">
        <w:rPr>
          <w:rFonts w:ascii="Book Antiqua" w:hAnsi="Book Antiqua"/>
          <w:kern w:val="0"/>
          <w:sz w:val="24"/>
        </w:rPr>
        <w:t xml:space="preserve">control group, the </w:t>
      </w:r>
      <w:r w:rsidRPr="00F76351">
        <w:rPr>
          <w:rFonts w:ascii="Book Antiqua" w:hAnsi="Book Antiqua"/>
          <w:sz w:val="24"/>
        </w:rPr>
        <w:t xml:space="preserve">tumor volume and the mRNA and protein expression of GHR in the tumor tissue significantly decreased. Additionally, the combination of GHR silencing and 5-FU treatment had an anti-tumor </w:t>
      </w:r>
      <w:r w:rsidRPr="00F76351">
        <w:rPr>
          <w:rFonts w:ascii="Book Antiqua" w:hAnsi="Book Antiqua"/>
          <w:bCs/>
          <w:sz w:val="24"/>
        </w:rPr>
        <w:t>effect</w:t>
      </w:r>
      <w:r w:rsidRPr="00F76351">
        <w:rPr>
          <w:rFonts w:ascii="Book Antiqua" w:hAnsi="Book Antiqua"/>
          <w:sz w:val="24"/>
        </w:rPr>
        <w:t>.</w:t>
      </w:r>
      <w:r w:rsidRPr="00F76351">
        <w:rPr>
          <w:rFonts w:ascii="Book Antiqua" w:hAnsi="Book Antiqua"/>
          <w:bCs/>
          <w:sz w:val="24"/>
        </w:rPr>
        <w:t xml:space="preserve"> After the </w:t>
      </w:r>
      <w:proofErr w:type="spellStart"/>
      <w:r w:rsidRPr="00F76351">
        <w:rPr>
          <w:rFonts w:ascii="Book Antiqua" w:hAnsi="Book Antiqua"/>
          <w:bCs/>
          <w:sz w:val="24"/>
        </w:rPr>
        <w:t>siRNA</w:t>
      </w:r>
      <w:proofErr w:type="spellEnd"/>
      <w:r w:rsidRPr="00F76351">
        <w:rPr>
          <w:rFonts w:ascii="Book Antiqua" w:hAnsi="Book Antiqua"/>
          <w:bCs/>
          <w:sz w:val="24"/>
        </w:rPr>
        <w:t xml:space="preserve"> blocked the expression of GHR in the tumor tissue, the addition of GH can bind to the GHR in the normal tissue. As a result, the weight and nutrition of the nude mice may improve, and GH treatment increases the nude mice’s tolerance towards chemotherapy and increases the </w:t>
      </w:r>
      <w:proofErr w:type="spellStart"/>
      <w:r w:rsidRPr="00F76351">
        <w:rPr>
          <w:rFonts w:ascii="Book Antiqua" w:hAnsi="Book Antiqua"/>
          <w:bCs/>
          <w:sz w:val="24"/>
        </w:rPr>
        <w:t>chemosensitivity</w:t>
      </w:r>
      <w:proofErr w:type="spellEnd"/>
      <w:r w:rsidRPr="00F76351">
        <w:rPr>
          <w:rFonts w:ascii="Book Antiqua" w:hAnsi="Book Antiqua"/>
          <w:bCs/>
          <w:sz w:val="24"/>
        </w:rPr>
        <w:t xml:space="preserve"> of the tumor cells</w:t>
      </w:r>
      <w:r w:rsidRPr="00F76351">
        <w:rPr>
          <w:rFonts w:ascii="Book Antiqua" w:hAnsi="Book Antiqua"/>
          <w:sz w:val="24"/>
          <w:vertAlign w:val="superscript"/>
        </w:rPr>
        <w:t>[9]</w:t>
      </w:r>
      <w:r w:rsidRPr="00F76351">
        <w:rPr>
          <w:rFonts w:ascii="Book Antiqua" w:hAnsi="Book Antiqua"/>
          <w:bCs/>
          <w:sz w:val="24"/>
        </w:rPr>
        <w:t xml:space="preserve">. Compared with the other experimental groups, the </w:t>
      </w:r>
      <w:r w:rsidRPr="00F76351">
        <w:rPr>
          <w:rFonts w:ascii="Book Antiqua" w:hAnsi="Book Antiqua"/>
          <w:sz w:val="24"/>
        </w:rPr>
        <w:t>FU+G</w:t>
      </w:r>
      <w:r w:rsidRPr="00F76351">
        <w:rPr>
          <w:rFonts w:ascii="Book Antiqua" w:hAnsi="Book Antiqua"/>
          <w:sz w:val="24"/>
          <w:vertAlign w:val="subscript"/>
        </w:rPr>
        <w:t>2</w:t>
      </w:r>
      <w:r w:rsidRPr="00F76351">
        <w:rPr>
          <w:rFonts w:ascii="Book Antiqua" w:hAnsi="Book Antiqua"/>
          <w:sz w:val="24"/>
        </w:rPr>
        <w:t xml:space="preserve">+GH group had no significant difference in its reduced tumor volume or decreased expression of </w:t>
      </w:r>
      <w:r w:rsidRPr="00F76351">
        <w:rPr>
          <w:rFonts w:ascii="Book Antiqua" w:hAnsi="Book Antiqua"/>
          <w:sz w:val="24"/>
        </w:rPr>
        <w:lastRenderedPageBreak/>
        <w:t>GHR protein and mRNA.</w:t>
      </w:r>
    </w:p>
    <w:p w:rsidR="00ED4098" w:rsidRPr="00F76351" w:rsidRDefault="00ED4098" w:rsidP="000F1768">
      <w:pPr>
        <w:spacing w:line="360" w:lineRule="auto"/>
        <w:ind w:firstLine="720"/>
        <w:rPr>
          <w:rFonts w:ascii="Book Antiqua" w:hAnsi="Book Antiqua"/>
          <w:sz w:val="24"/>
        </w:rPr>
      </w:pPr>
      <w:r w:rsidRPr="00F76351">
        <w:rPr>
          <w:rFonts w:ascii="Book Antiqua" w:hAnsi="Book Antiqua"/>
          <w:sz w:val="24"/>
        </w:rPr>
        <w:t xml:space="preserve">Our research showed that the </w:t>
      </w:r>
      <w:proofErr w:type="spellStart"/>
      <w:r w:rsidRPr="00F76351">
        <w:rPr>
          <w:rFonts w:ascii="Book Antiqua" w:hAnsi="Book Antiqua"/>
          <w:sz w:val="24"/>
        </w:rPr>
        <w:t>siRNA</w:t>
      </w:r>
      <w:proofErr w:type="spellEnd"/>
      <w:r w:rsidRPr="00F76351">
        <w:rPr>
          <w:rFonts w:ascii="Book Antiqua" w:hAnsi="Book Antiqua"/>
          <w:sz w:val="24"/>
        </w:rPr>
        <w:t xml:space="preserve"> containing plasmid influenced the expression of GHR in the colon cancer cells and played an anti-tumor role in the nude mice.</w:t>
      </w: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ind w:left="360" w:hanging="360"/>
        <w:rPr>
          <w:rFonts w:ascii="Book Antiqua" w:hAnsi="Book Antiqua"/>
          <w:sz w:val="24"/>
        </w:rPr>
      </w:pPr>
      <w:r w:rsidRPr="00F76351">
        <w:rPr>
          <w:rFonts w:ascii="Book Antiqua" w:hAnsi="Book Antiqua"/>
          <w:b/>
          <w:sz w:val="24"/>
        </w:rPr>
        <w:lastRenderedPageBreak/>
        <w:t>COMMENTS</w:t>
      </w:r>
    </w:p>
    <w:p w:rsidR="00ED4098" w:rsidRPr="00F76351" w:rsidRDefault="00ED4098" w:rsidP="00204E64">
      <w:pPr>
        <w:spacing w:line="360" w:lineRule="auto"/>
        <w:rPr>
          <w:rFonts w:ascii="Book Antiqua" w:hAnsi="Book Antiqua"/>
          <w:b/>
          <w:bCs/>
          <w:i/>
          <w:sz w:val="24"/>
        </w:rPr>
      </w:pPr>
      <w:r w:rsidRPr="00F76351">
        <w:rPr>
          <w:rFonts w:ascii="Book Antiqua" w:hAnsi="Book Antiqua"/>
          <w:b/>
          <w:bCs/>
          <w:i/>
          <w:sz w:val="24"/>
        </w:rPr>
        <w:t>Background</w:t>
      </w:r>
    </w:p>
    <w:p w:rsidR="00ED4098" w:rsidRPr="00F76351" w:rsidRDefault="00ED4098" w:rsidP="00204E64">
      <w:pPr>
        <w:spacing w:line="360" w:lineRule="auto"/>
        <w:rPr>
          <w:rFonts w:ascii="Book Antiqua" w:hAnsi="Book Antiqua"/>
          <w:kern w:val="0"/>
          <w:sz w:val="24"/>
        </w:rPr>
      </w:pPr>
      <w:r w:rsidRPr="00F76351">
        <w:rPr>
          <w:rFonts w:ascii="Book Antiqua" w:hAnsi="Book Antiqua"/>
          <w:sz w:val="24"/>
        </w:rPr>
        <w:t xml:space="preserve">Human </w:t>
      </w:r>
      <w:r w:rsidRPr="00F76351">
        <w:rPr>
          <w:rFonts w:ascii="Book Antiqua" w:hAnsi="Book Antiqua"/>
          <w:kern w:val="0"/>
          <w:sz w:val="24"/>
        </w:rPr>
        <w:t>growth hormone receptor (GHR) is highly expressed in colon cancer tissues. In addition, less differentiated tumor tissues</w:t>
      </w:r>
      <w:r w:rsidRPr="00F76351">
        <w:rPr>
          <w:rFonts w:ascii="Book Antiqua" w:hAnsi="Book Antiqua"/>
          <w:sz w:val="24"/>
        </w:rPr>
        <w:t xml:space="preserve"> have higher levels of GHR expression. During tumor development, the expression of GHR increases. Some researchers believe that the expression of GHR in tumor tissue is linked with the </w:t>
      </w:r>
      <w:r w:rsidRPr="00F76351">
        <w:rPr>
          <w:rFonts w:ascii="Book Antiqua" w:hAnsi="Book Antiqua"/>
          <w:bCs/>
          <w:kern w:val="36"/>
          <w:sz w:val="24"/>
        </w:rPr>
        <w:t xml:space="preserve">vegetative state of the tumor, and </w:t>
      </w:r>
      <w:r w:rsidRPr="00F76351">
        <w:rPr>
          <w:rFonts w:ascii="Book Antiqua" w:hAnsi="Book Antiqua"/>
          <w:sz w:val="24"/>
        </w:rPr>
        <w:t xml:space="preserve">GH/GHR plays an important role in the emergence and development of colon cancer. After specific binding between GH and GHR in tumor tissue, the JAK-STAT signal </w:t>
      </w:r>
      <w:r w:rsidRPr="00F76351">
        <w:rPr>
          <w:rFonts w:ascii="Book Antiqua" w:hAnsi="Book Antiqua"/>
          <w:kern w:val="0"/>
          <w:sz w:val="24"/>
        </w:rPr>
        <w:t xml:space="preserve">transduction pathway </w:t>
      </w:r>
      <w:r w:rsidRPr="00F76351">
        <w:rPr>
          <w:rFonts w:ascii="Book Antiqua" w:hAnsi="Book Antiqua"/>
          <w:sz w:val="24"/>
        </w:rPr>
        <w:t xml:space="preserve">is activated, leading to improved cell growth and </w:t>
      </w:r>
      <w:r w:rsidRPr="00F76351">
        <w:rPr>
          <w:rFonts w:ascii="Book Antiqua" w:hAnsi="Book Antiqua"/>
          <w:kern w:val="0"/>
          <w:sz w:val="24"/>
        </w:rPr>
        <w:t>proliferation.</w:t>
      </w: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b/>
          <w:bCs/>
          <w:i/>
          <w:sz w:val="24"/>
        </w:rPr>
      </w:pPr>
      <w:r w:rsidRPr="00F76351">
        <w:rPr>
          <w:rFonts w:ascii="Book Antiqua" w:hAnsi="Book Antiqua"/>
          <w:b/>
          <w:bCs/>
          <w:i/>
          <w:sz w:val="24"/>
        </w:rPr>
        <w:t>Research frontiers</w:t>
      </w:r>
    </w:p>
    <w:p w:rsidR="00ED4098" w:rsidRPr="00F76351" w:rsidRDefault="00ED4098" w:rsidP="00204E64">
      <w:pPr>
        <w:spacing w:line="360" w:lineRule="auto"/>
        <w:rPr>
          <w:rFonts w:ascii="Book Antiqua" w:hAnsi="Book Antiqua"/>
          <w:sz w:val="24"/>
        </w:rPr>
      </w:pPr>
      <w:r w:rsidRPr="00F76351">
        <w:rPr>
          <w:rFonts w:ascii="Book Antiqua" w:hAnsi="Book Antiqua"/>
          <w:kern w:val="0"/>
          <w:sz w:val="24"/>
        </w:rPr>
        <w:t>S</w:t>
      </w:r>
      <w:r w:rsidRPr="00F76351">
        <w:rPr>
          <w:rFonts w:ascii="Book Antiqua" w:hAnsi="Book Antiqua"/>
          <w:sz w:val="24"/>
        </w:rPr>
        <w:t>ignal transduction therapy is a commonly used chemotherapy strategy, and currently, treatment often involves the use of small interfering RNAs (</w:t>
      </w:r>
      <w:proofErr w:type="spellStart"/>
      <w:r w:rsidRPr="00F76351">
        <w:rPr>
          <w:rFonts w:ascii="Book Antiqua" w:hAnsi="Book Antiqua"/>
          <w:sz w:val="24"/>
        </w:rPr>
        <w:t>siRNAs</w:t>
      </w:r>
      <w:proofErr w:type="spellEnd"/>
      <w:r w:rsidRPr="00F76351">
        <w:rPr>
          <w:rFonts w:ascii="Book Antiqua" w:hAnsi="Book Antiqua"/>
          <w:sz w:val="24"/>
        </w:rPr>
        <w:t xml:space="preserve">) that target different signal transduction pathways. </w:t>
      </w:r>
      <w:proofErr w:type="spellStart"/>
      <w:r w:rsidRPr="00F76351">
        <w:rPr>
          <w:rFonts w:ascii="Book Antiqua" w:hAnsi="Book Antiqua"/>
          <w:sz w:val="24"/>
        </w:rPr>
        <w:t>RNAi</w:t>
      </w:r>
      <w:proofErr w:type="spellEnd"/>
      <w:r w:rsidRPr="00F76351">
        <w:rPr>
          <w:rFonts w:ascii="Book Antiqua" w:hAnsi="Book Antiqua"/>
          <w:sz w:val="24"/>
        </w:rPr>
        <w:t xml:space="preserve"> refers to </w:t>
      </w:r>
      <w:r w:rsidRPr="00F76351">
        <w:rPr>
          <w:rFonts w:ascii="Book Antiqua" w:hAnsi="Book Antiqua"/>
          <w:kern w:val="0"/>
          <w:sz w:val="24"/>
        </w:rPr>
        <w:t xml:space="preserve">complementary </w:t>
      </w:r>
      <w:r w:rsidRPr="00F76351">
        <w:rPr>
          <w:rFonts w:ascii="Book Antiqua" w:hAnsi="Book Antiqua"/>
          <w:sz w:val="24"/>
        </w:rPr>
        <w:t>double-stranded RNAs (</w:t>
      </w:r>
      <w:proofErr w:type="spellStart"/>
      <w:r w:rsidRPr="00F76351">
        <w:rPr>
          <w:rFonts w:ascii="Book Antiqua" w:hAnsi="Book Antiqua"/>
          <w:sz w:val="24"/>
        </w:rPr>
        <w:t>dsRNAs</w:t>
      </w:r>
      <w:proofErr w:type="spellEnd"/>
      <w:r w:rsidRPr="00F76351">
        <w:rPr>
          <w:rFonts w:ascii="Book Antiqua" w:hAnsi="Book Antiqua"/>
          <w:sz w:val="24"/>
        </w:rPr>
        <w:t xml:space="preserve">) that bind </w:t>
      </w:r>
      <w:r w:rsidRPr="00F76351">
        <w:rPr>
          <w:rFonts w:ascii="Book Antiqua" w:hAnsi="Book Antiqua"/>
          <w:kern w:val="0"/>
          <w:sz w:val="24"/>
        </w:rPr>
        <w:t xml:space="preserve">endogenous </w:t>
      </w:r>
      <w:r w:rsidRPr="00F76351">
        <w:rPr>
          <w:rFonts w:ascii="Book Antiqua" w:hAnsi="Book Antiqua"/>
          <w:sz w:val="24"/>
        </w:rPr>
        <w:t>mRNAs, resulting in the specific degradation of that mRNA, which leads to decreased expression of that gene</w:t>
      </w:r>
      <w:r w:rsidRPr="00F76351">
        <w:rPr>
          <w:rFonts w:ascii="Book Antiqua" w:hAnsi="Book Antiqua"/>
          <w:kern w:val="0"/>
          <w:sz w:val="24"/>
        </w:rPr>
        <w:t xml:space="preserve">. Aiming at the relevant signal of the </w:t>
      </w:r>
      <w:proofErr w:type="spellStart"/>
      <w:r w:rsidRPr="00F76351">
        <w:rPr>
          <w:rFonts w:ascii="Book Antiqua" w:hAnsi="Book Antiqua"/>
          <w:bCs/>
          <w:sz w:val="24"/>
          <w:shd w:val="clear" w:color="auto" w:fill="FFFFFF"/>
        </w:rPr>
        <w:t>auxanodifferentiation</w:t>
      </w:r>
      <w:proofErr w:type="spellEnd"/>
      <w:r w:rsidRPr="00F76351">
        <w:rPr>
          <w:rFonts w:ascii="Book Antiqua" w:hAnsi="Book Antiqua"/>
          <w:bCs/>
          <w:sz w:val="24"/>
          <w:shd w:val="clear" w:color="auto" w:fill="FFFFFF"/>
        </w:rPr>
        <w:t xml:space="preserve"> of tumor cells that </w:t>
      </w:r>
      <w:r w:rsidRPr="00F76351">
        <w:rPr>
          <w:rFonts w:ascii="Book Antiqua" w:hAnsi="Book Antiqua"/>
          <w:kern w:val="0"/>
          <w:sz w:val="24"/>
        </w:rPr>
        <w:t xml:space="preserve">transduces </w:t>
      </w:r>
      <w:proofErr w:type="spellStart"/>
      <w:r w:rsidRPr="00F76351">
        <w:rPr>
          <w:rFonts w:ascii="Book Antiqua" w:hAnsi="Book Antiqua"/>
          <w:kern w:val="0"/>
          <w:sz w:val="24"/>
        </w:rPr>
        <w:t>iter</w:t>
      </w:r>
      <w:proofErr w:type="spellEnd"/>
      <w:r w:rsidRPr="00F76351">
        <w:rPr>
          <w:rFonts w:ascii="Book Antiqua" w:hAnsi="Book Antiqua"/>
          <w:kern w:val="0"/>
          <w:sz w:val="24"/>
        </w:rPr>
        <w:t xml:space="preserve"> and targeting the interference of the expression of crucial proteins in </w:t>
      </w:r>
      <w:r w:rsidRPr="00F76351">
        <w:rPr>
          <w:rFonts w:ascii="Book Antiqua" w:hAnsi="Book Antiqua"/>
          <w:sz w:val="24"/>
        </w:rPr>
        <w:t>transduction pathways of cell signaling can inhibit the growth of tumor specifically and highly efficiently</w:t>
      </w:r>
    </w:p>
    <w:p w:rsidR="00ED4098" w:rsidRPr="00F76351" w:rsidRDefault="00ED4098" w:rsidP="00204E64">
      <w:pPr>
        <w:spacing w:line="360" w:lineRule="auto"/>
        <w:rPr>
          <w:rFonts w:ascii="Book Antiqua" w:hAnsi="Book Antiqua"/>
          <w:kern w:val="0"/>
          <w:sz w:val="24"/>
        </w:rPr>
      </w:pPr>
    </w:p>
    <w:p w:rsidR="00ED4098" w:rsidRPr="00F76351" w:rsidRDefault="00ED4098" w:rsidP="00204E64">
      <w:pPr>
        <w:spacing w:line="360" w:lineRule="auto"/>
        <w:rPr>
          <w:rFonts w:ascii="Book Antiqua" w:hAnsi="Book Antiqua"/>
          <w:b/>
          <w:bCs/>
          <w:i/>
          <w:sz w:val="24"/>
        </w:rPr>
      </w:pPr>
      <w:r w:rsidRPr="00F76351">
        <w:rPr>
          <w:rFonts w:ascii="Book Antiqua" w:hAnsi="Book Antiqua"/>
          <w:b/>
          <w:bCs/>
          <w:i/>
          <w:sz w:val="24"/>
        </w:rPr>
        <w:t>Innovations and breakthroughs</w:t>
      </w:r>
    </w:p>
    <w:p w:rsidR="00ED4098" w:rsidRPr="00F76351" w:rsidRDefault="00ED4098" w:rsidP="00204E64">
      <w:pPr>
        <w:spacing w:line="360" w:lineRule="auto"/>
        <w:rPr>
          <w:rFonts w:ascii="Book Antiqua" w:hAnsi="Book Antiqua"/>
          <w:sz w:val="24"/>
        </w:rPr>
      </w:pPr>
      <w:r w:rsidRPr="00F76351">
        <w:rPr>
          <w:rFonts w:ascii="Book Antiqua" w:hAnsi="Book Antiqua"/>
          <w:sz w:val="24"/>
        </w:rPr>
        <w:t xml:space="preserve">In this study, </w:t>
      </w:r>
      <w:proofErr w:type="spellStart"/>
      <w:r w:rsidRPr="00F76351">
        <w:rPr>
          <w:rFonts w:ascii="Book Antiqua" w:hAnsi="Book Antiqua"/>
          <w:sz w:val="24"/>
        </w:rPr>
        <w:t>siRNA</w:t>
      </w:r>
      <w:proofErr w:type="spellEnd"/>
      <w:r w:rsidRPr="00F76351">
        <w:rPr>
          <w:rFonts w:ascii="Book Antiqua" w:hAnsi="Book Antiqua"/>
          <w:sz w:val="24"/>
        </w:rPr>
        <w:t xml:space="preserve"> targeted inhibition of the GHR gene was used to investigate GHR’s impact on the emergence and development of colon cancer and to determine how human colon cancer cells respond to the suppression of GHR gene expression.</w:t>
      </w: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b/>
          <w:bCs/>
          <w:i/>
          <w:sz w:val="24"/>
        </w:rPr>
      </w:pPr>
      <w:r w:rsidRPr="00F76351">
        <w:rPr>
          <w:rFonts w:ascii="Book Antiqua" w:hAnsi="Book Antiqua"/>
          <w:b/>
          <w:bCs/>
          <w:i/>
          <w:sz w:val="24"/>
        </w:rPr>
        <w:lastRenderedPageBreak/>
        <w:t>Applications</w:t>
      </w:r>
    </w:p>
    <w:p w:rsidR="00ED4098" w:rsidRPr="00F76351" w:rsidRDefault="00ED4098" w:rsidP="00204E64">
      <w:pPr>
        <w:spacing w:line="360" w:lineRule="auto"/>
        <w:rPr>
          <w:rFonts w:ascii="Book Antiqua" w:hAnsi="Book Antiqua"/>
          <w:sz w:val="24"/>
        </w:rPr>
      </w:pPr>
      <w:r w:rsidRPr="00F76351">
        <w:rPr>
          <w:rFonts w:ascii="Book Antiqua" w:hAnsi="Book Antiqua"/>
          <w:sz w:val="24"/>
        </w:rPr>
        <w:t xml:space="preserve">Our results showed that the </w:t>
      </w:r>
      <w:proofErr w:type="spellStart"/>
      <w:r w:rsidRPr="00F76351">
        <w:rPr>
          <w:rFonts w:ascii="Book Antiqua" w:hAnsi="Book Antiqua"/>
          <w:sz w:val="24"/>
        </w:rPr>
        <w:t>siRNA</w:t>
      </w:r>
      <w:proofErr w:type="spellEnd"/>
      <w:r w:rsidRPr="00F76351">
        <w:rPr>
          <w:rFonts w:ascii="Book Antiqua" w:hAnsi="Book Antiqua"/>
          <w:sz w:val="24"/>
        </w:rPr>
        <w:t xml:space="preserve"> containing plasmid influenced the expression of GHR in the colon cancer cells and played an anti-tumor role in the nude mice.</w:t>
      </w: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pPr>
      <w:r w:rsidRPr="00F76351">
        <w:rPr>
          <w:rFonts w:ascii="Book Antiqua" w:hAnsi="Book Antiqua"/>
          <w:b/>
          <w:bCs/>
          <w:i/>
          <w:szCs w:val="21"/>
        </w:rPr>
        <w:t>Peer review</w:t>
      </w:r>
    </w:p>
    <w:p w:rsidR="00ED4098" w:rsidRPr="00F76351" w:rsidRDefault="00ED4098" w:rsidP="00204E64">
      <w:pPr>
        <w:spacing w:line="360" w:lineRule="auto"/>
        <w:rPr>
          <w:rFonts w:ascii="Book Antiqua" w:hAnsi="Book Antiqua"/>
          <w:sz w:val="24"/>
        </w:rPr>
      </w:pPr>
      <w:r w:rsidRPr="00F76351">
        <w:rPr>
          <w:rFonts w:ascii="Book Antiqua" w:hAnsi="Book Antiqua"/>
          <w:sz w:val="24"/>
        </w:rPr>
        <w:t>The manuscript is well designed and had appropriate methodology.</w:t>
      </w:r>
    </w:p>
    <w:p w:rsidR="00ED4098" w:rsidRPr="00F76351" w:rsidRDefault="00ED4098" w:rsidP="00204E64">
      <w:pPr>
        <w:spacing w:line="360" w:lineRule="auto"/>
        <w:rPr>
          <w:rFonts w:ascii="Book Antiqua" w:hAnsi="Book Antiqua"/>
          <w:sz w:val="24"/>
        </w:rPr>
      </w:pPr>
    </w:p>
    <w:p w:rsidR="00ED4098" w:rsidRPr="00F76351" w:rsidRDefault="00ED4098" w:rsidP="00204E64">
      <w:pPr>
        <w:spacing w:line="360" w:lineRule="auto"/>
        <w:rPr>
          <w:rFonts w:ascii="Book Antiqua" w:hAnsi="Book Antiqua"/>
          <w:sz w:val="24"/>
        </w:rPr>
        <w:sectPr w:rsidR="00ED4098" w:rsidRPr="00F76351">
          <w:footerReference w:type="default" r:id="rId10"/>
          <w:pgSz w:w="11906" w:h="16838"/>
          <w:pgMar w:top="1440" w:right="1800" w:bottom="1440" w:left="1800" w:header="851" w:footer="992" w:gutter="0"/>
          <w:cols w:space="425"/>
          <w:docGrid w:type="lines" w:linePitch="312"/>
        </w:sectPr>
      </w:pPr>
    </w:p>
    <w:p w:rsidR="00ED4098" w:rsidRPr="00F76351" w:rsidRDefault="00ED4098" w:rsidP="000F1768">
      <w:pPr>
        <w:spacing w:line="360" w:lineRule="auto"/>
        <w:rPr>
          <w:rFonts w:ascii="Book Antiqua" w:hAnsi="Book Antiqua"/>
          <w:b/>
          <w:sz w:val="24"/>
        </w:rPr>
      </w:pPr>
      <w:bookmarkStart w:id="29" w:name="OLE_LINK14"/>
      <w:bookmarkStart w:id="30" w:name="OLE_LINK15"/>
      <w:bookmarkStart w:id="31" w:name="OLE_LINK23"/>
      <w:bookmarkStart w:id="32" w:name="OLE_LINK119"/>
      <w:bookmarkStart w:id="33" w:name="OLE_LINK180"/>
      <w:bookmarkStart w:id="34" w:name="OLE_LINK200"/>
      <w:bookmarkStart w:id="35" w:name="OLE_LINK30"/>
      <w:bookmarkStart w:id="36" w:name="OLE_LINK31"/>
      <w:bookmarkStart w:id="37" w:name="OLE_LINK46"/>
      <w:bookmarkStart w:id="38" w:name="OLE_LINK50"/>
      <w:bookmarkStart w:id="39" w:name="OLE_LINK168"/>
      <w:bookmarkStart w:id="40" w:name="OLE_LINK201"/>
      <w:r w:rsidRPr="00F76351">
        <w:rPr>
          <w:rFonts w:ascii="Book Antiqua" w:hAnsi="Book Antiqua"/>
          <w:b/>
          <w:sz w:val="24"/>
        </w:rPr>
        <w:lastRenderedPageBreak/>
        <w:t>REFERENCES</w:t>
      </w:r>
    </w:p>
    <w:bookmarkEnd w:id="29"/>
    <w:bookmarkEnd w:id="30"/>
    <w:bookmarkEnd w:id="31"/>
    <w:bookmarkEnd w:id="32"/>
    <w:bookmarkEnd w:id="33"/>
    <w:bookmarkEnd w:id="34"/>
    <w:bookmarkEnd w:id="35"/>
    <w:bookmarkEnd w:id="36"/>
    <w:bookmarkEnd w:id="37"/>
    <w:bookmarkEnd w:id="38"/>
    <w:bookmarkEnd w:id="39"/>
    <w:bookmarkEnd w:id="40"/>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1 </w:t>
      </w:r>
      <w:r w:rsidRPr="00F76351">
        <w:rPr>
          <w:rFonts w:ascii="Book Antiqua" w:hAnsi="Book Antiqua" w:cs="宋体"/>
          <w:b/>
          <w:bCs/>
          <w:kern w:val="0"/>
          <w:sz w:val="24"/>
        </w:rPr>
        <w:t>Lincoln DT</w:t>
      </w:r>
      <w:r w:rsidRPr="00F76351">
        <w:rPr>
          <w:rFonts w:ascii="Book Antiqua" w:hAnsi="Book Antiqua" w:cs="宋体"/>
          <w:kern w:val="0"/>
          <w:sz w:val="24"/>
        </w:rPr>
        <w:t xml:space="preserve">, Kaiser HE, </w:t>
      </w:r>
      <w:proofErr w:type="spellStart"/>
      <w:r w:rsidRPr="00F76351">
        <w:rPr>
          <w:rFonts w:ascii="Book Antiqua" w:hAnsi="Book Antiqua" w:cs="宋体"/>
          <w:kern w:val="0"/>
          <w:sz w:val="24"/>
        </w:rPr>
        <w:t>Raju</w:t>
      </w:r>
      <w:proofErr w:type="spellEnd"/>
      <w:r w:rsidRPr="00F76351">
        <w:rPr>
          <w:rFonts w:ascii="Book Antiqua" w:hAnsi="Book Antiqua" w:cs="宋体"/>
          <w:kern w:val="0"/>
          <w:sz w:val="24"/>
        </w:rPr>
        <w:t xml:space="preserve"> GP, Waters MJ. Growth hormone and colorectal carcinoma: localization of receptors. </w:t>
      </w:r>
      <w:r w:rsidRPr="00F76351">
        <w:rPr>
          <w:rFonts w:ascii="Book Antiqua" w:hAnsi="Book Antiqua" w:cs="宋体"/>
          <w:i/>
          <w:iCs/>
          <w:kern w:val="0"/>
          <w:sz w:val="24"/>
        </w:rPr>
        <w:t>In Vivo</w:t>
      </w:r>
      <w:r w:rsidRPr="00F76351">
        <w:rPr>
          <w:rFonts w:ascii="Book Antiqua" w:hAnsi="Book Antiqua" w:cs="宋体"/>
          <w:kern w:val="0"/>
          <w:sz w:val="24"/>
        </w:rPr>
        <w:t> 2000; </w:t>
      </w:r>
      <w:r w:rsidRPr="00F76351">
        <w:rPr>
          <w:rFonts w:ascii="Book Antiqua" w:hAnsi="Book Antiqua" w:cs="宋体"/>
          <w:b/>
          <w:bCs/>
          <w:kern w:val="0"/>
          <w:sz w:val="24"/>
        </w:rPr>
        <w:t>14</w:t>
      </w:r>
      <w:r w:rsidRPr="00F76351">
        <w:rPr>
          <w:rFonts w:ascii="Book Antiqua" w:hAnsi="Book Antiqua" w:cs="宋体"/>
          <w:kern w:val="0"/>
          <w:sz w:val="24"/>
        </w:rPr>
        <w:t>: 41-49 [PMID: 10757060]</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2 </w:t>
      </w:r>
      <w:r w:rsidRPr="00F76351">
        <w:rPr>
          <w:rFonts w:ascii="Book Antiqua" w:hAnsi="Book Antiqua" w:cs="宋体"/>
          <w:b/>
          <w:bCs/>
          <w:kern w:val="0"/>
          <w:sz w:val="24"/>
        </w:rPr>
        <w:t>Brown RJ</w:t>
      </w:r>
      <w:r w:rsidRPr="00F76351">
        <w:rPr>
          <w:rFonts w:ascii="Book Antiqua" w:hAnsi="Book Antiqua" w:cs="宋体"/>
          <w:kern w:val="0"/>
          <w:sz w:val="24"/>
        </w:rPr>
        <w:t xml:space="preserve">, Adams JJ, </w:t>
      </w:r>
      <w:proofErr w:type="spellStart"/>
      <w:r w:rsidRPr="00F76351">
        <w:rPr>
          <w:rFonts w:ascii="Book Antiqua" w:hAnsi="Book Antiqua" w:cs="宋体"/>
          <w:kern w:val="0"/>
          <w:sz w:val="24"/>
        </w:rPr>
        <w:t>Pelekanos</w:t>
      </w:r>
      <w:proofErr w:type="spellEnd"/>
      <w:r w:rsidRPr="00F76351">
        <w:rPr>
          <w:rFonts w:ascii="Book Antiqua" w:hAnsi="Book Antiqua" w:cs="宋体"/>
          <w:kern w:val="0"/>
          <w:sz w:val="24"/>
        </w:rPr>
        <w:t xml:space="preserve"> RA, Wan Y, </w:t>
      </w:r>
      <w:proofErr w:type="spellStart"/>
      <w:r w:rsidRPr="00F76351">
        <w:rPr>
          <w:rFonts w:ascii="Book Antiqua" w:hAnsi="Book Antiqua" w:cs="宋体"/>
          <w:kern w:val="0"/>
          <w:sz w:val="24"/>
        </w:rPr>
        <w:t>McKinstry</w:t>
      </w:r>
      <w:proofErr w:type="spellEnd"/>
      <w:r w:rsidRPr="00F76351">
        <w:rPr>
          <w:rFonts w:ascii="Book Antiqua" w:hAnsi="Book Antiqua" w:cs="宋体"/>
          <w:kern w:val="0"/>
          <w:sz w:val="24"/>
        </w:rPr>
        <w:t xml:space="preserve"> WJ, </w:t>
      </w:r>
      <w:proofErr w:type="spellStart"/>
      <w:r w:rsidRPr="00F76351">
        <w:rPr>
          <w:rFonts w:ascii="Book Antiqua" w:hAnsi="Book Antiqua" w:cs="宋体"/>
          <w:kern w:val="0"/>
          <w:sz w:val="24"/>
        </w:rPr>
        <w:t>Palethorpe</w:t>
      </w:r>
      <w:proofErr w:type="spellEnd"/>
      <w:r w:rsidRPr="00F76351">
        <w:rPr>
          <w:rFonts w:ascii="Book Antiqua" w:hAnsi="Book Antiqua" w:cs="宋体"/>
          <w:kern w:val="0"/>
          <w:sz w:val="24"/>
        </w:rPr>
        <w:t xml:space="preserve"> K, </w:t>
      </w:r>
      <w:proofErr w:type="spellStart"/>
      <w:r w:rsidRPr="00F76351">
        <w:rPr>
          <w:rFonts w:ascii="Book Antiqua" w:hAnsi="Book Antiqua" w:cs="宋体"/>
          <w:kern w:val="0"/>
          <w:sz w:val="24"/>
        </w:rPr>
        <w:t>Seeber</w:t>
      </w:r>
      <w:proofErr w:type="spellEnd"/>
      <w:r w:rsidRPr="00F76351">
        <w:rPr>
          <w:rFonts w:ascii="Book Antiqua" w:hAnsi="Book Antiqua" w:cs="宋体"/>
          <w:kern w:val="0"/>
          <w:sz w:val="24"/>
        </w:rPr>
        <w:t xml:space="preserve"> RM, Monks TA, </w:t>
      </w:r>
      <w:proofErr w:type="spellStart"/>
      <w:r w:rsidRPr="00F76351">
        <w:rPr>
          <w:rFonts w:ascii="Book Antiqua" w:hAnsi="Book Antiqua" w:cs="宋体"/>
          <w:kern w:val="0"/>
          <w:sz w:val="24"/>
        </w:rPr>
        <w:t>Eidne</w:t>
      </w:r>
      <w:proofErr w:type="spellEnd"/>
      <w:r w:rsidRPr="00F76351">
        <w:rPr>
          <w:rFonts w:ascii="Book Antiqua" w:hAnsi="Book Antiqua" w:cs="宋体"/>
          <w:kern w:val="0"/>
          <w:sz w:val="24"/>
        </w:rPr>
        <w:t xml:space="preserve"> KA, Parker MW, Waters MJ. Model for growth hormone receptor activation based on subunit rotation within a receptor dimer. </w:t>
      </w:r>
      <w:r w:rsidRPr="00F76351">
        <w:rPr>
          <w:rFonts w:ascii="Book Antiqua" w:hAnsi="Book Antiqua" w:cs="宋体"/>
          <w:i/>
          <w:iCs/>
          <w:kern w:val="0"/>
          <w:sz w:val="24"/>
        </w:rPr>
        <w:t xml:space="preserve">Nat </w:t>
      </w:r>
      <w:proofErr w:type="spellStart"/>
      <w:r w:rsidRPr="00F76351">
        <w:rPr>
          <w:rFonts w:ascii="Book Antiqua" w:hAnsi="Book Antiqua" w:cs="宋体"/>
          <w:i/>
          <w:iCs/>
          <w:kern w:val="0"/>
          <w:sz w:val="24"/>
        </w:rPr>
        <w:t>Struct</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Mol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Biol</w:t>
      </w:r>
      <w:proofErr w:type="spellEnd"/>
      <w:r w:rsidRPr="00F76351">
        <w:rPr>
          <w:rFonts w:ascii="Book Antiqua" w:hAnsi="Book Antiqua" w:cs="宋体"/>
          <w:kern w:val="0"/>
          <w:sz w:val="24"/>
        </w:rPr>
        <w:t> 2005; </w:t>
      </w:r>
      <w:r w:rsidRPr="00F76351">
        <w:rPr>
          <w:rFonts w:ascii="Book Antiqua" w:hAnsi="Book Antiqua" w:cs="宋体"/>
          <w:b/>
          <w:bCs/>
          <w:kern w:val="0"/>
          <w:sz w:val="24"/>
        </w:rPr>
        <w:t>12</w:t>
      </w:r>
      <w:r w:rsidRPr="00F76351">
        <w:rPr>
          <w:rFonts w:ascii="Book Antiqua" w:hAnsi="Book Antiqua" w:cs="宋体"/>
          <w:kern w:val="0"/>
          <w:sz w:val="24"/>
        </w:rPr>
        <w:t>: 814-821 [PMID: 16116438 DOI: 10.1038/nsmb977]</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3 </w:t>
      </w:r>
      <w:proofErr w:type="spellStart"/>
      <w:r w:rsidRPr="00F76351">
        <w:rPr>
          <w:rFonts w:ascii="Book Antiqua" w:hAnsi="Book Antiqua" w:cs="宋体"/>
          <w:b/>
          <w:bCs/>
          <w:kern w:val="0"/>
          <w:sz w:val="24"/>
        </w:rPr>
        <w:t>Swerdlow</w:t>
      </w:r>
      <w:proofErr w:type="spellEnd"/>
      <w:r w:rsidRPr="00F76351">
        <w:rPr>
          <w:rFonts w:ascii="Book Antiqua" w:hAnsi="Book Antiqua" w:cs="宋体"/>
          <w:b/>
          <w:bCs/>
          <w:kern w:val="0"/>
          <w:sz w:val="24"/>
        </w:rPr>
        <w:t xml:space="preserve"> AJ</w:t>
      </w:r>
      <w:r w:rsidRPr="00F76351">
        <w:rPr>
          <w:rFonts w:ascii="Book Antiqua" w:hAnsi="Book Antiqua" w:cs="宋体"/>
          <w:kern w:val="0"/>
          <w:sz w:val="24"/>
        </w:rPr>
        <w:t xml:space="preserve">, Higgins CD, </w:t>
      </w:r>
      <w:proofErr w:type="spellStart"/>
      <w:r w:rsidRPr="00F76351">
        <w:rPr>
          <w:rFonts w:ascii="Book Antiqua" w:hAnsi="Book Antiqua" w:cs="宋体"/>
          <w:kern w:val="0"/>
          <w:sz w:val="24"/>
        </w:rPr>
        <w:t>Adlard</w:t>
      </w:r>
      <w:proofErr w:type="spellEnd"/>
      <w:r w:rsidRPr="00F76351">
        <w:rPr>
          <w:rFonts w:ascii="Book Antiqua" w:hAnsi="Book Antiqua" w:cs="宋体"/>
          <w:kern w:val="0"/>
          <w:sz w:val="24"/>
        </w:rPr>
        <w:t xml:space="preserve"> P, </w:t>
      </w:r>
      <w:proofErr w:type="spellStart"/>
      <w:r w:rsidRPr="00F76351">
        <w:rPr>
          <w:rFonts w:ascii="Book Antiqua" w:hAnsi="Book Antiqua" w:cs="宋体"/>
          <w:kern w:val="0"/>
          <w:sz w:val="24"/>
        </w:rPr>
        <w:t>Preece</w:t>
      </w:r>
      <w:proofErr w:type="spellEnd"/>
      <w:r w:rsidRPr="00F76351">
        <w:rPr>
          <w:rFonts w:ascii="Book Antiqua" w:hAnsi="Book Antiqua" w:cs="宋体"/>
          <w:kern w:val="0"/>
          <w:sz w:val="24"/>
        </w:rPr>
        <w:t xml:space="preserve"> MA. Risk of cancer in patients treated with human pituitary growth hormone in the UK, 1959-85: a cohort study. </w:t>
      </w:r>
      <w:r w:rsidRPr="00F76351">
        <w:rPr>
          <w:rFonts w:ascii="Book Antiqua" w:hAnsi="Book Antiqua" w:cs="宋体"/>
          <w:i/>
          <w:iCs/>
          <w:kern w:val="0"/>
          <w:sz w:val="24"/>
        </w:rPr>
        <w:t>Lancet</w:t>
      </w:r>
      <w:r w:rsidRPr="00F76351">
        <w:rPr>
          <w:rFonts w:ascii="Book Antiqua" w:hAnsi="Book Antiqua" w:cs="宋体"/>
          <w:kern w:val="0"/>
          <w:sz w:val="24"/>
        </w:rPr>
        <w:t> 2002; </w:t>
      </w:r>
      <w:r w:rsidRPr="00F76351">
        <w:rPr>
          <w:rFonts w:ascii="Book Antiqua" w:hAnsi="Book Antiqua" w:cs="宋体"/>
          <w:b/>
          <w:bCs/>
          <w:kern w:val="0"/>
          <w:sz w:val="24"/>
        </w:rPr>
        <w:t>360</w:t>
      </w:r>
      <w:r w:rsidRPr="00F76351">
        <w:rPr>
          <w:rFonts w:ascii="Book Antiqua" w:hAnsi="Book Antiqua" w:cs="宋体"/>
          <w:kern w:val="0"/>
          <w:sz w:val="24"/>
        </w:rPr>
        <w:t>: 273-277 [PMID: 12147369 DOI: 10.1016/S0140-6736(02)09519-3]</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4 </w:t>
      </w:r>
      <w:proofErr w:type="spellStart"/>
      <w:r w:rsidRPr="00F76351">
        <w:rPr>
          <w:rFonts w:ascii="Book Antiqua" w:hAnsi="Book Antiqua" w:cs="宋体"/>
          <w:b/>
          <w:bCs/>
          <w:kern w:val="0"/>
          <w:sz w:val="24"/>
        </w:rPr>
        <w:t>Pantel</w:t>
      </w:r>
      <w:proofErr w:type="spellEnd"/>
      <w:r w:rsidRPr="00F76351">
        <w:rPr>
          <w:rFonts w:ascii="Book Antiqua" w:hAnsi="Book Antiqua" w:cs="宋体"/>
          <w:b/>
          <w:bCs/>
          <w:kern w:val="0"/>
          <w:sz w:val="24"/>
        </w:rPr>
        <w:t xml:space="preserve"> J</w:t>
      </w:r>
      <w:r w:rsidRPr="00F76351">
        <w:rPr>
          <w:rFonts w:ascii="Book Antiqua" w:hAnsi="Book Antiqua" w:cs="宋体"/>
          <w:kern w:val="0"/>
          <w:sz w:val="24"/>
        </w:rPr>
        <w:t xml:space="preserve">, </w:t>
      </w:r>
      <w:proofErr w:type="spellStart"/>
      <w:r w:rsidRPr="00F76351">
        <w:rPr>
          <w:rFonts w:ascii="Book Antiqua" w:hAnsi="Book Antiqua" w:cs="宋体"/>
          <w:kern w:val="0"/>
          <w:sz w:val="24"/>
        </w:rPr>
        <w:t>Grulich-Henn</w:t>
      </w:r>
      <w:proofErr w:type="spellEnd"/>
      <w:r w:rsidRPr="00F76351">
        <w:rPr>
          <w:rFonts w:ascii="Book Antiqua" w:hAnsi="Book Antiqua" w:cs="宋体"/>
          <w:kern w:val="0"/>
          <w:sz w:val="24"/>
        </w:rPr>
        <w:t xml:space="preserve"> J, Bettendorf M, </w:t>
      </w:r>
      <w:proofErr w:type="spellStart"/>
      <w:r w:rsidRPr="00F76351">
        <w:rPr>
          <w:rFonts w:ascii="Book Antiqua" w:hAnsi="Book Antiqua" w:cs="宋体"/>
          <w:kern w:val="0"/>
          <w:sz w:val="24"/>
        </w:rPr>
        <w:t>Strasburger</w:t>
      </w:r>
      <w:proofErr w:type="spellEnd"/>
      <w:r w:rsidRPr="00F76351">
        <w:rPr>
          <w:rFonts w:ascii="Book Antiqua" w:hAnsi="Book Antiqua" w:cs="宋体"/>
          <w:kern w:val="0"/>
          <w:sz w:val="24"/>
        </w:rPr>
        <w:t xml:space="preserve"> CJ, Heinrich U, </w:t>
      </w:r>
      <w:proofErr w:type="spellStart"/>
      <w:r w:rsidRPr="00F76351">
        <w:rPr>
          <w:rFonts w:ascii="Book Antiqua" w:hAnsi="Book Antiqua" w:cs="宋体"/>
          <w:kern w:val="0"/>
          <w:sz w:val="24"/>
        </w:rPr>
        <w:t>Amselem</w:t>
      </w:r>
      <w:proofErr w:type="spellEnd"/>
      <w:r w:rsidRPr="00F76351">
        <w:rPr>
          <w:rFonts w:ascii="Book Antiqua" w:hAnsi="Book Antiqua" w:cs="宋体"/>
          <w:kern w:val="0"/>
          <w:sz w:val="24"/>
        </w:rPr>
        <w:t xml:space="preserve"> S. Heterozygous nonsense mutation in exon 3 of the growth hormone receptor (GHR) in severe GH insensitivity (</w:t>
      </w:r>
      <w:proofErr w:type="spellStart"/>
      <w:r w:rsidRPr="00F76351">
        <w:rPr>
          <w:rFonts w:ascii="Book Antiqua" w:hAnsi="Book Antiqua" w:cs="宋体"/>
          <w:kern w:val="0"/>
          <w:sz w:val="24"/>
        </w:rPr>
        <w:t>Laron</w:t>
      </w:r>
      <w:proofErr w:type="spellEnd"/>
      <w:r w:rsidRPr="00F76351">
        <w:rPr>
          <w:rFonts w:ascii="Book Antiqua" w:hAnsi="Book Antiqua" w:cs="宋体"/>
          <w:kern w:val="0"/>
          <w:sz w:val="24"/>
        </w:rPr>
        <w:t xml:space="preserve"> syndrome) and the issue of the origin and function of the GHRd3 isoform. </w:t>
      </w:r>
      <w:r w:rsidRPr="00F76351">
        <w:rPr>
          <w:rFonts w:ascii="Book Antiqua" w:hAnsi="Book Antiqua" w:cs="宋体"/>
          <w:i/>
          <w:iCs/>
          <w:kern w:val="0"/>
          <w:sz w:val="24"/>
        </w:rPr>
        <w:t xml:space="preserve">J </w:t>
      </w:r>
      <w:proofErr w:type="spellStart"/>
      <w:r w:rsidRPr="00F76351">
        <w:rPr>
          <w:rFonts w:ascii="Book Antiqua" w:hAnsi="Book Antiqua" w:cs="宋体"/>
          <w:i/>
          <w:iCs/>
          <w:kern w:val="0"/>
          <w:sz w:val="24"/>
        </w:rPr>
        <w:t>Clin</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Endocrinol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Metab</w:t>
      </w:r>
      <w:proofErr w:type="spellEnd"/>
      <w:r w:rsidRPr="00F76351">
        <w:rPr>
          <w:rFonts w:ascii="Book Antiqua" w:hAnsi="Book Antiqua" w:cs="宋体"/>
          <w:kern w:val="0"/>
          <w:sz w:val="24"/>
        </w:rPr>
        <w:t> 2003; </w:t>
      </w:r>
      <w:r w:rsidRPr="00F76351">
        <w:rPr>
          <w:rFonts w:ascii="Book Antiqua" w:hAnsi="Book Antiqua" w:cs="宋体"/>
          <w:b/>
          <w:bCs/>
          <w:kern w:val="0"/>
          <w:sz w:val="24"/>
        </w:rPr>
        <w:t>88</w:t>
      </w:r>
      <w:r w:rsidRPr="00F76351">
        <w:rPr>
          <w:rFonts w:ascii="Book Antiqua" w:hAnsi="Book Antiqua" w:cs="宋体"/>
          <w:kern w:val="0"/>
          <w:sz w:val="24"/>
        </w:rPr>
        <w:t>: 1705-1710 [PMID: 12679461 DOI: 10.1210/jc.2002-021667]</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5 </w:t>
      </w:r>
      <w:proofErr w:type="spellStart"/>
      <w:r w:rsidRPr="00F76351">
        <w:rPr>
          <w:rFonts w:ascii="Book Antiqua" w:hAnsi="Book Antiqua" w:cs="宋体"/>
          <w:b/>
          <w:bCs/>
          <w:kern w:val="0"/>
          <w:sz w:val="24"/>
        </w:rPr>
        <w:t>Sandhu</w:t>
      </w:r>
      <w:proofErr w:type="spellEnd"/>
      <w:r w:rsidRPr="00F76351">
        <w:rPr>
          <w:rFonts w:ascii="Book Antiqua" w:hAnsi="Book Antiqua" w:cs="宋体"/>
          <w:b/>
          <w:bCs/>
          <w:kern w:val="0"/>
          <w:sz w:val="24"/>
        </w:rPr>
        <w:t xml:space="preserve"> MS</w:t>
      </w:r>
      <w:r w:rsidRPr="00F76351">
        <w:rPr>
          <w:rFonts w:ascii="Book Antiqua" w:hAnsi="Book Antiqua" w:cs="宋体"/>
          <w:kern w:val="0"/>
          <w:sz w:val="24"/>
        </w:rPr>
        <w:t xml:space="preserve">, </w:t>
      </w:r>
      <w:proofErr w:type="spellStart"/>
      <w:r w:rsidRPr="00F76351">
        <w:rPr>
          <w:rFonts w:ascii="Book Antiqua" w:hAnsi="Book Antiqua" w:cs="宋体"/>
          <w:kern w:val="0"/>
          <w:sz w:val="24"/>
        </w:rPr>
        <w:t>Dunger</w:t>
      </w:r>
      <w:proofErr w:type="spellEnd"/>
      <w:r w:rsidRPr="00F76351">
        <w:rPr>
          <w:rFonts w:ascii="Book Antiqua" w:hAnsi="Book Antiqua" w:cs="宋体"/>
          <w:kern w:val="0"/>
          <w:sz w:val="24"/>
        </w:rPr>
        <w:t xml:space="preserve"> DB, </w:t>
      </w:r>
      <w:proofErr w:type="spellStart"/>
      <w:r w:rsidRPr="00F76351">
        <w:rPr>
          <w:rFonts w:ascii="Book Antiqua" w:hAnsi="Book Antiqua" w:cs="宋体"/>
          <w:kern w:val="0"/>
          <w:sz w:val="24"/>
        </w:rPr>
        <w:t>Giovannucci</w:t>
      </w:r>
      <w:proofErr w:type="spellEnd"/>
      <w:r w:rsidRPr="00F76351">
        <w:rPr>
          <w:rFonts w:ascii="Book Antiqua" w:hAnsi="Book Antiqua" w:cs="宋体"/>
          <w:kern w:val="0"/>
          <w:sz w:val="24"/>
        </w:rPr>
        <w:t xml:space="preserve"> EL. Insulin, insulin-like growth factor-I (IGF-I), IGF binding proteins, their biologic interactions, and colorectal cancer. </w:t>
      </w:r>
      <w:r w:rsidRPr="00F76351">
        <w:rPr>
          <w:rFonts w:ascii="Book Antiqua" w:hAnsi="Book Antiqua" w:cs="宋体"/>
          <w:i/>
          <w:iCs/>
          <w:kern w:val="0"/>
          <w:sz w:val="24"/>
        </w:rPr>
        <w:t xml:space="preserve">J </w:t>
      </w:r>
      <w:proofErr w:type="spellStart"/>
      <w:r w:rsidRPr="00F76351">
        <w:rPr>
          <w:rFonts w:ascii="Book Antiqua" w:hAnsi="Book Antiqua" w:cs="宋体"/>
          <w:i/>
          <w:iCs/>
          <w:kern w:val="0"/>
          <w:sz w:val="24"/>
        </w:rPr>
        <w:t>Natl</w:t>
      </w:r>
      <w:proofErr w:type="spellEnd"/>
      <w:r w:rsidRPr="00F76351">
        <w:rPr>
          <w:rFonts w:ascii="Book Antiqua" w:hAnsi="Book Antiqua" w:cs="宋体"/>
          <w:i/>
          <w:iCs/>
          <w:kern w:val="0"/>
          <w:sz w:val="24"/>
        </w:rPr>
        <w:t xml:space="preserve"> Cancer </w:t>
      </w:r>
      <w:proofErr w:type="spellStart"/>
      <w:r w:rsidRPr="00F76351">
        <w:rPr>
          <w:rFonts w:ascii="Book Antiqua" w:hAnsi="Book Antiqua" w:cs="宋体"/>
          <w:i/>
          <w:iCs/>
          <w:kern w:val="0"/>
          <w:sz w:val="24"/>
        </w:rPr>
        <w:t>Inst</w:t>
      </w:r>
      <w:proofErr w:type="spellEnd"/>
      <w:r w:rsidRPr="00F76351">
        <w:rPr>
          <w:rFonts w:ascii="Book Antiqua" w:hAnsi="Book Antiqua" w:cs="宋体"/>
          <w:kern w:val="0"/>
          <w:sz w:val="24"/>
        </w:rPr>
        <w:t> 2002; </w:t>
      </w:r>
      <w:r w:rsidRPr="00F76351">
        <w:rPr>
          <w:rFonts w:ascii="Book Antiqua" w:hAnsi="Book Antiqua" w:cs="宋体"/>
          <w:b/>
          <w:bCs/>
          <w:kern w:val="0"/>
          <w:sz w:val="24"/>
        </w:rPr>
        <w:t>94</w:t>
      </w:r>
      <w:r w:rsidRPr="00F76351">
        <w:rPr>
          <w:rFonts w:ascii="Book Antiqua" w:hAnsi="Book Antiqua" w:cs="宋体"/>
          <w:kern w:val="0"/>
          <w:sz w:val="24"/>
        </w:rPr>
        <w:t>: 972-980 [PMID: 12096082 DOI: 10.1093/</w:t>
      </w:r>
      <w:proofErr w:type="spellStart"/>
      <w:r w:rsidRPr="00F76351">
        <w:rPr>
          <w:rFonts w:ascii="Book Antiqua" w:hAnsi="Book Antiqua" w:cs="宋体"/>
          <w:kern w:val="0"/>
          <w:sz w:val="24"/>
        </w:rPr>
        <w:t>jnci</w:t>
      </w:r>
      <w:proofErr w:type="spellEnd"/>
      <w:r w:rsidRPr="00F76351">
        <w:rPr>
          <w:rFonts w:ascii="Book Antiqua" w:hAnsi="Book Antiqua" w:cs="宋体"/>
          <w:kern w:val="0"/>
          <w:sz w:val="24"/>
        </w:rPr>
        <w:t>/94.13.972]</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6 </w:t>
      </w:r>
      <w:proofErr w:type="spellStart"/>
      <w:r w:rsidRPr="00F76351">
        <w:rPr>
          <w:rFonts w:ascii="Book Antiqua" w:hAnsi="Book Antiqua" w:cs="宋体"/>
          <w:b/>
          <w:bCs/>
          <w:kern w:val="0"/>
          <w:sz w:val="24"/>
        </w:rPr>
        <w:t>Nysom</w:t>
      </w:r>
      <w:proofErr w:type="spellEnd"/>
      <w:r w:rsidRPr="00F76351">
        <w:rPr>
          <w:rFonts w:ascii="Book Antiqua" w:hAnsi="Book Antiqua" w:cs="宋体"/>
          <w:b/>
          <w:bCs/>
          <w:kern w:val="0"/>
          <w:sz w:val="24"/>
        </w:rPr>
        <w:t xml:space="preserve"> K</w:t>
      </w:r>
      <w:r w:rsidRPr="00F76351">
        <w:rPr>
          <w:rFonts w:ascii="Book Antiqua" w:hAnsi="Book Antiqua" w:cs="宋体"/>
          <w:kern w:val="0"/>
          <w:sz w:val="24"/>
        </w:rPr>
        <w:t xml:space="preserve">, Holm K, </w:t>
      </w:r>
      <w:proofErr w:type="spellStart"/>
      <w:r w:rsidRPr="00F76351">
        <w:rPr>
          <w:rFonts w:ascii="Book Antiqua" w:hAnsi="Book Antiqua" w:cs="宋体"/>
          <w:kern w:val="0"/>
          <w:sz w:val="24"/>
        </w:rPr>
        <w:t>Michaelsen</w:t>
      </w:r>
      <w:proofErr w:type="spellEnd"/>
      <w:r w:rsidRPr="00F76351">
        <w:rPr>
          <w:rFonts w:ascii="Book Antiqua" w:hAnsi="Book Antiqua" w:cs="宋体"/>
          <w:kern w:val="0"/>
          <w:sz w:val="24"/>
        </w:rPr>
        <w:t xml:space="preserve"> KF, Hertz H, Müller J, </w:t>
      </w:r>
      <w:proofErr w:type="spellStart"/>
      <w:r w:rsidRPr="00F76351">
        <w:rPr>
          <w:rFonts w:ascii="Book Antiqua" w:hAnsi="Book Antiqua" w:cs="宋体"/>
          <w:kern w:val="0"/>
          <w:sz w:val="24"/>
        </w:rPr>
        <w:t>Mølgaard</w:t>
      </w:r>
      <w:proofErr w:type="spellEnd"/>
      <w:r w:rsidRPr="00F76351">
        <w:rPr>
          <w:rFonts w:ascii="Book Antiqua" w:hAnsi="Book Antiqua" w:cs="宋体"/>
          <w:kern w:val="0"/>
          <w:sz w:val="24"/>
        </w:rPr>
        <w:t xml:space="preserve"> C. Degree of fatness after treatment of malignant lymphoma in childhood. </w:t>
      </w:r>
      <w:r w:rsidRPr="00F76351">
        <w:rPr>
          <w:rFonts w:ascii="Book Antiqua" w:hAnsi="Book Antiqua" w:cs="宋体"/>
          <w:i/>
          <w:iCs/>
          <w:kern w:val="0"/>
          <w:sz w:val="24"/>
        </w:rPr>
        <w:t xml:space="preserve">Med </w:t>
      </w:r>
      <w:proofErr w:type="spellStart"/>
      <w:r w:rsidRPr="00F76351">
        <w:rPr>
          <w:rFonts w:ascii="Book Antiqua" w:hAnsi="Book Antiqua" w:cs="宋体"/>
          <w:i/>
          <w:iCs/>
          <w:kern w:val="0"/>
          <w:sz w:val="24"/>
        </w:rPr>
        <w:t>Pediatr</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Oncol</w:t>
      </w:r>
      <w:proofErr w:type="spellEnd"/>
      <w:r w:rsidRPr="00F76351">
        <w:rPr>
          <w:rFonts w:ascii="Book Antiqua" w:hAnsi="Book Antiqua" w:cs="宋体"/>
          <w:kern w:val="0"/>
          <w:sz w:val="24"/>
        </w:rPr>
        <w:t> 2003; </w:t>
      </w:r>
      <w:r w:rsidRPr="00F76351">
        <w:rPr>
          <w:rFonts w:ascii="Book Antiqua" w:hAnsi="Book Antiqua" w:cs="宋体"/>
          <w:b/>
          <w:bCs/>
          <w:kern w:val="0"/>
          <w:sz w:val="24"/>
        </w:rPr>
        <w:t>40</w:t>
      </w:r>
      <w:r w:rsidRPr="00F76351">
        <w:rPr>
          <w:rFonts w:ascii="Book Antiqua" w:hAnsi="Book Antiqua" w:cs="宋体"/>
          <w:kern w:val="0"/>
          <w:sz w:val="24"/>
        </w:rPr>
        <w:t>: 239-243 [PMID: 12555252 DOI: 10.1002/mpo.10260]</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7 </w:t>
      </w:r>
      <w:r w:rsidRPr="00F76351">
        <w:rPr>
          <w:rFonts w:ascii="Book Antiqua" w:hAnsi="Book Antiqua" w:cs="宋体"/>
          <w:b/>
          <w:bCs/>
          <w:kern w:val="0"/>
          <w:sz w:val="24"/>
        </w:rPr>
        <w:t>Herrington J</w:t>
      </w:r>
      <w:r w:rsidRPr="00F76351">
        <w:rPr>
          <w:rFonts w:ascii="Book Antiqua" w:hAnsi="Book Antiqua" w:cs="宋体"/>
          <w:kern w:val="0"/>
          <w:sz w:val="24"/>
        </w:rPr>
        <w:t xml:space="preserve">, </w:t>
      </w:r>
      <w:proofErr w:type="spellStart"/>
      <w:r w:rsidRPr="00F76351">
        <w:rPr>
          <w:rFonts w:ascii="Book Antiqua" w:hAnsi="Book Antiqua" w:cs="宋体"/>
          <w:kern w:val="0"/>
          <w:sz w:val="24"/>
        </w:rPr>
        <w:t>Smit</w:t>
      </w:r>
      <w:proofErr w:type="spellEnd"/>
      <w:r w:rsidRPr="00F76351">
        <w:rPr>
          <w:rFonts w:ascii="Book Antiqua" w:hAnsi="Book Antiqua" w:cs="宋体"/>
          <w:kern w:val="0"/>
          <w:sz w:val="24"/>
        </w:rPr>
        <w:t xml:space="preserve"> LS, Schwartz J, Carter-Su C. The role of STAT proteins in growth hormone signaling. </w:t>
      </w:r>
      <w:r w:rsidRPr="00F76351">
        <w:rPr>
          <w:rFonts w:ascii="Book Antiqua" w:hAnsi="Book Antiqua" w:cs="宋体"/>
          <w:i/>
          <w:iCs/>
          <w:kern w:val="0"/>
          <w:sz w:val="24"/>
        </w:rPr>
        <w:t>Oncogene</w:t>
      </w:r>
      <w:r w:rsidRPr="00F76351">
        <w:rPr>
          <w:rFonts w:ascii="Book Antiqua" w:hAnsi="Book Antiqua" w:cs="宋体"/>
          <w:kern w:val="0"/>
          <w:sz w:val="24"/>
        </w:rPr>
        <w:t> 2000; </w:t>
      </w:r>
      <w:r w:rsidRPr="00F76351">
        <w:rPr>
          <w:rFonts w:ascii="Book Antiqua" w:hAnsi="Book Antiqua" w:cs="宋体"/>
          <w:b/>
          <w:bCs/>
          <w:kern w:val="0"/>
          <w:sz w:val="24"/>
        </w:rPr>
        <w:t>19</w:t>
      </w:r>
      <w:r w:rsidRPr="00F76351">
        <w:rPr>
          <w:rFonts w:ascii="Book Antiqua" w:hAnsi="Book Antiqua" w:cs="宋体"/>
          <w:kern w:val="0"/>
          <w:sz w:val="24"/>
        </w:rPr>
        <w:t>: 2585-2597 [PMID: 10851057 DOI: 10.1038/sj.onc.1203526]</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lastRenderedPageBreak/>
        <w:t>8 </w:t>
      </w:r>
      <w:r w:rsidRPr="00F76351">
        <w:rPr>
          <w:rFonts w:ascii="Book Antiqua" w:hAnsi="Book Antiqua" w:cs="宋体"/>
          <w:b/>
          <w:bCs/>
          <w:kern w:val="0"/>
          <w:sz w:val="24"/>
        </w:rPr>
        <w:t>Waters MJ</w:t>
      </w:r>
      <w:r w:rsidRPr="00F76351">
        <w:rPr>
          <w:rFonts w:ascii="Book Antiqua" w:hAnsi="Book Antiqua" w:cs="宋体"/>
          <w:kern w:val="0"/>
          <w:sz w:val="24"/>
        </w:rPr>
        <w:t xml:space="preserve">, Hoang HN, </w:t>
      </w:r>
      <w:proofErr w:type="spellStart"/>
      <w:r w:rsidRPr="00F76351">
        <w:rPr>
          <w:rFonts w:ascii="Book Antiqua" w:hAnsi="Book Antiqua" w:cs="宋体"/>
          <w:kern w:val="0"/>
          <w:sz w:val="24"/>
        </w:rPr>
        <w:t>Fairlie</w:t>
      </w:r>
      <w:proofErr w:type="spellEnd"/>
      <w:r w:rsidRPr="00F76351">
        <w:rPr>
          <w:rFonts w:ascii="Book Antiqua" w:hAnsi="Book Antiqua" w:cs="宋体"/>
          <w:kern w:val="0"/>
          <w:sz w:val="24"/>
        </w:rPr>
        <w:t xml:space="preserve"> DP, </w:t>
      </w:r>
      <w:proofErr w:type="spellStart"/>
      <w:r w:rsidRPr="00F76351">
        <w:rPr>
          <w:rFonts w:ascii="Book Antiqua" w:hAnsi="Book Antiqua" w:cs="宋体"/>
          <w:kern w:val="0"/>
          <w:sz w:val="24"/>
        </w:rPr>
        <w:t>Pelekanos</w:t>
      </w:r>
      <w:proofErr w:type="spellEnd"/>
      <w:r w:rsidRPr="00F76351">
        <w:rPr>
          <w:rFonts w:ascii="Book Antiqua" w:hAnsi="Book Antiqua" w:cs="宋体"/>
          <w:kern w:val="0"/>
          <w:sz w:val="24"/>
        </w:rPr>
        <w:t xml:space="preserve"> RA, Brown RJ. New insights into growth hormone action. </w:t>
      </w:r>
      <w:r w:rsidRPr="00F76351">
        <w:rPr>
          <w:rFonts w:ascii="Book Antiqua" w:hAnsi="Book Antiqua" w:cs="宋体"/>
          <w:i/>
          <w:iCs/>
          <w:kern w:val="0"/>
          <w:sz w:val="24"/>
        </w:rPr>
        <w:t xml:space="preserve">J </w:t>
      </w:r>
      <w:proofErr w:type="spellStart"/>
      <w:r w:rsidRPr="00F76351">
        <w:rPr>
          <w:rFonts w:ascii="Book Antiqua" w:hAnsi="Book Antiqua" w:cs="宋体"/>
          <w:i/>
          <w:iCs/>
          <w:kern w:val="0"/>
          <w:sz w:val="24"/>
        </w:rPr>
        <w:t>Mol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Endocrinol</w:t>
      </w:r>
      <w:proofErr w:type="spellEnd"/>
      <w:r w:rsidRPr="00F76351">
        <w:rPr>
          <w:rFonts w:ascii="Book Antiqua" w:hAnsi="Book Antiqua" w:cs="宋体"/>
          <w:kern w:val="0"/>
          <w:sz w:val="24"/>
        </w:rPr>
        <w:t> 2006; </w:t>
      </w:r>
      <w:r w:rsidRPr="00F76351">
        <w:rPr>
          <w:rFonts w:ascii="Book Antiqua" w:hAnsi="Book Antiqua" w:cs="宋体"/>
          <w:b/>
          <w:bCs/>
          <w:kern w:val="0"/>
          <w:sz w:val="24"/>
        </w:rPr>
        <w:t>36</w:t>
      </w:r>
      <w:r w:rsidRPr="00F76351">
        <w:rPr>
          <w:rFonts w:ascii="Book Antiqua" w:hAnsi="Book Antiqua" w:cs="宋体"/>
          <w:kern w:val="0"/>
          <w:sz w:val="24"/>
        </w:rPr>
        <w:t>: 1-7 [PMID: 16461922 DOI: 10.1677/jme.1.01933]</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9 </w:t>
      </w:r>
      <w:r w:rsidRPr="00F76351">
        <w:rPr>
          <w:rFonts w:ascii="Book Antiqua" w:hAnsi="Book Antiqua" w:cs="宋体"/>
          <w:b/>
          <w:bCs/>
          <w:kern w:val="0"/>
          <w:sz w:val="24"/>
        </w:rPr>
        <w:t>Banerjee I</w:t>
      </w:r>
      <w:r w:rsidRPr="00F76351">
        <w:rPr>
          <w:rFonts w:ascii="Book Antiqua" w:hAnsi="Book Antiqua" w:cs="宋体"/>
          <w:kern w:val="0"/>
          <w:sz w:val="24"/>
        </w:rPr>
        <w:t>, Clayton PE. Growth hormone treatment and cancer risk. </w:t>
      </w:r>
      <w:proofErr w:type="spellStart"/>
      <w:r w:rsidRPr="00F76351">
        <w:rPr>
          <w:rFonts w:ascii="Book Antiqua" w:hAnsi="Book Antiqua" w:cs="宋体"/>
          <w:i/>
          <w:iCs/>
          <w:kern w:val="0"/>
          <w:sz w:val="24"/>
        </w:rPr>
        <w:t>Endocrinol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Metab</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Clin</w:t>
      </w:r>
      <w:proofErr w:type="spellEnd"/>
      <w:r w:rsidRPr="00F76351">
        <w:rPr>
          <w:rFonts w:ascii="Book Antiqua" w:hAnsi="Book Antiqua" w:cs="宋体"/>
          <w:i/>
          <w:iCs/>
          <w:kern w:val="0"/>
          <w:sz w:val="24"/>
        </w:rPr>
        <w:t xml:space="preserve"> North Am</w:t>
      </w:r>
      <w:r w:rsidRPr="00F76351">
        <w:rPr>
          <w:rFonts w:ascii="Book Antiqua" w:hAnsi="Book Antiqua" w:cs="宋体"/>
          <w:kern w:val="0"/>
          <w:sz w:val="24"/>
        </w:rPr>
        <w:t> 2007; </w:t>
      </w:r>
      <w:r w:rsidRPr="00F76351">
        <w:rPr>
          <w:rFonts w:ascii="Book Antiqua" w:hAnsi="Book Antiqua" w:cs="宋体"/>
          <w:b/>
          <w:bCs/>
          <w:kern w:val="0"/>
          <w:sz w:val="24"/>
        </w:rPr>
        <w:t>36</w:t>
      </w:r>
      <w:r w:rsidRPr="00F76351">
        <w:rPr>
          <w:rFonts w:ascii="Book Antiqua" w:hAnsi="Book Antiqua" w:cs="宋体"/>
          <w:kern w:val="0"/>
          <w:sz w:val="24"/>
        </w:rPr>
        <w:t>: 247-263 [PMID: 17336744 DOI: 10.1016/j.ecl.2006.11.007]</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10 </w:t>
      </w:r>
      <w:proofErr w:type="spellStart"/>
      <w:r w:rsidRPr="00F76351">
        <w:rPr>
          <w:rFonts w:ascii="Book Antiqua" w:hAnsi="Book Antiqua" w:cs="宋体"/>
          <w:b/>
          <w:bCs/>
          <w:kern w:val="0"/>
          <w:sz w:val="24"/>
        </w:rPr>
        <w:t>Jeay</w:t>
      </w:r>
      <w:proofErr w:type="spellEnd"/>
      <w:r w:rsidRPr="00F76351">
        <w:rPr>
          <w:rFonts w:ascii="Book Antiqua" w:hAnsi="Book Antiqua" w:cs="宋体"/>
          <w:b/>
          <w:bCs/>
          <w:kern w:val="0"/>
          <w:sz w:val="24"/>
        </w:rPr>
        <w:t xml:space="preserve"> S</w:t>
      </w:r>
      <w:r w:rsidRPr="00F76351">
        <w:rPr>
          <w:rFonts w:ascii="Book Antiqua" w:hAnsi="Book Antiqua" w:cs="宋体"/>
          <w:kern w:val="0"/>
          <w:sz w:val="24"/>
        </w:rPr>
        <w:t xml:space="preserve">, </w:t>
      </w:r>
      <w:proofErr w:type="spellStart"/>
      <w:r w:rsidRPr="00F76351">
        <w:rPr>
          <w:rFonts w:ascii="Book Antiqua" w:hAnsi="Book Antiqua" w:cs="宋体"/>
          <w:kern w:val="0"/>
          <w:sz w:val="24"/>
        </w:rPr>
        <w:t>Sonenshein</w:t>
      </w:r>
      <w:proofErr w:type="spellEnd"/>
      <w:r w:rsidRPr="00F76351">
        <w:rPr>
          <w:rFonts w:ascii="Book Antiqua" w:hAnsi="Book Antiqua" w:cs="宋体"/>
          <w:kern w:val="0"/>
          <w:sz w:val="24"/>
        </w:rPr>
        <w:t xml:space="preserve"> GE, </w:t>
      </w:r>
      <w:proofErr w:type="spellStart"/>
      <w:r w:rsidRPr="00F76351">
        <w:rPr>
          <w:rFonts w:ascii="Book Antiqua" w:hAnsi="Book Antiqua" w:cs="宋体"/>
          <w:kern w:val="0"/>
          <w:sz w:val="24"/>
        </w:rPr>
        <w:t>Postel-Vinay</w:t>
      </w:r>
      <w:proofErr w:type="spellEnd"/>
      <w:r w:rsidRPr="00F76351">
        <w:rPr>
          <w:rFonts w:ascii="Book Antiqua" w:hAnsi="Book Antiqua" w:cs="宋体"/>
          <w:kern w:val="0"/>
          <w:sz w:val="24"/>
        </w:rPr>
        <w:t xml:space="preserve"> MC, Kelly PA, </w:t>
      </w:r>
      <w:proofErr w:type="spellStart"/>
      <w:r w:rsidRPr="00F76351">
        <w:rPr>
          <w:rFonts w:ascii="Book Antiqua" w:hAnsi="Book Antiqua" w:cs="宋体"/>
          <w:kern w:val="0"/>
          <w:sz w:val="24"/>
        </w:rPr>
        <w:t>Baixeras</w:t>
      </w:r>
      <w:proofErr w:type="spellEnd"/>
      <w:r w:rsidRPr="00F76351">
        <w:rPr>
          <w:rFonts w:ascii="Book Antiqua" w:hAnsi="Book Antiqua" w:cs="宋体"/>
          <w:kern w:val="0"/>
          <w:sz w:val="24"/>
        </w:rPr>
        <w:t xml:space="preserve"> E. Growth hormone can act as a cytokine controlling survival and proliferation of immune cells: new insights into signaling pathways. </w:t>
      </w:r>
      <w:proofErr w:type="spellStart"/>
      <w:r w:rsidRPr="00F76351">
        <w:rPr>
          <w:rFonts w:ascii="Book Antiqua" w:hAnsi="Book Antiqua" w:cs="宋体"/>
          <w:i/>
          <w:iCs/>
          <w:kern w:val="0"/>
          <w:sz w:val="24"/>
        </w:rPr>
        <w:t>Mol</w:t>
      </w:r>
      <w:proofErr w:type="spellEnd"/>
      <w:r w:rsidRPr="00F76351">
        <w:rPr>
          <w:rFonts w:ascii="Book Antiqua" w:hAnsi="Book Antiqua" w:cs="宋体"/>
          <w:i/>
          <w:iCs/>
          <w:kern w:val="0"/>
          <w:sz w:val="24"/>
        </w:rPr>
        <w:t xml:space="preserve"> Cell </w:t>
      </w:r>
      <w:proofErr w:type="spellStart"/>
      <w:r w:rsidRPr="00F76351">
        <w:rPr>
          <w:rFonts w:ascii="Book Antiqua" w:hAnsi="Book Antiqua" w:cs="宋体"/>
          <w:i/>
          <w:iCs/>
          <w:kern w:val="0"/>
          <w:sz w:val="24"/>
        </w:rPr>
        <w:t>Endocrinol</w:t>
      </w:r>
      <w:proofErr w:type="spellEnd"/>
      <w:r w:rsidRPr="00F76351">
        <w:rPr>
          <w:rFonts w:ascii="Book Antiqua" w:hAnsi="Book Antiqua" w:cs="宋体"/>
          <w:kern w:val="0"/>
          <w:sz w:val="24"/>
        </w:rPr>
        <w:t> 2002; </w:t>
      </w:r>
      <w:r w:rsidRPr="00F76351">
        <w:rPr>
          <w:rFonts w:ascii="Book Antiqua" w:hAnsi="Book Antiqua" w:cs="宋体"/>
          <w:b/>
          <w:bCs/>
          <w:kern w:val="0"/>
          <w:sz w:val="24"/>
        </w:rPr>
        <w:t>188</w:t>
      </w:r>
      <w:r w:rsidRPr="00F76351">
        <w:rPr>
          <w:rFonts w:ascii="Book Antiqua" w:hAnsi="Book Antiqua" w:cs="宋体"/>
          <w:kern w:val="0"/>
          <w:sz w:val="24"/>
        </w:rPr>
        <w:t>: 1-7 [PMID: 11911939 DOI: 10.1016/S0303-7207(02)00014-X]</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11 </w:t>
      </w:r>
      <w:proofErr w:type="spellStart"/>
      <w:r w:rsidRPr="00F76351">
        <w:rPr>
          <w:rFonts w:ascii="Book Antiqua" w:hAnsi="Book Antiqua" w:cs="宋体"/>
          <w:b/>
          <w:bCs/>
          <w:kern w:val="0"/>
          <w:sz w:val="24"/>
        </w:rPr>
        <w:t>Divisova</w:t>
      </w:r>
      <w:proofErr w:type="spellEnd"/>
      <w:r w:rsidRPr="00F76351">
        <w:rPr>
          <w:rFonts w:ascii="Book Antiqua" w:hAnsi="Book Antiqua" w:cs="宋体"/>
          <w:b/>
          <w:bCs/>
          <w:kern w:val="0"/>
          <w:sz w:val="24"/>
        </w:rPr>
        <w:t xml:space="preserve"> J</w:t>
      </w:r>
      <w:r w:rsidRPr="00F76351">
        <w:rPr>
          <w:rFonts w:ascii="Book Antiqua" w:hAnsi="Book Antiqua" w:cs="宋体"/>
          <w:kern w:val="0"/>
          <w:sz w:val="24"/>
        </w:rPr>
        <w:t xml:space="preserve">, </w:t>
      </w:r>
      <w:proofErr w:type="spellStart"/>
      <w:r w:rsidRPr="00F76351">
        <w:rPr>
          <w:rFonts w:ascii="Book Antiqua" w:hAnsi="Book Antiqua" w:cs="宋体"/>
          <w:kern w:val="0"/>
          <w:sz w:val="24"/>
        </w:rPr>
        <w:t>Kuiatse</w:t>
      </w:r>
      <w:proofErr w:type="spellEnd"/>
      <w:r w:rsidRPr="00F76351">
        <w:rPr>
          <w:rFonts w:ascii="Book Antiqua" w:hAnsi="Book Antiqua" w:cs="宋体"/>
          <w:kern w:val="0"/>
          <w:sz w:val="24"/>
        </w:rPr>
        <w:t xml:space="preserve"> I, Lazard Z, Weiss H, Vreeland F, </w:t>
      </w:r>
      <w:proofErr w:type="spellStart"/>
      <w:r w:rsidRPr="00F76351">
        <w:rPr>
          <w:rFonts w:ascii="Book Antiqua" w:hAnsi="Book Antiqua" w:cs="宋体"/>
          <w:kern w:val="0"/>
          <w:sz w:val="24"/>
        </w:rPr>
        <w:t>Hadsell</w:t>
      </w:r>
      <w:proofErr w:type="spellEnd"/>
      <w:r w:rsidRPr="00F76351">
        <w:rPr>
          <w:rFonts w:ascii="Book Antiqua" w:hAnsi="Book Antiqua" w:cs="宋体"/>
          <w:kern w:val="0"/>
          <w:sz w:val="24"/>
        </w:rPr>
        <w:t xml:space="preserve"> DL, Schiff R, Osborne CK, Lee AV. The growth hormone receptor antagonist </w:t>
      </w:r>
      <w:proofErr w:type="spellStart"/>
      <w:r w:rsidRPr="00F76351">
        <w:rPr>
          <w:rFonts w:ascii="Book Antiqua" w:hAnsi="Book Antiqua" w:cs="宋体"/>
          <w:kern w:val="0"/>
          <w:sz w:val="24"/>
        </w:rPr>
        <w:t>pegvisomant</w:t>
      </w:r>
      <w:proofErr w:type="spellEnd"/>
      <w:r w:rsidRPr="00F76351">
        <w:rPr>
          <w:rFonts w:ascii="Book Antiqua" w:hAnsi="Book Antiqua" w:cs="宋体"/>
          <w:kern w:val="0"/>
          <w:sz w:val="24"/>
        </w:rPr>
        <w:t xml:space="preserve"> blocks both mammary gland development and MCF-7 breast cancer </w:t>
      </w:r>
      <w:proofErr w:type="spellStart"/>
      <w:r w:rsidRPr="00F76351">
        <w:rPr>
          <w:rFonts w:ascii="Book Antiqua" w:hAnsi="Book Antiqua" w:cs="宋体"/>
          <w:kern w:val="0"/>
          <w:sz w:val="24"/>
        </w:rPr>
        <w:t>xenograft</w:t>
      </w:r>
      <w:proofErr w:type="spellEnd"/>
      <w:r w:rsidRPr="00F76351">
        <w:rPr>
          <w:rFonts w:ascii="Book Antiqua" w:hAnsi="Book Antiqua" w:cs="宋体"/>
          <w:kern w:val="0"/>
          <w:sz w:val="24"/>
        </w:rPr>
        <w:t xml:space="preserve"> growth. </w:t>
      </w:r>
      <w:r w:rsidRPr="00F76351">
        <w:rPr>
          <w:rFonts w:ascii="Book Antiqua" w:hAnsi="Book Antiqua" w:cs="宋体"/>
          <w:i/>
          <w:iCs/>
          <w:kern w:val="0"/>
          <w:sz w:val="24"/>
        </w:rPr>
        <w:t>Breast Cancer Res Treat</w:t>
      </w:r>
      <w:r w:rsidRPr="00F76351">
        <w:rPr>
          <w:rFonts w:ascii="Book Antiqua" w:hAnsi="Book Antiqua" w:cs="宋体"/>
          <w:kern w:val="0"/>
          <w:sz w:val="24"/>
        </w:rPr>
        <w:t> 2006; </w:t>
      </w:r>
      <w:r w:rsidRPr="00F76351">
        <w:rPr>
          <w:rFonts w:ascii="Book Antiqua" w:hAnsi="Book Antiqua" w:cs="宋体"/>
          <w:b/>
          <w:bCs/>
          <w:kern w:val="0"/>
          <w:sz w:val="24"/>
        </w:rPr>
        <w:t>98</w:t>
      </w:r>
      <w:r w:rsidRPr="00F76351">
        <w:rPr>
          <w:rFonts w:ascii="Book Antiqua" w:hAnsi="Book Antiqua" w:cs="宋体"/>
          <w:kern w:val="0"/>
          <w:sz w:val="24"/>
        </w:rPr>
        <w:t>: 315-327 [PMID: 16541323 DOI: 10.1007/s10549-006-9168-1]</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12 </w:t>
      </w:r>
      <w:proofErr w:type="spellStart"/>
      <w:r w:rsidRPr="00F76351">
        <w:rPr>
          <w:rFonts w:ascii="Book Antiqua" w:hAnsi="Book Antiqua" w:cs="宋体"/>
          <w:b/>
          <w:bCs/>
          <w:kern w:val="0"/>
          <w:sz w:val="24"/>
        </w:rPr>
        <w:t>Borkhardt</w:t>
      </w:r>
      <w:proofErr w:type="spellEnd"/>
      <w:r w:rsidRPr="00F76351">
        <w:rPr>
          <w:rFonts w:ascii="Book Antiqua" w:hAnsi="Book Antiqua" w:cs="宋体"/>
          <w:b/>
          <w:bCs/>
          <w:kern w:val="0"/>
          <w:sz w:val="24"/>
        </w:rPr>
        <w:t xml:space="preserve"> A</w:t>
      </w:r>
      <w:r w:rsidRPr="00F76351">
        <w:rPr>
          <w:rFonts w:ascii="Book Antiqua" w:hAnsi="Book Antiqua" w:cs="宋体"/>
          <w:kern w:val="0"/>
          <w:sz w:val="24"/>
        </w:rPr>
        <w:t>. Blocking oncogenes in malignant cells by RNA interference--new hope for a highly specific cancer treatment? </w:t>
      </w:r>
      <w:r w:rsidRPr="00F76351">
        <w:rPr>
          <w:rFonts w:ascii="Book Antiqua" w:hAnsi="Book Antiqua" w:cs="宋体"/>
          <w:i/>
          <w:iCs/>
          <w:kern w:val="0"/>
          <w:sz w:val="24"/>
        </w:rPr>
        <w:t>Cancer Cell</w:t>
      </w:r>
      <w:r w:rsidRPr="00F76351">
        <w:rPr>
          <w:rFonts w:ascii="Book Antiqua" w:hAnsi="Book Antiqua" w:cs="宋体"/>
          <w:kern w:val="0"/>
          <w:sz w:val="24"/>
        </w:rPr>
        <w:t> 2002; </w:t>
      </w:r>
      <w:r w:rsidRPr="00F76351">
        <w:rPr>
          <w:rFonts w:ascii="Book Antiqua" w:hAnsi="Book Antiqua" w:cs="宋体"/>
          <w:b/>
          <w:bCs/>
          <w:kern w:val="0"/>
          <w:sz w:val="24"/>
        </w:rPr>
        <w:t>2</w:t>
      </w:r>
      <w:r w:rsidRPr="00F76351">
        <w:rPr>
          <w:rFonts w:ascii="Book Antiqua" w:hAnsi="Book Antiqua" w:cs="宋体"/>
          <w:kern w:val="0"/>
          <w:sz w:val="24"/>
        </w:rPr>
        <w:t>: 167-168 [PMID: 12242146 DOI: 10.1016/S1535-6108(02)00129-0]</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13 </w:t>
      </w:r>
      <w:proofErr w:type="spellStart"/>
      <w:r w:rsidRPr="00F76351">
        <w:rPr>
          <w:rFonts w:ascii="Book Antiqua" w:hAnsi="Book Antiqua" w:cs="宋体"/>
          <w:b/>
          <w:bCs/>
          <w:kern w:val="0"/>
          <w:sz w:val="24"/>
        </w:rPr>
        <w:t>Lassus</w:t>
      </w:r>
      <w:proofErr w:type="spellEnd"/>
      <w:r w:rsidRPr="00F76351">
        <w:rPr>
          <w:rFonts w:ascii="Book Antiqua" w:hAnsi="Book Antiqua" w:cs="宋体"/>
          <w:b/>
          <w:bCs/>
          <w:kern w:val="0"/>
          <w:sz w:val="24"/>
        </w:rPr>
        <w:t xml:space="preserve"> P</w:t>
      </w:r>
      <w:r w:rsidRPr="00F76351">
        <w:rPr>
          <w:rFonts w:ascii="Book Antiqua" w:hAnsi="Book Antiqua" w:cs="宋体"/>
          <w:kern w:val="0"/>
          <w:sz w:val="24"/>
        </w:rPr>
        <w:t xml:space="preserve">, Rodriguez J, </w:t>
      </w:r>
      <w:proofErr w:type="spellStart"/>
      <w:r w:rsidRPr="00F76351">
        <w:rPr>
          <w:rFonts w:ascii="Book Antiqua" w:hAnsi="Book Antiqua" w:cs="宋体"/>
          <w:kern w:val="0"/>
          <w:sz w:val="24"/>
        </w:rPr>
        <w:t>Lazebnik</w:t>
      </w:r>
      <w:proofErr w:type="spellEnd"/>
      <w:r w:rsidRPr="00F76351">
        <w:rPr>
          <w:rFonts w:ascii="Book Antiqua" w:hAnsi="Book Antiqua" w:cs="宋体"/>
          <w:kern w:val="0"/>
          <w:sz w:val="24"/>
        </w:rPr>
        <w:t xml:space="preserve"> Y. Confirming specificity of </w:t>
      </w:r>
      <w:proofErr w:type="spellStart"/>
      <w:r w:rsidRPr="00F76351">
        <w:rPr>
          <w:rFonts w:ascii="Book Antiqua" w:hAnsi="Book Antiqua" w:cs="宋体"/>
          <w:kern w:val="0"/>
          <w:sz w:val="24"/>
        </w:rPr>
        <w:t>RNAi</w:t>
      </w:r>
      <w:proofErr w:type="spellEnd"/>
      <w:r w:rsidRPr="00F76351">
        <w:rPr>
          <w:rFonts w:ascii="Book Antiqua" w:hAnsi="Book Antiqua" w:cs="宋体"/>
          <w:kern w:val="0"/>
          <w:sz w:val="24"/>
        </w:rPr>
        <w:t xml:space="preserve"> in mammalian cells. </w:t>
      </w:r>
      <w:proofErr w:type="spellStart"/>
      <w:r w:rsidRPr="00F76351">
        <w:rPr>
          <w:rFonts w:ascii="Book Antiqua" w:hAnsi="Book Antiqua" w:cs="宋体"/>
          <w:i/>
          <w:iCs/>
          <w:kern w:val="0"/>
          <w:sz w:val="24"/>
        </w:rPr>
        <w:t>Sci</w:t>
      </w:r>
      <w:proofErr w:type="spellEnd"/>
      <w:r w:rsidRPr="00F76351">
        <w:rPr>
          <w:rFonts w:ascii="Book Antiqua" w:hAnsi="Book Antiqua" w:cs="宋体"/>
          <w:i/>
          <w:iCs/>
          <w:kern w:val="0"/>
          <w:sz w:val="24"/>
        </w:rPr>
        <w:t xml:space="preserve"> STKE</w:t>
      </w:r>
      <w:r w:rsidRPr="00F76351">
        <w:rPr>
          <w:rFonts w:ascii="Book Antiqua" w:hAnsi="Book Antiqua" w:cs="宋体"/>
          <w:kern w:val="0"/>
          <w:sz w:val="24"/>
        </w:rPr>
        <w:t> 2002; </w:t>
      </w:r>
      <w:r w:rsidRPr="00F76351">
        <w:rPr>
          <w:rFonts w:ascii="Book Antiqua" w:hAnsi="Book Antiqua" w:cs="宋体"/>
          <w:b/>
          <w:bCs/>
          <w:kern w:val="0"/>
          <w:sz w:val="24"/>
        </w:rPr>
        <w:t>2002</w:t>
      </w:r>
      <w:r w:rsidRPr="00F76351">
        <w:rPr>
          <w:rFonts w:ascii="Book Antiqua" w:hAnsi="Book Antiqua" w:cs="宋体"/>
          <w:kern w:val="0"/>
          <w:sz w:val="24"/>
        </w:rPr>
        <w:t>: pl13 [PMID: 12198178 DOI: 10.1126/scisignal.1472002pl13]</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14 </w:t>
      </w:r>
      <w:proofErr w:type="spellStart"/>
      <w:r w:rsidRPr="00F76351">
        <w:rPr>
          <w:rFonts w:ascii="Book Antiqua" w:hAnsi="Book Antiqua" w:cs="宋体"/>
          <w:b/>
          <w:bCs/>
          <w:kern w:val="0"/>
          <w:sz w:val="24"/>
        </w:rPr>
        <w:t>Jemal</w:t>
      </w:r>
      <w:proofErr w:type="spellEnd"/>
      <w:r w:rsidRPr="00F76351">
        <w:rPr>
          <w:rFonts w:ascii="Book Antiqua" w:hAnsi="Book Antiqua" w:cs="宋体"/>
          <w:b/>
          <w:bCs/>
          <w:kern w:val="0"/>
          <w:sz w:val="24"/>
        </w:rPr>
        <w:t xml:space="preserve"> A</w:t>
      </w:r>
      <w:r w:rsidRPr="00F76351">
        <w:rPr>
          <w:rFonts w:ascii="Book Antiqua" w:hAnsi="Book Antiqua" w:cs="宋体"/>
          <w:kern w:val="0"/>
          <w:sz w:val="24"/>
        </w:rPr>
        <w:t xml:space="preserve">, Siegel R, Ward E, </w:t>
      </w:r>
      <w:proofErr w:type="spellStart"/>
      <w:r w:rsidRPr="00F76351">
        <w:rPr>
          <w:rFonts w:ascii="Book Antiqua" w:hAnsi="Book Antiqua" w:cs="宋体"/>
          <w:kern w:val="0"/>
          <w:sz w:val="24"/>
        </w:rPr>
        <w:t>Hao</w:t>
      </w:r>
      <w:proofErr w:type="spellEnd"/>
      <w:r w:rsidRPr="00F76351">
        <w:rPr>
          <w:rFonts w:ascii="Book Antiqua" w:hAnsi="Book Antiqua" w:cs="宋体"/>
          <w:kern w:val="0"/>
          <w:sz w:val="24"/>
        </w:rPr>
        <w:t xml:space="preserve"> Y, </w:t>
      </w:r>
      <w:proofErr w:type="spellStart"/>
      <w:r w:rsidRPr="00F76351">
        <w:rPr>
          <w:rFonts w:ascii="Book Antiqua" w:hAnsi="Book Antiqua" w:cs="宋体"/>
          <w:kern w:val="0"/>
          <w:sz w:val="24"/>
        </w:rPr>
        <w:t>Xu</w:t>
      </w:r>
      <w:proofErr w:type="spellEnd"/>
      <w:r w:rsidRPr="00F76351">
        <w:rPr>
          <w:rFonts w:ascii="Book Antiqua" w:hAnsi="Book Antiqua" w:cs="宋体"/>
          <w:kern w:val="0"/>
          <w:sz w:val="24"/>
        </w:rPr>
        <w:t xml:space="preserve"> J, </w:t>
      </w:r>
      <w:proofErr w:type="spellStart"/>
      <w:r w:rsidRPr="00F76351">
        <w:rPr>
          <w:rFonts w:ascii="Book Antiqua" w:hAnsi="Book Antiqua" w:cs="宋体"/>
          <w:kern w:val="0"/>
          <w:sz w:val="24"/>
        </w:rPr>
        <w:t>Thun</w:t>
      </w:r>
      <w:proofErr w:type="spellEnd"/>
      <w:r w:rsidRPr="00F76351">
        <w:rPr>
          <w:rFonts w:ascii="Book Antiqua" w:hAnsi="Book Antiqua" w:cs="宋体"/>
          <w:kern w:val="0"/>
          <w:sz w:val="24"/>
        </w:rPr>
        <w:t xml:space="preserve"> MJ. Cancer statistics, 2009. </w:t>
      </w:r>
      <w:r w:rsidRPr="00F76351">
        <w:rPr>
          <w:rFonts w:ascii="Book Antiqua" w:hAnsi="Book Antiqua" w:cs="宋体"/>
          <w:i/>
          <w:iCs/>
          <w:kern w:val="0"/>
          <w:sz w:val="24"/>
        </w:rPr>
        <w:t xml:space="preserve">CA Cancer J </w:t>
      </w:r>
      <w:proofErr w:type="spellStart"/>
      <w:r w:rsidRPr="00F76351">
        <w:rPr>
          <w:rFonts w:ascii="Book Antiqua" w:hAnsi="Book Antiqua" w:cs="宋体"/>
          <w:i/>
          <w:iCs/>
          <w:kern w:val="0"/>
          <w:sz w:val="24"/>
        </w:rPr>
        <w:t>Clin</w:t>
      </w:r>
      <w:proofErr w:type="spellEnd"/>
      <w:r w:rsidRPr="00F76351">
        <w:rPr>
          <w:rFonts w:ascii="Book Antiqua" w:hAnsi="Book Antiqua" w:cs="宋体"/>
          <w:kern w:val="0"/>
          <w:sz w:val="24"/>
        </w:rPr>
        <w:t> 2009; </w:t>
      </w:r>
      <w:r w:rsidRPr="00F76351">
        <w:rPr>
          <w:rFonts w:ascii="Book Antiqua" w:hAnsi="Book Antiqua" w:cs="宋体"/>
          <w:b/>
          <w:bCs/>
          <w:kern w:val="0"/>
          <w:sz w:val="24"/>
        </w:rPr>
        <w:t>59</w:t>
      </w:r>
      <w:r w:rsidRPr="00F76351">
        <w:rPr>
          <w:rFonts w:ascii="Book Antiqua" w:hAnsi="Book Antiqua" w:cs="宋体"/>
          <w:kern w:val="0"/>
          <w:sz w:val="24"/>
        </w:rPr>
        <w:t>: 225-249 [PMID: 19474385 DOI: 10.3322/caac.20006]</w:t>
      </w:r>
    </w:p>
    <w:p w:rsidR="00ED4098" w:rsidRPr="00F76351" w:rsidRDefault="00ED4098" w:rsidP="00B40263">
      <w:pPr>
        <w:widowControl/>
        <w:spacing w:line="360" w:lineRule="auto"/>
        <w:rPr>
          <w:rFonts w:ascii="Book Antiqua" w:hAnsi="Book Antiqua" w:cs="宋体"/>
          <w:kern w:val="0"/>
          <w:sz w:val="24"/>
          <w:lang w:val="de-DE"/>
        </w:rPr>
      </w:pPr>
      <w:r w:rsidRPr="00F76351">
        <w:rPr>
          <w:rFonts w:ascii="Book Antiqua" w:hAnsi="Book Antiqua" w:cs="宋体"/>
          <w:kern w:val="0"/>
          <w:sz w:val="24"/>
        </w:rPr>
        <w:lastRenderedPageBreak/>
        <w:t>15 </w:t>
      </w:r>
      <w:proofErr w:type="spellStart"/>
      <w:r w:rsidRPr="00F76351">
        <w:rPr>
          <w:rFonts w:ascii="Book Antiqua" w:hAnsi="Book Antiqua" w:cs="宋体"/>
          <w:b/>
          <w:bCs/>
          <w:kern w:val="0"/>
          <w:sz w:val="24"/>
        </w:rPr>
        <w:t>Nordlinger</w:t>
      </w:r>
      <w:proofErr w:type="spellEnd"/>
      <w:r w:rsidRPr="00F76351">
        <w:rPr>
          <w:rFonts w:ascii="Book Antiqua" w:hAnsi="Book Antiqua" w:cs="宋体"/>
          <w:b/>
          <w:bCs/>
          <w:kern w:val="0"/>
          <w:sz w:val="24"/>
        </w:rPr>
        <w:t xml:space="preserve"> B</w:t>
      </w:r>
      <w:r w:rsidRPr="00F76351">
        <w:rPr>
          <w:rFonts w:ascii="Book Antiqua" w:hAnsi="Book Antiqua" w:cs="宋体"/>
          <w:kern w:val="0"/>
          <w:sz w:val="24"/>
        </w:rPr>
        <w:t xml:space="preserve">, </w:t>
      </w:r>
      <w:proofErr w:type="spellStart"/>
      <w:r w:rsidRPr="00F76351">
        <w:rPr>
          <w:rFonts w:ascii="Book Antiqua" w:hAnsi="Book Antiqua" w:cs="宋体"/>
          <w:kern w:val="0"/>
          <w:sz w:val="24"/>
        </w:rPr>
        <w:t>Sorbye</w:t>
      </w:r>
      <w:proofErr w:type="spellEnd"/>
      <w:r w:rsidRPr="00F76351">
        <w:rPr>
          <w:rFonts w:ascii="Book Antiqua" w:hAnsi="Book Antiqua" w:cs="宋体"/>
          <w:kern w:val="0"/>
          <w:sz w:val="24"/>
        </w:rPr>
        <w:t xml:space="preserve"> H, </w:t>
      </w:r>
      <w:proofErr w:type="spellStart"/>
      <w:r w:rsidRPr="00F76351">
        <w:rPr>
          <w:rFonts w:ascii="Book Antiqua" w:hAnsi="Book Antiqua" w:cs="宋体"/>
          <w:kern w:val="0"/>
          <w:sz w:val="24"/>
        </w:rPr>
        <w:t>Glimelius</w:t>
      </w:r>
      <w:proofErr w:type="spellEnd"/>
      <w:r w:rsidRPr="00F76351">
        <w:rPr>
          <w:rFonts w:ascii="Book Antiqua" w:hAnsi="Book Antiqua" w:cs="宋体"/>
          <w:kern w:val="0"/>
          <w:sz w:val="24"/>
        </w:rPr>
        <w:t xml:space="preserve"> B, Poston GJ, </w:t>
      </w:r>
      <w:proofErr w:type="spellStart"/>
      <w:r w:rsidRPr="00F76351">
        <w:rPr>
          <w:rFonts w:ascii="Book Antiqua" w:hAnsi="Book Antiqua" w:cs="宋体"/>
          <w:kern w:val="0"/>
          <w:sz w:val="24"/>
        </w:rPr>
        <w:t>Schlag</w:t>
      </w:r>
      <w:proofErr w:type="spellEnd"/>
      <w:r w:rsidRPr="00F76351">
        <w:rPr>
          <w:rFonts w:ascii="Book Antiqua" w:hAnsi="Book Antiqua" w:cs="宋体"/>
          <w:kern w:val="0"/>
          <w:sz w:val="24"/>
        </w:rPr>
        <w:t xml:space="preserve"> PM, </w:t>
      </w:r>
      <w:proofErr w:type="spellStart"/>
      <w:r w:rsidRPr="00F76351">
        <w:rPr>
          <w:rFonts w:ascii="Book Antiqua" w:hAnsi="Book Antiqua" w:cs="宋体"/>
          <w:kern w:val="0"/>
          <w:sz w:val="24"/>
        </w:rPr>
        <w:t>Rougier</w:t>
      </w:r>
      <w:proofErr w:type="spellEnd"/>
      <w:r w:rsidRPr="00F76351">
        <w:rPr>
          <w:rFonts w:ascii="Book Antiqua" w:hAnsi="Book Antiqua" w:cs="宋体"/>
          <w:kern w:val="0"/>
          <w:sz w:val="24"/>
        </w:rPr>
        <w:t xml:space="preserve"> P, </w:t>
      </w:r>
      <w:proofErr w:type="spellStart"/>
      <w:r w:rsidRPr="00F76351">
        <w:rPr>
          <w:rFonts w:ascii="Book Antiqua" w:hAnsi="Book Antiqua" w:cs="宋体"/>
          <w:kern w:val="0"/>
          <w:sz w:val="24"/>
        </w:rPr>
        <w:t>Bechstein</w:t>
      </w:r>
      <w:proofErr w:type="spellEnd"/>
      <w:r w:rsidRPr="00F76351">
        <w:rPr>
          <w:rFonts w:ascii="Book Antiqua" w:hAnsi="Book Antiqua" w:cs="宋体"/>
          <w:kern w:val="0"/>
          <w:sz w:val="24"/>
        </w:rPr>
        <w:t xml:space="preserve"> WO, Primrose JN, Walpole ET, Finch-Jones M, </w:t>
      </w:r>
      <w:proofErr w:type="spellStart"/>
      <w:r w:rsidRPr="00F76351">
        <w:rPr>
          <w:rFonts w:ascii="Book Antiqua" w:hAnsi="Book Antiqua" w:cs="宋体"/>
          <w:kern w:val="0"/>
          <w:sz w:val="24"/>
        </w:rPr>
        <w:t>Jaeck</w:t>
      </w:r>
      <w:proofErr w:type="spellEnd"/>
      <w:r w:rsidRPr="00F76351">
        <w:rPr>
          <w:rFonts w:ascii="Book Antiqua" w:hAnsi="Book Antiqua" w:cs="宋体"/>
          <w:kern w:val="0"/>
          <w:sz w:val="24"/>
        </w:rPr>
        <w:t xml:space="preserve"> D, </w:t>
      </w:r>
      <w:proofErr w:type="spellStart"/>
      <w:r w:rsidRPr="00F76351">
        <w:rPr>
          <w:rFonts w:ascii="Book Antiqua" w:hAnsi="Book Antiqua" w:cs="宋体"/>
          <w:kern w:val="0"/>
          <w:sz w:val="24"/>
        </w:rPr>
        <w:t>Mirza</w:t>
      </w:r>
      <w:proofErr w:type="spellEnd"/>
      <w:r w:rsidRPr="00F76351">
        <w:rPr>
          <w:rFonts w:ascii="Book Antiqua" w:hAnsi="Book Antiqua" w:cs="宋体"/>
          <w:kern w:val="0"/>
          <w:sz w:val="24"/>
        </w:rPr>
        <w:t xml:space="preserve"> D, Parks RW, Collette L, </w:t>
      </w:r>
      <w:proofErr w:type="spellStart"/>
      <w:r w:rsidRPr="00F76351">
        <w:rPr>
          <w:rFonts w:ascii="Book Antiqua" w:hAnsi="Book Antiqua" w:cs="宋体"/>
          <w:kern w:val="0"/>
          <w:sz w:val="24"/>
        </w:rPr>
        <w:t>Praet</w:t>
      </w:r>
      <w:proofErr w:type="spellEnd"/>
      <w:r w:rsidRPr="00F76351">
        <w:rPr>
          <w:rFonts w:ascii="Book Antiqua" w:hAnsi="Book Antiqua" w:cs="宋体"/>
          <w:kern w:val="0"/>
          <w:sz w:val="24"/>
        </w:rPr>
        <w:t xml:space="preserve"> M, Bethe U, Van </w:t>
      </w:r>
      <w:proofErr w:type="spellStart"/>
      <w:r w:rsidRPr="00F76351">
        <w:rPr>
          <w:rFonts w:ascii="Book Antiqua" w:hAnsi="Book Antiqua" w:cs="宋体"/>
          <w:kern w:val="0"/>
          <w:sz w:val="24"/>
        </w:rPr>
        <w:t>Cutsem</w:t>
      </w:r>
      <w:proofErr w:type="spellEnd"/>
      <w:r w:rsidRPr="00F76351">
        <w:rPr>
          <w:rFonts w:ascii="Book Antiqua" w:hAnsi="Book Antiqua" w:cs="宋体"/>
          <w:kern w:val="0"/>
          <w:sz w:val="24"/>
        </w:rPr>
        <w:t xml:space="preserve"> E, </w:t>
      </w:r>
      <w:proofErr w:type="spellStart"/>
      <w:r w:rsidRPr="00F76351">
        <w:rPr>
          <w:rFonts w:ascii="Book Antiqua" w:hAnsi="Book Antiqua" w:cs="宋体"/>
          <w:kern w:val="0"/>
          <w:sz w:val="24"/>
        </w:rPr>
        <w:t>Scheithauer</w:t>
      </w:r>
      <w:proofErr w:type="spellEnd"/>
      <w:r w:rsidRPr="00F76351">
        <w:rPr>
          <w:rFonts w:ascii="Book Antiqua" w:hAnsi="Book Antiqua" w:cs="宋体"/>
          <w:kern w:val="0"/>
          <w:sz w:val="24"/>
        </w:rPr>
        <w:t xml:space="preserve"> W, </w:t>
      </w:r>
      <w:proofErr w:type="spellStart"/>
      <w:r w:rsidRPr="00F76351">
        <w:rPr>
          <w:rFonts w:ascii="Book Antiqua" w:hAnsi="Book Antiqua" w:cs="宋体"/>
          <w:kern w:val="0"/>
          <w:sz w:val="24"/>
        </w:rPr>
        <w:t>Gruenberger</w:t>
      </w:r>
      <w:proofErr w:type="spellEnd"/>
      <w:r w:rsidRPr="00F76351">
        <w:rPr>
          <w:rFonts w:ascii="Book Antiqua" w:hAnsi="Book Antiqua" w:cs="宋体"/>
          <w:kern w:val="0"/>
          <w:sz w:val="24"/>
        </w:rPr>
        <w:t xml:space="preserve"> T. Perioperative chemotherapy with FOLFOX4 and surgery versus surgery alone for </w:t>
      </w:r>
      <w:proofErr w:type="spellStart"/>
      <w:r w:rsidRPr="00F76351">
        <w:rPr>
          <w:rFonts w:ascii="Book Antiqua" w:hAnsi="Book Antiqua" w:cs="宋体"/>
          <w:kern w:val="0"/>
          <w:sz w:val="24"/>
        </w:rPr>
        <w:t>resectable</w:t>
      </w:r>
      <w:proofErr w:type="spellEnd"/>
      <w:r w:rsidRPr="00F76351">
        <w:rPr>
          <w:rFonts w:ascii="Book Antiqua" w:hAnsi="Book Antiqua" w:cs="宋体"/>
          <w:kern w:val="0"/>
          <w:sz w:val="24"/>
        </w:rPr>
        <w:t xml:space="preserve"> liver metastases from colorectal cancer (EORTC Intergroup trial 40983): a </w:t>
      </w:r>
      <w:proofErr w:type="spellStart"/>
      <w:r w:rsidRPr="00F76351">
        <w:rPr>
          <w:rFonts w:ascii="Book Antiqua" w:hAnsi="Book Antiqua" w:cs="宋体"/>
          <w:kern w:val="0"/>
          <w:sz w:val="24"/>
        </w:rPr>
        <w:t>randomised</w:t>
      </w:r>
      <w:proofErr w:type="spellEnd"/>
      <w:r w:rsidRPr="00F76351">
        <w:rPr>
          <w:rFonts w:ascii="Book Antiqua" w:hAnsi="Book Antiqua" w:cs="宋体"/>
          <w:kern w:val="0"/>
          <w:sz w:val="24"/>
        </w:rPr>
        <w:t xml:space="preserve"> controlled trial. </w:t>
      </w:r>
      <w:r w:rsidRPr="00F76351">
        <w:rPr>
          <w:rFonts w:ascii="Book Antiqua" w:hAnsi="Book Antiqua" w:cs="宋体"/>
          <w:i/>
          <w:iCs/>
          <w:kern w:val="0"/>
          <w:sz w:val="24"/>
          <w:lang w:val="de-DE"/>
        </w:rPr>
        <w:t>Lancet</w:t>
      </w:r>
      <w:r w:rsidRPr="00F76351">
        <w:rPr>
          <w:rFonts w:ascii="Book Antiqua" w:hAnsi="Book Antiqua" w:cs="宋体"/>
          <w:kern w:val="0"/>
          <w:sz w:val="24"/>
          <w:lang w:val="de-DE"/>
        </w:rPr>
        <w:t> 2008; </w:t>
      </w:r>
      <w:r w:rsidRPr="00F76351">
        <w:rPr>
          <w:rFonts w:ascii="Book Antiqua" w:hAnsi="Book Antiqua" w:cs="宋体"/>
          <w:b/>
          <w:bCs/>
          <w:kern w:val="0"/>
          <w:sz w:val="24"/>
          <w:lang w:val="de-DE"/>
        </w:rPr>
        <w:t>371</w:t>
      </w:r>
      <w:r w:rsidRPr="00F76351">
        <w:rPr>
          <w:rFonts w:ascii="Book Antiqua" w:hAnsi="Book Antiqua" w:cs="宋体"/>
          <w:kern w:val="0"/>
          <w:sz w:val="24"/>
          <w:lang w:val="de-DE"/>
        </w:rPr>
        <w:t>: 1007-1016 [PMID: 18358928 DOI: 10.1016/S0140-6736(08)60455-9]</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lang w:val="de-DE"/>
        </w:rPr>
        <w:t>16 </w:t>
      </w:r>
      <w:r w:rsidRPr="00F76351">
        <w:rPr>
          <w:rFonts w:ascii="Book Antiqua" w:hAnsi="Book Antiqua" w:cs="宋体"/>
          <w:b/>
          <w:bCs/>
          <w:kern w:val="0"/>
          <w:sz w:val="24"/>
          <w:lang w:val="de-DE"/>
        </w:rPr>
        <w:t>Tschoep K</w:t>
      </w:r>
      <w:r w:rsidRPr="00F76351">
        <w:rPr>
          <w:rFonts w:ascii="Book Antiqua" w:hAnsi="Book Antiqua" w:cs="宋体"/>
          <w:kern w:val="0"/>
          <w:sz w:val="24"/>
          <w:lang w:val="de-DE"/>
        </w:rPr>
        <w:t xml:space="preserve">, Kohlmann A, Schlemmer M, Haferlach T, Issels RD. </w:t>
      </w:r>
      <w:r w:rsidRPr="00F76351">
        <w:rPr>
          <w:rFonts w:ascii="Book Antiqua" w:hAnsi="Book Antiqua" w:cs="宋体"/>
          <w:kern w:val="0"/>
          <w:sz w:val="24"/>
        </w:rPr>
        <w:t>Gene expression profiling in sarcomas. </w:t>
      </w:r>
      <w:proofErr w:type="spellStart"/>
      <w:r w:rsidRPr="00F76351">
        <w:rPr>
          <w:rFonts w:ascii="Book Antiqua" w:hAnsi="Book Antiqua" w:cs="宋体"/>
          <w:i/>
          <w:iCs/>
          <w:kern w:val="0"/>
          <w:sz w:val="24"/>
        </w:rPr>
        <w:t>Crit</w:t>
      </w:r>
      <w:proofErr w:type="spellEnd"/>
      <w:r w:rsidRPr="00F76351">
        <w:rPr>
          <w:rFonts w:ascii="Book Antiqua" w:hAnsi="Book Antiqua" w:cs="宋体"/>
          <w:i/>
          <w:iCs/>
          <w:kern w:val="0"/>
          <w:sz w:val="24"/>
        </w:rPr>
        <w:t xml:space="preserve"> Rev </w:t>
      </w:r>
      <w:proofErr w:type="spellStart"/>
      <w:r w:rsidRPr="00F76351">
        <w:rPr>
          <w:rFonts w:ascii="Book Antiqua" w:hAnsi="Book Antiqua" w:cs="宋体"/>
          <w:i/>
          <w:iCs/>
          <w:kern w:val="0"/>
          <w:sz w:val="24"/>
        </w:rPr>
        <w:t>Oncol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Hematol</w:t>
      </w:r>
      <w:proofErr w:type="spellEnd"/>
      <w:r w:rsidRPr="00F76351">
        <w:rPr>
          <w:rFonts w:ascii="Book Antiqua" w:hAnsi="Book Antiqua" w:cs="宋体"/>
          <w:kern w:val="0"/>
          <w:sz w:val="24"/>
        </w:rPr>
        <w:t> 2007; </w:t>
      </w:r>
      <w:r w:rsidRPr="00F76351">
        <w:rPr>
          <w:rFonts w:ascii="Book Antiqua" w:hAnsi="Book Antiqua" w:cs="宋体"/>
          <w:b/>
          <w:bCs/>
          <w:kern w:val="0"/>
          <w:sz w:val="24"/>
        </w:rPr>
        <w:t>63</w:t>
      </w:r>
      <w:r w:rsidRPr="00F76351">
        <w:rPr>
          <w:rFonts w:ascii="Book Antiqua" w:hAnsi="Book Antiqua" w:cs="宋体"/>
          <w:kern w:val="0"/>
          <w:sz w:val="24"/>
        </w:rPr>
        <w:t>: 111-124 [PMID: 17555981 DOI: 10.1016/j.critrevonc.2007.04.001]</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17 </w:t>
      </w:r>
      <w:proofErr w:type="spellStart"/>
      <w:r w:rsidRPr="00F76351">
        <w:rPr>
          <w:rFonts w:ascii="Book Antiqua" w:hAnsi="Book Antiqua" w:cs="宋体"/>
          <w:b/>
          <w:bCs/>
          <w:kern w:val="0"/>
          <w:sz w:val="24"/>
        </w:rPr>
        <w:t>Seguy</w:t>
      </w:r>
      <w:proofErr w:type="spellEnd"/>
      <w:r w:rsidRPr="00F76351">
        <w:rPr>
          <w:rFonts w:ascii="Book Antiqua" w:hAnsi="Book Antiqua" w:cs="宋体"/>
          <w:b/>
          <w:bCs/>
          <w:kern w:val="0"/>
          <w:sz w:val="24"/>
        </w:rPr>
        <w:t xml:space="preserve"> D</w:t>
      </w:r>
      <w:r w:rsidRPr="00F76351">
        <w:rPr>
          <w:rFonts w:ascii="Book Antiqua" w:hAnsi="Book Antiqua" w:cs="宋体"/>
          <w:kern w:val="0"/>
          <w:sz w:val="24"/>
        </w:rPr>
        <w:t xml:space="preserve">, </w:t>
      </w:r>
      <w:proofErr w:type="spellStart"/>
      <w:r w:rsidRPr="00F76351">
        <w:rPr>
          <w:rFonts w:ascii="Book Antiqua" w:hAnsi="Book Antiqua" w:cs="宋体"/>
          <w:kern w:val="0"/>
          <w:sz w:val="24"/>
        </w:rPr>
        <w:t>Vahedi</w:t>
      </w:r>
      <w:proofErr w:type="spellEnd"/>
      <w:r w:rsidRPr="00F76351">
        <w:rPr>
          <w:rFonts w:ascii="Book Antiqua" w:hAnsi="Book Antiqua" w:cs="宋体"/>
          <w:kern w:val="0"/>
          <w:sz w:val="24"/>
        </w:rPr>
        <w:t xml:space="preserve"> K, </w:t>
      </w:r>
      <w:proofErr w:type="spellStart"/>
      <w:r w:rsidRPr="00F76351">
        <w:rPr>
          <w:rFonts w:ascii="Book Antiqua" w:hAnsi="Book Antiqua" w:cs="宋体"/>
          <w:kern w:val="0"/>
          <w:sz w:val="24"/>
        </w:rPr>
        <w:t>Kapel</w:t>
      </w:r>
      <w:proofErr w:type="spellEnd"/>
      <w:r w:rsidRPr="00F76351">
        <w:rPr>
          <w:rFonts w:ascii="Book Antiqua" w:hAnsi="Book Antiqua" w:cs="宋体"/>
          <w:kern w:val="0"/>
          <w:sz w:val="24"/>
        </w:rPr>
        <w:t xml:space="preserve"> N, </w:t>
      </w:r>
      <w:proofErr w:type="spellStart"/>
      <w:r w:rsidRPr="00F76351">
        <w:rPr>
          <w:rFonts w:ascii="Book Antiqua" w:hAnsi="Book Antiqua" w:cs="宋体"/>
          <w:kern w:val="0"/>
          <w:sz w:val="24"/>
        </w:rPr>
        <w:t>Souberbielle</w:t>
      </w:r>
      <w:proofErr w:type="spellEnd"/>
      <w:r w:rsidRPr="00F76351">
        <w:rPr>
          <w:rFonts w:ascii="Book Antiqua" w:hAnsi="Book Antiqua" w:cs="宋体"/>
          <w:kern w:val="0"/>
          <w:sz w:val="24"/>
        </w:rPr>
        <w:t xml:space="preserve"> JC, Messing B. Low-dose growth hormone in adult home parenteral nutrition-dependent short bowel syndrome patients: a positive study. </w:t>
      </w:r>
      <w:r w:rsidRPr="00F76351">
        <w:rPr>
          <w:rFonts w:ascii="Book Antiqua" w:hAnsi="Book Antiqua" w:cs="宋体"/>
          <w:i/>
          <w:iCs/>
          <w:kern w:val="0"/>
          <w:sz w:val="24"/>
        </w:rPr>
        <w:t>Gastroenterology</w:t>
      </w:r>
      <w:r w:rsidRPr="00F76351">
        <w:rPr>
          <w:rFonts w:ascii="Book Antiqua" w:hAnsi="Book Antiqua" w:cs="宋体"/>
          <w:kern w:val="0"/>
          <w:sz w:val="24"/>
        </w:rPr>
        <w:t> 2003; </w:t>
      </w:r>
      <w:r w:rsidRPr="00F76351">
        <w:rPr>
          <w:rFonts w:ascii="Book Antiqua" w:hAnsi="Book Antiqua" w:cs="宋体"/>
          <w:b/>
          <w:bCs/>
          <w:kern w:val="0"/>
          <w:sz w:val="24"/>
        </w:rPr>
        <w:t>124</w:t>
      </w:r>
      <w:r w:rsidRPr="00F76351">
        <w:rPr>
          <w:rFonts w:ascii="Book Antiqua" w:hAnsi="Book Antiqua" w:cs="宋体"/>
          <w:kern w:val="0"/>
          <w:sz w:val="24"/>
        </w:rPr>
        <w:t>: 293-302 [PMID: 12557135 DOI: 10.1053/gast.2003.50057]</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18 </w:t>
      </w:r>
      <w:r w:rsidRPr="00F76351">
        <w:rPr>
          <w:rFonts w:ascii="Book Antiqua" w:hAnsi="Book Antiqua" w:cs="宋体"/>
          <w:b/>
          <w:bCs/>
          <w:kern w:val="0"/>
          <w:sz w:val="24"/>
        </w:rPr>
        <w:t>Yin D</w:t>
      </w:r>
      <w:r w:rsidRPr="00F76351">
        <w:rPr>
          <w:rFonts w:ascii="Book Antiqua" w:hAnsi="Book Antiqua" w:cs="宋体"/>
          <w:kern w:val="0"/>
          <w:sz w:val="24"/>
        </w:rPr>
        <w:t xml:space="preserve">, Vreeland F, </w:t>
      </w:r>
      <w:proofErr w:type="spellStart"/>
      <w:r w:rsidRPr="00F76351">
        <w:rPr>
          <w:rFonts w:ascii="Book Antiqua" w:hAnsi="Book Antiqua" w:cs="宋体"/>
          <w:kern w:val="0"/>
          <w:sz w:val="24"/>
        </w:rPr>
        <w:t>Schaaf</w:t>
      </w:r>
      <w:proofErr w:type="spellEnd"/>
      <w:r w:rsidRPr="00F76351">
        <w:rPr>
          <w:rFonts w:ascii="Book Antiqua" w:hAnsi="Book Antiqua" w:cs="宋体"/>
          <w:kern w:val="0"/>
          <w:sz w:val="24"/>
        </w:rPr>
        <w:t xml:space="preserve"> LJ, </w:t>
      </w:r>
      <w:proofErr w:type="spellStart"/>
      <w:r w:rsidRPr="00F76351">
        <w:rPr>
          <w:rFonts w:ascii="Book Antiqua" w:hAnsi="Book Antiqua" w:cs="宋体"/>
          <w:kern w:val="0"/>
          <w:sz w:val="24"/>
        </w:rPr>
        <w:t>Millham</w:t>
      </w:r>
      <w:proofErr w:type="spellEnd"/>
      <w:r w:rsidRPr="00F76351">
        <w:rPr>
          <w:rFonts w:ascii="Book Antiqua" w:hAnsi="Book Antiqua" w:cs="宋体"/>
          <w:kern w:val="0"/>
          <w:sz w:val="24"/>
        </w:rPr>
        <w:t xml:space="preserve"> R, Duncan BA, Sharma A. Clinical </w:t>
      </w:r>
      <w:proofErr w:type="spellStart"/>
      <w:r w:rsidRPr="00F76351">
        <w:rPr>
          <w:rFonts w:ascii="Book Antiqua" w:hAnsi="Book Antiqua" w:cs="宋体"/>
          <w:kern w:val="0"/>
          <w:sz w:val="24"/>
        </w:rPr>
        <w:t>pharmacodynamic</w:t>
      </w:r>
      <w:proofErr w:type="spellEnd"/>
      <w:r w:rsidRPr="00F76351">
        <w:rPr>
          <w:rFonts w:ascii="Book Antiqua" w:hAnsi="Book Antiqua" w:cs="宋体"/>
          <w:kern w:val="0"/>
          <w:sz w:val="24"/>
        </w:rPr>
        <w:t xml:space="preserve"> effects of the growth hormone receptor antagonist </w:t>
      </w:r>
      <w:proofErr w:type="spellStart"/>
      <w:r w:rsidRPr="00F76351">
        <w:rPr>
          <w:rFonts w:ascii="Book Antiqua" w:hAnsi="Book Antiqua" w:cs="宋体"/>
          <w:kern w:val="0"/>
          <w:sz w:val="24"/>
        </w:rPr>
        <w:t>pegvisomant</w:t>
      </w:r>
      <w:proofErr w:type="spellEnd"/>
      <w:r w:rsidRPr="00F76351">
        <w:rPr>
          <w:rFonts w:ascii="Book Antiqua" w:hAnsi="Book Antiqua" w:cs="宋体"/>
          <w:kern w:val="0"/>
          <w:sz w:val="24"/>
        </w:rPr>
        <w:t>: implications for cancer therapy. </w:t>
      </w:r>
      <w:proofErr w:type="spellStart"/>
      <w:r w:rsidRPr="00F76351">
        <w:rPr>
          <w:rFonts w:ascii="Book Antiqua" w:hAnsi="Book Antiqua" w:cs="宋体"/>
          <w:i/>
          <w:iCs/>
          <w:kern w:val="0"/>
          <w:sz w:val="24"/>
        </w:rPr>
        <w:t>Clin</w:t>
      </w:r>
      <w:proofErr w:type="spellEnd"/>
      <w:r w:rsidRPr="00F76351">
        <w:rPr>
          <w:rFonts w:ascii="Book Antiqua" w:hAnsi="Book Antiqua" w:cs="宋体"/>
          <w:i/>
          <w:iCs/>
          <w:kern w:val="0"/>
          <w:sz w:val="24"/>
        </w:rPr>
        <w:t xml:space="preserve"> Cancer Res</w:t>
      </w:r>
      <w:r w:rsidRPr="00F76351">
        <w:rPr>
          <w:rFonts w:ascii="Book Antiqua" w:hAnsi="Book Antiqua" w:cs="宋体"/>
          <w:kern w:val="0"/>
          <w:sz w:val="24"/>
        </w:rPr>
        <w:t> 2007; </w:t>
      </w:r>
      <w:r w:rsidRPr="00F76351">
        <w:rPr>
          <w:rFonts w:ascii="Book Antiqua" w:hAnsi="Book Antiqua" w:cs="宋体"/>
          <w:b/>
          <w:bCs/>
          <w:kern w:val="0"/>
          <w:sz w:val="24"/>
        </w:rPr>
        <w:t>13</w:t>
      </w:r>
      <w:r w:rsidRPr="00F76351">
        <w:rPr>
          <w:rFonts w:ascii="Book Antiqua" w:hAnsi="Book Antiqua" w:cs="宋体"/>
          <w:kern w:val="0"/>
          <w:sz w:val="24"/>
        </w:rPr>
        <w:t>: 1000-1009 [PMID: 17289896 DOI: 10.1158/1078-0432.CCR-06-1910]</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19 </w:t>
      </w:r>
      <w:r w:rsidRPr="00F76351">
        <w:rPr>
          <w:rFonts w:ascii="Book Antiqua" w:hAnsi="Book Antiqua" w:cs="宋体"/>
          <w:b/>
          <w:bCs/>
          <w:kern w:val="0"/>
          <w:sz w:val="24"/>
        </w:rPr>
        <w:t>Jenkins PJ</w:t>
      </w:r>
      <w:r w:rsidRPr="00F76351">
        <w:rPr>
          <w:rFonts w:ascii="Book Antiqua" w:hAnsi="Book Antiqua" w:cs="宋体"/>
          <w:kern w:val="0"/>
          <w:sz w:val="24"/>
        </w:rPr>
        <w:t xml:space="preserve">, Mukherjee A, </w:t>
      </w:r>
      <w:proofErr w:type="spellStart"/>
      <w:r w:rsidRPr="00F76351">
        <w:rPr>
          <w:rFonts w:ascii="Book Antiqua" w:hAnsi="Book Antiqua" w:cs="宋体"/>
          <w:kern w:val="0"/>
          <w:sz w:val="24"/>
        </w:rPr>
        <w:t>Shalet</w:t>
      </w:r>
      <w:proofErr w:type="spellEnd"/>
      <w:r w:rsidRPr="00F76351">
        <w:rPr>
          <w:rFonts w:ascii="Book Antiqua" w:hAnsi="Book Antiqua" w:cs="宋体"/>
          <w:kern w:val="0"/>
          <w:sz w:val="24"/>
        </w:rPr>
        <w:t xml:space="preserve"> SM. Does growth hormone cause cancer? </w:t>
      </w:r>
      <w:proofErr w:type="spellStart"/>
      <w:r w:rsidRPr="00F76351">
        <w:rPr>
          <w:rFonts w:ascii="Book Antiqua" w:hAnsi="Book Antiqua" w:cs="宋体"/>
          <w:i/>
          <w:iCs/>
          <w:kern w:val="0"/>
          <w:sz w:val="24"/>
        </w:rPr>
        <w:t>Clin</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Endocrinol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Oxf</w:t>
      </w:r>
      <w:proofErr w:type="spellEnd"/>
      <w:r w:rsidRPr="00F76351">
        <w:rPr>
          <w:rFonts w:ascii="Book Antiqua" w:hAnsi="Book Antiqua" w:cs="宋体"/>
          <w:i/>
          <w:iCs/>
          <w:kern w:val="0"/>
          <w:sz w:val="24"/>
        </w:rPr>
        <w:t>)</w:t>
      </w:r>
      <w:r w:rsidRPr="00F76351">
        <w:rPr>
          <w:rFonts w:ascii="Book Antiqua" w:hAnsi="Book Antiqua" w:cs="宋体"/>
          <w:kern w:val="0"/>
          <w:sz w:val="24"/>
        </w:rPr>
        <w:t> 2006; </w:t>
      </w:r>
      <w:r w:rsidRPr="00F76351">
        <w:rPr>
          <w:rFonts w:ascii="Book Antiqua" w:hAnsi="Book Antiqua" w:cs="宋体"/>
          <w:b/>
          <w:bCs/>
          <w:kern w:val="0"/>
          <w:sz w:val="24"/>
        </w:rPr>
        <w:t>64</w:t>
      </w:r>
      <w:r w:rsidRPr="00F76351">
        <w:rPr>
          <w:rFonts w:ascii="Book Antiqua" w:hAnsi="Book Antiqua" w:cs="宋体"/>
          <w:kern w:val="0"/>
          <w:sz w:val="24"/>
        </w:rPr>
        <w:t>: 115-121 [PMID: 16430706 DOI: 10.1111/j.1365-2265.2005.02404.x]</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lastRenderedPageBreak/>
        <w:t>20 </w:t>
      </w:r>
      <w:r w:rsidRPr="00F76351">
        <w:rPr>
          <w:rFonts w:ascii="Book Antiqua" w:hAnsi="Book Antiqua" w:cs="宋体"/>
          <w:b/>
          <w:bCs/>
          <w:kern w:val="0"/>
          <w:sz w:val="24"/>
        </w:rPr>
        <w:t>Yi HK</w:t>
      </w:r>
      <w:r w:rsidRPr="00F76351">
        <w:rPr>
          <w:rFonts w:ascii="Book Antiqua" w:hAnsi="Book Antiqua" w:cs="宋体"/>
          <w:kern w:val="0"/>
          <w:sz w:val="24"/>
        </w:rPr>
        <w:t>, Hwang PH, Yang DH, Kang CW, Lee DY. Expression of the insulin-like growth factors (IGFs) and the IGF-binding proteins (IGFBPs) in human gastric cancer cells. </w:t>
      </w:r>
      <w:proofErr w:type="spellStart"/>
      <w:r w:rsidRPr="00F76351">
        <w:rPr>
          <w:rFonts w:ascii="Book Antiqua" w:hAnsi="Book Antiqua" w:cs="宋体"/>
          <w:i/>
          <w:iCs/>
          <w:kern w:val="0"/>
          <w:sz w:val="24"/>
        </w:rPr>
        <w:t>Eur</w:t>
      </w:r>
      <w:proofErr w:type="spellEnd"/>
      <w:r w:rsidRPr="00F76351">
        <w:rPr>
          <w:rFonts w:ascii="Book Antiqua" w:hAnsi="Book Antiqua" w:cs="宋体"/>
          <w:i/>
          <w:iCs/>
          <w:kern w:val="0"/>
          <w:sz w:val="24"/>
        </w:rPr>
        <w:t xml:space="preserve"> J Cancer</w:t>
      </w:r>
      <w:r w:rsidRPr="00F76351">
        <w:rPr>
          <w:rFonts w:ascii="Book Antiqua" w:hAnsi="Book Antiqua" w:cs="宋体"/>
          <w:kern w:val="0"/>
          <w:sz w:val="24"/>
        </w:rPr>
        <w:t> 2001; </w:t>
      </w:r>
      <w:r w:rsidRPr="00F76351">
        <w:rPr>
          <w:rFonts w:ascii="Book Antiqua" w:hAnsi="Book Antiqua" w:cs="宋体"/>
          <w:b/>
          <w:bCs/>
          <w:kern w:val="0"/>
          <w:sz w:val="24"/>
        </w:rPr>
        <w:t>37</w:t>
      </w:r>
      <w:r w:rsidRPr="00F76351">
        <w:rPr>
          <w:rFonts w:ascii="Book Antiqua" w:hAnsi="Book Antiqua" w:cs="宋体"/>
          <w:kern w:val="0"/>
          <w:sz w:val="24"/>
        </w:rPr>
        <w:t>: 2257-2263 [PMID: 11677116 DOI: 10.1016/S0959-8049(01)00269-6]</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21 </w:t>
      </w:r>
      <w:r w:rsidRPr="00F76351">
        <w:rPr>
          <w:rFonts w:ascii="Book Antiqua" w:hAnsi="Book Antiqua" w:cs="宋体"/>
          <w:b/>
          <w:bCs/>
          <w:kern w:val="0"/>
          <w:sz w:val="24"/>
        </w:rPr>
        <w:t>Wu X</w:t>
      </w:r>
      <w:r w:rsidRPr="00F76351">
        <w:rPr>
          <w:rFonts w:ascii="Book Antiqua" w:hAnsi="Book Antiqua" w:cs="宋体"/>
          <w:kern w:val="0"/>
          <w:sz w:val="24"/>
        </w:rPr>
        <w:t xml:space="preserve">, Wan M, Li G, </w:t>
      </w:r>
      <w:proofErr w:type="spellStart"/>
      <w:r w:rsidRPr="00F76351">
        <w:rPr>
          <w:rFonts w:ascii="Book Antiqua" w:hAnsi="Book Antiqua" w:cs="宋体"/>
          <w:kern w:val="0"/>
          <w:sz w:val="24"/>
        </w:rPr>
        <w:t>Xu</w:t>
      </w:r>
      <w:proofErr w:type="spellEnd"/>
      <w:r w:rsidRPr="00F76351">
        <w:rPr>
          <w:rFonts w:ascii="Book Antiqua" w:hAnsi="Book Antiqua" w:cs="宋体"/>
          <w:kern w:val="0"/>
          <w:sz w:val="24"/>
        </w:rPr>
        <w:t xml:space="preserve"> Z, Chen C, Liu F, Li J. Growth hormone receptor overexpression predicts response of rectal cancers to pre-operative radiotherapy. </w:t>
      </w:r>
      <w:proofErr w:type="spellStart"/>
      <w:r w:rsidRPr="00F76351">
        <w:rPr>
          <w:rFonts w:ascii="Book Antiqua" w:hAnsi="Book Antiqua" w:cs="宋体"/>
          <w:i/>
          <w:iCs/>
          <w:kern w:val="0"/>
          <w:sz w:val="24"/>
        </w:rPr>
        <w:t>Eur</w:t>
      </w:r>
      <w:proofErr w:type="spellEnd"/>
      <w:r w:rsidRPr="00F76351">
        <w:rPr>
          <w:rFonts w:ascii="Book Antiqua" w:hAnsi="Book Antiqua" w:cs="宋体"/>
          <w:i/>
          <w:iCs/>
          <w:kern w:val="0"/>
          <w:sz w:val="24"/>
        </w:rPr>
        <w:t xml:space="preserve"> J Cancer</w:t>
      </w:r>
      <w:r w:rsidRPr="00F76351">
        <w:rPr>
          <w:rFonts w:ascii="Book Antiqua" w:hAnsi="Book Antiqua" w:cs="宋体"/>
          <w:kern w:val="0"/>
          <w:sz w:val="24"/>
        </w:rPr>
        <w:t> 2006; </w:t>
      </w:r>
      <w:r w:rsidRPr="00F76351">
        <w:rPr>
          <w:rFonts w:ascii="Book Antiqua" w:hAnsi="Book Antiqua" w:cs="宋体"/>
          <w:b/>
          <w:bCs/>
          <w:kern w:val="0"/>
          <w:sz w:val="24"/>
        </w:rPr>
        <w:t>42</w:t>
      </w:r>
      <w:r w:rsidRPr="00F76351">
        <w:rPr>
          <w:rFonts w:ascii="Book Antiqua" w:hAnsi="Book Antiqua" w:cs="宋体"/>
          <w:kern w:val="0"/>
          <w:sz w:val="24"/>
        </w:rPr>
        <w:t>: 888-894 [PMID: 16516462 DOI: 10.1016/j.ejca.2005.12.012]</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22 </w:t>
      </w:r>
      <w:r w:rsidRPr="00F76351">
        <w:rPr>
          <w:rFonts w:ascii="Book Antiqua" w:hAnsi="Book Antiqua" w:cs="宋体"/>
          <w:b/>
          <w:bCs/>
          <w:kern w:val="0"/>
          <w:sz w:val="24"/>
        </w:rPr>
        <w:t>Conway-Campbell BL</w:t>
      </w:r>
      <w:r w:rsidRPr="00F76351">
        <w:rPr>
          <w:rFonts w:ascii="Book Antiqua" w:hAnsi="Book Antiqua" w:cs="宋体"/>
          <w:kern w:val="0"/>
          <w:sz w:val="24"/>
        </w:rPr>
        <w:t xml:space="preserve">, </w:t>
      </w:r>
      <w:proofErr w:type="spellStart"/>
      <w:r w:rsidRPr="00F76351">
        <w:rPr>
          <w:rFonts w:ascii="Book Antiqua" w:hAnsi="Book Antiqua" w:cs="宋体"/>
          <w:kern w:val="0"/>
          <w:sz w:val="24"/>
        </w:rPr>
        <w:t>Wooh</w:t>
      </w:r>
      <w:proofErr w:type="spellEnd"/>
      <w:r w:rsidRPr="00F76351">
        <w:rPr>
          <w:rFonts w:ascii="Book Antiqua" w:hAnsi="Book Antiqua" w:cs="宋体"/>
          <w:kern w:val="0"/>
          <w:sz w:val="24"/>
        </w:rPr>
        <w:t xml:space="preserve"> JW, Brooks AJ, Gordon D, Brown RJ, </w:t>
      </w:r>
      <w:proofErr w:type="spellStart"/>
      <w:r w:rsidRPr="00F76351">
        <w:rPr>
          <w:rFonts w:ascii="Book Antiqua" w:hAnsi="Book Antiqua" w:cs="宋体"/>
          <w:kern w:val="0"/>
          <w:sz w:val="24"/>
        </w:rPr>
        <w:t>Lichanska</w:t>
      </w:r>
      <w:proofErr w:type="spellEnd"/>
      <w:r w:rsidRPr="00F76351">
        <w:rPr>
          <w:rFonts w:ascii="Book Antiqua" w:hAnsi="Book Antiqua" w:cs="宋体"/>
          <w:kern w:val="0"/>
          <w:sz w:val="24"/>
        </w:rPr>
        <w:t xml:space="preserve"> AM, Chin HS, Barton CL, Boyle GM, Parsons PG, </w:t>
      </w:r>
      <w:proofErr w:type="spellStart"/>
      <w:r w:rsidRPr="00F76351">
        <w:rPr>
          <w:rFonts w:ascii="Book Antiqua" w:hAnsi="Book Antiqua" w:cs="宋体"/>
          <w:kern w:val="0"/>
          <w:sz w:val="24"/>
        </w:rPr>
        <w:t>Jans</w:t>
      </w:r>
      <w:proofErr w:type="spellEnd"/>
      <w:r w:rsidRPr="00F76351">
        <w:rPr>
          <w:rFonts w:ascii="Book Antiqua" w:hAnsi="Book Antiqua" w:cs="宋体"/>
          <w:kern w:val="0"/>
          <w:sz w:val="24"/>
        </w:rPr>
        <w:t xml:space="preserve"> DA, Waters MJ. Nuclear targeting of the growth hormone receptor results in </w:t>
      </w:r>
      <w:proofErr w:type="spellStart"/>
      <w:r w:rsidRPr="00F76351">
        <w:rPr>
          <w:rFonts w:ascii="Book Antiqua" w:hAnsi="Book Antiqua" w:cs="宋体"/>
          <w:kern w:val="0"/>
          <w:sz w:val="24"/>
        </w:rPr>
        <w:t>dysregulation</w:t>
      </w:r>
      <w:proofErr w:type="spellEnd"/>
      <w:r w:rsidRPr="00F76351">
        <w:rPr>
          <w:rFonts w:ascii="Book Antiqua" w:hAnsi="Book Antiqua" w:cs="宋体"/>
          <w:kern w:val="0"/>
          <w:sz w:val="24"/>
        </w:rPr>
        <w:t xml:space="preserve"> of cell proliferation and </w:t>
      </w:r>
      <w:proofErr w:type="spellStart"/>
      <w:r w:rsidRPr="00F76351">
        <w:rPr>
          <w:rFonts w:ascii="Book Antiqua" w:hAnsi="Book Antiqua" w:cs="宋体"/>
          <w:kern w:val="0"/>
          <w:sz w:val="24"/>
        </w:rPr>
        <w:t>tumorigenesis</w:t>
      </w:r>
      <w:proofErr w:type="spellEnd"/>
      <w:r w:rsidRPr="00F76351">
        <w:rPr>
          <w:rFonts w:ascii="Book Antiqua" w:hAnsi="Book Antiqua" w:cs="宋体"/>
          <w:kern w:val="0"/>
          <w:sz w:val="24"/>
        </w:rPr>
        <w:t>. </w:t>
      </w:r>
      <w:proofErr w:type="spellStart"/>
      <w:r w:rsidRPr="00F76351">
        <w:rPr>
          <w:rFonts w:ascii="Book Antiqua" w:hAnsi="Book Antiqua" w:cs="宋体"/>
          <w:i/>
          <w:iCs/>
          <w:kern w:val="0"/>
          <w:sz w:val="24"/>
        </w:rPr>
        <w:t>Proc</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Natl</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Acad</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Sci</w:t>
      </w:r>
      <w:proofErr w:type="spellEnd"/>
      <w:r w:rsidRPr="00F76351">
        <w:rPr>
          <w:rFonts w:ascii="Book Antiqua" w:hAnsi="Book Antiqua" w:cs="宋体"/>
          <w:i/>
          <w:iCs/>
          <w:kern w:val="0"/>
          <w:sz w:val="24"/>
        </w:rPr>
        <w:t xml:space="preserve"> U S A</w:t>
      </w:r>
      <w:r w:rsidRPr="00F76351">
        <w:rPr>
          <w:rFonts w:ascii="Book Antiqua" w:hAnsi="Book Antiqua" w:cs="宋体"/>
          <w:kern w:val="0"/>
          <w:sz w:val="24"/>
        </w:rPr>
        <w:t> 2007; </w:t>
      </w:r>
      <w:r w:rsidRPr="00F76351">
        <w:rPr>
          <w:rFonts w:ascii="Book Antiqua" w:hAnsi="Book Antiqua" w:cs="宋体"/>
          <w:b/>
          <w:bCs/>
          <w:kern w:val="0"/>
          <w:sz w:val="24"/>
        </w:rPr>
        <w:t>104</w:t>
      </w:r>
      <w:r w:rsidRPr="00F76351">
        <w:rPr>
          <w:rFonts w:ascii="Book Antiqua" w:hAnsi="Book Antiqua" w:cs="宋体"/>
          <w:kern w:val="0"/>
          <w:sz w:val="24"/>
        </w:rPr>
        <w:t>: 13331-13336 [PMID: 17690250 DOI: 10.1073/pnas.0600181104]</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23 </w:t>
      </w:r>
      <w:proofErr w:type="spellStart"/>
      <w:r w:rsidRPr="00F76351">
        <w:rPr>
          <w:rFonts w:ascii="Book Antiqua" w:hAnsi="Book Antiqua" w:cs="宋体"/>
          <w:b/>
          <w:bCs/>
          <w:kern w:val="0"/>
          <w:sz w:val="24"/>
        </w:rPr>
        <w:t>Reinmuth</w:t>
      </w:r>
      <w:proofErr w:type="spellEnd"/>
      <w:r w:rsidRPr="00F76351">
        <w:rPr>
          <w:rFonts w:ascii="Book Antiqua" w:hAnsi="Book Antiqua" w:cs="宋体"/>
          <w:b/>
          <w:bCs/>
          <w:kern w:val="0"/>
          <w:sz w:val="24"/>
        </w:rPr>
        <w:t xml:space="preserve"> N</w:t>
      </w:r>
      <w:r w:rsidRPr="00F76351">
        <w:rPr>
          <w:rFonts w:ascii="Book Antiqua" w:hAnsi="Book Antiqua" w:cs="宋体"/>
          <w:kern w:val="0"/>
          <w:sz w:val="24"/>
        </w:rPr>
        <w:t xml:space="preserve">, Fan F, Liu W, Parikh AA, </w:t>
      </w:r>
      <w:proofErr w:type="spellStart"/>
      <w:r w:rsidRPr="00F76351">
        <w:rPr>
          <w:rFonts w:ascii="Book Antiqua" w:hAnsi="Book Antiqua" w:cs="宋体"/>
          <w:kern w:val="0"/>
          <w:sz w:val="24"/>
        </w:rPr>
        <w:t>Stoeltzing</w:t>
      </w:r>
      <w:proofErr w:type="spellEnd"/>
      <w:r w:rsidRPr="00F76351">
        <w:rPr>
          <w:rFonts w:ascii="Book Antiqua" w:hAnsi="Book Antiqua" w:cs="宋体"/>
          <w:kern w:val="0"/>
          <w:sz w:val="24"/>
        </w:rPr>
        <w:t xml:space="preserve"> O, Jung YD, </w:t>
      </w:r>
      <w:proofErr w:type="spellStart"/>
      <w:r w:rsidRPr="00F76351">
        <w:rPr>
          <w:rFonts w:ascii="Book Antiqua" w:hAnsi="Book Antiqua" w:cs="宋体"/>
          <w:kern w:val="0"/>
          <w:sz w:val="24"/>
        </w:rPr>
        <w:t>Bucana</w:t>
      </w:r>
      <w:proofErr w:type="spellEnd"/>
      <w:r w:rsidRPr="00F76351">
        <w:rPr>
          <w:rFonts w:ascii="Book Antiqua" w:hAnsi="Book Antiqua" w:cs="宋体"/>
          <w:kern w:val="0"/>
          <w:sz w:val="24"/>
        </w:rPr>
        <w:t xml:space="preserve"> CD, </w:t>
      </w:r>
      <w:proofErr w:type="spellStart"/>
      <w:r w:rsidRPr="00F76351">
        <w:rPr>
          <w:rFonts w:ascii="Book Antiqua" w:hAnsi="Book Antiqua" w:cs="宋体"/>
          <w:kern w:val="0"/>
          <w:sz w:val="24"/>
        </w:rPr>
        <w:t>Radinsky</w:t>
      </w:r>
      <w:proofErr w:type="spellEnd"/>
      <w:r w:rsidRPr="00F76351">
        <w:rPr>
          <w:rFonts w:ascii="Book Antiqua" w:hAnsi="Book Antiqua" w:cs="宋体"/>
          <w:kern w:val="0"/>
          <w:sz w:val="24"/>
        </w:rPr>
        <w:t xml:space="preserve"> R, </w:t>
      </w:r>
      <w:proofErr w:type="spellStart"/>
      <w:r w:rsidRPr="00F76351">
        <w:rPr>
          <w:rFonts w:ascii="Book Antiqua" w:hAnsi="Book Antiqua" w:cs="宋体"/>
          <w:kern w:val="0"/>
          <w:sz w:val="24"/>
        </w:rPr>
        <w:t>Gallick</w:t>
      </w:r>
      <w:proofErr w:type="spellEnd"/>
      <w:r w:rsidRPr="00F76351">
        <w:rPr>
          <w:rFonts w:ascii="Book Antiqua" w:hAnsi="Book Antiqua" w:cs="宋体"/>
          <w:kern w:val="0"/>
          <w:sz w:val="24"/>
        </w:rPr>
        <w:t xml:space="preserve"> GE, Ellis LM. Impact of insulin-like growth factor receptor-I function on angiogenesis, growth, and metastasis of colon cancer. </w:t>
      </w:r>
      <w:r w:rsidRPr="00F76351">
        <w:rPr>
          <w:rFonts w:ascii="Book Antiqua" w:hAnsi="Book Antiqua" w:cs="宋体"/>
          <w:i/>
          <w:iCs/>
          <w:kern w:val="0"/>
          <w:sz w:val="24"/>
        </w:rPr>
        <w:t>Lab Invest</w:t>
      </w:r>
      <w:r w:rsidRPr="00F76351">
        <w:rPr>
          <w:rFonts w:ascii="Book Antiqua" w:hAnsi="Book Antiqua" w:cs="宋体"/>
          <w:kern w:val="0"/>
          <w:sz w:val="24"/>
        </w:rPr>
        <w:t> 2002; </w:t>
      </w:r>
      <w:r w:rsidRPr="00F76351">
        <w:rPr>
          <w:rFonts w:ascii="Book Antiqua" w:hAnsi="Book Antiqua" w:cs="宋体"/>
          <w:b/>
          <w:bCs/>
          <w:kern w:val="0"/>
          <w:sz w:val="24"/>
        </w:rPr>
        <w:t>82</w:t>
      </w:r>
      <w:r w:rsidRPr="00F76351">
        <w:rPr>
          <w:rFonts w:ascii="Book Antiqua" w:hAnsi="Book Antiqua" w:cs="宋体"/>
          <w:kern w:val="0"/>
          <w:sz w:val="24"/>
        </w:rPr>
        <w:t>: 1377-1389 [PMID: 12379772]</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24 </w:t>
      </w:r>
      <w:r w:rsidRPr="00F76351">
        <w:rPr>
          <w:rFonts w:ascii="Book Antiqua" w:hAnsi="Book Antiqua" w:cs="宋体"/>
          <w:b/>
          <w:bCs/>
          <w:kern w:val="0"/>
          <w:sz w:val="24"/>
        </w:rPr>
        <w:t>Matsui K</w:t>
      </w:r>
      <w:r w:rsidRPr="00F76351">
        <w:rPr>
          <w:rFonts w:ascii="Book Antiqua" w:hAnsi="Book Antiqua" w:cs="宋体"/>
          <w:kern w:val="0"/>
          <w:sz w:val="24"/>
        </w:rPr>
        <w:t xml:space="preserve">, Sasaki Y, Komatsu T, </w:t>
      </w:r>
      <w:proofErr w:type="spellStart"/>
      <w:r w:rsidRPr="00F76351">
        <w:rPr>
          <w:rFonts w:ascii="Book Antiqua" w:hAnsi="Book Antiqua" w:cs="宋体"/>
          <w:kern w:val="0"/>
          <w:sz w:val="24"/>
        </w:rPr>
        <w:t>Mukai</w:t>
      </w:r>
      <w:proofErr w:type="spellEnd"/>
      <w:r w:rsidRPr="00F76351">
        <w:rPr>
          <w:rFonts w:ascii="Book Antiqua" w:hAnsi="Book Antiqua" w:cs="宋体"/>
          <w:kern w:val="0"/>
          <w:sz w:val="24"/>
        </w:rPr>
        <w:t xml:space="preserve"> M, Kikuchi J, Aoyama Y. </w:t>
      </w:r>
      <w:proofErr w:type="spellStart"/>
      <w:r w:rsidRPr="00F76351">
        <w:rPr>
          <w:rFonts w:ascii="Book Antiqua" w:hAnsi="Book Antiqua" w:cs="宋体"/>
          <w:kern w:val="0"/>
          <w:sz w:val="24"/>
        </w:rPr>
        <w:t>RNAi</w:t>
      </w:r>
      <w:proofErr w:type="spellEnd"/>
      <w:r w:rsidRPr="00F76351">
        <w:rPr>
          <w:rFonts w:ascii="Book Antiqua" w:hAnsi="Book Antiqua" w:cs="宋体"/>
          <w:kern w:val="0"/>
          <w:sz w:val="24"/>
        </w:rPr>
        <w:t xml:space="preserve"> gene silencing using </w:t>
      </w:r>
      <w:proofErr w:type="spellStart"/>
      <w:r w:rsidRPr="00F76351">
        <w:rPr>
          <w:rFonts w:ascii="Book Antiqua" w:hAnsi="Book Antiqua" w:cs="宋体"/>
          <w:kern w:val="0"/>
          <w:sz w:val="24"/>
        </w:rPr>
        <w:t>cerasome</w:t>
      </w:r>
      <w:proofErr w:type="spellEnd"/>
      <w:r w:rsidRPr="00F76351">
        <w:rPr>
          <w:rFonts w:ascii="Book Antiqua" w:hAnsi="Book Antiqua" w:cs="宋体"/>
          <w:kern w:val="0"/>
          <w:sz w:val="24"/>
        </w:rPr>
        <w:t xml:space="preserve"> as a viral-size </w:t>
      </w:r>
      <w:proofErr w:type="spellStart"/>
      <w:r w:rsidRPr="00F76351">
        <w:rPr>
          <w:rFonts w:ascii="Book Antiqua" w:hAnsi="Book Antiqua" w:cs="宋体"/>
          <w:kern w:val="0"/>
          <w:sz w:val="24"/>
        </w:rPr>
        <w:t>siRNA</w:t>
      </w:r>
      <w:proofErr w:type="spellEnd"/>
      <w:r w:rsidRPr="00F76351">
        <w:rPr>
          <w:rFonts w:ascii="Book Antiqua" w:hAnsi="Book Antiqua" w:cs="宋体"/>
          <w:kern w:val="0"/>
          <w:sz w:val="24"/>
        </w:rPr>
        <w:t>-carrier free from fusion and cross-linking. </w:t>
      </w:r>
      <w:proofErr w:type="spellStart"/>
      <w:r w:rsidRPr="00F76351">
        <w:rPr>
          <w:rFonts w:ascii="Book Antiqua" w:hAnsi="Book Antiqua" w:cs="宋体"/>
          <w:i/>
          <w:iCs/>
          <w:kern w:val="0"/>
          <w:sz w:val="24"/>
        </w:rPr>
        <w:t>Bioorg</w:t>
      </w:r>
      <w:proofErr w:type="spellEnd"/>
      <w:r w:rsidRPr="00F76351">
        <w:rPr>
          <w:rFonts w:ascii="Book Antiqua" w:hAnsi="Book Antiqua" w:cs="宋体"/>
          <w:i/>
          <w:iCs/>
          <w:kern w:val="0"/>
          <w:sz w:val="24"/>
        </w:rPr>
        <w:t xml:space="preserve"> Med </w:t>
      </w:r>
      <w:proofErr w:type="spellStart"/>
      <w:r w:rsidRPr="00F76351">
        <w:rPr>
          <w:rFonts w:ascii="Book Antiqua" w:hAnsi="Book Antiqua" w:cs="宋体"/>
          <w:i/>
          <w:iCs/>
          <w:kern w:val="0"/>
          <w:sz w:val="24"/>
        </w:rPr>
        <w:t>Chem</w:t>
      </w:r>
      <w:proofErr w:type="spellEnd"/>
      <w:r w:rsidRPr="00F76351">
        <w:rPr>
          <w:rFonts w:ascii="Book Antiqua" w:hAnsi="Book Antiqua" w:cs="宋体"/>
          <w:i/>
          <w:iCs/>
          <w:kern w:val="0"/>
          <w:sz w:val="24"/>
        </w:rPr>
        <w:t xml:space="preserve"> </w:t>
      </w:r>
      <w:proofErr w:type="spellStart"/>
      <w:r w:rsidRPr="00F76351">
        <w:rPr>
          <w:rFonts w:ascii="Book Antiqua" w:hAnsi="Book Antiqua" w:cs="宋体"/>
          <w:i/>
          <w:iCs/>
          <w:kern w:val="0"/>
          <w:sz w:val="24"/>
        </w:rPr>
        <w:t>Lett</w:t>
      </w:r>
      <w:proofErr w:type="spellEnd"/>
      <w:r w:rsidRPr="00F76351">
        <w:rPr>
          <w:rFonts w:ascii="Book Antiqua" w:hAnsi="Book Antiqua" w:cs="宋体"/>
          <w:kern w:val="0"/>
          <w:sz w:val="24"/>
        </w:rPr>
        <w:t> 2007; </w:t>
      </w:r>
      <w:r w:rsidRPr="00F76351">
        <w:rPr>
          <w:rFonts w:ascii="Book Antiqua" w:hAnsi="Book Antiqua" w:cs="宋体"/>
          <w:b/>
          <w:bCs/>
          <w:kern w:val="0"/>
          <w:sz w:val="24"/>
        </w:rPr>
        <w:t>17</w:t>
      </w:r>
      <w:r w:rsidRPr="00F76351">
        <w:rPr>
          <w:rFonts w:ascii="Book Antiqua" w:hAnsi="Book Antiqua" w:cs="宋体"/>
          <w:kern w:val="0"/>
          <w:sz w:val="24"/>
        </w:rPr>
        <w:t>: 3935-3938 [PMID: 17502138 DOI: 10.1016/j.bmcl.2007.04]</w:t>
      </w:r>
    </w:p>
    <w:p w:rsidR="00ED4098" w:rsidRPr="00F76351" w:rsidRDefault="00ED4098" w:rsidP="00B40263">
      <w:pPr>
        <w:widowControl/>
        <w:spacing w:line="360" w:lineRule="auto"/>
        <w:rPr>
          <w:rFonts w:ascii="Book Antiqua" w:hAnsi="Book Antiqua" w:cs="宋体"/>
          <w:kern w:val="0"/>
          <w:sz w:val="24"/>
        </w:rPr>
      </w:pPr>
      <w:r w:rsidRPr="00F76351">
        <w:rPr>
          <w:rFonts w:ascii="Book Antiqua" w:hAnsi="Book Antiqua" w:cs="宋体"/>
          <w:kern w:val="0"/>
          <w:sz w:val="24"/>
        </w:rPr>
        <w:t>25 </w:t>
      </w:r>
      <w:proofErr w:type="spellStart"/>
      <w:r w:rsidRPr="00F76351">
        <w:rPr>
          <w:rFonts w:ascii="Book Antiqua" w:hAnsi="Book Antiqua" w:cs="宋体"/>
          <w:b/>
          <w:bCs/>
          <w:kern w:val="0"/>
          <w:sz w:val="24"/>
        </w:rPr>
        <w:t>Heidenreich</w:t>
      </w:r>
      <w:proofErr w:type="spellEnd"/>
      <w:r w:rsidRPr="00F76351">
        <w:rPr>
          <w:rFonts w:ascii="Book Antiqua" w:hAnsi="Book Antiqua" w:cs="宋体"/>
          <w:b/>
          <w:bCs/>
          <w:kern w:val="0"/>
          <w:sz w:val="24"/>
        </w:rPr>
        <w:t xml:space="preserve"> O</w:t>
      </w:r>
      <w:r w:rsidRPr="00F76351">
        <w:rPr>
          <w:rFonts w:ascii="Book Antiqua" w:hAnsi="Book Antiqua" w:cs="宋体"/>
          <w:kern w:val="0"/>
          <w:sz w:val="24"/>
        </w:rPr>
        <w:t xml:space="preserve">, </w:t>
      </w:r>
      <w:proofErr w:type="spellStart"/>
      <w:r w:rsidRPr="00F76351">
        <w:rPr>
          <w:rFonts w:ascii="Book Antiqua" w:hAnsi="Book Antiqua" w:cs="宋体"/>
          <w:kern w:val="0"/>
          <w:sz w:val="24"/>
        </w:rPr>
        <w:t>Krauter</w:t>
      </w:r>
      <w:proofErr w:type="spellEnd"/>
      <w:r w:rsidRPr="00F76351">
        <w:rPr>
          <w:rFonts w:ascii="Book Antiqua" w:hAnsi="Book Antiqua" w:cs="宋体"/>
          <w:kern w:val="0"/>
          <w:sz w:val="24"/>
        </w:rPr>
        <w:t xml:space="preserve"> J, </w:t>
      </w:r>
      <w:proofErr w:type="spellStart"/>
      <w:r w:rsidRPr="00F76351">
        <w:rPr>
          <w:rFonts w:ascii="Book Antiqua" w:hAnsi="Book Antiqua" w:cs="宋体"/>
          <w:kern w:val="0"/>
          <w:sz w:val="24"/>
        </w:rPr>
        <w:t>Riehle</w:t>
      </w:r>
      <w:proofErr w:type="spellEnd"/>
      <w:r w:rsidRPr="00F76351">
        <w:rPr>
          <w:rFonts w:ascii="Book Antiqua" w:hAnsi="Book Antiqua" w:cs="宋体"/>
          <w:kern w:val="0"/>
          <w:sz w:val="24"/>
        </w:rPr>
        <w:t xml:space="preserve"> H, </w:t>
      </w:r>
      <w:proofErr w:type="spellStart"/>
      <w:r w:rsidRPr="00F76351">
        <w:rPr>
          <w:rFonts w:ascii="Book Antiqua" w:hAnsi="Book Antiqua" w:cs="宋体"/>
          <w:kern w:val="0"/>
          <w:sz w:val="24"/>
        </w:rPr>
        <w:t>Hadwiger</w:t>
      </w:r>
      <w:proofErr w:type="spellEnd"/>
      <w:r w:rsidRPr="00F76351">
        <w:rPr>
          <w:rFonts w:ascii="Book Antiqua" w:hAnsi="Book Antiqua" w:cs="宋体"/>
          <w:kern w:val="0"/>
          <w:sz w:val="24"/>
        </w:rPr>
        <w:t xml:space="preserve"> P, John M, </w:t>
      </w:r>
      <w:proofErr w:type="spellStart"/>
      <w:r w:rsidRPr="00F76351">
        <w:rPr>
          <w:rFonts w:ascii="Book Antiqua" w:hAnsi="Book Antiqua" w:cs="宋体"/>
          <w:kern w:val="0"/>
          <w:sz w:val="24"/>
        </w:rPr>
        <w:t>Heil</w:t>
      </w:r>
      <w:proofErr w:type="spellEnd"/>
      <w:r w:rsidRPr="00F76351">
        <w:rPr>
          <w:rFonts w:ascii="Book Antiqua" w:hAnsi="Book Antiqua" w:cs="宋体"/>
          <w:kern w:val="0"/>
          <w:sz w:val="24"/>
        </w:rPr>
        <w:t xml:space="preserve"> G, </w:t>
      </w:r>
      <w:proofErr w:type="spellStart"/>
      <w:r w:rsidRPr="00F76351">
        <w:rPr>
          <w:rFonts w:ascii="Book Antiqua" w:hAnsi="Book Antiqua" w:cs="宋体"/>
          <w:kern w:val="0"/>
          <w:sz w:val="24"/>
        </w:rPr>
        <w:t>Vornlocher</w:t>
      </w:r>
      <w:proofErr w:type="spellEnd"/>
      <w:r w:rsidRPr="00F76351">
        <w:rPr>
          <w:rFonts w:ascii="Book Antiqua" w:hAnsi="Book Antiqua" w:cs="宋体"/>
          <w:kern w:val="0"/>
          <w:sz w:val="24"/>
        </w:rPr>
        <w:t xml:space="preserve"> HP, </w:t>
      </w:r>
      <w:proofErr w:type="spellStart"/>
      <w:r w:rsidRPr="00F76351">
        <w:rPr>
          <w:rFonts w:ascii="Book Antiqua" w:hAnsi="Book Antiqua" w:cs="宋体"/>
          <w:kern w:val="0"/>
          <w:sz w:val="24"/>
        </w:rPr>
        <w:t>Nordheim</w:t>
      </w:r>
      <w:proofErr w:type="spellEnd"/>
      <w:r w:rsidRPr="00F76351">
        <w:rPr>
          <w:rFonts w:ascii="Book Antiqua" w:hAnsi="Book Antiqua" w:cs="宋体"/>
          <w:kern w:val="0"/>
          <w:sz w:val="24"/>
        </w:rPr>
        <w:t xml:space="preserve"> A. AML1/MTG8 oncogene suppression by small interfering RNAs supports myeloid differentiation of t(8; 21)-positive leukemic cells. </w:t>
      </w:r>
      <w:r w:rsidRPr="00F76351">
        <w:rPr>
          <w:rFonts w:ascii="Book Antiqua" w:hAnsi="Book Antiqua" w:cs="宋体"/>
          <w:i/>
          <w:iCs/>
          <w:kern w:val="0"/>
          <w:sz w:val="24"/>
        </w:rPr>
        <w:t>Blood</w:t>
      </w:r>
      <w:r w:rsidRPr="00F76351">
        <w:rPr>
          <w:rFonts w:ascii="Book Antiqua" w:hAnsi="Book Antiqua" w:cs="宋体"/>
          <w:kern w:val="0"/>
          <w:sz w:val="24"/>
        </w:rPr>
        <w:t> 2003; </w:t>
      </w:r>
      <w:r w:rsidRPr="00F76351">
        <w:rPr>
          <w:rFonts w:ascii="Book Antiqua" w:hAnsi="Book Antiqua" w:cs="宋体"/>
          <w:b/>
          <w:bCs/>
          <w:kern w:val="0"/>
          <w:sz w:val="24"/>
        </w:rPr>
        <w:t>101</w:t>
      </w:r>
      <w:r w:rsidRPr="00F76351">
        <w:rPr>
          <w:rFonts w:ascii="Book Antiqua" w:hAnsi="Book Antiqua" w:cs="宋体"/>
          <w:kern w:val="0"/>
          <w:sz w:val="24"/>
        </w:rPr>
        <w:t>: 3157-3163 [PMID: 12480707 DOI: 10.1182/blood-2002-05-1589]</w:t>
      </w:r>
    </w:p>
    <w:p w:rsidR="00ED4098" w:rsidRPr="00F76351" w:rsidRDefault="00ED4098" w:rsidP="00B40263">
      <w:pPr>
        <w:spacing w:line="360" w:lineRule="auto"/>
        <w:rPr>
          <w:rFonts w:ascii="Book Antiqua" w:hAnsi="Book Antiqua"/>
          <w:sz w:val="24"/>
        </w:rPr>
      </w:pPr>
    </w:p>
    <w:p w:rsidR="00ED4098" w:rsidRPr="00F76351" w:rsidRDefault="00ED4098" w:rsidP="00B40263">
      <w:pPr>
        <w:spacing w:line="360" w:lineRule="auto"/>
        <w:rPr>
          <w:rFonts w:ascii="Book Antiqua" w:hAnsi="Book Antiqua"/>
          <w:b/>
          <w:bCs/>
          <w:sz w:val="24"/>
        </w:rPr>
      </w:pPr>
      <w:bookmarkStart w:id="41" w:name="OLE_LINK11"/>
      <w:bookmarkStart w:id="42" w:name="OLE_LINK12"/>
      <w:bookmarkStart w:id="43" w:name="OLE_LINK20"/>
      <w:bookmarkStart w:id="44" w:name="OLE_LINK80"/>
      <w:bookmarkStart w:id="45" w:name="OLE_LINK85"/>
      <w:bookmarkStart w:id="46" w:name="OLE_LINK194"/>
      <w:bookmarkStart w:id="47" w:name="OLE_LINK118"/>
      <w:r w:rsidRPr="00F76351">
        <w:rPr>
          <w:rStyle w:val="af"/>
          <w:rFonts w:ascii="Book Antiqua" w:hAnsi="Book Antiqua"/>
          <w:bCs/>
          <w:noProof/>
          <w:sz w:val="24"/>
        </w:rPr>
        <w:t>P-Reviewer</w:t>
      </w:r>
      <w:bookmarkEnd w:id="41"/>
      <w:bookmarkEnd w:id="42"/>
      <w:r w:rsidRPr="00F76351">
        <w:rPr>
          <w:rStyle w:val="af"/>
          <w:rFonts w:ascii="Book Antiqua" w:hAnsi="Book Antiqua"/>
          <w:bCs/>
          <w:noProof/>
          <w:sz w:val="24"/>
        </w:rPr>
        <w:t>s</w:t>
      </w:r>
      <w:r w:rsidRPr="00F76351">
        <w:t xml:space="preserve"> </w:t>
      </w:r>
      <w:r w:rsidRPr="00F76351">
        <w:rPr>
          <w:rFonts w:ascii="Book Antiqua" w:hAnsi="Book Antiqua"/>
          <w:sz w:val="24"/>
        </w:rPr>
        <w:t xml:space="preserve">Lee FYJ, </w:t>
      </w:r>
      <w:proofErr w:type="spellStart"/>
      <w:r w:rsidRPr="00F76351">
        <w:rPr>
          <w:rFonts w:ascii="Book Antiqua" w:hAnsi="Book Antiqua"/>
          <w:bCs/>
          <w:sz w:val="24"/>
        </w:rPr>
        <w:t>Maric</w:t>
      </w:r>
      <w:proofErr w:type="spellEnd"/>
      <w:r w:rsidRPr="00F76351">
        <w:rPr>
          <w:rFonts w:ascii="Book Antiqua" w:hAnsi="Book Antiqua"/>
          <w:bCs/>
          <w:sz w:val="24"/>
        </w:rPr>
        <w:t xml:space="preserve"> I</w:t>
      </w:r>
      <w:r w:rsidRPr="00F76351">
        <w:rPr>
          <w:rFonts w:ascii="Book Antiqua" w:hAnsi="Book Antiqua"/>
          <w:b/>
          <w:bCs/>
          <w:sz w:val="24"/>
        </w:rPr>
        <w:t xml:space="preserve">       S-Editor </w:t>
      </w:r>
      <w:r w:rsidRPr="00F76351">
        <w:rPr>
          <w:rFonts w:ascii="Book Antiqua" w:hAnsi="Book Antiqua"/>
          <w:bCs/>
          <w:sz w:val="24"/>
        </w:rPr>
        <w:t xml:space="preserve">Wen LL  </w:t>
      </w:r>
      <w:r w:rsidRPr="00F76351">
        <w:rPr>
          <w:rFonts w:ascii="Book Antiqua" w:hAnsi="Book Antiqua"/>
          <w:b/>
          <w:bCs/>
          <w:sz w:val="24"/>
        </w:rPr>
        <w:t xml:space="preserve">         </w:t>
      </w:r>
      <w:r w:rsidRPr="00F76351">
        <w:rPr>
          <w:rFonts w:ascii="Book Antiqua" w:hAnsi="Book Antiqua"/>
          <w:sz w:val="24"/>
        </w:rPr>
        <w:t xml:space="preserve">  </w:t>
      </w:r>
      <w:r w:rsidRPr="00F76351">
        <w:rPr>
          <w:rFonts w:ascii="Book Antiqua" w:hAnsi="Book Antiqua"/>
          <w:b/>
          <w:bCs/>
          <w:sz w:val="24"/>
        </w:rPr>
        <w:t xml:space="preserve">L-Editor                </w:t>
      </w:r>
      <w:r w:rsidRPr="00F76351">
        <w:rPr>
          <w:rFonts w:ascii="Book Antiqua" w:hAnsi="Book Antiqua"/>
          <w:sz w:val="24"/>
        </w:rPr>
        <w:t xml:space="preserve">  </w:t>
      </w:r>
      <w:r w:rsidRPr="00F76351">
        <w:rPr>
          <w:rFonts w:ascii="Book Antiqua" w:hAnsi="Book Antiqua"/>
          <w:b/>
          <w:bCs/>
          <w:sz w:val="24"/>
        </w:rPr>
        <w:t>E-Editor</w:t>
      </w:r>
    </w:p>
    <w:bookmarkEnd w:id="43"/>
    <w:bookmarkEnd w:id="44"/>
    <w:bookmarkEnd w:id="45"/>
    <w:bookmarkEnd w:id="46"/>
    <w:bookmarkEnd w:id="47"/>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t>Table 1 Weight changes of tumor-bearing mice (</w:t>
      </w:r>
      <w:r w:rsidRPr="00F76351">
        <w:rPr>
          <w:rFonts w:ascii="Book Antiqua" w:hAnsi="Book Antiqua"/>
          <w:b/>
          <w:i/>
          <w:sz w:val="24"/>
        </w:rPr>
        <w:t>n</w:t>
      </w:r>
      <w:r w:rsidRPr="00F76351">
        <w:rPr>
          <w:rFonts w:ascii="Book Antiqua" w:hAnsi="Book Antiqua"/>
          <w:b/>
          <w:sz w:val="24"/>
        </w:rPr>
        <w:t xml:space="preserve"> = 6; </w:t>
      </w:r>
      <w:r w:rsidRPr="00F76351">
        <w:rPr>
          <w:b/>
          <w:sz w:val="24"/>
        </w:rPr>
        <w:ruby>
          <w:rubyPr>
            <w:rubyAlign w:val="distributeSpace"/>
            <w:hps w:val="11"/>
            <w:hpsRaise w:val="8"/>
            <w:hpsBaseText w:val="24"/>
            <w:lid w:val="zh-CN"/>
          </w:rubyPr>
          <w:rt>
            <w:r w:rsidR="00ED4098" w:rsidRPr="00F76351">
              <w:rPr>
                <w:b/>
                <w:sz w:val="24"/>
              </w:rPr>
              <w:t>—</w:t>
            </w:r>
          </w:rt>
          <w:rubyBase>
            <w:r w:rsidR="00ED4098" w:rsidRPr="00F76351">
              <w:rPr>
                <w:b/>
                <w:sz w:val="24"/>
              </w:rPr>
              <w:t>χ</w:t>
            </w:r>
          </w:rubyBase>
        </w:ruby>
      </w:r>
      <w:r w:rsidRPr="00F76351">
        <w:rPr>
          <w:rFonts w:ascii="Book Antiqua" w:hAnsi="Book Antiqua"/>
          <w:b/>
          <w:sz w:val="24"/>
        </w:rPr>
        <w:t xml:space="preserve"> ± s)</w:t>
      </w:r>
    </w:p>
    <w:tbl>
      <w:tblPr>
        <w:tblW w:w="5000" w:type="pct"/>
        <w:tblLook w:val="00A0" w:firstRow="1" w:lastRow="0" w:firstColumn="1" w:lastColumn="0" w:noHBand="0" w:noVBand="0"/>
      </w:tblPr>
      <w:tblGrid>
        <w:gridCol w:w="2179"/>
        <w:gridCol w:w="2010"/>
        <w:gridCol w:w="1990"/>
        <w:gridCol w:w="1999"/>
        <w:gridCol w:w="1999"/>
        <w:gridCol w:w="2004"/>
        <w:gridCol w:w="1993"/>
      </w:tblGrid>
      <w:tr w:rsidR="00ED4098" w:rsidRPr="00F76351" w:rsidTr="00227C19">
        <w:tc>
          <w:tcPr>
            <w:tcW w:w="769" w:type="pct"/>
            <w:tcBorders>
              <w:top w:val="single" w:sz="12" w:space="0" w:color="auto"/>
              <w:left w:val="nil"/>
              <w:bottom w:val="nil"/>
              <w:right w:val="nil"/>
            </w:tcBorders>
          </w:tcPr>
          <w:p w:rsidR="00ED4098" w:rsidRPr="00F76351" w:rsidRDefault="00ED4098" w:rsidP="00227C19">
            <w:pPr>
              <w:spacing w:line="360" w:lineRule="auto"/>
              <w:rPr>
                <w:rFonts w:ascii="Book Antiqua" w:hAnsi="Book Antiqua"/>
                <w:sz w:val="24"/>
              </w:rPr>
            </w:pPr>
          </w:p>
        </w:tc>
        <w:tc>
          <w:tcPr>
            <w:tcW w:w="4231" w:type="pct"/>
            <w:gridSpan w:val="6"/>
            <w:tcBorders>
              <w:top w:val="single" w:sz="12" w:space="0" w:color="auto"/>
              <w:left w:val="nil"/>
              <w:bottom w:val="single" w:sz="4" w:space="0" w:color="auto"/>
              <w:right w:val="nil"/>
            </w:tcBorders>
            <w:vAlign w:val="center"/>
          </w:tcPr>
          <w:p w:rsidR="00ED4098" w:rsidRPr="00F76351" w:rsidRDefault="00ED4098" w:rsidP="00227C19">
            <w:pPr>
              <w:spacing w:line="360" w:lineRule="auto"/>
              <w:jc w:val="center"/>
              <w:rPr>
                <w:rFonts w:ascii="Book Antiqua" w:hAnsi="Book Antiqua"/>
                <w:b/>
                <w:sz w:val="24"/>
              </w:rPr>
            </w:pPr>
            <w:r w:rsidRPr="00F76351">
              <w:rPr>
                <w:rFonts w:ascii="Book Antiqua" w:hAnsi="Book Antiqua"/>
                <w:b/>
                <w:sz w:val="24"/>
              </w:rPr>
              <w:t xml:space="preserve">Weight (g, </w:t>
            </w:r>
            <w:r w:rsidRPr="00F76351">
              <w:rPr>
                <w:b/>
                <w:sz w:val="24"/>
              </w:rPr>
              <w:ruby>
                <w:rubyPr>
                  <w:rubyAlign w:val="distributeSpace"/>
                  <w:hps w:val="11"/>
                  <w:hpsRaise w:val="8"/>
                  <w:hpsBaseText w:val="24"/>
                  <w:lid w:val="zh-CN"/>
                </w:rubyPr>
                <w:rt>
                  <w:r w:rsidR="00ED4098" w:rsidRPr="00F76351">
                    <w:rPr>
                      <w:b/>
                      <w:sz w:val="24"/>
                    </w:rPr>
                    <w:t>—</w:t>
                  </w:r>
                </w:rt>
                <w:rubyBase>
                  <w:r w:rsidR="00ED4098" w:rsidRPr="00F76351">
                    <w:rPr>
                      <w:b/>
                      <w:sz w:val="24"/>
                    </w:rPr>
                    <w:t>χ</w:t>
                  </w:r>
                </w:rubyBase>
              </w:ruby>
            </w:r>
            <w:r w:rsidRPr="00F76351">
              <w:rPr>
                <w:b/>
                <w:sz w:val="24"/>
              </w:rPr>
              <w:t xml:space="preserve"> </w:t>
            </w:r>
            <w:r w:rsidRPr="00F76351">
              <w:rPr>
                <w:rFonts w:ascii="Book Antiqua" w:hAnsi="Book Antiqua"/>
                <w:b/>
                <w:i/>
                <w:sz w:val="24"/>
              </w:rPr>
              <w:t>± s)</w:t>
            </w:r>
          </w:p>
        </w:tc>
      </w:tr>
      <w:tr w:rsidR="00ED4098" w:rsidRPr="00F76351" w:rsidTr="00227C19">
        <w:tc>
          <w:tcPr>
            <w:tcW w:w="769" w:type="pct"/>
            <w:tcBorders>
              <w:top w:val="nil"/>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Time</w:t>
            </w:r>
          </w:p>
        </w:tc>
        <w:tc>
          <w:tcPr>
            <w:tcW w:w="709"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NS</w:t>
            </w:r>
          </w:p>
        </w:tc>
        <w:tc>
          <w:tcPr>
            <w:tcW w:w="702"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p>
        </w:tc>
        <w:tc>
          <w:tcPr>
            <w:tcW w:w="705"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GH</w:t>
            </w:r>
          </w:p>
        </w:tc>
        <w:tc>
          <w:tcPr>
            <w:tcW w:w="705"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w:t>
            </w:r>
          </w:p>
        </w:tc>
        <w:tc>
          <w:tcPr>
            <w:tcW w:w="707"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FU+G</w:t>
            </w:r>
            <w:r w:rsidRPr="00F76351">
              <w:rPr>
                <w:rFonts w:ascii="Book Antiqua" w:hAnsi="Book Antiqua"/>
                <w:b/>
                <w:sz w:val="24"/>
                <w:vertAlign w:val="subscript"/>
              </w:rPr>
              <w:t>2</w:t>
            </w:r>
          </w:p>
        </w:tc>
        <w:tc>
          <w:tcPr>
            <w:tcW w:w="703"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r w:rsidRPr="00F76351">
              <w:rPr>
                <w:rFonts w:ascii="Book Antiqua" w:hAnsi="Book Antiqua"/>
                <w:b/>
                <w:sz w:val="24"/>
              </w:rPr>
              <w:t>+FU+GH</w:t>
            </w:r>
          </w:p>
        </w:tc>
      </w:tr>
      <w:tr w:rsidR="00ED4098" w:rsidRPr="00F76351" w:rsidTr="00227C19">
        <w:tc>
          <w:tcPr>
            <w:tcW w:w="769"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Pre-operation</w:t>
            </w:r>
          </w:p>
        </w:tc>
        <w:tc>
          <w:tcPr>
            <w:tcW w:w="709"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20.69 ± 0.67</w:t>
            </w:r>
          </w:p>
        </w:tc>
        <w:tc>
          <w:tcPr>
            <w:tcW w:w="702"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21.92 ± 0.70</w:t>
            </w:r>
          </w:p>
        </w:tc>
        <w:tc>
          <w:tcPr>
            <w:tcW w:w="705"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20.67 ± 0.57</w:t>
            </w:r>
          </w:p>
        </w:tc>
        <w:tc>
          <w:tcPr>
            <w:tcW w:w="705"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21.93 ± 0.58</w:t>
            </w:r>
          </w:p>
        </w:tc>
        <w:tc>
          <w:tcPr>
            <w:tcW w:w="707"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21.86 ± 0.73</w:t>
            </w:r>
          </w:p>
        </w:tc>
        <w:tc>
          <w:tcPr>
            <w:tcW w:w="703" w:type="pct"/>
            <w:tcBorders>
              <w:top w:val="single" w:sz="4" w:space="0" w:color="auto"/>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21.25 ± 0.79</w:t>
            </w:r>
          </w:p>
        </w:tc>
      </w:tr>
      <w:tr w:rsidR="00ED4098" w:rsidRPr="00F76351" w:rsidTr="00227C19">
        <w:tc>
          <w:tcPr>
            <w:tcW w:w="76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2 d</w:t>
            </w:r>
          </w:p>
        </w:tc>
        <w:tc>
          <w:tcPr>
            <w:tcW w:w="70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20.64 ± 0.60</w:t>
            </w:r>
          </w:p>
        </w:tc>
        <w:tc>
          <w:tcPr>
            <w:tcW w:w="702"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21.86 ± 0.79</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20.82 ± 0.56</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20.89 ± 0.66</w:t>
            </w:r>
            <w:r w:rsidRPr="00F76351">
              <w:rPr>
                <w:rFonts w:ascii="Book Antiqua" w:hAnsi="Book Antiqua"/>
                <w:sz w:val="24"/>
                <w:vertAlign w:val="superscript"/>
              </w:rPr>
              <w:t xml:space="preserve"> 1</w:t>
            </w:r>
          </w:p>
        </w:tc>
        <w:tc>
          <w:tcPr>
            <w:tcW w:w="707"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20.09 ± 0.55</w:t>
            </w:r>
            <w:r w:rsidRPr="00F76351">
              <w:rPr>
                <w:rFonts w:ascii="Book Antiqua" w:hAnsi="Book Antiqua"/>
                <w:sz w:val="24"/>
                <w:vertAlign w:val="superscript"/>
              </w:rPr>
              <w:t xml:space="preserve"> 1,3</w:t>
            </w:r>
          </w:p>
        </w:tc>
        <w:tc>
          <w:tcPr>
            <w:tcW w:w="703"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 xml:space="preserve">20.41 ± 0.85 </w:t>
            </w:r>
            <w:r w:rsidRPr="00F76351">
              <w:rPr>
                <w:rFonts w:ascii="Book Antiqua" w:hAnsi="Book Antiqua"/>
                <w:sz w:val="24"/>
                <w:vertAlign w:val="superscript"/>
              </w:rPr>
              <w:t>1,3</w:t>
            </w:r>
          </w:p>
        </w:tc>
      </w:tr>
      <w:tr w:rsidR="00ED4098" w:rsidRPr="00F76351" w:rsidTr="00227C19">
        <w:tc>
          <w:tcPr>
            <w:tcW w:w="76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5 d</w:t>
            </w:r>
          </w:p>
        </w:tc>
        <w:tc>
          <w:tcPr>
            <w:tcW w:w="70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20.65 ± 0.49</w:t>
            </w:r>
          </w:p>
        </w:tc>
        <w:tc>
          <w:tcPr>
            <w:tcW w:w="702"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21.56 ± 0.81</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20.96 ± 0.54</w:t>
            </w:r>
            <w:r w:rsidRPr="00F76351">
              <w:rPr>
                <w:rFonts w:ascii="Book Antiqua" w:hAnsi="Book Antiqua"/>
                <w:sz w:val="24"/>
                <w:vertAlign w:val="superscript"/>
              </w:rPr>
              <w:t xml:space="preserve"> 1</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20.94 ± 0.67</w:t>
            </w:r>
            <w:r w:rsidRPr="00F76351">
              <w:rPr>
                <w:rFonts w:ascii="Book Antiqua" w:hAnsi="Book Antiqua"/>
                <w:sz w:val="24"/>
                <w:vertAlign w:val="superscript"/>
              </w:rPr>
              <w:t xml:space="preserve"> 1</w:t>
            </w:r>
          </w:p>
        </w:tc>
        <w:tc>
          <w:tcPr>
            <w:tcW w:w="707"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 xml:space="preserve">19.92 ± 0.58 </w:t>
            </w:r>
            <w:r w:rsidRPr="00F76351">
              <w:rPr>
                <w:rFonts w:ascii="Book Antiqua" w:hAnsi="Book Antiqua"/>
                <w:sz w:val="24"/>
                <w:vertAlign w:val="superscript"/>
              </w:rPr>
              <w:t>1,3,5</w:t>
            </w:r>
          </w:p>
        </w:tc>
        <w:tc>
          <w:tcPr>
            <w:tcW w:w="703"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20.42 ± 0.76</w:t>
            </w:r>
            <w:r w:rsidRPr="00F76351">
              <w:rPr>
                <w:rFonts w:ascii="Book Antiqua" w:hAnsi="Book Antiqua"/>
                <w:sz w:val="24"/>
                <w:vertAlign w:val="superscript"/>
              </w:rPr>
              <w:t xml:space="preserve"> 1</w:t>
            </w:r>
          </w:p>
        </w:tc>
      </w:tr>
      <w:tr w:rsidR="00ED4098" w:rsidRPr="00F76351" w:rsidTr="00227C19">
        <w:tc>
          <w:tcPr>
            <w:tcW w:w="76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8 d</w:t>
            </w:r>
          </w:p>
        </w:tc>
        <w:tc>
          <w:tcPr>
            <w:tcW w:w="70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20.65 ± 0.65</w:t>
            </w:r>
          </w:p>
        </w:tc>
        <w:tc>
          <w:tcPr>
            <w:tcW w:w="702"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21.53 ± 0.56</w:t>
            </w:r>
            <w:r w:rsidRPr="00F76351">
              <w:rPr>
                <w:rFonts w:ascii="Book Antiqua" w:hAnsi="Book Antiqua"/>
                <w:sz w:val="24"/>
                <w:vertAlign w:val="superscript"/>
              </w:rPr>
              <w:t xml:space="preserve"> 1</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21.18 ± 0.44</w:t>
            </w:r>
            <w:r w:rsidRPr="00F76351">
              <w:rPr>
                <w:rFonts w:ascii="Book Antiqua" w:hAnsi="Book Antiqua"/>
                <w:sz w:val="24"/>
                <w:vertAlign w:val="superscript"/>
              </w:rPr>
              <w:t xml:space="preserve"> 1</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20.41 ± 0.73</w:t>
            </w:r>
            <w:r w:rsidRPr="00F76351">
              <w:rPr>
                <w:rFonts w:ascii="Book Antiqua" w:hAnsi="Book Antiqua"/>
                <w:sz w:val="24"/>
                <w:vertAlign w:val="superscript"/>
              </w:rPr>
              <w:t xml:space="preserve"> 1,3</w:t>
            </w:r>
          </w:p>
        </w:tc>
        <w:tc>
          <w:tcPr>
            <w:tcW w:w="707"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 xml:space="preserve">19.92 ± 0.52 </w:t>
            </w:r>
            <w:r w:rsidRPr="00F76351">
              <w:rPr>
                <w:rFonts w:ascii="Book Antiqua" w:hAnsi="Book Antiqua"/>
                <w:sz w:val="24"/>
                <w:vertAlign w:val="superscript"/>
              </w:rPr>
              <w:t>1,2,3,5</w:t>
            </w:r>
          </w:p>
        </w:tc>
        <w:tc>
          <w:tcPr>
            <w:tcW w:w="703"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 xml:space="preserve">20.53 ± 0.70 </w:t>
            </w:r>
            <w:r w:rsidRPr="00F76351">
              <w:rPr>
                <w:rFonts w:ascii="Book Antiqua" w:hAnsi="Book Antiqua"/>
                <w:sz w:val="24"/>
                <w:vertAlign w:val="superscript"/>
              </w:rPr>
              <w:t>1,3</w:t>
            </w:r>
          </w:p>
        </w:tc>
      </w:tr>
      <w:tr w:rsidR="00ED4098" w:rsidRPr="00F76351" w:rsidTr="00227C19">
        <w:tc>
          <w:tcPr>
            <w:tcW w:w="76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11 d</w:t>
            </w:r>
          </w:p>
        </w:tc>
        <w:tc>
          <w:tcPr>
            <w:tcW w:w="70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20.67 ± 0.63</w:t>
            </w:r>
          </w:p>
        </w:tc>
        <w:tc>
          <w:tcPr>
            <w:tcW w:w="702"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21.53 ± 0.73</w:t>
            </w:r>
            <w:r w:rsidRPr="00F76351">
              <w:rPr>
                <w:rFonts w:ascii="Book Antiqua" w:hAnsi="Book Antiqua"/>
                <w:sz w:val="24"/>
                <w:vertAlign w:val="superscript"/>
              </w:rPr>
              <w:t xml:space="preserve"> 1</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21.27 ± 0.53</w:t>
            </w:r>
            <w:r w:rsidRPr="00F76351">
              <w:rPr>
                <w:rFonts w:ascii="Book Antiqua" w:hAnsi="Book Antiqua"/>
                <w:sz w:val="24"/>
                <w:vertAlign w:val="superscript"/>
              </w:rPr>
              <w:t xml:space="preserve"> 1,4</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19.86 ± 0.57</w:t>
            </w:r>
            <w:r w:rsidRPr="00F76351">
              <w:rPr>
                <w:rFonts w:ascii="Book Antiqua" w:hAnsi="Book Antiqua"/>
                <w:sz w:val="24"/>
                <w:vertAlign w:val="superscript"/>
              </w:rPr>
              <w:t xml:space="preserve"> 1,3</w:t>
            </w:r>
          </w:p>
        </w:tc>
        <w:tc>
          <w:tcPr>
            <w:tcW w:w="707"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 xml:space="preserve">20.06 ± 0.52 </w:t>
            </w:r>
            <w:r w:rsidRPr="00F76351">
              <w:rPr>
                <w:rFonts w:ascii="Book Antiqua" w:hAnsi="Book Antiqua"/>
                <w:sz w:val="24"/>
                <w:vertAlign w:val="superscript"/>
              </w:rPr>
              <w:t>1,2,3,5</w:t>
            </w:r>
          </w:p>
        </w:tc>
        <w:tc>
          <w:tcPr>
            <w:tcW w:w="703"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20.63 ± 0.81</w:t>
            </w:r>
            <w:r w:rsidRPr="00F76351">
              <w:rPr>
                <w:rFonts w:ascii="Book Antiqua" w:hAnsi="Book Antiqua"/>
                <w:sz w:val="24"/>
                <w:vertAlign w:val="superscript"/>
              </w:rPr>
              <w:t xml:space="preserve"> 1,5</w:t>
            </w:r>
          </w:p>
        </w:tc>
      </w:tr>
      <w:tr w:rsidR="00ED4098" w:rsidRPr="00F76351" w:rsidTr="00227C19">
        <w:tc>
          <w:tcPr>
            <w:tcW w:w="76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14 d</w:t>
            </w:r>
          </w:p>
        </w:tc>
        <w:tc>
          <w:tcPr>
            <w:tcW w:w="709"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20.61 ± 0.62</w:t>
            </w:r>
          </w:p>
        </w:tc>
        <w:tc>
          <w:tcPr>
            <w:tcW w:w="702"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21.60 ± 0.68</w:t>
            </w:r>
            <w:r w:rsidRPr="00F76351">
              <w:rPr>
                <w:rFonts w:ascii="Book Antiqua" w:hAnsi="Book Antiqua"/>
                <w:sz w:val="24"/>
                <w:vertAlign w:val="superscript"/>
              </w:rPr>
              <w:t xml:space="preserve"> 1,2</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21.51 ± 0.44</w:t>
            </w:r>
            <w:r w:rsidRPr="00F76351">
              <w:rPr>
                <w:rFonts w:ascii="Book Antiqua" w:hAnsi="Book Antiqua"/>
                <w:sz w:val="24"/>
                <w:vertAlign w:val="superscript"/>
              </w:rPr>
              <w:t xml:space="preserve"> 1,4</w:t>
            </w:r>
          </w:p>
        </w:tc>
        <w:tc>
          <w:tcPr>
            <w:tcW w:w="70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19.46 ± 0.52</w:t>
            </w:r>
            <w:r w:rsidRPr="00F76351">
              <w:rPr>
                <w:rFonts w:ascii="Book Antiqua" w:hAnsi="Book Antiqua"/>
                <w:sz w:val="24"/>
                <w:vertAlign w:val="superscript"/>
              </w:rPr>
              <w:t xml:space="preserve"> 1,2,3</w:t>
            </w:r>
          </w:p>
        </w:tc>
        <w:tc>
          <w:tcPr>
            <w:tcW w:w="707"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19.86 ± 0.92</w:t>
            </w:r>
            <w:r w:rsidRPr="00F76351">
              <w:rPr>
                <w:rFonts w:ascii="Book Antiqua" w:hAnsi="Book Antiqua"/>
                <w:sz w:val="24"/>
                <w:vertAlign w:val="superscript"/>
              </w:rPr>
              <w:t xml:space="preserve"> 1,2</w:t>
            </w:r>
          </w:p>
        </w:tc>
        <w:tc>
          <w:tcPr>
            <w:tcW w:w="703"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20.86 ± 0.72</w:t>
            </w:r>
            <w:r w:rsidRPr="00F76351">
              <w:rPr>
                <w:rFonts w:ascii="Book Antiqua" w:hAnsi="Book Antiqua"/>
                <w:sz w:val="24"/>
                <w:vertAlign w:val="superscript"/>
              </w:rPr>
              <w:t xml:space="preserve"> 1,4</w:t>
            </w:r>
          </w:p>
        </w:tc>
      </w:tr>
      <w:tr w:rsidR="00ED4098" w:rsidRPr="00F76351" w:rsidTr="00227C19">
        <w:tc>
          <w:tcPr>
            <w:tcW w:w="769"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17 d</w:t>
            </w:r>
          </w:p>
        </w:tc>
        <w:tc>
          <w:tcPr>
            <w:tcW w:w="709"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20.68 ± 0.66</w:t>
            </w:r>
          </w:p>
        </w:tc>
        <w:tc>
          <w:tcPr>
            <w:tcW w:w="702"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 xml:space="preserve">21.60 ± 0.71 </w:t>
            </w:r>
            <w:r w:rsidRPr="00F76351">
              <w:rPr>
                <w:rFonts w:ascii="Book Antiqua" w:hAnsi="Book Antiqua"/>
                <w:sz w:val="24"/>
                <w:vertAlign w:val="superscript"/>
              </w:rPr>
              <w:t>1</w:t>
            </w:r>
          </w:p>
        </w:tc>
        <w:tc>
          <w:tcPr>
            <w:tcW w:w="705"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21.64 ± 0.45</w:t>
            </w:r>
            <w:r w:rsidRPr="00F76351">
              <w:rPr>
                <w:rFonts w:ascii="Book Antiqua" w:hAnsi="Book Antiqua"/>
                <w:sz w:val="24"/>
                <w:vertAlign w:val="superscript"/>
              </w:rPr>
              <w:t>1,2,4</w:t>
            </w:r>
          </w:p>
        </w:tc>
        <w:tc>
          <w:tcPr>
            <w:tcW w:w="705"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 xml:space="preserve">18.94 ± 0.47 </w:t>
            </w:r>
            <w:r w:rsidRPr="00F76351">
              <w:rPr>
                <w:rFonts w:ascii="Book Antiqua" w:hAnsi="Book Antiqua"/>
                <w:sz w:val="24"/>
                <w:vertAlign w:val="superscript"/>
              </w:rPr>
              <w:t>1,2,3</w:t>
            </w:r>
          </w:p>
        </w:tc>
        <w:tc>
          <w:tcPr>
            <w:tcW w:w="707"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 xml:space="preserve">19.40 ± 0.60 </w:t>
            </w:r>
            <w:r w:rsidRPr="00F76351">
              <w:rPr>
                <w:rFonts w:ascii="Book Antiqua" w:hAnsi="Book Antiqua"/>
                <w:sz w:val="24"/>
                <w:vertAlign w:val="superscript"/>
              </w:rPr>
              <w:t>1,2,3</w:t>
            </w:r>
          </w:p>
        </w:tc>
        <w:tc>
          <w:tcPr>
            <w:tcW w:w="703"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21.04 ± 0.78</w:t>
            </w:r>
            <w:r w:rsidRPr="00F76351">
              <w:rPr>
                <w:rFonts w:ascii="Book Antiqua" w:hAnsi="Book Antiqua"/>
                <w:sz w:val="24"/>
                <w:vertAlign w:val="superscript"/>
              </w:rPr>
              <w:t xml:space="preserve"> 1,4</w:t>
            </w:r>
          </w:p>
        </w:tc>
      </w:tr>
    </w:tbl>
    <w:p w:rsidR="00ED4098" w:rsidRPr="00F76351" w:rsidRDefault="00ED4098" w:rsidP="000F1768">
      <w:pPr>
        <w:spacing w:line="360" w:lineRule="auto"/>
        <w:rPr>
          <w:rFonts w:ascii="Book Antiqua" w:hAnsi="Book Antiqua"/>
          <w:b/>
          <w:sz w:val="24"/>
        </w:rPr>
      </w:pPr>
      <w:r w:rsidRPr="00F76351">
        <w:rPr>
          <w:rFonts w:ascii="Book Antiqua" w:hAnsi="Book Antiqua"/>
          <w:sz w:val="24"/>
          <w:vertAlign w:val="superscript"/>
        </w:rPr>
        <w:t>1</w:t>
      </w:r>
      <w:r w:rsidRPr="00F76351">
        <w:rPr>
          <w:rFonts w:ascii="Book Antiqua" w:hAnsi="Book Antiqua"/>
          <w:sz w:val="24"/>
        </w:rPr>
        <w:t xml:space="preserve">Compared with pre-operation, </w:t>
      </w:r>
      <w:proofErr w:type="spellStart"/>
      <w:r w:rsidRPr="00F76351">
        <w:rPr>
          <w:rFonts w:ascii="Book Antiqua" w:hAnsi="Book Antiqua"/>
          <w:sz w:val="24"/>
          <w:vertAlign w:val="superscript"/>
        </w:rPr>
        <w:t>a</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2</w:t>
      </w:r>
      <w:r w:rsidRPr="00F76351">
        <w:rPr>
          <w:rFonts w:ascii="Book Antiqua" w:hAnsi="Book Antiqua"/>
          <w:sz w:val="24"/>
        </w:rPr>
        <w:t xml:space="preserve">Compared with NS group, </w:t>
      </w:r>
      <w:proofErr w:type="spellStart"/>
      <w:r w:rsidRPr="00F76351">
        <w:rPr>
          <w:rFonts w:ascii="Book Antiqua" w:hAnsi="Book Antiqua"/>
          <w:sz w:val="24"/>
          <w:vertAlign w:val="superscript"/>
        </w:rPr>
        <w:t>c</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3</w:t>
      </w:r>
      <w:r w:rsidRPr="00F76351">
        <w:rPr>
          <w:rFonts w:ascii="Book Antiqua" w:hAnsi="Book Antiqua"/>
          <w:sz w:val="24"/>
        </w:rPr>
        <w:t>Compared with G</w:t>
      </w:r>
      <w:r w:rsidRPr="00F76351">
        <w:rPr>
          <w:rFonts w:ascii="Book Antiqua" w:hAnsi="Book Antiqua"/>
          <w:sz w:val="24"/>
          <w:vertAlign w:val="subscript"/>
        </w:rPr>
        <w:t>2</w:t>
      </w:r>
      <w:r w:rsidRPr="00F76351">
        <w:rPr>
          <w:rFonts w:ascii="Book Antiqua" w:hAnsi="Book Antiqua"/>
          <w:sz w:val="24"/>
        </w:rPr>
        <w:t xml:space="preserve"> group,</w:t>
      </w:r>
      <w:r w:rsidRPr="00F76351">
        <w:rPr>
          <w:rFonts w:ascii="Book Antiqua" w:hAnsi="Book Antiqua"/>
          <w:sz w:val="24"/>
          <w:vertAlign w:val="subscript"/>
        </w:rPr>
        <w:t xml:space="preserve"> </w:t>
      </w:r>
      <w:proofErr w:type="spellStart"/>
      <w:r w:rsidRPr="00F76351">
        <w:rPr>
          <w:rFonts w:ascii="Book Antiqua" w:hAnsi="Book Antiqua"/>
          <w:sz w:val="24"/>
          <w:vertAlign w:val="superscript"/>
        </w:rPr>
        <w:t>e</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4</w:t>
      </w:r>
      <w:r w:rsidRPr="00F76351">
        <w:rPr>
          <w:rFonts w:ascii="Book Antiqua" w:hAnsi="Book Antiqua"/>
          <w:sz w:val="24"/>
        </w:rPr>
        <w:t xml:space="preserve">Compared with FU group, </w:t>
      </w:r>
      <w:proofErr w:type="spellStart"/>
      <w:r w:rsidRPr="00F76351">
        <w:rPr>
          <w:rFonts w:ascii="Book Antiqua" w:hAnsi="Book Antiqua"/>
          <w:sz w:val="24"/>
          <w:vertAlign w:val="superscript"/>
        </w:rPr>
        <w:t>g</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5</w:t>
      </w:r>
      <w:r w:rsidRPr="00F76351">
        <w:rPr>
          <w:rFonts w:ascii="Book Antiqua" w:hAnsi="Book Antiqua"/>
          <w:sz w:val="24"/>
        </w:rPr>
        <w:t xml:space="preserve">Compared with GH group, </w:t>
      </w:r>
      <w:proofErr w:type="spellStart"/>
      <w:r w:rsidRPr="00F76351">
        <w:rPr>
          <w:rFonts w:ascii="Book Antiqua" w:hAnsi="Book Antiqua"/>
          <w:sz w:val="24"/>
          <w:vertAlign w:val="superscript"/>
        </w:rPr>
        <w:t>i</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&lt; 0.05.</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sectPr w:rsidR="00ED4098" w:rsidRPr="00F76351" w:rsidSect="00221B54">
          <w:footerReference w:type="default" r:id="rId11"/>
          <w:pgSz w:w="16838" w:h="11906" w:orient="landscape"/>
          <w:pgMar w:top="1800" w:right="1440" w:bottom="1800" w:left="1440" w:header="851" w:footer="992" w:gutter="0"/>
          <w:cols w:space="425"/>
          <w:docGrid w:type="lines" w:linePitch="312"/>
        </w:sect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lastRenderedPageBreak/>
        <w:t>Table 2 Tumor volume changes in tumor-bearing mice (</w:t>
      </w:r>
      <w:r w:rsidRPr="00F76351">
        <w:rPr>
          <w:rFonts w:ascii="Book Antiqua" w:hAnsi="Book Antiqua"/>
          <w:b/>
          <w:i/>
          <w:sz w:val="24"/>
        </w:rPr>
        <w:t xml:space="preserve">n </w:t>
      </w:r>
      <w:r w:rsidRPr="00F76351">
        <w:rPr>
          <w:rFonts w:ascii="Book Antiqua" w:hAnsi="Book Antiqua"/>
          <w:b/>
          <w:sz w:val="24"/>
        </w:rPr>
        <w:t xml:space="preserve">= 6, </w:t>
      </w:r>
      <w:r w:rsidRPr="00F76351">
        <w:rPr>
          <w:b/>
          <w:sz w:val="24"/>
        </w:rPr>
        <w:ruby>
          <w:rubyPr>
            <w:rubyAlign w:val="distributeSpace"/>
            <w:hps w:val="11"/>
            <w:hpsRaise w:val="8"/>
            <w:hpsBaseText w:val="24"/>
            <w:lid w:val="zh-CN"/>
          </w:rubyPr>
          <w:rt>
            <w:r w:rsidR="00ED4098" w:rsidRPr="00F76351">
              <w:rPr>
                <w:b/>
                <w:sz w:val="24"/>
              </w:rPr>
              <w:t>—</w:t>
            </w:r>
          </w:rt>
          <w:rubyBase>
            <w:r w:rsidR="00ED4098" w:rsidRPr="00F76351">
              <w:rPr>
                <w:b/>
                <w:sz w:val="24"/>
              </w:rPr>
              <w:t>χ</w:t>
            </w:r>
          </w:rubyBase>
        </w:ruby>
      </w:r>
      <w:r w:rsidRPr="00F76351">
        <w:rPr>
          <w:rFonts w:ascii="Book Antiqua" w:hAnsi="Book Antiqua"/>
          <w:b/>
          <w:sz w:val="24"/>
        </w:rPr>
        <w:t xml:space="preserve"> ± s)</w:t>
      </w:r>
    </w:p>
    <w:tbl>
      <w:tblPr>
        <w:tblW w:w="5000" w:type="pct"/>
        <w:tblLook w:val="00A0" w:firstRow="1" w:lastRow="0" w:firstColumn="1" w:lastColumn="0" w:noHBand="0" w:noVBand="0"/>
      </w:tblPr>
      <w:tblGrid>
        <w:gridCol w:w="2024"/>
        <w:gridCol w:w="2024"/>
        <w:gridCol w:w="2024"/>
        <w:gridCol w:w="2024"/>
        <w:gridCol w:w="2027"/>
        <w:gridCol w:w="2027"/>
        <w:gridCol w:w="2024"/>
      </w:tblGrid>
      <w:tr w:rsidR="00ED4098" w:rsidRPr="00F76351" w:rsidTr="00227C19">
        <w:tc>
          <w:tcPr>
            <w:tcW w:w="714" w:type="pct"/>
            <w:tcBorders>
              <w:top w:val="single" w:sz="12" w:space="0" w:color="auto"/>
              <w:left w:val="nil"/>
              <w:bottom w:val="nil"/>
              <w:right w:val="nil"/>
            </w:tcBorders>
          </w:tcPr>
          <w:p w:rsidR="00ED4098" w:rsidRPr="00F76351" w:rsidRDefault="00ED4098" w:rsidP="00227C19">
            <w:pPr>
              <w:spacing w:line="360" w:lineRule="auto"/>
              <w:rPr>
                <w:rFonts w:ascii="Book Antiqua" w:hAnsi="Book Antiqua"/>
                <w:b/>
                <w:sz w:val="24"/>
              </w:rPr>
            </w:pPr>
          </w:p>
        </w:tc>
        <w:tc>
          <w:tcPr>
            <w:tcW w:w="4286" w:type="pct"/>
            <w:gridSpan w:val="6"/>
            <w:tcBorders>
              <w:top w:val="single" w:sz="12" w:space="0" w:color="auto"/>
              <w:left w:val="nil"/>
              <w:right w:val="nil"/>
            </w:tcBorders>
            <w:vAlign w:val="center"/>
          </w:tcPr>
          <w:p w:rsidR="00ED4098" w:rsidRPr="00F76351" w:rsidRDefault="00ED4098" w:rsidP="00227C19">
            <w:pPr>
              <w:spacing w:line="360" w:lineRule="auto"/>
              <w:jc w:val="center"/>
              <w:rPr>
                <w:rFonts w:ascii="Book Antiqua" w:hAnsi="Book Antiqua"/>
                <w:b/>
                <w:sz w:val="24"/>
              </w:rPr>
            </w:pPr>
            <w:r w:rsidRPr="00F76351">
              <w:rPr>
                <w:rFonts w:ascii="Book Antiqua" w:hAnsi="Book Antiqua"/>
                <w:b/>
                <w:sz w:val="24"/>
              </w:rPr>
              <w:t xml:space="preserve">Subcutaneous tumor volume </w:t>
            </w:r>
            <w:r w:rsidRPr="00F76351">
              <w:rPr>
                <w:rFonts w:ascii="Book Antiqua" w:hAnsi="Book Antiqua"/>
                <w:spacing w:val="-20"/>
                <w:sz w:val="24"/>
              </w:rPr>
              <w:t>(</w:t>
            </w:r>
            <w:r w:rsidRPr="00F76351">
              <w:rPr>
                <w:rFonts w:ascii="Book Antiqua" w:hAnsi="Book Antiqua"/>
                <w:sz w:val="24"/>
              </w:rPr>
              <w:t>mm</w:t>
            </w:r>
            <w:r w:rsidRPr="00F76351">
              <w:rPr>
                <w:rFonts w:ascii="Book Antiqua" w:hAnsi="Book Antiqua"/>
                <w:sz w:val="24"/>
                <w:vertAlign w:val="superscript"/>
              </w:rPr>
              <w:t>3</w:t>
            </w:r>
            <w:r w:rsidRPr="00F76351">
              <w:rPr>
                <w:rFonts w:ascii="Book Antiqua" w:hAnsi="Book Antiqua" w:hint="eastAsia"/>
                <w:sz w:val="24"/>
              </w:rPr>
              <w:t>，</w:t>
            </w:r>
            <w:r w:rsidRPr="00F76351">
              <w:rPr>
                <w:b/>
                <w:sz w:val="24"/>
              </w:rPr>
              <w:ruby>
                <w:rubyPr>
                  <w:rubyAlign w:val="distributeSpace"/>
                  <w:hps w:val="11"/>
                  <w:hpsRaise w:val="8"/>
                  <w:hpsBaseText w:val="24"/>
                  <w:lid w:val="zh-CN"/>
                </w:rubyPr>
                <w:rt>
                  <w:r w:rsidR="00ED4098" w:rsidRPr="00F76351">
                    <w:rPr>
                      <w:b/>
                      <w:sz w:val="24"/>
                    </w:rPr>
                    <w:t>—</w:t>
                  </w:r>
                </w:rt>
                <w:rubyBase>
                  <w:r w:rsidR="00ED4098" w:rsidRPr="00F76351">
                    <w:rPr>
                      <w:b/>
                      <w:sz w:val="24"/>
                    </w:rPr>
                    <w:t>χ</w:t>
                  </w:r>
                </w:rubyBase>
              </w:ruby>
            </w:r>
            <w:r w:rsidRPr="00F76351">
              <w:rPr>
                <w:b/>
                <w:sz w:val="24"/>
              </w:rPr>
              <w:t xml:space="preserve"> </w:t>
            </w:r>
            <w:r w:rsidRPr="00F76351">
              <w:rPr>
                <w:rFonts w:ascii="Book Antiqua" w:hAnsi="Book Antiqua"/>
                <w:i/>
                <w:sz w:val="24"/>
              </w:rPr>
              <w:t>± s</w:t>
            </w:r>
            <w:r w:rsidRPr="00F76351">
              <w:rPr>
                <w:rFonts w:ascii="Book Antiqua" w:hAnsi="Book Antiqua"/>
                <w:spacing w:val="-20"/>
                <w:sz w:val="24"/>
              </w:rPr>
              <w:t>)</w:t>
            </w:r>
          </w:p>
        </w:tc>
      </w:tr>
      <w:tr w:rsidR="00ED4098" w:rsidRPr="00F76351" w:rsidTr="00227C19">
        <w:tc>
          <w:tcPr>
            <w:tcW w:w="714" w:type="pct"/>
            <w:tcBorders>
              <w:top w:val="nil"/>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Time</w:t>
            </w:r>
          </w:p>
        </w:tc>
        <w:tc>
          <w:tcPr>
            <w:tcW w:w="714"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NS</w:t>
            </w:r>
          </w:p>
        </w:tc>
        <w:tc>
          <w:tcPr>
            <w:tcW w:w="714"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p>
        </w:tc>
        <w:tc>
          <w:tcPr>
            <w:tcW w:w="714"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GH</w:t>
            </w:r>
          </w:p>
        </w:tc>
        <w:tc>
          <w:tcPr>
            <w:tcW w:w="715"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w:t>
            </w:r>
          </w:p>
        </w:tc>
        <w:tc>
          <w:tcPr>
            <w:tcW w:w="715"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FU+G</w:t>
            </w:r>
            <w:r w:rsidRPr="00F76351">
              <w:rPr>
                <w:rFonts w:ascii="Book Antiqua" w:hAnsi="Book Antiqua"/>
                <w:b/>
                <w:sz w:val="24"/>
                <w:vertAlign w:val="subscript"/>
              </w:rPr>
              <w:t>2</w:t>
            </w:r>
          </w:p>
        </w:tc>
        <w:tc>
          <w:tcPr>
            <w:tcW w:w="714" w:type="pct"/>
            <w:tcBorders>
              <w:left w:val="nil"/>
              <w:bottom w:val="single" w:sz="4"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r w:rsidRPr="00F76351">
              <w:rPr>
                <w:rFonts w:ascii="Book Antiqua" w:hAnsi="Book Antiqua"/>
                <w:b/>
                <w:sz w:val="24"/>
              </w:rPr>
              <w:t>+FU+GH</w:t>
            </w:r>
          </w:p>
        </w:tc>
      </w:tr>
      <w:tr w:rsidR="00ED4098" w:rsidRPr="00F76351" w:rsidTr="00227C19">
        <w:tc>
          <w:tcPr>
            <w:tcW w:w="714"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5 d</w:t>
            </w:r>
          </w:p>
        </w:tc>
        <w:tc>
          <w:tcPr>
            <w:tcW w:w="714"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7.72 ± 1.61</w:t>
            </w:r>
          </w:p>
        </w:tc>
        <w:tc>
          <w:tcPr>
            <w:tcW w:w="714"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7.93 ± 1.74</w:t>
            </w:r>
          </w:p>
        </w:tc>
        <w:tc>
          <w:tcPr>
            <w:tcW w:w="714"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8.11 ± 1.65</w:t>
            </w:r>
          </w:p>
        </w:tc>
        <w:tc>
          <w:tcPr>
            <w:tcW w:w="715"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7.42 ± 1.51</w:t>
            </w:r>
          </w:p>
        </w:tc>
        <w:tc>
          <w:tcPr>
            <w:tcW w:w="715"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6.51 ± 1.20</w:t>
            </w:r>
          </w:p>
        </w:tc>
        <w:tc>
          <w:tcPr>
            <w:tcW w:w="714" w:type="pct"/>
            <w:tcBorders>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7.33 ± 1.32</w:t>
            </w:r>
          </w:p>
        </w:tc>
      </w:tr>
      <w:tr w:rsidR="00ED4098" w:rsidRPr="00F76351" w:rsidTr="00227C19">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8 d</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20.19 ± 4.91</w:t>
            </w:r>
            <w:r w:rsidRPr="00F76351">
              <w:rPr>
                <w:rFonts w:ascii="Book Antiqua" w:hAnsi="Book Antiqua"/>
                <w:sz w:val="24"/>
                <w:vertAlign w:val="superscript"/>
              </w:rPr>
              <w:t>2,3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13.44 ± 4.12</w:t>
            </w:r>
            <w:r w:rsidRPr="00F76351">
              <w:rPr>
                <w:rFonts w:ascii="Book Antiqua" w:hAnsi="Book Antiqua"/>
                <w:sz w:val="24"/>
                <w:vertAlign w:val="superscript"/>
              </w:rPr>
              <w:t>1,3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33.28 ± 3.24</w:t>
            </w:r>
            <w:r w:rsidRPr="00F76351">
              <w:rPr>
                <w:rFonts w:ascii="Book Antiqua" w:hAnsi="Book Antiqua"/>
                <w:sz w:val="24"/>
                <w:vertAlign w:val="superscript"/>
              </w:rPr>
              <w:t>1,2,3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17.51 ± 5.75</w:t>
            </w:r>
            <w:r w:rsidRPr="00F76351">
              <w:rPr>
                <w:rFonts w:ascii="Book Antiqua" w:hAnsi="Book Antiqua"/>
                <w:sz w:val="24"/>
                <w:vertAlign w:val="superscript"/>
              </w:rPr>
              <w:t>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15.12 ± 5.01</w:t>
            </w:r>
            <w:r w:rsidRPr="00F76351">
              <w:rPr>
                <w:rFonts w:ascii="Book Antiqua" w:hAnsi="Book Antiqua"/>
                <w:sz w:val="24"/>
                <w:vertAlign w:val="superscript"/>
              </w:rPr>
              <w:t>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15.44 ± 4.2</w:t>
            </w:r>
            <w:r w:rsidRPr="00F76351">
              <w:rPr>
                <w:rFonts w:ascii="Book Antiqua" w:hAnsi="Book Antiqua"/>
                <w:sz w:val="24"/>
                <w:vertAlign w:val="superscript"/>
              </w:rPr>
              <w:t>3</w:t>
            </w:r>
          </w:p>
        </w:tc>
      </w:tr>
      <w:tr w:rsidR="00ED4098" w:rsidRPr="00F76351" w:rsidTr="00227C19">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11 d</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106.02 ± 6.61</w:t>
            </w:r>
            <w:r w:rsidRPr="00F76351">
              <w:rPr>
                <w:rFonts w:ascii="Book Antiqua" w:hAnsi="Book Antiqua"/>
                <w:sz w:val="24"/>
                <w:vertAlign w:val="superscript"/>
              </w:rPr>
              <w:t>2,3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21.12 ± 4.04</w:t>
            </w:r>
            <w:r w:rsidRPr="00F76351">
              <w:rPr>
                <w:rFonts w:ascii="Book Antiqua" w:hAnsi="Book Antiqua"/>
                <w:sz w:val="24"/>
                <w:vertAlign w:val="superscript"/>
              </w:rPr>
              <w:t>1,3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151.90 ± 8.31</w:t>
            </w:r>
            <w:r w:rsidRPr="00F76351">
              <w:rPr>
                <w:rFonts w:ascii="Book Antiqua" w:hAnsi="Book Antiqua"/>
                <w:sz w:val="24"/>
                <w:vertAlign w:val="superscript"/>
              </w:rPr>
              <w:t>1,2,3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21.00 ± 5.07</w:t>
            </w:r>
            <w:r w:rsidRPr="00F76351">
              <w:rPr>
                <w:rFonts w:ascii="Book Antiqua" w:hAnsi="Book Antiqua"/>
                <w:sz w:val="24"/>
                <w:vertAlign w:val="superscript"/>
              </w:rPr>
              <w:t>1,3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19.22 ± 4.33</w:t>
            </w:r>
            <w:r w:rsidRPr="00F76351">
              <w:rPr>
                <w:rFonts w:ascii="Book Antiqua" w:hAnsi="Book Antiqua"/>
                <w:sz w:val="24"/>
                <w:vertAlign w:val="superscript"/>
              </w:rPr>
              <w:t>1,3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22.97 ± 4.95</w:t>
            </w:r>
            <w:r w:rsidRPr="00F76351">
              <w:rPr>
                <w:rFonts w:ascii="Book Antiqua" w:hAnsi="Book Antiqua"/>
                <w:sz w:val="24"/>
                <w:vertAlign w:val="superscript"/>
              </w:rPr>
              <w:t>1,2,3</w:t>
            </w:r>
          </w:p>
        </w:tc>
      </w:tr>
      <w:tr w:rsidR="00ED4098" w:rsidRPr="00F76351" w:rsidTr="00227C19">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14 d</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133.41 ± 6.43</w:t>
            </w:r>
            <w:r w:rsidRPr="00F76351">
              <w:rPr>
                <w:rFonts w:ascii="Book Antiqua" w:hAnsi="Book Antiqua"/>
                <w:sz w:val="24"/>
                <w:vertAlign w:val="superscript"/>
              </w:rPr>
              <w:t>2,3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20.00 ± 4.75</w:t>
            </w:r>
            <w:r w:rsidRPr="00F76351">
              <w:rPr>
                <w:rFonts w:ascii="Book Antiqua" w:hAnsi="Book Antiqua"/>
                <w:sz w:val="24"/>
                <w:vertAlign w:val="superscript"/>
              </w:rPr>
              <w:t>1,3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178.93 ± 3.11</w:t>
            </w:r>
            <w:r w:rsidRPr="00F76351">
              <w:rPr>
                <w:rFonts w:ascii="Book Antiqua" w:hAnsi="Book Antiqua"/>
                <w:sz w:val="24"/>
                <w:vertAlign w:val="superscript"/>
              </w:rPr>
              <w:t>1,2,3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16.23 ± 6.51</w:t>
            </w:r>
            <w:r w:rsidRPr="00F76351">
              <w:rPr>
                <w:rFonts w:ascii="Book Antiqua" w:hAnsi="Book Antiqua"/>
                <w:sz w:val="24"/>
                <w:vertAlign w:val="superscript"/>
              </w:rPr>
              <w:t>1,3</w:t>
            </w:r>
          </w:p>
        </w:tc>
        <w:tc>
          <w:tcPr>
            <w:tcW w:w="715"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11.55 ± 4.11</w:t>
            </w:r>
            <w:r w:rsidRPr="00F76351">
              <w:rPr>
                <w:rFonts w:ascii="Book Antiqua" w:hAnsi="Book Antiqua"/>
                <w:sz w:val="24"/>
                <w:vertAlign w:val="superscript"/>
              </w:rPr>
              <w:t>1,2,3</w:t>
            </w:r>
          </w:p>
        </w:tc>
        <w:tc>
          <w:tcPr>
            <w:tcW w:w="714" w:type="pct"/>
            <w:tcBorders>
              <w:top w:val="nil"/>
              <w:left w:val="nil"/>
              <w:bottom w:val="nil"/>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12.12 ± 3.11</w:t>
            </w:r>
            <w:r w:rsidRPr="00F76351">
              <w:rPr>
                <w:rFonts w:ascii="Book Antiqua" w:hAnsi="Book Antiqua"/>
                <w:sz w:val="24"/>
                <w:vertAlign w:val="superscript"/>
              </w:rPr>
              <w:t>1,2,3</w:t>
            </w:r>
          </w:p>
        </w:tc>
      </w:tr>
      <w:tr w:rsidR="00ED4098" w:rsidRPr="00F76351" w:rsidTr="00227C19">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Inoculation 17 d</w:t>
            </w:r>
          </w:p>
        </w:tc>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116.81 ± 0.61</w:t>
            </w:r>
            <w:r w:rsidRPr="00F76351">
              <w:rPr>
                <w:rFonts w:ascii="Book Antiqua" w:hAnsi="Book Antiqua"/>
                <w:sz w:val="24"/>
                <w:vertAlign w:val="superscript"/>
              </w:rPr>
              <w:t>2,3</w:t>
            </w:r>
          </w:p>
        </w:tc>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9.71 ± 3.82</w:t>
            </w:r>
            <w:r w:rsidRPr="00F76351">
              <w:rPr>
                <w:rFonts w:ascii="Book Antiqua" w:hAnsi="Book Antiqua"/>
                <w:sz w:val="24"/>
                <w:vertAlign w:val="superscript"/>
              </w:rPr>
              <w:t>1,3</w:t>
            </w:r>
          </w:p>
        </w:tc>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149.01 ± 3.02</w:t>
            </w:r>
            <w:r w:rsidRPr="00F76351">
              <w:rPr>
                <w:rFonts w:ascii="Book Antiqua" w:hAnsi="Book Antiqua"/>
                <w:sz w:val="24"/>
                <w:vertAlign w:val="superscript"/>
              </w:rPr>
              <w:t>1,2,3</w:t>
            </w:r>
          </w:p>
        </w:tc>
        <w:tc>
          <w:tcPr>
            <w:tcW w:w="715"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11.54 ± 2.42</w:t>
            </w:r>
            <w:r w:rsidRPr="00F76351">
              <w:rPr>
                <w:rFonts w:ascii="Book Antiqua" w:hAnsi="Book Antiqua"/>
                <w:sz w:val="24"/>
                <w:vertAlign w:val="superscript"/>
              </w:rPr>
              <w:t>1,3</w:t>
            </w:r>
          </w:p>
        </w:tc>
        <w:tc>
          <w:tcPr>
            <w:tcW w:w="715"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vertAlign w:val="superscript"/>
              </w:rPr>
            </w:pPr>
            <w:r w:rsidRPr="00F76351">
              <w:rPr>
                <w:rFonts w:ascii="Book Antiqua" w:hAnsi="Book Antiqua"/>
                <w:sz w:val="24"/>
              </w:rPr>
              <w:t>11.42 ± 1.11</w:t>
            </w:r>
            <w:r w:rsidRPr="00F76351">
              <w:rPr>
                <w:rFonts w:ascii="Book Antiqua" w:hAnsi="Book Antiqua"/>
                <w:sz w:val="24"/>
                <w:vertAlign w:val="superscript"/>
              </w:rPr>
              <w:t>1,3</w:t>
            </w:r>
          </w:p>
        </w:tc>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10.47 ± 1.02</w:t>
            </w:r>
            <w:r w:rsidRPr="00F76351">
              <w:rPr>
                <w:rFonts w:ascii="Book Antiqua" w:hAnsi="Book Antiqua"/>
                <w:sz w:val="24"/>
                <w:vertAlign w:val="superscript"/>
              </w:rPr>
              <w:t>1,3</w:t>
            </w:r>
          </w:p>
        </w:tc>
      </w:tr>
    </w:tbl>
    <w:p w:rsidR="00ED4098" w:rsidRPr="00F76351" w:rsidRDefault="00ED4098" w:rsidP="000F1768">
      <w:pPr>
        <w:spacing w:line="360" w:lineRule="auto"/>
        <w:rPr>
          <w:rFonts w:ascii="Book Antiqua" w:hAnsi="Book Antiqua"/>
          <w:sz w:val="24"/>
        </w:rPr>
      </w:pPr>
      <w:r w:rsidRPr="00F76351">
        <w:rPr>
          <w:rFonts w:ascii="Book Antiqua" w:hAnsi="Book Antiqua"/>
          <w:sz w:val="24"/>
          <w:vertAlign w:val="superscript"/>
        </w:rPr>
        <w:t>1</w:t>
      </w:r>
      <w:r w:rsidRPr="00F76351">
        <w:rPr>
          <w:rFonts w:ascii="Book Antiqua" w:hAnsi="Book Antiqua"/>
          <w:sz w:val="24"/>
        </w:rPr>
        <w:t xml:space="preserve">Compared with NS group, </w:t>
      </w:r>
      <w:proofErr w:type="spellStart"/>
      <w:r w:rsidRPr="00F76351">
        <w:rPr>
          <w:rFonts w:ascii="Book Antiqua" w:hAnsi="Book Antiqua"/>
          <w:sz w:val="24"/>
          <w:vertAlign w:val="superscript"/>
        </w:rPr>
        <w:t>a</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2</w:t>
      </w:r>
      <w:r w:rsidRPr="00F76351">
        <w:rPr>
          <w:rFonts w:ascii="Book Antiqua" w:hAnsi="Book Antiqua"/>
          <w:sz w:val="24"/>
        </w:rPr>
        <w:t>Compared with G</w:t>
      </w:r>
      <w:r w:rsidRPr="00F76351">
        <w:rPr>
          <w:rFonts w:ascii="Book Antiqua" w:hAnsi="Book Antiqua"/>
          <w:sz w:val="24"/>
          <w:vertAlign w:val="subscript"/>
        </w:rPr>
        <w:t>2</w:t>
      </w:r>
      <w:r w:rsidRPr="00F76351">
        <w:rPr>
          <w:rFonts w:ascii="Book Antiqua" w:hAnsi="Book Antiqua"/>
          <w:sz w:val="24"/>
        </w:rPr>
        <w:t xml:space="preserve"> group</w:t>
      </w:r>
      <w:r w:rsidRPr="00F76351">
        <w:rPr>
          <w:rFonts w:ascii="Book Antiqua" w:hAnsi="Book Antiqua"/>
          <w:sz w:val="24"/>
          <w:vertAlign w:val="subscript"/>
        </w:rPr>
        <w:t xml:space="preserve">, </w:t>
      </w:r>
      <w:proofErr w:type="spellStart"/>
      <w:r w:rsidRPr="00F76351">
        <w:rPr>
          <w:rFonts w:ascii="Book Antiqua" w:hAnsi="Book Antiqua"/>
          <w:sz w:val="24"/>
          <w:vertAlign w:val="superscript"/>
        </w:rPr>
        <w:t>c</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3</w:t>
      </w:r>
      <w:r w:rsidRPr="00F76351">
        <w:rPr>
          <w:rFonts w:ascii="Book Antiqua" w:hAnsi="Book Antiqua"/>
          <w:sz w:val="24"/>
        </w:rPr>
        <w:t xml:space="preserve">Compared with GH group, </w:t>
      </w:r>
      <w:proofErr w:type="spellStart"/>
      <w:r w:rsidRPr="00F76351">
        <w:rPr>
          <w:rFonts w:ascii="Book Antiqua" w:hAnsi="Book Antiqua"/>
          <w:sz w:val="24"/>
          <w:vertAlign w:val="superscript"/>
        </w:rPr>
        <w:t>e</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&lt; 0.05.</w:t>
      </w:r>
    </w:p>
    <w:p w:rsidR="00ED4098" w:rsidRPr="00F76351" w:rsidRDefault="00ED4098" w:rsidP="000F1768">
      <w:pPr>
        <w:spacing w:line="360" w:lineRule="auto"/>
        <w:rPr>
          <w:rFonts w:ascii="Book Antiqua" w:hAnsi="Book Antiqua"/>
          <w:b/>
          <w:sz w:val="24"/>
        </w:rPr>
      </w:pPr>
    </w:p>
    <w:p w:rsidR="00ED4098" w:rsidRPr="00F76351" w:rsidRDefault="00ED4098" w:rsidP="000F1768">
      <w:pPr>
        <w:spacing w:line="360" w:lineRule="auto"/>
        <w:rPr>
          <w:rFonts w:ascii="Book Antiqua" w:hAnsi="Book Antiqua"/>
          <w:b/>
          <w:sz w:val="24"/>
        </w:rPr>
        <w:sectPr w:rsidR="00ED4098" w:rsidRPr="00F76351" w:rsidSect="00221B54">
          <w:pgSz w:w="16838" w:h="11906" w:orient="landscape"/>
          <w:pgMar w:top="1800" w:right="1440" w:bottom="1800" w:left="1440" w:header="851" w:footer="992" w:gutter="0"/>
          <w:cols w:space="425"/>
          <w:docGrid w:type="lines" w:linePitch="312"/>
        </w:sectPr>
      </w:pP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lastRenderedPageBreak/>
        <w:t>Table 3 Growth hormone receptor protein expression detected by western blot analysis (</w:t>
      </w:r>
      <w:r w:rsidRPr="00F76351">
        <w:rPr>
          <w:rFonts w:ascii="Book Antiqua" w:hAnsi="Book Antiqua"/>
          <w:b/>
          <w:i/>
          <w:sz w:val="24"/>
        </w:rPr>
        <w:t xml:space="preserve">n </w:t>
      </w:r>
      <w:r w:rsidRPr="00F76351">
        <w:rPr>
          <w:rFonts w:ascii="Book Antiqua" w:hAnsi="Book Antiqua"/>
          <w:b/>
          <w:sz w:val="24"/>
        </w:rPr>
        <w:t xml:space="preserve">= 6, </w:t>
      </w:r>
      <w:r w:rsidRPr="00F76351">
        <w:rPr>
          <w:b/>
          <w:sz w:val="24"/>
        </w:rPr>
        <w:ruby>
          <w:rubyPr>
            <w:rubyAlign w:val="distributeSpace"/>
            <w:hps w:val="11"/>
            <w:hpsRaise w:val="8"/>
            <w:hpsBaseText w:val="24"/>
            <w:lid w:val="zh-CN"/>
          </w:rubyPr>
          <w:rt>
            <w:r w:rsidR="00ED4098" w:rsidRPr="00F76351">
              <w:rPr>
                <w:b/>
                <w:sz w:val="24"/>
              </w:rPr>
              <w:t>—</w:t>
            </w:r>
          </w:rt>
          <w:rubyBase>
            <w:r w:rsidR="00ED4098" w:rsidRPr="00F76351">
              <w:rPr>
                <w:b/>
                <w:sz w:val="24"/>
              </w:rPr>
              <w:t>χ</w:t>
            </w:r>
          </w:rubyBase>
        </w:ruby>
      </w:r>
      <w:r w:rsidRPr="00F76351">
        <w:rPr>
          <w:rFonts w:ascii="Book Antiqua" w:hAnsi="Book Antiqua"/>
          <w:b/>
          <w:sz w:val="24"/>
        </w:rPr>
        <w:t xml:space="preserve"> ±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025"/>
        <w:gridCol w:w="2025"/>
        <w:gridCol w:w="2025"/>
        <w:gridCol w:w="2025"/>
        <w:gridCol w:w="2025"/>
        <w:gridCol w:w="2024"/>
      </w:tblGrid>
      <w:tr w:rsidR="00ED4098" w:rsidRPr="00F76351" w:rsidTr="00227C19">
        <w:tc>
          <w:tcPr>
            <w:tcW w:w="714" w:type="pct"/>
            <w:tcBorders>
              <w:top w:val="single" w:sz="12" w:space="0" w:color="auto"/>
              <w:left w:val="nil"/>
              <w:bottom w:val="nil"/>
              <w:right w:val="nil"/>
            </w:tcBorders>
            <w:vAlign w:val="center"/>
          </w:tcPr>
          <w:p w:rsidR="00ED4098" w:rsidRPr="00F76351" w:rsidRDefault="00ED4098" w:rsidP="00227C19">
            <w:pPr>
              <w:spacing w:line="360" w:lineRule="auto"/>
              <w:jc w:val="left"/>
              <w:rPr>
                <w:rFonts w:ascii="Book Antiqua" w:hAnsi="Book Antiqua"/>
                <w:b/>
                <w:sz w:val="24"/>
              </w:rPr>
            </w:pP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NS</w:t>
            </w: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G2</w:t>
            </w: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GH</w:t>
            </w: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w:t>
            </w: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FU+G2</w:t>
            </w:r>
          </w:p>
        </w:tc>
        <w:tc>
          <w:tcPr>
            <w:tcW w:w="714" w:type="pct"/>
            <w:tcBorders>
              <w:top w:val="single" w:sz="12" w:space="0" w:color="auto"/>
              <w:left w:val="nil"/>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r w:rsidRPr="00F76351">
              <w:rPr>
                <w:rFonts w:ascii="Book Antiqua" w:hAnsi="Book Antiqua"/>
                <w:b/>
                <w:sz w:val="24"/>
              </w:rPr>
              <w:t xml:space="preserve"> +FU +GH</w:t>
            </w:r>
          </w:p>
        </w:tc>
      </w:tr>
      <w:tr w:rsidR="00ED4098" w:rsidRPr="00F76351" w:rsidTr="00227C19">
        <w:tc>
          <w:tcPr>
            <w:tcW w:w="714" w:type="pct"/>
            <w:tcBorders>
              <w:top w:val="nil"/>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b/>
                <w:sz w:val="24"/>
              </w:rPr>
            </w:pPr>
            <w:r w:rsidRPr="00F76351">
              <w:rPr>
                <w:rFonts w:ascii="Book Antiqua" w:hAnsi="Book Antiqua"/>
                <w:b/>
                <w:sz w:val="24"/>
              </w:rPr>
              <w:t>RV value</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0.94 ± 0.02</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0.39 ± 0.021</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0.94 ± 0.02</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0.40 ± 0.02</w:t>
            </w:r>
            <w:r w:rsidRPr="00F76351">
              <w:rPr>
                <w:rFonts w:ascii="Book Antiqua" w:hAnsi="Book Antiqua"/>
                <w:sz w:val="24"/>
                <w:vertAlign w:val="superscript"/>
              </w:rPr>
              <w:t>1</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0.38 ± 0.01</w:t>
            </w:r>
            <w:r w:rsidRPr="00F76351">
              <w:rPr>
                <w:rFonts w:ascii="Book Antiqua" w:hAnsi="Book Antiqua"/>
                <w:sz w:val="24"/>
                <w:vertAlign w:val="superscript"/>
              </w:rPr>
              <w:t>1</w:t>
            </w:r>
          </w:p>
        </w:tc>
        <w:tc>
          <w:tcPr>
            <w:tcW w:w="714" w:type="pct"/>
            <w:tcBorders>
              <w:left w:val="nil"/>
              <w:bottom w:val="single" w:sz="12" w:space="0" w:color="auto"/>
              <w:right w:val="nil"/>
            </w:tcBorders>
            <w:vAlign w:val="center"/>
          </w:tcPr>
          <w:p w:rsidR="00ED4098" w:rsidRPr="00F76351" w:rsidRDefault="00ED4098" w:rsidP="00227C19">
            <w:pPr>
              <w:spacing w:line="360" w:lineRule="auto"/>
              <w:jc w:val="left"/>
              <w:rPr>
                <w:rFonts w:ascii="Book Antiqua" w:hAnsi="Book Antiqua"/>
                <w:sz w:val="24"/>
              </w:rPr>
            </w:pPr>
            <w:r w:rsidRPr="00F76351">
              <w:rPr>
                <w:rFonts w:ascii="Book Antiqua" w:hAnsi="Book Antiqua"/>
                <w:sz w:val="24"/>
              </w:rPr>
              <w:t>0.39 ± 0.01</w:t>
            </w:r>
            <w:r w:rsidRPr="00F76351">
              <w:rPr>
                <w:rFonts w:ascii="Book Antiqua" w:hAnsi="Book Antiqua"/>
                <w:sz w:val="24"/>
                <w:vertAlign w:val="superscript"/>
              </w:rPr>
              <w:t>1</w:t>
            </w:r>
          </w:p>
        </w:tc>
      </w:tr>
    </w:tbl>
    <w:p w:rsidR="00ED4098" w:rsidRPr="00F76351" w:rsidRDefault="00ED4098" w:rsidP="000F1768">
      <w:pPr>
        <w:spacing w:line="360" w:lineRule="auto"/>
        <w:rPr>
          <w:rFonts w:ascii="Book Antiqua" w:hAnsi="Book Antiqua"/>
          <w:b/>
          <w:sz w:val="24"/>
        </w:rPr>
        <w:sectPr w:rsidR="00ED4098" w:rsidRPr="00F76351" w:rsidSect="00221B54">
          <w:pgSz w:w="16838" w:h="11906" w:orient="landscape"/>
          <w:pgMar w:top="1800" w:right="1440" w:bottom="1800" w:left="1440" w:header="851" w:footer="992" w:gutter="0"/>
          <w:cols w:space="425"/>
          <w:docGrid w:type="lines" w:linePitch="312"/>
        </w:sectPr>
      </w:pPr>
      <w:r w:rsidRPr="00F76351">
        <w:rPr>
          <w:rFonts w:ascii="Book Antiqua" w:hAnsi="Book Antiqua"/>
          <w:sz w:val="24"/>
          <w:vertAlign w:val="superscript"/>
        </w:rPr>
        <w:t>1</w:t>
      </w:r>
      <w:r w:rsidRPr="00F76351">
        <w:rPr>
          <w:rFonts w:ascii="Book Antiqua" w:hAnsi="Book Antiqua"/>
          <w:sz w:val="24"/>
        </w:rPr>
        <w:t xml:space="preserve">Compared with NS group, </w:t>
      </w:r>
      <w:proofErr w:type="spellStart"/>
      <w:r w:rsidRPr="00F76351">
        <w:rPr>
          <w:rFonts w:ascii="Book Antiqua" w:hAnsi="Book Antiqua"/>
          <w:sz w:val="24"/>
          <w:vertAlign w:val="superscript"/>
        </w:rPr>
        <w:t>a</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&lt; 0.05.</w:t>
      </w:r>
      <w:r w:rsidRPr="00F76351">
        <w:rPr>
          <w:rFonts w:ascii="Book Antiqua" w:hAnsi="Book Antiqua"/>
          <w:b/>
          <w:sz w:val="24"/>
        </w:rPr>
        <w:t xml:space="preserve"> </w:t>
      </w:r>
    </w:p>
    <w:p w:rsidR="00ED4098" w:rsidRPr="00F76351" w:rsidRDefault="00ED4098" w:rsidP="000F1768">
      <w:pPr>
        <w:spacing w:line="360" w:lineRule="auto"/>
        <w:rPr>
          <w:rFonts w:ascii="Book Antiqua" w:hAnsi="Book Antiqua"/>
          <w:b/>
          <w:sz w:val="24"/>
        </w:rPr>
      </w:pPr>
      <w:r w:rsidRPr="00F76351">
        <w:rPr>
          <w:rFonts w:ascii="Book Antiqua" w:hAnsi="Book Antiqua"/>
          <w:b/>
          <w:sz w:val="24"/>
        </w:rPr>
        <w:lastRenderedPageBreak/>
        <w:t>Table 4</w:t>
      </w:r>
      <w:r w:rsidRPr="00F76351">
        <w:rPr>
          <w:rFonts w:ascii="Book Antiqua" w:hAnsi="Book Antiqua"/>
          <w:sz w:val="24"/>
        </w:rPr>
        <w:t xml:space="preserve"> </w:t>
      </w:r>
      <w:r w:rsidRPr="00F76351">
        <w:rPr>
          <w:rFonts w:ascii="Cambria Math" w:hAnsi="Cambria Math" w:cs="Cambria Math"/>
          <w:b/>
          <w:sz w:val="24"/>
        </w:rPr>
        <w:t>△</w:t>
      </w:r>
      <w:r w:rsidRPr="00F76351">
        <w:rPr>
          <w:rFonts w:ascii="Book Antiqua" w:hAnsi="Book Antiqua"/>
          <w:b/>
          <w:sz w:val="24"/>
        </w:rPr>
        <w:t>CT value of growth hormone receptor mRNA expression detected by real-time reverse transcription-polymerase chain reaction in all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657"/>
        <w:gridCol w:w="1657"/>
        <w:gridCol w:w="1657"/>
        <w:gridCol w:w="1657"/>
        <w:gridCol w:w="1657"/>
        <w:gridCol w:w="1657"/>
        <w:gridCol w:w="1657"/>
        <w:gridCol w:w="1657"/>
      </w:tblGrid>
      <w:tr w:rsidR="00ED4098" w:rsidRPr="00F76351" w:rsidTr="00227C19">
        <w:tc>
          <w:tcPr>
            <w:tcW w:w="918" w:type="dxa"/>
            <w:tcBorders>
              <w:top w:val="single" w:sz="12" w:space="0" w:color="auto"/>
              <w:left w:val="nil"/>
              <w:bottom w:val="nil"/>
              <w:right w:val="nil"/>
            </w:tcBorders>
          </w:tcPr>
          <w:p w:rsidR="00ED4098" w:rsidRPr="00F76351" w:rsidRDefault="00ED4098" w:rsidP="00227C19">
            <w:pPr>
              <w:spacing w:line="360" w:lineRule="auto"/>
              <w:rPr>
                <w:rFonts w:ascii="Book Antiqua" w:hAnsi="Book Antiqua"/>
                <w:b/>
                <w:sz w:val="24"/>
              </w:rPr>
            </w:pP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NS</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LP</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Negative</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GH</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FU</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FU+G</w:t>
            </w:r>
            <w:r w:rsidRPr="00F76351">
              <w:rPr>
                <w:rFonts w:ascii="Book Antiqua" w:hAnsi="Book Antiqua"/>
                <w:b/>
                <w:sz w:val="24"/>
                <w:vertAlign w:val="subscript"/>
              </w:rPr>
              <w:t>2</w:t>
            </w:r>
          </w:p>
        </w:tc>
        <w:tc>
          <w:tcPr>
            <w:tcW w:w="1657" w:type="dxa"/>
            <w:tcBorders>
              <w:top w:val="single" w:sz="12" w:space="0" w:color="auto"/>
              <w:left w:val="nil"/>
              <w:right w:val="nil"/>
            </w:tcBorders>
          </w:tcPr>
          <w:p w:rsidR="00ED4098" w:rsidRPr="00F76351" w:rsidRDefault="00ED4098" w:rsidP="00227C19">
            <w:pPr>
              <w:spacing w:line="360" w:lineRule="auto"/>
              <w:rPr>
                <w:rFonts w:ascii="Book Antiqua" w:hAnsi="Book Antiqua"/>
                <w:b/>
                <w:sz w:val="24"/>
              </w:rPr>
            </w:pPr>
            <w:r w:rsidRPr="00F76351">
              <w:rPr>
                <w:rFonts w:ascii="Book Antiqua" w:hAnsi="Book Antiqua"/>
                <w:b/>
                <w:sz w:val="24"/>
              </w:rPr>
              <w:t>G</w:t>
            </w:r>
            <w:r w:rsidRPr="00F76351">
              <w:rPr>
                <w:rFonts w:ascii="Book Antiqua" w:hAnsi="Book Antiqua"/>
                <w:b/>
                <w:sz w:val="24"/>
                <w:vertAlign w:val="subscript"/>
              </w:rPr>
              <w:t>2</w:t>
            </w:r>
            <w:r w:rsidRPr="00F76351">
              <w:rPr>
                <w:rFonts w:ascii="Book Antiqua" w:hAnsi="Book Antiqua"/>
                <w:b/>
                <w:sz w:val="24"/>
              </w:rPr>
              <w:t xml:space="preserve"> +FU +GH</w:t>
            </w:r>
          </w:p>
        </w:tc>
      </w:tr>
      <w:tr w:rsidR="00ED4098" w:rsidRPr="00F76351" w:rsidTr="00227C19">
        <w:tc>
          <w:tcPr>
            <w:tcW w:w="918" w:type="dxa"/>
            <w:tcBorders>
              <w:top w:val="nil"/>
              <w:left w:val="nil"/>
              <w:right w:val="nil"/>
            </w:tcBorders>
          </w:tcPr>
          <w:p w:rsidR="00ED4098" w:rsidRPr="00F76351" w:rsidRDefault="00ED4098" w:rsidP="00227C19">
            <w:pPr>
              <w:spacing w:line="360" w:lineRule="auto"/>
              <w:rPr>
                <w:rFonts w:ascii="Book Antiqua" w:hAnsi="Book Antiqua"/>
                <w:b/>
                <w:sz w:val="24"/>
              </w:rPr>
            </w:pPr>
            <w:r w:rsidRPr="00F76351">
              <w:rPr>
                <w:rFonts w:ascii="Cambria Math" w:hAnsi="Cambria Math" w:cs="Cambria Math"/>
                <w:b/>
                <w:sz w:val="24"/>
              </w:rPr>
              <w:t>△</w:t>
            </w:r>
            <w:r w:rsidRPr="00F76351">
              <w:rPr>
                <w:rFonts w:ascii="Book Antiqua" w:hAnsi="Book Antiqua"/>
                <w:b/>
                <w:sz w:val="24"/>
              </w:rPr>
              <w:t>CT</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12.63 ± 0.14</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12.63 ± 0.43</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12.67 ± 0.21</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12.71 ± 0.39</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 xml:space="preserve">14.12 </w:t>
            </w:r>
            <w:bookmarkStart w:id="48" w:name="_GoBack"/>
            <w:bookmarkEnd w:id="48"/>
            <w:r w:rsidRPr="00F76351">
              <w:rPr>
                <w:rFonts w:ascii="Book Antiqua" w:hAnsi="Book Antiqua"/>
                <w:sz w:val="24"/>
              </w:rPr>
              <w:t>± 0.10</w:t>
            </w:r>
            <w:r w:rsidRPr="00F76351">
              <w:rPr>
                <w:rFonts w:ascii="Book Antiqua" w:hAnsi="Book Antiqua"/>
                <w:sz w:val="24"/>
                <w:vertAlign w:val="superscript"/>
              </w:rPr>
              <w:t>1</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15.15 ± 0.44</w:t>
            </w:r>
            <w:r w:rsidRPr="00F76351">
              <w:rPr>
                <w:rFonts w:ascii="Book Antiqua" w:hAnsi="Book Antiqua"/>
                <w:sz w:val="24"/>
                <w:vertAlign w:val="superscript"/>
              </w:rPr>
              <w:t>1</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16.46 ± 0.27</w:t>
            </w:r>
            <w:r w:rsidRPr="00F76351">
              <w:rPr>
                <w:rFonts w:ascii="Book Antiqua" w:hAnsi="Book Antiqua"/>
                <w:sz w:val="24"/>
                <w:vertAlign w:val="superscript"/>
              </w:rPr>
              <w:t>1,2</w:t>
            </w:r>
          </w:p>
        </w:tc>
        <w:tc>
          <w:tcPr>
            <w:tcW w:w="1657" w:type="dxa"/>
            <w:tcBorders>
              <w:left w:val="nil"/>
              <w:right w:val="nil"/>
            </w:tcBorders>
          </w:tcPr>
          <w:p w:rsidR="00ED4098" w:rsidRPr="00F76351" w:rsidRDefault="00ED4098" w:rsidP="00227C19">
            <w:pPr>
              <w:spacing w:line="360" w:lineRule="auto"/>
              <w:rPr>
                <w:rFonts w:ascii="Book Antiqua" w:hAnsi="Book Antiqua"/>
                <w:sz w:val="24"/>
              </w:rPr>
            </w:pPr>
            <w:r w:rsidRPr="00F76351">
              <w:rPr>
                <w:rFonts w:ascii="Book Antiqua" w:hAnsi="Book Antiqua"/>
                <w:sz w:val="24"/>
              </w:rPr>
              <w:t>15.37 ± 0.57</w:t>
            </w:r>
            <w:r w:rsidRPr="00F76351">
              <w:rPr>
                <w:rFonts w:ascii="Book Antiqua" w:hAnsi="Book Antiqua"/>
                <w:sz w:val="24"/>
                <w:vertAlign w:val="superscript"/>
              </w:rPr>
              <w:t>1,2</w:t>
            </w:r>
          </w:p>
        </w:tc>
      </w:tr>
    </w:tbl>
    <w:p w:rsidR="00ED4098" w:rsidRPr="00F76351" w:rsidRDefault="00ED4098" w:rsidP="000F1768">
      <w:pPr>
        <w:spacing w:line="360" w:lineRule="auto"/>
        <w:rPr>
          <w:rFonts w:ascii="Book Antiqua" w:hAnsi="Book Antiqua"/>
          <w:sz w:val="24"/>
        </w:rPr>
      </w:pPr>
      <w:r w:rsidRPr="00F76351">
        <w:rPr>
          <w:rFonts w:ascii="Book Antiqua" w:hAnsi="Book Antiqua"/>
          <w:sz w:val="24"/>
          <w:vertAlign w:val="superscript"/>
        </w:rPr>
        <w:t>1</w:t>
      </w:r>
      <w:r w:rsidRPr="00F76351">
        <w:rPr>
          <w:rFonts w:ascii="Book Antiqua" w:hAnsi="Book Antiqua"/>
          <w:sz w:val="24"/>
        </w:rPr>
        <w:t xml:space="preserve">Compared with NS group, </w:t>
      </w:r>
      <w:proofErr w:type="spellStart"/>
      <w:proofErr w:type="gramStart"/>
      <w:r w:rsidRPr="00F76351">
        <w:rPr>
          <w:rFonts w:ascii="Book Antiqua" w:hAnsi="Book Antiqua"/>
          <w:sz w:val="24"/>
          <w:vertAlign w:val="superscript"/>
        </w:rPr>
        <w:t>a</w:t>
      </w:r>
      <w:r w:rsidRPr="00F76351">
        <w:rPr>
          <w:rFonts w:ascii="Book Antiqua" w:hAnsi="Book Antiqua"/>
          <w:i/>
          <w:sz w:val="24"/>
        </w:rPr>
        <w:t>P</w:t>
      </w:r>
      <w:proofErr w:type="spellEnd"/>
      <w:proofErr w:type="gramEnd"/>
      <w:r w:rsidRPr="00F76351">
        <w:rPr>
          <w:rFonts w:ascii="Book Antiqua" w:hAnsi="Book Antiqua"/>
          <w:i/>
          <w:sz w:val="24"/>
        </w:rPr>
        <w:t xml:space="preserve"> </w:t>
      </w:r>
      <w:r w:rsidRPr="00F76351">
        <w:rPr>
          <w:rFonts w:ascii="Book Antiqua" w:hAnsi="Book Antiqua"/>
          <w:sz w:val="24"/>
        </w:rPr>
        <w:t xml:space="preserve">&lt; 0.05; </w:t>
      </w:r>
      <w:r w:rsidRPr="00F76351">
        <w:rPr>
          <w:rFonts w:ascii="Book Antiqua" w:hAnsi="Book Antiqua"/>
          <w:sz w:val="24"/>
          <w:vertAlign w:val="superscript"/>
        </w:rPr>
        <w:t>2</w:t>
      </w:r>
      <w:r w:rsidRPr="00F76351">
        <w:rPr>
          <w:rFonts w:ascii="Book Antiqua" w:hAnsi="Book Antiqua"/>
          <w:sz w:val="24"/>
        </w:rPr>
        <w:t>Compared with G</w:t>
      </w:r>
      <w:r w:rsidRPr="00F76351">
        <w:rPr>
          <w:rFonts w:ascii="Book Antiqua" w:hAnsi="Book Antiqua"/>
          <w:sz w:val="24"/>
          <w:vertAlign w:val="subscript"/>
        </w:rPr>
        <w:t>2</w:t>
      </w:r>
      <w:r w:rsidRPr="00F76351">
        <w:rPr>
          <w:rFonts w:ascii="Book Antiqua" w:hAnsi="Book Antiqua"/>
          <w:sz w:val="24"/>
        </w:rPr>
        <w:t xml:space="preserve"> group, </w:t>
      </w:r>
      <w:proofErr w:type="spellStart"/>
      <w:r w:rsidRPr="00F76351">
        <w:rPr>
          <w:rFonts w:ascii="Book Antiqua" w:hAnsi="Book Antiqua"/>
          <w:sz w:val="24"/>
          <w:vertAlign w:val="superscript"/>
        </w:rPr>
        <w:t>c</w:t>
      </w:r>
      <w:r w:rsidRPr="00F76351">
        <w:rPr>
          <w:rFonts w:ascii="Book Antiqua" w:hAnsi="Book Antiqua"/>
          <w:i/>
          <w:sz w:val="24"/>
        </w:rPr>
        <w:t>P</w:t>
      </w:r>
      <w:proofErr w:type="spellEnd"/>
      <w:r w:rsidRPr="00F76351">
        <w:rPr>
          <w:rFonts w:ascii="Book Antiqua" w:hAnsi="Book Antiqua"/>
          <w:i/>
          <w:sz w:val="24"/>
        </w:rPr>
        <w:t xml:space="preserve"> </w:t>
      </w:r>
      <w:r w:rsidRPr="00F76351">
        <w:rPr>
          <w:rFonts w:ascii="Book Antiqua" w:hAnsi="Book Antiqua"/>
          <w:sz w:val="24"/>
        </w:rPr>
        <w:t>&lt; 0.05</w:t>
      </w:r>
      <w:r w:rsidR="005F5566">
        <w:rPr>
          <w:rFonts w:ascii="Book Antiqua" w:hAnsi="Book Antiqua"/>
          <w:sz w:val="24"/>
        </w:rPr>
        <w:t>.</w:t>
      </w:r>
    </w:p>
    <w:p w:rsidR="00ED4098" w:rsidRPr="00F76351" w:rsidRDefault="00ED4098" w:rsidP="000F1768">
      <w:pPr>
        <w:spacing w:line="360" w:lineRule="auto"/>
        <w:rPr>
          <w:rFonts w:ascii="Book Antiqua" w:hAnsi="Book Antiqua"/>
          <w:sz w:val="24"/>
        </w:rPr>
      </w:pPr>
    </w:p>
    <w:p w:rsidR="00ED4098" w:rsidRPr="00F76351" w:rsidRDefault="00ED4098"/>
    <w:sectPr w:rsidR="00ED4098" w:rsidRPr="00F76351" w:rsidSect="00221B5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88" w:rsidRDefault="00CD2188" w:rsidP="000F1768">
      <w:r>
        <w:separator/>
      </w:r>
    </w:p>
  </w:endnote>
  <w:endnote w:type="continuationSeparator" w:id="0">
    <w:p w:rsidR="00CD2188" w:rsidRDefault="00CD2188" w:rsidP="000F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ican Typewriter">
    <w:altName w:val="Arial"/>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8" w:rsidRPr="00221B54" w:rsidRDefault="00ED4098">
    <w:pPr>
      <w:pStyle w:val="a5"/>
      <w:jc w:val="center"/>
      <w:rPr>
        <w:rFonts w:ascii="Book Antiqua" w:hAnsi="Book Antiqua"/>
      </w:rPr>
    </w:pPr>
    <w:r w:rsidRPr="00221B54">
      <w:rPr>
        <w:rFonts w:ascii="Book Antiqua" w:hAnsi="Book Antiqua"/>
      </w:rPr>
      <w:fldChar w:fldCharType="begin"/>
    </w:r>
    <w:r w:rsidRPr="00221B54">
      <w:rPr>
        <w:rFonts w:ascii="Book Antiqua" w:hAnsi="Book Antiqua"/>
      </w:rPr>
      <w:instrText xml:space="preserve"> PAGE   \* MERGEFORMAT </w:instrText>
    </w:r>
    <w:r w:rsidRPr="00221B54">
      <w:rPr>
        <w:rFonts w:ascii="Book Antiqua" w:hAnsi="Book Antiqua"/>
      </w:rPr>
      <w:fldChar w:fldCharType="separate"/>
    </w:r>
    <w:r w:rsidR="002C0A40">
      <w:rPr>
        <w:rFonts w:ascii="Book Antiqua" w:hAnsi="Book Antiqua"/>
        <w:noProof/>
      </w:rPr>
      <w:t>14</w:t>
    </w:r>
    <w:r w:rsidRPr="00221B54">
      <w:rPr>
        <w:rFonts w:ascii="Book Antiqua" w:hAnsi="Book Antiqua"/>
      </w:rPr>
      <w:fldChar w:fldCharType="end"/>
    </w:r>
  </w:p>
  <w:p w:rsidR="00ED4098" w:rsidRDefault="00ED40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8" w:rsidRPr="00221B54" w:rsidRDefault="00ED4098">
    <w:pPr>
      <w:pStyle w:val="a5"/>
      <w:jc w:val="center"/>
      <w:rPr>
        <w:rFonts w:ascii="Book Antiqua" w:hAnsi="Book Antiqua"/>
      </w:rPr>
    </w:pPr>
    <w:r w:rsidRPr="00221B54">
      <w:rPr>
        <w:rFonts w:ascii="Book Antiqua" w:hAnsi="Book Antiqua"/>
      </w:rPr>
      <w:fldChar w:fldCharType="begin"/>
    </w:r>
    <w:r w:rsidRPr="00221B54">
      <w:rPr>
        <w:rFonts w:ascii="Book Antiqua" w:hAnsi="Book Antiqua"/>
      </w:rPr>
      <w:instrText xml:space="preserve"> PAGE   \* MERGEFORMAT </w:instrText>
    </w:r>
    <w:r w:rsidRPr="00221B54">
      <w:rPr>
        <w:rFonts w:ascii="Book Antiqua" w:hAnsi="Book Antiqua"/>
      </w:rPr>
      <w:fldChar w:fldCharType="separate"/>
    </w:r>
    <w:r w:rsidR="002C0A40">
      <w:rPr>
        <w:rFonts w:ascii="Book Antiqua" w:hAnsi="Book Antiqua"/>
        <w:noProof/>
      </w:rPr>
      <w:t>22</w:t>
    </w:r>
    <w:r w:rsidRPr="00221B54">
      <w:rPr>
        <w:rFonts w:ascii="Book Antiqua" w:hAnsi="Book Antiqua"/>
      </w:rPr>
      <w:fldChar w:fldCharType="end"/>
    </w:r>
  </w:p>
  <w:p w:rsidR="00ED4098" w:rsidRDefault="00ED40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88" w:rsidRDefault="00CD2188" w:rsidP="000F1768">
      <w:r>
        <w:separator/>
      </w:r>
    </w:p>
  </w:footnote>
  <w:footnote w:type="continuationSeparator" w:id="0">
    <w:p w:rsidR="00CD2188" w:rsidRDefault="00CD2188" w:rsidP="000F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5AF9D2"/>
    <w:lvl w:ilvl="0">
      <w:start w:val="1"/>
      <w:numFmt w:val="bullet"/>
      <w:lvlText w:val=""/>
      <w:lvlJc w:val="left"/>
      <w:pPr>
        <w:tabs>
          <w:tab w:val="num" w:pos="360"/>
        </w:tabs>
        <w:ind w:left="360" w:hanging="360"/>
      </w:pPr>
      <w:rPr>
        <w:rFonts w:ascii="Symbol" w:hAnsi="Symbol" w:hint="default"/>
      </w:rPr>
    </w:lvl>
  </w:abstractNum>
  <w:abstractNum w:abstractNumId="1">
    <w:nsid w:val="1C3972E7"/>
    <w:multiLevelType w:val="multilevel"/>
    <w:tmpl w:val="75C44596"/>
    <w:lvl w:ilvl="0">
      <w:start w:val="1"/>
      <w:numFmt w:val="decimal"/>
      <w:lvlText w:val="%1"/>
      <w:lvlJc w:val="left"/>
      <w:pPr>
        <w:tabs>
          <w:tab w:val="num" w:pos="425"/>
        </w:tabs>
        <w:ind w:left="425" w:hanging="425"/>
      </w:pPr>
      <w:rPr>
        <w:rFonts w:cs="Times New Roman" w:hint="eastAsia"/>
      </w:rPr>
    </w:lvl>
    <w:lvl w:ilvl="1">
      <w:start w:val="1"/>
      <w:numFmt w:val="decimal"/>
      <w:lvlText w:val="2.%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
    <w:nsid w:val="25FF606C"/>
    <w:multiLevelType w:val="hybridMultilevel"/>
    <w:tmpl w:val="8542BF6E"/>
    <w:lvl w:ilvl="0" w:tplc="B158167A">
      <w:start w:val="2"/>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27580A73"/>
    <w:multiLevelType w:val="multilevel"/>
    <w:tmpl w:val="28C2FA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5C91D94"/>
    <w:multiLevelType w:val="hybridMultilevel"/>
    <w:tmpl w:val="09926766"/>
    <w:lvl w:ilvl="0" w:tplc="28B407C8">
      <w:start w:val="1"/>
      <w:numFmt w:val="decimal"/>
      <w:lvlText w:val="%1."/>
      <w:lvlJc w:val="left"/>
      <w:pPr>
        <w:tabs>
          <w:tab w:val="num" w:pos="360"/>
        </w:tabs>
        <w:ind w:left="360" w:hanging="360"/>
      </w:pPr>
      <w:rPr>
        <w:rFonts w:cs="Times New Roman" w:hint="default"/>
      </w:rPr>
    </w:lvl>
    <w:lvl w:ilvl="1" w:tplc="C270CE38">
      <w:numFmt w:val="none"/>
      <w:lvlText w:val=""/>
      <w:lvlJc w:val="left"/>
      <w:pPr>
        <w:tabs>
          <w:tab w:val="num" w:pos="360"/>
        </w:tabs>
      </w:pPr>
      <w:rPr>
        <w:rFonts w:cs="Times New Roman"/>
      </w:rPr>
    </w:lvl>
    <w:lvl w:ilvl="2" w:tplc="E2603C62">
      <w:numFmt w:val="none"/>
      <w:lvlText w:val=""/>
      <w:lvlJc w:val="left"/>
      <w:pPr>
        <w:tabs>
          <w:tab w:val="num" w:pos="360"/>
        </w:tabs>
      </w:pPr>
      <w:rPr>
        <w:rFonts w:cs="Times New Roman"/>
      </w:rPr>
    </w:lvl>
    <w:lvl w:ilvl="3" w:tplc="D4C4FAA0">
      <w:numFmt w:val="none"/>
      <w:lvlText w:val=""/>
      <w:lvlJc w:val="left"/>
      <w:pPr>
        <w:tabs>
          <w:tab w:val="num" w:pos="360"/>
        </w:tabs>
      </w:pPr>
      <w:rPr>
        <w:rFonts w:cs="Times New Roman"/>
      </w:rPr>
    </w:lvl>
    <w:lvl w:ilvl="4" w:tplc="947CD9DE">
      <w:numFmt w:val="none"/>
      <w:lvlText w:val=""/>
      <w:lvlJc w:val="left"/>
      <w:pPr>
        <w:tabs>
          <w:tab w:val="num" w:pos="360"/>
        </w:tabs>
      </w:pPr>
      <w:rPr>
        <w:rFonts w:cs="Times New Roman"/>
      </w:rPr>
    </w:lvl>
    <w:lvl w:ilvl="5" w:tplc="A2228F46">
      <w:numFmt w:val="none"/>
      <w:lvlText w:val=""/>
      <w:lvlJc w:val="left"/>
      <w:pPr>
        <w:tabs>
          <w:tab w:val="num" w:pos="360"/>
        </w:tabs>
      </w:pPr>
      <w:rPr>
        <w:rFonts w:cs="Times New Roman"/>
      </w:rPr>
    </w:lvl>
    <w:lvl w:ilvl="6" w:tplc="0AA021C4">
      <w:numFmt w:val="none"/>
      <w:lvlText w:val=""/>
      <w:lvlJc w:val="left"/>
      <w:pPr>
        <w:tabs>
          <w:tab w:val="num" w:pos="360"/>
        </w:tabs>
      </w:pPr>
      <w:rPr>
        <w:rFonts w:cs="Times New Roman"/>
      </w:rPr>
    </w:lvl>
    <w:lvl w:ilvl="7" w:tplc="B86488D4">
      <w:numFmt w:val="none"/>
      <w:lvlText w:val=""/>
      <w:lvlJc w:val="left"/>
      <w:pPr>
        <w:tabs>
          <w:tab w:val="num" w:pos="360"/>
        </w:tabs>
      </w:pPr>
      <w:rPr>
        <w:rFonts w:cs="Times New Roman"/>
      </w:rPr>
    </w:lvl>
    <w:lvl w:ilvl="8" w:tplc="CFD6DDB8">
      <w:numFmt w:val="none"/>
      <w:lvlText w:val=""/>
      <w:lvlJc w:val="left"/>
      <w:pPr>
        <w:tabs>
          <w:tab w:val="num" w:pos="360"/>
        </w:tabs>
      </w:pPr>
      <w:rPr>
        <w:rFonts w:cs="Times New Roman"/>
      </w:rPr>
    </w:lvl>
  </w:abstractNum>
  <w:abstractNum w:abstractNumId="5">
    <w:nsid w:val="3E977ABD"/>
    <w:multiLevelType w:val="hybridMultilevel"/>
    <w:tmpl w:val="E0D60828"/>
    <w:lvl w:ilvl="0" w:tplc="20862C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B20998"/>
    <w:multiLevelType w:val="hybridMultilevel"/>
    <w:tmpl w:val="6712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96298"/>
    <w:multiLevelType w:val="hybridMultilevel"/>
    <w:tmpl w:val="FC96B152"/>
    <w:lvl w:ilvl="0" w:tplc="6032BF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6AD3993"/>
    <w:multiLevelType w:val="hybridMultilevel"/>
    <w:tmpl w:val="39D61F8E"/>
    <w:lvl w:ilvl="0" w:tplc="87C61A2A">
      <w:start w:val="1"/>
      <w:numFmt w:val="decimal"/>
      <w:pStyle w:val="a"/>
      <w:lvlText w:val="%1."/>
      <w:lvlJc w:val="left"/>
      <w:pPr>
        <w:tabs>
          <w:tab w:val="num" w:pos="360"/>
        </w:tabs>
        <w:ind w:left="360" w:hanging="360"/>
      </w:pPr>
      <w:rPr>
        <w:rFonts w:ascii="宋体" w:eastAsia="宋体"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A5051EE"/>
    <w:multiLevelType w:val="hybridMultilevel"/>
    <w:tmpl w:val="9DE04144"/>
    <w:lvl w:ilvl="0" w:tplc="93DE53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BCB2B38"/>
    <w:multiLevelType w:val="multilevel"/>
    <w:tmpl w:val="6218865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706A63DE"/>
    <w:multiLevelType w:val="hybridMultilevel"/>
    <w:tmpl w:val="F0E64FB6"/>
    <w:lvl w:ilvl="0" w:tplc="0686A8C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8"/>
  </w:num>
  <w:num w:numId="22">
    <w:abstractNumId w:val="1"/>
  </w:num>
  <w:num w:numId="23">
    <w:abstractNumId w:val="4"/>
  </w:num>
  <w:num w:numId="24">
    <w:abstractNumId w:val="11"/>
  </w:num>
  <w:num w:numId="25">
    <w:abstractNumId w:val="2"/>
  </w:num>
  <w:num w:numId="26">
    <w:abstractNumId w:val="9"/>
  </w:num>
  <w:num w:numId="27">
    <w:abstractNumId w:val="10"/>
  </w:num>
  <w:num w:numId="28">
    <w:abstractNumId w:val="7"/>
  </w:num>
  <w:num w:numId="29">
    <w:abstractNumId w:val="3"/>
  </w:num>
  <w:num w:numId="30">
    <w:abstractNumId w:val="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FC"/>
    <w:rsid w:val="000023B7"/>
    <w:rsid w:val="00027A33"/>
    <w:rsid w:val="00036F93"/>
    <w:rsid w:val="0006009C"/>
    <w:rsid w:val="00073F3C"/>
    <w:rsid w:val="00084CF2"/>
    <w:rsid w:val="000A382E"/>
    <w:rsid w:val="000D341B"/>
    <w:rsid w:val="000E03E2"/>
    <w:rsid w:val="000F1768"/>
    <w:rsid w:val="00107905"/>
    <w:rsid w:val="00130A07"/>
    <w:rsid w:val="00175F86"/>
    <w:rsid w:val="001A6525"/>
    <w:rsid w:val="001F2C82"/>
    <w:rsid w:val="00204E64"/>
    <w:rsid w:val="00221B54"/>
    <w:rsid w:val="00227C19"/>
    <w:rsid w:val="00236D0E"/>
    <w:rsid w:val="00245AF7"/>
    <w:rsid w:val="00250606"/>
    <w:rsid w:val="002B1889"/>
    <w:rsid w:val="002C0328"/>
    <w:rsid w:val="002C0A40"/>
    <w:rsid w:val="002C2617"/>
    <w:rsid w:val="002E0BA8"/>
    <w:rsid w:val="00304426"/>
    <w:rsid w:val="00336ADA"/>
    <w:rsid w:val="003408E1"/>
    <w:rsid w:val="00356472"/>
    <w:rsid w:val="003604D4"/>
    <w:rsid w:val="00360665"/>
    <w:rsid w:val="00364C5E"/>
    <w:rsid w:val="00366C1B"/>
    <w:rsid w:val="00386AA8"/>
    <w:rsid w:val="00387756"/>
    <w:rsid w:val="003C0D57"/>
    <w:rsid w:val="003F56FA"/>
    <w:rsid w:val="00421E83"/>
    <w:rsid w:val="0043645E"/>
    <w:rsid w:val="0044118E"/>
    <w:rsid w:val="0049148B"/>
    <w:rsid w:val="00493448"/>
    <w:rsid w:val="004B5A12"/>
    <w:rsid w:val="004C7372"/>
    <w:rsid w:val="004F0A1C"/>
    <w:rsid w:val="004F323C"/>
    <w:rsid w:val="00506C76"/>
    <w:rsid w:val="00512038"/>
    <w:rsid w:val="005159AE"/>
    <w:rsid w:val="00537E56"/>
    <w:rsid w:val="00544204"/>
    <w:rsid w:val="0054737D"/>
    <w:rsid w:val="00576D23"/>
    <w:rsid w:val="0057788C"/>
    <w:rsid w:val="0059155B"/>
    <w:rsid w:val="005B2319"/>
    <w:rsid w:val="005C18FD"/>
    <w:rsid w:val="005C6A5F"/>
    <w:rsid w:val="005F5566"/>
    <w:rsid w:val="00612AC1"/>
    <w:rsid w:val="00613B73"/>
    <w:rsid w:val="00613E46"/>
    <w:rsid w:val="00615400"/>
    <w:rsid w:val="0064022E"/>
    <w:rsid w:val="00651DC4"/>
    <w:rsid w:val="00670D39"/>
    <w:rsid w:val="00696A9E"/>
    <w:rsid w:val="006C5C3C"/>
    <w:rsid w:val="006D1493"/>
    <w:rsid w:val="006D3383"/>
    <w:rsid w:val="006E54B7"/>
    <w:rsid w:val="00724D64"/>
    <w:rsid w:val="00760D0A"/>
    <w:rsid w:val="00763C15"/>
    <w:rsid w:val="00774578"/>
    <w:rsid w:val="007A03FC"/>
    <w:rsid w:val="007B0022"/>
    <w:rsid w:val="007E0A1A"/>
    <w:rsid w:val="007F5525"/>
    <w:rsid w:val="00806D24"/>
    <w:rsid w:val="00810471"/>
    <w:rsid w:val="008176D2"/>
    <w:rsid w:val="00823BC4"/>
    <w:rsid w:val="008304C1"/>
    <w:rsid w:val="00837849"/>
    <w:rsid w:val="00853938"/>
    <w:rsid w:val="0085400E"/>
    <w:rsid w:val="0086499D"/>
    <w:rsid w:val="00867A89"/>
    <w:rsid w:val="008902AF"/>
    <w:rsid w:val="008927AB"/>
    <w:rsid w:val="008B4853"/>
    <w:rsid w:val="008C49B2"/>
    <w:rsid w:val="008D392B"/>
    <w:rsid w:val="008D4F35"/>
    <w:rsid w:val="008F56FA"/>
    <w:rsid w:val="00910510"/>
    <w:rsid w:val="009264D0"/>
    <w:rsid w:val="009455FE"/>
    <w:rsid w:val="00945D61"/>
    <w:rsid w:val="00953272"/>
    <w:rsid w:val="009632A4"/>
    <w:rsid w:val="00967A47"/>
    <w:rsid w:val="009753B1"/>
    <w:rsid w:val="00993BC8"/>
    <w:rsid w:val="00994AB3"/>
    <w:rsid w:val="009A13B8"/>
    <w:rsid w:val="009C2D61"/>
    <w:rsid w:val="00A03E88"/>
    <w:rsid w:val="00A106CE"/>
    <w:rsid w:val="00A11756"/>
    <w:rsid w:val="00A5165C"/>
    <w:rsid w:val="00A618F8"/>
    <w:rsid w:val="00A90637"/>
    <w:rsid w:val="00A941E2"/>
    <w:rsid w:val="00AA0A7B"/>
    <w:rsid w:val="00AB7225"/>
    <w:rsid w:val="00AF47B0"/>
    <w:rsid w:val="00B17006"/>
    <w:rsid w:val="00B40263"/>
    <w:rsid w:val="00B40C91"/>
    <w:rsid w:val="00B4119D"/>
    <w:rsid w:val="00B43392"/>
    <w:rsid w:val="00B43F70"/>
    <w:rsid w:val="00B84692"/>
    <w:rsid w:val="00B85574"/>
    <w:rsid w:val="00BE0C7B"/>
    <w:rsid w:val="00C02490"/>
    <w:rsid w:val="00C16859"/>
    <w:rsid w:val="00C22085"/>
    <w:rsid w:val="00C35DC8"/>
    <w:rsid w:val="00C50FD7"/>
    <w:rsid w:val="00C574DF"/>
    <w:rsid w:val="00C605E9"/>
    <w:rsid w:val="00C670A1"/>
    <w:rsid w:val="00C70B9F"/>
    <w:rsid w:val="00C75D4A"/>
    <w:rsid w:val="00C75DFF"/>
    <w:rsid w:val="00C77E45"/>
    <w:rsid w:val="00C941F8"/>
    <w:rsid w:val="00CD2188"/>
    <w:rsid w:val="00CD3000"/>
    <w:rsid w:val="00CE3711"/>
    <w:rsid w:val="00CE4867"/>
    <w:rsid w:val="00CE54E7"/>
    <w:rsid w:val="00CE5D19"/>
    <w:rsid w:val="00D04935"/>
    <w:rsid w:val="00D06413"/>
    <w:rsid w:val="00D121A9"/>
    <w:rsid w:val="00D379B7"/>
    <w:rsid w:val="00D55DD2"/>
    <w:rsid w:val="00D91534"/>
    <w:rsid w:val="00DA24D2"/>
    <w:rsid w:val="00DA477E"/>
    <w:rsid w:val="00DA5F98"/>
    <w:rsid w:val="00DB52B2"/>
    <w:rsid w:val="00DC7C0D"/>
    <w:rsid w:val="00DD7A57"/>
    <w:rsid w:val="00DF63FC"/>
    <w:rsid w:val="00E05001"/>
    <w:rsid w:val="00E07CBB"/>
    <w:rsid w:val="00E16A17"/>
    <w:rsid w:val="00E43D3B"/>
    <w:rsid w:val="00E86FAC"/>
    <w:rsid w:val="00E9429A"/>
    <w:rsid w:val="00EA31B1"/>
    <w:rsid w:val="00EC472E"/>
    <w:rsid w:val="00EC5D68"/>
    <w:rsid w:val="00ED4098"/>
    <w:rsid w:val="00ED5543"/>
    <w:rsid w:val="00F24DB0"/>
    <w:rsid w:val="00F27B64"/>
    <w:rsid w:val="00F42A23"/>
    <w:rsid w:val="00F4633F"/>
    <w:rsid w:val="00F65015"/>
    <w:rsid w:val="00F76351"/>
    <w:rsid w:val="00F76BEC"/>
    <w:rsid w:val="00FB00F8"/>
    <w:rsid w:val="00FB22D7"/>
    <w:rsid w:val="00FC1E3E"/>
    <w:rsid w:val="00FC29AD"/>
    <w:rsid w:val="00FC6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F1768"/>
    <w:pPr>
      <w:widowControl w:val="0"/>
      <w:jc w:val="both"/>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0F1768"/>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
    <w:name w:val="页眉 Char"/>
    <w:basedOn w:val="a1"/>
    <w:link w:val="a4"/>
    <w:uiPriority w:val="99"/>
    <w:locked/>
    <w:rsid w:val="000F1768"/>
    <w:rPr>
      <w:sz w:val="18"/>
    </w:rPr>
  </w:style>
  <w:style w:type="paragraph" w:styleId="a5">
    <w:name w:val="footer"/>
    <w:basedOn w:val="a0"/>
    <w:link w:val="Char0"/>
    <w:uiPriority w:val="99"/>
    <w:rsid w:val="000F1768"/>
    <w:pPr>
      <w:tabs>
        <w:tab w:val="center" w:pos="4153"/>
        <w:tab w:val="right" w:pos="8306"/>
      </w:tabs>
      <w:snapToGrid w:val="0"/>
      <w:jc w:val="left"/>
    </w:pPr>
    <w:rPr>
      <w:rFonts w:ascii="Calibri" w:hAnsi="Calibri"/>
      <w:kern w:val="0"/>
      <w:sz w:val="18"/>
      <w:szCs w:val="20"/>
    </w:rPr>
  </w:style>
  <w:style w:type="character" w:customStyle="1" w:styleId="Char0">
    <w:name w:val="页脚 Char"/>
    <w:basedOn w:val="a1"/>
    <w:link w:val="a5"/>
    <w:uiPriority w:val="99"/>
    <w:locked/>
    <w:rsid w:val="000F1768"/>
    <w:rPr>
      <w:sz w:val="18"/>
    </w:rPr>
  </w:style>
  <w:style w:type="character" w:customStyle="1" w:styleId="hps">
    <w:name w:val="hps"/>
    <w:uiPriority w:val="99"/>
    <w:rsid w:val="000F1768"/>
  </w:style>
  <w:style w:type="character" w:customStyle="1" w:styleId="shorttext">
    <w:name w:val="short_text"/>
    <w:uiPriority w:val="99"/>
    <w:rsid w:val="000F1768"/>
  </w:style>
  <w:style w:type="character" w:styleId="a6">
    <w:name w:val="Hyperlink"/>
    <w:basedOn w:val="a1"/>
    <w:uiPriority w:val="99"/>
    <w:rsid w:val="000F1768"/>
    <w:rPr>
      <w:rFonts w:cs="Times New Roman"/>
      <w:color w:val="0000FF"/>
      <w:u w:val="single"/>
    </w:rPr>
  </w:style>
  <w:style w:type="character" w:styleId="a7">
    <w:name w:val="annotation reference"/>
    <w:basedOn w:val="a1"/>
    <w:uiPriority w:val="99"/>
    <w:rsid w:val="000F1768"/>
    <w:rPr>
      <w:rFonts w:cs="Times New Roman"/>
      <w:sz w:val="21"/>
    </w:rPr>
  </w:style>
  <w:style w:type="paragraph" w:styleId="a8">
    <w:name w:val="annotation text"/>
    <w:basedOn w:val="a0"/>
    <w:link w:val="Char1"/>
    <w:uiPriority w:val="99"/>
    <w:rsid w:val="000F1768"/>
    <w:pPr>
      <w:jc w:val="left"/>
    </w:pPr>
    <w:rPr>
      <w:kern w:val="0"/>
      <w:sz w:val="24"/>
      <w:szCs w:val="20"/>
    </w:rPr>
  </w:style>
  <w:style w:type="character" w:customStyle="1" w:styleId="Char1">
    <w:name w:val="批注文字 Char"/>
    <w:basedOn w:val="a1"/>
    <w:link w:val="a8"/>
    <w:uiPriority w:val="99"/>
    <w:locked/>
    <w:rsid w:val="000F1768"/>
    <w:rPr>
      <w:rFonts w:ascii="Times New Roman" w:eastAsia="宋体" w:hAnsi="Times New Roman"/>
      <w:sz w:val="24"/>
    </w:rPr>
  </w:style>
  <w:style w:type="paragraph" w:styleId="a9">
    <w:name w:val="annotation subject"/>
    <w:basedOn w:val="a8"/>
    <w:next w:val="a8"/>
    <w:link w:val="Char2"/>
    <w:uiPriority w:val="99"/>
    <w:rsid w:val="000F1768"/>
    <w:rPr>
      <w:b/>
    </w:rPr>
  </w:style>
  <w:style w:type="character" w:customStyle="1" w:styleId="Char2">
    <w:name w:val="批注主题 Char"/>
    <w:basedOn w:val="Char1"/>
    <w:link w:val="a9"/>
    <w:uiPriority w:val="99"/>
    <w:locked/>
    <w:rsid w:val="000F1768"/>
    <w:rPr>
      <w:rFonts w:ascii="Times New Roman" w:eastAsia="宋体" w:hAnsi="Times New Roman"/>
      <w:b/>
      <w:sz w:val="24"/>
    </w:rPr>
  </w:style>
  <w:style w:type="paragraph" w:styleId="aa">
    <w:name w:val="Balloon Text"/>
    <w:basedOn w:val="a0"/>
    <w:link w:val="Char3"/>
    <w:uiPriority w:val="99"/>
    <w:rsid w:val="000F1768"/>
    <w:pPr>
      <w:jc w:val="left"/>
    </w:pPr>
    <w:rPr>
      <w:rFonts w:ascii="Tahoma" w:hAnsi="Tahoma"/>
      <w:kern w:val="0"/>
      <w:sz w:val="18"/>
      <w:szCs w:val="20"/>
    </w:rPr>
  </w:style>
  <w:style w:type="character" w:customStyle="1" w:styleId="Char3">
    <w:name w:val="批注框文本 Char"/>
    <w:basedOn w:val="a1"/>
    <w:link w:val="aa"/>
    <w:uiPriority w:val="99"/>
    <w:locked/>
    <w:rsid w:val="000F1768"/>
    <w:rPr>
      <w:rFonts w:ascii="Tahoma" w:eastAsia="宋体" w:hAnsi="Tahoma"/>
      <w:sz w:val="18"/>
    </w:rPr>
  </w:style>
  <w:style w:type="character" w:customStyle="1" w:styleId="highlight">
    <w:name w:val="highlight"/>
    <w:uiPriority w:val="99"/>
    <w:rsid w:val="000F1768"/>
  </w:style>
  <w:style w:type="character" w:customStyle="1" w:styleId="slug-doi">
    <w:name w:val="slug-doi"/>
    <w:uiPriority w:val="99"/>
    <w:rsid w:val="000F1768"/>
  </w:style>
  <w:style w:type="character" w:customStyle="1" w:styleId="doi6">
    <w:name w:val="doi6"/>
    <w:uiPriority w:val="99"/>
    <w:rsid w:val="000F1768"/>
  </w:style>
  <w:style w:type="paragraph" w:styleId="ab">
    <w:name w:val="Normal (Web)"/>
    <w:basedOn w:val="a0"/>
    <w:uiPriority w:val="99"/>
    <w:rsid w:val="000F1768"/>
    <w:pPr>
      <w:widowControl/>
      <w:spacing w:before="100" w:beforeAutospacing="1" w:after="100" w:afterAutospacing="1"/>
      <w:jc w:val="left"/>
    </w:pPr>
    <w:rPr>
      <w:rFonts w:ascii="宋体" w:hAnsi="宋体" w:cs="宋体"/>
      <w:kern w:val="0"/>
      <w:sz w:val="24"/>
    </w:rPr>
  </w:style>
  <w:style w:type="character" w:customStyle="1" w:styleId="slug-metadata-noteahead-of-print">
    <w:name w:val="slug-metadata-note ahead-of-print"/>
    <w:uiPriority w:val="99"/>
    <w:rsid w:val="000F1768"/>
  </w:style>
  <w:style w:type="character" w:customStyle="1" w:styleId="name">
    <w:name w:val="name"/>
    <w:uiPriority w:val="99"/>
    <w:rsid w:val="000F1768"/>
  </w:style>
  <w:style w:type="character" w:customStyle="1" w:styleId="slug-ahead-of-print-date">
    <w:name w:val="slug-ahead-of-print-date"/>
    <w:uiPriority w:val="99"/>
    <w:rsid w:val="000F1768"/>
  </w:style>
  <w:style w:type="character" w:styleId="ac">
    <w:name w:val="FollowedHyperlink"/>
    <w:basedOn w:val="a1"/>
    <w:uiPriority w:val="99"/>
    <w:rsid w:val="000F1768"/>
    <w:rPr>
      <w:rFonts w:cs="Times New Roman"/>
      <w:color w:val="800080"/>
      <w:u w:val="single"/>
    </w:rPr>
  </w:style>
  <w:style w:type="paragraph" w:styleId="ad">
    <w:name w:val="Revision"/>
    <w:hidden/>
    <w:uiPriority w:val="99"/>
    <w:rsid w:val="000F1768"/>
    <w:rPr>
      <w:rFonts w:ascii="Times New Roman" w:hAnsi="Times New Roman"/>
      <w:szCs w:val="24"/>
    </w:rPr>
  </w:style>
  <w:style w:type="paragraph" w:styleId="a">
    <w:name w:val="List Bullet"/>
    <w:basedOn w:val="a0"/>
    <w:uiPriority w:val="99"/>
    <w:rsid w:val="000F1768"/>
    <w:pPr>
      <w:numPr>
        <w:numId w:val="21"/>
      </w:numPr>
      <w:contextualSpacing/>
    </w:pPr>
  </w:style>
  <w:style w:type="table" w:styleId="ae">
    <w:name w:val="Table Grid"/>
    <w:basedOn w:val="a2"/>
    <w:uiPriority w:val="99"/>
    <w:rsid w:val="000F176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autoRedefine/>
    <w:uiPriority w:val="99"/>
    <w:rsid w:val="00D379B7"/>
    <w:pPr>
      <w:widowControl/>
      <w:spacing w:after="160" w:line="240" w:lineRule="exact"/>
      <w:jc w:val="left"/>
    </w:pPr>
    <w:rPr>
      <w:rFonts w:ascii="Verdana" w:hAnsi="Verdana"/>
      <w:kern w:val="0"/>
      <w:sz w:val="24"/>
      <w:szCs w:val="20"/>
      <w:lang w:eastAsia="en-US"/>
    </w:rPr>
  </w:style>
  <w:style w:type="character" w:styleId="af">
    <w:name w:val="Strong"/>
    <w:basedOn w:val="a1"/>
    <w:uiPriority w:val="99"/>
    <w:qFormat/>
    <w:rsid w:val="00B40263"/>
    <w:rPr>
      <w:rFonts w:cs="Times New Roman"/>
      <w:b/>
    </w:rPr>
  </w:style>
  <w:style w:type="character" w:customStyle="1" w:styleId="hpsalt-edited">
    <w:name w:val="hps alt-edited"/>
    <w:uiPriority w:val="99"/>
    <w:rsid w:val="00EC5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F1768"/>
    <w:pPr>
      <w:widowControl w:val="0"/>
      <w:jc w:val="both"/>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rsid w:val="000F1768"/>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Char">
    <w:name w:val="页眉 Char"/>
    <w:basedOn w:val="a1"/>
    <w:link w:val="a4"/>
    <w:uiPriority w:val="99"/>
    <w:locked/>
    <w:rsid w:val="000F1768"/>
    <w:rPr>
      <w:sz w:val="18"/>
    </w:rPr>
  </w:style>
  <w:style w:type="paragraph" w:styleId="a5">
    <w:name w:val="footer"/>
    <w:basedOn w:val="a0"/>
    <w:link w:val="Char0"/>
    <w:uiPriority w:val="99"/>
    <w:rsid w:val="000F1768"/>
    <w:pPr>
      <w:tabs>
        <w:tab w:val="center" w:pos="4153"/>
        <w:tab w:val="right" w:pos="8306"/>
      </w:tabs>
      <w:snapToGrid w:val="0"/>
      <w:jc w:val="left"/>
    </w:pPr>
    <w:rPr>
      <w:rFonts w:ascii="Calibri" w:hAnsi="Calibri"/>
      <w:kern w:val="0"/>
      <w:sz w:val="18"/>
      <w:szCs w:val="20"/>
    </w:rPr>
  </w:style>
  <w:style w:type="character" w:customStyle="1" w:styleId="Char0">
    <w:name w:val="页脚 Char"/>
    <w:basedOn w:val="a1"/>
    <w:link w:val="a5"/>
    <w:uiPriority w:val="99"/>
    <w:locked/>
    <w:rsid w:val="000F1768"/>
    <w:rPr>
      <w:sz w:val="18"/>
    </w:rPr>
  </w:style>
  <w:style w:type="character" w:customStyle="1" w:styleId="hps">
    <w:name w:val="hps"/>
    <w:uiPriority w:val="99"/>
    <w:rsid w:val="000F1768"/>
  </w:style>
  <w:style w:type="character" w:customStyle="1" w:styleId="shorttext">
    <w:name w:val="short_text"/>
    <w:uiPriority w:val="99"/>
    <w:rsid w:val="000F1768"/>
  </w:style>
  <w:style w:type="character" w:styleId="a6">
    <w:name w:val="Hyperlink"/>
    <w:basedOn w:val="a1"/>
    <w:uiPriority w:val="99"/>
    <w:rsid w:val="000F1768"/>
    <w:rPr>
      <w:rFonts w:cs="Times New Roman"/>
      <w:color w:val="0000FF"/>
      <w:u w:val="single"/>
    </w:rPr>
  </w:style>
  <w:style w:type="character" w:styleId="a7">
    <w:name w:val="annotation reference"/>
    <w:basedOn w:val="a1"/>
    <w:uiPriority w:val="99"/>
    <w:rsid w:val="000F1768"/>
    <w:rPr>
      <w:rFonts w:cs="Times New Roman"/>
      <w:sz w:val="21"/>
    </w:rPr>
  </w:style>
  <w:style w:type="paragraph" w:styleId="a8">
    <w:name w:val="annotation text"/>
    <w:basedOn w:val="a0"/>
    <w:link w:val="Char1"/>
    <w:uiPriority w:val="99"/>
    <w:rsid w:val="000F1768"/>
    <w:pPr>
      <w:jc w:val="left"/>
    </w:pPr>
    <w:rPr>
      <w:kern w:val="0"/>
      <w:sz w:val="24"/>
      <w:szCs w:val="20"/>
    </w:rPr>
  </w:style>
  <w:style w:type="character" w:customStyle="1" w:styleId="Char1">
    <w:name w:val="批注文字 Char"/>
    <w:basedOn w:val="a1"/>
    <w:link w:val="a8"/>
    <w:uiPriority w:val="99"/>
    <w:locked/>
    <w:rsid w:val="000F1768"/>
    <w:rPr>
      <w:rFonts w:ascii="Times New Roman" w:eastAsia="宋体" w:hAnsi="Times New Roman"/>
      <w:sz w:val="24"/>
    </w:rPr>
  </w:style>
  <w:style w:type="paragraph" w:styleId="a9">
    <w:name w:val="annotation subject"/>
    <w:basedOn w:val="a8"/>
    <w:next w:val="a8"/>
    <w:link w:val="Char2"/>
    <w:uiPriority w:val="99"/>
    <w:rsid w:val="000F1768"/>
    <w:rPr>
      <w:b/>
    </w:rPr>
  </w:style>
  <w:style w:type="character" w:customStyle="1" w:styleId="Char2">
    <w:name w:val="批注主题 Char"/>
    <w:basedOn w:val="Char1"/>
    <w:link w:val="a9"/>
    <w:uiPriority w:val="99"/>
    <w:locked/>
    <w:rsid w:val="000F1768"/>
    <w:rPr>
      <w:rFonts w:ascii="Times New Roman" w:eastAsia="宋体" w:hAnsi="Times New Roman"/>
      <w:b/>
      <w:sz w:val="24"/>
    </w:rPr>
  </w:style>
  <w:style w:type="paragraph" w:styleId="aa">
    <w:name w:val="Balloon Text"/>
    <w:basedOn w:val="a0"/>
    <w:link w:val="Char3"/>
    <w:uiPriority w:val="99"/>
    <w:rsid w:val="000F1768"/>
    <w:pPr>
      <w:jc w:val="left"/>
    </w:pPr>
    <w:rPr>
      <w:rFonts w:ascii="Tahoma" w:hAnsi="Tahoma"/>
      <w:kern w:val="0"/>
      <w:sz w:val="18"/>
      <w:szCs w:val="20"/>
    </w:rPr>
  </w:style>
  <w:style w:type="character" w:customStyle="1" w:styleId="Char3">
    <w:name w:val="批注框文本 Char"/>
    <w:basedOn w:val="a1"/>
    <w:link w:val="aa"/>
    <w:uiPriority w:val="99"/>
    <w:locked/>
    <w:rsid w:val="000F1768"/>
    <w:rPr>
      <w:rFonts w:ascii="Tahoma" w:eastAsia="宋体" w:hAnsi="Tahoma"/>
      <w:sz w:val="18"/>
    </w:rPr>
  </w:style>
  <w:style w:type="character" w:customStyle="1" w:styleId="highlight">
    <w:name w:val="highlight"/>
    <w:uiPriority w:val="99"/>
    <w:rsid w:val="000F1768"/>
  </w:style>
  <w:style w:type="character" w:customStyle="1" w:styleId="slug-doi">
    <w:name w:val="slug-doi"/>
    <w:uiPriority w:val="99"/>
    <w:rsid w:val="000F1768"/>
  </w:style>
  <w:style w:type="character" w:customStyle="1" w:styleId="doi6">
    <w:name w:val="doi6"/>
    <w:uiPriority w:val="99"/>
    <w:rsid w:val="000F1768"/>
  </w:style>
  <w:style w:type="paragraph" w:styleId="ab">
    <w:name w:val="Normal (Web)"/>
    <w:basedOn w:val="a0"/>
    <w:uiPriority w:val="99"/>
    <w:rsid w:val="000F1768"/>
    <w:pPr>
      <w:widowControl/>
      <w:spacing w:before="100" w:beforeAutospacing="1" w:after="100" w:afterAutospacing="1"/>
      <w:jc w:val="left"/>
    </w:pPr>
    <w:rPr>
      <w:rFonts w:ascii="宋体" w:hAnsi="宋体" w:cs="宋体"/>
      <w:kern w:val="0"/>
      <w:sz w:val="24"/>
    </w:rPr>
  </w:style>
  <w:style w:type="character" w:customStyle="1" w:styleId="slug-metadata-noteahead-of-print">
    <w:name w:val="slug-metadata-note ahead-of-print"/>
    <w:uiPriority w:val="99"/>
    <w:rsid w:val="000F1768"/>
  </w:style>
  <w:style w:type="character" w:customStyle="1" w:styleId="name">
    <w:name w:val="name"/>
    <w:uiPriority w:val="99"/>
    <w:rsid w:val="000F1768"/>
  </w:style>
  <w:style w:type="character" w:customStyle="1" w:styleId="slug-ahead-of-print-date">
    <w:name w:val="slug-ahead-of-print-date"/>
    <w:uiPriority w:val="99"/>
    <w:rsid w:val="000F1768"/>
  </w:style>
  <w:style w:type="character" w:styleId="ac">
    <w:name w:val="FollowedHyperlink"/>
    <w:basedOn w:val="a1"/>
    <w:uiPriority w:val="99"/>
    <w:rsid w:val="000F1768"/>
    <w:rPr>
      <w:rFonts w:cs="Times New Roman"/>
      <w:color w:val="800080"/>
      <w:u w:val="single"/>
    </w:rPr>
  </w:style>
  <w:style w:type="paragraph" w:styleId="ad">
    <w:name w:val="Revision"/>
    <w:hidden/>
    <w:uiPriority w:val="99"/>
    <w:rsid w:val="000F1768"/>
    <w:rPr>
      <w:rFonts w:ascii="Times New Roman" w:hAnsi="Times New Roman"/>
      <w:szCs w:val="24"/>
    </w:rPr>
  </w:style>
  <w:style w:type="paragraph" w:styleId="a">
    <w:name w:val="List Bullet"/>
    <w:basedOn w:val="a0"/>
    <w:uiPriority w:val="99"/>
    <w:rsid w:val="000F1768"/>
    <w:pPr>
      <w:numPr>
        <w:numId w:val="21"/>
      </w:numPr>
      <w:contextualSpacing/>
    </w:pPr>
  </w:style>
  <w:style w:type="table" w:styleId="ae">
    <w:name w:val="Table Grid"/>
    <w:basedOn w:val="a2"/>
    <w:uiPriority w:val="99"/>
    <w:rsid w:val="000F176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0"/>
    <w:autoRedefine/>
    <w:uiPriority w:val="99"/>
    <w:rsid w:val="00D379B7"/>
    <w:pPr>
      <w:widowControl/>
      <w:spacing w:after="160" w:line="240" w:lineRule="exact"/>
      <w:jc w:val="left"/>
    </w:pPr>
    <w:rPr>
      <w:rFonts w:ascii="Verdana" w:hAnsi="Verdana"/>
      <w:kern w:val="0"/>
      <w:sz w:val="24"/>
      <w:szCs w:val="20"/>
      <w:lang w:eastAsia="en-US"/>
    </w:rPr>
  </w:style>
  <w:style w:type="character" w:styleId="af">
    <w:name w:val="Strong"/>
    <w:basedOn w:val="a1"/>
    <w:uiPriority w:val="99"/>
    <w:qFormat/>
    <w:rsid w:val="00B40263"/>
    <w:rPr>
      <w:rFonts w:cs="Times New Roman"/>
      <w:b/>
    </w:rPr>
  </w:style>
  <w:style w:type="character" w:customStyle="1" w:styleId="hpsalt-edited">
    <w:name w:val="hps alt-edited"/>
    <w:uiPriority w:val="99"/>
    <w:rsid w:val="00EC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info.clontech.com/rnaidesign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ast.ncbi.nlm.nih.gov/Blast.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4869</Words>
  <Characters>26092</Characters>
  <Application>Microsoft Office Word</Application>
  <DocSecurity>0</DocSecurity>
  <Lines>217</Lines>
  <Paragraphs>61</Paragraphs>
  <ScaleCrop>false</ScaleCrop>
  <Company>Hewlett-Packard Company</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siRNA targeted inhibition of GHR in human colon cancer SW480 cells</dc:title>
  <dc:creator>Wen Lingling</dc:creator>
  <cp:lastModifiedBy>Wen Lingling</cp:lastModifiedBy>
  <cp:revision>3</cp:revision>
  <dcterms:created xsi:type="dcterms:W3CDTF">2013-10-19T15:15:00Z</dcterms:created>
  <dcterms:modified xsi:type="dcterms:W3CDTF">2013-10-21T01:30:00Z</dcterms:modified>
</cp:coreProperties>
</file>